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137160</wp:posOffset>
            </wp:positionV>
            <wp:extent cx="1688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140335</wp:posOffset>
            </wp:positionV>
            <wp:extent cx="1688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August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149860</wp:posOffset>
            </wp:positionV>
            <wp:extent cx="1688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252730</wp:posOffset>
            </wp:positionV>
            <wp:extent cx="198882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137795</wp:posOffset>
            </wp:positionV>
            <wp:extent cx="1688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jc w:val="center"/>
        <w:ind w:right="210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85-1800912</w:t>
      </w:r>
    </w:p>
    <w:p>
      <w:pPr>
        <w:spacing w:after="0" w:line="172" w:lineRule="exact"/>
        <w:rPr>
          <w:sz w:val="24"/>
          <w:szCs w:val="24"/>
          <w:color w:val="auto"/>
        </w:rPr>
      </w:pPr>
    </w:p>
    <w:p>
      <w:pPr>
        <w:sectPr>
          <w:pgSz w:w="11900" w:h="16838" w:orient="portrait"/>
          <w:cols w:equalWidth="0" w:num="3">
            <w:col w:w="4520" w:space="720"/>
            <w:col w:w="280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660"/>
        <w:spacing w:after="0"/>
        <w:rPr>
          <w:sz w:val="20"/>
          <w:szCs w:val="20"/>
          <w:color w:val="auto"/>
        </w:rPr>
      </w:pPr>
      <w:r>
        <w:rPr>
          <w:rFonts w:ascii="Arial" w:cs="Arial" w:eastAsia="Arial" w:hAnsi="Arial"/>
          <w:sz w:val="15"/>
          <w:szCs w:val="15"/>
          <w:color w:val="auto"/>
        </w:rPr>
        <w:t>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80" w:space="720"/>
            <w:col w:w="244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3740"/>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144145</wp:posOffset>
            </wp:positionV>
            <wp:extent cx="1688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2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7"/>
              </w:rPr>
              <w:t>Title of each class</w:t>
            </w:r>
          </w:p>
        </w:tc>
        <w:tc>
          <w:tcPr>
            <w:tcW w:w="196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1"/>
              </w:rPr>
              <w:t>Trading Symbol(s)</w:t>
            </w:r>
          </w:p>
        </w:tc>
        <w:tc>
          <w:tcPr>
            <w:tcW w:w="366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6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0"/>
              </w:rPr>
              <w:t>Common Stock, $0.01 par value per share</w:t>
            </w:r>
          </w:p>
        </w:tc>
        <w:tc>
          <w:tcPr>
            <w:tcW w:w="196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7"/>
              </w:rPr>
              <w:t>ASO</w:t>
            </w:r>
          </w:p>
        </w:tc>
        <w:tc>
          <w:tcPr>
            <w:tcW w:w="66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4" w:lineRule="exact"/>
        <w:rPr>
          <w:sz w:val="24"/>
          <w:szCs w:val="24"/>
          <w:color w:val="auto"/>
        </w:rPr>
      </w:pPr>
    </w:p>
    <w:p>
      <w:pPr>
        <w:ind w:right="5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116840</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On August 31, 2023, Academy Sports and Outdoors, Inc. (the “Company”) issued a press release announcing financial results for the quarter ended July 29, 2023. A copy of the press release is furnished herewith as Exhibit 99.1 and incorporated by reference herein.</w:t>
      </w:r>
    </w:p>
    <w:p>
      <w:pPr>
        <w:spacing w:after="0" w:line="184" w:lineRule="exact"/>
        <w:rPr>
          <w:sz w:val="20"/>
          <w:szCs w:val="20"/>
          <w:color w:val="auto"/>
        </w:rPr>
      </w:pPr>
    </w:p>
    <w:p>
      <w:pPr>
        <w:jc w:val="both"/>
        <w:ind w:firstLine="401"/>
        <w:spacing w:after="0" w:line="245" w:lineRule="auto"/>
        <w:rPr>
          <w:sz w:val="20"/>
          <w:szCs w:val="20"/>
          <w:color w:val="auto"/>
        </w:rPr>
      </w:pPr>
      <w:r>
        <w:rPr>
          <w:rFonts w:ascii="Arial" w:cs="Arial" w:eastAsia="Arial" w:hAnsi="Arial"/>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6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jc w:val="both"/>
        <w:ind w:firstLine="401"/>
        <w:spacing w:after="0" w:line="256" w:lineRule="auto"/>
        <w:rPr>
          <w:sz w:val="20"/>
          <w:szCs w:val="20"/>
          <w:color w:val="auto"/>
        </w:rPr>
      </w:pPr>
      <w:r>
        <w:rPr>
          <w:rFonts w:ascii="Arial" w:cs="Arial" w:eastAsia="Arial" w:hAnsi="Arial"/>
          <w:sz w:val="18"/>
          <w:szCs w:val="18"/>
          <w:color w:val="auto"/>
        </w:rPr>
        <w:t>On August 30, 2023, the Company’s Board of Directors approved the declaration of a cash dividend with respect to the quarter ended July 29, 2023 of $0.09 per share of outstanding common stock of the Company, payable on October 11, 2023, to stockholders of record as of the close of business on September 13,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9660" w:type="dxa"/>
            <w:vAlign w:val="bottom"/>
          </w:tcPr>
          <w:p>
            <w:pPr>
              <w:spacing w:after="0"/>
              <w:rPr>
                <w:sz w:val="20"/>
                <w:szCs w:val="20"/>
                <w:color w:val="auto"/>
              </w:rPr>
            </w:pPr>
          </w:p>
        </w:tc>
      </w:tr>
      <w:tr>
        <w:trPr>
          <w:trHeight w:val="513"/>
        </w:trPr>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 No.</w:t>
            </w:r>
          </w:p>
        </w:tc>
        <w:tc>
          <w:tcPr>
            <w:tcW w:w="9660" w:type="dxa"/>
            <w:vAlign w:val="bottom"/>
          </w:tcPr>
          <w:p>
            <w:pPr>
              <w:ind w:left="398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243"/>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00FF"/>
              </w:rPr>
              <w:t>99.1</w:t>
            </w:r>
          </w:p>
        </w:tc>
        <w:tc>
          <w:tcPr>
            <w:tcW w:w="80" w:type="dxa"/>
            <w:vAlign w:val="bottom"/>
            <w:tcBorders>
              <w:bottom w:val="single" w:sz="8" w:color="CCEEFF"/>
            </w:tcBorders>
            <w:shd w:val="clear" w:color="auto" w:fill="CCEEFF"/>
          </w:tcPr>
          <w:p>
            <w:pPr>
              <w:spacing w:after="0"/>
              <w:rPr>
                <w:sz w:val="21"/>
                <w:szCs w:val="21"/>
                <w:color w:val="auto"/>
              </w:rPr>
            </w:pPr>
          </w:p>
        </w:tc>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Academy Sports and Outdoors, Inc. Press Release, dated August 31, 2023.</w:t>
            </w:r>
          </w:p>
        </w:tc>
      </w:tr>
      <w:tr>
        <w:trPr>
          <w:trHeight w:val="243"/>
        </w:trPr>
        <w:tc>
          <w:tcPr>
            <w:tcW w:w="1500" w:type="dxa"/>
            <w:vAlign w:val="bottom"/>
          </w:tcPr>
          <w:p>
            <w:pPr>
              <w:ind w:left="1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62"/>
        </w:trPr>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Date: August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31750</wp:posOffset>
            </wp:positionV>
            <wp:extent cx="2717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17" w:right="339" w:bottom="1440" w:gutter="0" w:footer="0" w:header="0"/>
        </w:sectPr>
      </w:pPr>
    </w:p>
    <w:bookmarkStart w:id="3" w:name="page4"/>
    <w:bookmarkEnd w:id="3"/>
    <w:p>
      <w:pPr>
        <w:ind w:left="100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43180</wp:posOffset>
            </wp:positionV>
            <wp:extent cx="18942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 Second Quarter 2023 Results</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Second Quarter GAAP Diluted EPS of $2.01, or $2.09 Adjusted Diluted EPS</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Net Sales Decline (6.2)%; Comparable Sales Decline (7.5)%</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Gross Margin Rate Improves 30 Basis Points to 35.6%</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Returned $114 Million to Shareholders Through Repurchases &amp; Dividends</w:t>
      </w:r>
    </w:p>
    <w:p>
      <w:pPr>
        <w:spacing w:after="0" w:line="22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color w:val="auto"/>
        </w:rPr>
        <w:t xml:space="preserve">KATY, TEXAS (Globe Newswire — August 31, 2023)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second quarter ended July 29, 2023.</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we continue to move through a challenging economic environment, our priority remains to deliver great value to our customers with our broad and complete assortment and our engaging shopping experience. While sales in the second quarter were down versus last year, they steadily improved each month during the quarter, while also delivering a solid earnings performance," said Chief Executive Officer, Steve Lawrence. "The team is working hard on thoughtfully managing through our short-term challenges and remains focused on delivering against our long range plan objectives. Moving forward, we believe that Academy is well positioned to continue to capture market share as a leader in the sports and outdoors space. We are planting the seeds for future growth by opening 11-12 new stores this Fall, building out our omnichannel capabilities and expanding our portfolio of new and exciting brands that resonate with our core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172085</wp:posOffset>
            </wp:positionV>
            <wp:extent cx="825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172085</wp:posOffset>
            </wp:positionV>
            <wp:extent cx="889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394335"/>
                    </a:xfrm>
                    <a:prstGeom prst="rect">
                      <a:avLst/>
                    </a:prstGeom>
                    <a:noFill/>
                  </pic:spPr>
                </pic:pic>
              </a:graphicData>
            </a:graphic>
          </wp:anchor>
        </w:drawing>
      </w:r>
    </w:p>
    <w:p>
      <w:pPr>
        <w:spacing w:after="0" w:line="231" w:lineRule="exact"/>
        <w:rPr>
          <w:sz w:val="20"/>
          <w:szCs w:val="20"/>
          <w:color w:val="auto"/>
        </w:rPr>
      </w:pPr>
    </w:p>
    <w:tbl>
      <w:tblPr>
        <w:tblLayout w:type="fixed"/>
        <w:tblInd w:w="890" w:type="dxa"/>
        <w:tblCellMar>
          <w:top w:w="0" w:type="dxa"/>
          <w:left w:w="0" w:type="dxa"/>
          <w:bottom w:w="0" w:type="dxa"/>
          <w:right w:w="0" w:type="dxa"/>
        </w:tblCellMar>
      </w:tblPr>
      <w:tr>
        <w:trPr>
          <w:trHeight w:val="266"/>
        </w:trPr>
        <w:tc>
          <w:tcPr>
            <w:tcW w:w="436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Arial" w:cs="Arial" w:eastAsia="Arial" w:hAnsi="Arial"/>
                <w:sz w:val="20"/>
                <w:szCs w:val="20"/>
                <w:b w:val="1"/>
                <w:bCs w:val="1"/>
                <w:color w:val="FFFFFF"/>
                <w:w w:val="87"/>
              </w:rPr>
              <w:t xml:space="preserve">Second Quarter Operatng Results </w:t>
            </w:r>
            <w:r>
              <w:rPr>
                <w:rFonts w:ascii="Arial" w:cs="Arial" w:eastAsia="Arial" w:hAnsi="Arial"/>
                <w:sz w:val="14"/>
                <w:szCs w:val="14"/>
                <w:b w:val="1"/>
                <w:bCs w:val="1"/>
                <w:color w:val="FFFFFF"/>
                <w:w w:val="87"/>
              </w:rPr>
              <w:t>($ in millions, except per</w:t>
            </w:r>
          </w:p>
        </w:tc>
        <w:tc>
          <w:tcPr>
            <w:tcW w:w="240" w:type="dxa"/>
            <w:vAlign w:val="bottom"/>
            <w:tcBorders>
              <w:top w:val="single" w:sz="8" w:color="auto"/>
            </w:tcBorders>
            <w:shd w:val="clear" w:color="auto" w:fill="1928A0"/>
          </w:tcPr>
          <w:p>
            <w:pPr>
              <w:spacing w:after="0"/>
              <w:rPr>
                <w:sz w:val="23"/>
                <w:szCs w:val="23"/>
                <w:color w:val="auto"/>
              </w:rPr>
            </w:pPr>
          </w:p>
        </w:tc>
        <w:tc>
          <w:tcPr>
            <w:tcW w:w="3500" w:type="dxa"/>
            <w:vAlign w:val="bottom"/>
            <w:tcBorders>
              <w:top w:val="single" w:sz="8" w:color="auto"/>
            </w:tcBorders>
            <w:gridSpan w:val="3"/>
            <w:shd w:val="clear" w:color="auto" w:fill="1928A0"/>
          </w:tcPr>
          <w:p>
            <w:pPr>
              <w:jc w:val="right"/>
              <w:ind w:right="1109"/>
              <w:spacing w:after="0"/>
              <w:rPr>
                <w:sz w:val="20"/>
                <w:szCs w:val="20"/>
                <w:color w:val="auto"/>
              </w:rPr>
            </w:pPr>
            <w:r>
              <w:rPr>
                <w:rFonts w:ascii="Arial" w:cs="Arial" w:eastAsia="Arial" w:hAnsi="Arial"/>
                <w:sz w:val="20"/>
                <w:szCs w:val="20"/>
                <w:b w:val="1"/>
                <w:bCs w:val="1"/>
                <w:color w:val="FFFFFF"/>
              </w:rPr>
              <w:t>13 Weeks Ended</w:t>
            </w:r>
          </w:p>
        </w:tc>
        <w:tc>
          <w:tcPr>
            <w:tcW w:w="1420" w:type="dxa"/>
            <w:vAlign w:val="bottom"/>
            <w:tcBorders>
              <w:top w:val="single" w:sz="8" w:color="auto"/>
              <w:right w:val="single" w:sz="8" w:color="auto"/>
            </w:tcBorders>
            <w:shd w:val="clear" w:color="auto" w:fill="1928A0"/>
          </w:tcPr>
          <w:p>
            <w:pPr>
              <w:ind w:left="400"/>
              <w:spacing w:after="0"/>
              <w:rPr>
                <w:sz w:val="20"/>
                <w:szCs w:val="20"/>
                <w:color w:val="auto"/>
              </w:rPr>
            </w:pPr>
            <w:r>
              <w:rPr>
                <w:rFonts w:ascii="Arial" w:cs="Arial" w:eastAsia="Arial" w:hAnsi="Arial"/>
                <w:sz w:val="20"/>
                <w:szCs w:val="20"/>
                <w:b w:val="1"/>
                <w:bCs w:val="1"/>
                <w:color w:val="FFFFFF"/>
              </w:rPr>
              <w:t>Change</w:t>
            </w:r>
          </w:p>
        </w:tc>
        <w:tc>
          <w:tcPr>
            <w:tcW w:w="0" w:type="dxa"/>
            <w:vAlign w:val="bottom"/>
          </w:tcPr>
          <w:p>
            <w:pPr>
              <w:spacing w:after="0"/>
              <w:rPr>
                <w:sz w:val="1"/>
                <w:szCs w:val="1"/>
                <w:color w:val="auto"/>
              </w:rPr>
            </w:pPr>
          </w:p>
        </w:tc>
      </w:tr>
      <w:tr>
        <w:trPr>
          <w:trHeight w:val="101"/>
        </w:trPr>
        <w:tc>
          <w:tcPr>
            <w:tcW w:w="4360" w:type="dxa"/>
            <w:vAlign w:val="bottom"/>
            <w:tcBorders>
              <w:left w:val="single" w:sz="8" w:color="auto"/>
            </w:tcBorders>
            <w:vMerge w:val="continue"/>
            <w:shd w:val="clear" w:color="auto" w:fill="1928A0"/>
          </w:tcPr>
          <w:p>
            <w:pPr>
              <w:spacing w:after="0"/>
              <w:rPr>
                <w:sz w:val="8"/>
                <w:szCs w:val="8"/>
                <w:color w:val="auto"/>
              </w:rPr>
            </w:pPr>
          </w:p>
        </w:tc>
        <w:tc>
          <w:tcPr>
            <w:tcW w:w="240" w:type="dxa"/>
            <w:vAlign w:val="bottom"/>
            <w:shd w:val="clear" w:color="auto" w:fill="1928A0"/>
          </w:tcPr>
          <w:p>
            <w:pPr>
              <w:spacing w:after="0"/>
              <w:rPr>
                <w:sz w:val="8"/>
                <w:szCs w:val="8"/>
                <w:color w:val="auto"/>
              </w:rPr>
            </w:pPr>
          </w:p>
        </w:tc>
        <w:tc>
          <w:tcPr>
            <w:tcW w:w="1500" w:type="dxa"/>
            <w:vAlign w:val="bottom"/>
            <w:vMerge w:val="restart"/>
            <w:shd w:val="clear" w:color="auto" w:fill="1928A0"/>
          </w:tcPr>
          <w:p>
            <w:pPr>
              <w:jc w:val="right"/>
              <w:ind w:right="228"/>
              <w:spacing w:after="0"/>
              <w:rPr>
                <w:sz w:val="20"/>
                <w:szCs w:val="20"/>
                <w:color w:val="auto"/>
              </w:rPr>
            </w:pPr>
            <w:r>
              <w:rPr>
                <w:rFonts w:ascii="Arial" w:cs="Arial" w:eastAsia="Arial" w:hAnsi="Arial"/>
                <w:sz w:val="20"/>
                <w:szCs w:val="20"/>
                <w:b w:val="1"/>
                <w:bCs w:val="1"/>
                <w:color w:val="FFFFFF"/>
                <w:w w:val="93"/>
              </w:rPr>
              <w:t>July 29, 2023</w:t>
            </w:r>
          </w:p>
        </w:tc>
        <w:tc>
          <w:tcPr>
            <w:tcW w:w="300" w:type="dxa"/>
            <w:vAlign w:val="bottom"/>
            <w:shd w:val="clear" w:color="auto" w:fill="1928A0"/>
          </w:tcPr>
          <w:p>
            <w:pPr>
              <w:spacing w:after="0"/>
              <w:rPr>
                <w:sz w:val="8"/>
                <w:szCs w:val="8"/>
                <w:color w:val="auto"/>
              </w:rPr>
            </w:pPr>
          </w:p>
        </w:tc>
        <w:tc>
          <w:tcPr>
            <w:tcW w:w="1700" w:type="dxa"/>
            <w:vAlign w:val="bottom"/>
            <w:vMerge w:val="restart"/>
            <w:shd w:val="clear" w:color="auto" w:fill="1928A0"/>
          </w:tcPr>
          <w:p>
            <w:pPr>
              <w:jc w:val="right"/>
              <w:ind w:right="389"/>
              <w:spacing w:after="0"/>
              <w:rPr>
                <w:sz w:val="20"/>
                <w:szCs w:val="20"/>
                <w:color w:val="auto"/>
              </w:rPr>
            </w:pPr>
            <w:r>
              <w:rPr>
                <w:rFonts w:ascii="Arial" w:cs="Arial" w:eastAsia="Arial" w:hAnsi="Arial"/>
                <w:sz w:val="20"/>
                <w:szCs w:val="20"/>
                <w:b w:val="1"/>
                <w:bCs w:val="1"/>
                <w:color w:val="FFFFFF"/>
                <w:w w:val="97"/>
              </w:rPr>
              <w:t>July 30, 2022</w:t>
            </w:r>
          </w:p>
        </w:tc>
        <w:tc>
          <w:tcPr>
            <w:tcW w:w="1420" w:type="dxa"/>
            <w:vAlign w:val="bottom"/>
            <w:tcBorders>
              <w:right w:val="single" w:sz="8" w:color="auto"/>
            </w:tcBorders>
            <w:vMerge w:val="restart"/>
            <w:shd w:val="clear" w:color="auto" w:fill="1928A0"/>
          </w:tcPr>
          <w:p>
            <w:pPr>
              <w:jc w:val="center"/>
              <w:spacing w:after="0"/>
              <w:rPr>
                <w:sz w:val="20"/>
                <w:szCs w:val="20"/>
                <w:color w:val="auto"/>
              </w:rPr>
            </w:pPr>
            <w:r>
              <w:rPr>
                <w:rFonts w:ascii="Arial" w:cs="Arial" w:eastAsia="Arial" w:hAnsi="Arial"/>
                <w:sz w:val="20"/>
                <w:szCs w:val="20"/>
                <w:b w:val="1"/>
                <w:bCs w:val="1"/>
                <w:color w:val="FFFFFF"/>
                <w:w w:val="78"/>
              </w:rPr>
              <w:t>%</w:t>
            </w:r>
          </w:p>
        </w:tc>
        <w:tc>
          <w:tcPr>
            <w:tcW w:w="0" w:type="dxa"/>
            <w:vAlign w:val="bottom"/>
          </w:tcPr>
          <w:p>
            <w:pPr>
              <w:spacing w:after="0"/>
              <w:rPr>
                <w:sz w:val="1"/>
                <w:szCs w:val="1"/>
                <w:color w:val="auto"/>
              </w:rPr>
            </w:pPr>
          </w:p>
        </w:tc>
      </w:tr>
      <w:tr>
        <w:trPr>
          <w:trHeight w:val="240"/>
        </w:trPr>
        <w:tc>
          <w:tcPr>
            <w:tcW w:w="436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Arial" w:cs="Arial" w:eastAsia="Arial" w:hAnsi="Arial"/>
                <w:sz w:val="14"/>
                <w:szCs w:val="14"/>
                <w:b w:val="1"/>
                <w:bCs w:val="1"/>
                <w:color w:val="FFFFFF"/>
              </w:rPr>
              <w:t>share data)</w:t>
            </w:r>
          </w:p>
        </w:tc>
        <w:tc>
          <w:tcPr>
            <w:tcW w:w="240" w:type="dxa"/>
            <w:vAlign w:val="bottom"/>
            <w:tcBorders>
              <w:bottom w:val="single" w:sz="8" w:color="1928A0"/>
            </w:tcBorders>
            <w:shd w:val="clear" w:color="auto" w:fill="1928A0"/>
          </w:tcPr>
          <w:p>
            <w:pPr>
              <w:spacing w:after="0"/>
              <w:rPr>
                <w:sz w:val="20"/>
                <w:szCs w:val="20"/>
                <w:color w:val="auto"/>
              </w:rPr>
            </w:pPr>
          </w:p>
        </w:tc>
        <w:tc>
          <w:tcPr>
            <w:tcW w:w="1500" w:type="dxa"/>
            <w:vAlign w:val="bottom"/>
            <w:tcBorders>
              <w:bottom w:val="single" w:sz="8" w:color="1928A0"/>
            </w:tcBorders>
            <w:vMerge w:val="continue"/>
            <w:shd w:val="clear" w:color="auto" w:fill="1928A0"/>
          </w:tcPr>
          <w:p>
            <w:pPr>
              <w:spacing w:after="0"/>
              <w:rPr>
                <w:sz w:val="20"/>
                <w:szCs w:val="20"/>
                <w:color w:val="auto"/>
              </w:rPr>
            </w:pPr>
          </w:p>
        </w:tc>
        <w:tc>
          <w:tcPr>
            <w:tcW w:w="300" w:type="dxa"/>
            <w:vAlign w:val="bottom"/>
            <w:tcBorders>
              <w:bottom w:val="single" w:sz="8" w:color="1928A0"/>
            </w:tcBorders>
            <w:shd w:val="clear" w:color="auto" w:fill="1928A0"/>
          </w:tcPr>
          <w:p>
            <w:pPr>
              <w:spacing w:after="0"/>
              <w:rPr>
                <w:sz w:val="20"/>
                <w:szCs w:val="20"/>
                <w:color w:val="auto"/>
              </w:rPr>
            </w:pPr>
          </w:p>
        </w:tc>
        <w:tc>
          <w:tcPr>
            <w:tcW w:w="1700" w:type="dxa"/>
            <w:vAlign w:val="bottom"/>
            <w:tcBorders>
              <w:bottom w:val="single" w:sz="8" w:color="1928A0"/>
            </w:tcBorders>
            <w:vMerge w:val="continue"/>
            <w:shd w:val="clear" w:color="auto" w:fill="1928A0"/>
          </w:tcPr>
          <w:p>
            <w:pPr>
              <w:spacing w:after="0"/>
              <w:rPr>
                <w:sz w:val="20"/>
                <w:szCs w:val="20"/>
                <w:color w:val="auto"/>
              </w:rPr>
            </w:pPr>
          </w:p>
        </w:tc>
        <w:tc>
          <w:tcPr>
            <w:tcW w:w="1420" w:type="dxa"/>
            <w:vAlign w:val="bottom"/>
            <w:tcBorders>
              <w:bottom w:val="single" w:sz="8" w:color="1928A0"/>
              <w:right w:val="single" w:sz="8" w:color="auto"/>
            </w:tcBorders>
            <w:vMerge w:val="continue"/>
            <w:shd w:val="clear" w:color="auto" w:fill="1928A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DBDBDB"/>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DBDBDB"/>
            </w:tcBorders>
            <w:shd w:val="clear" w:color="auto" w:fill="DBDBDB"/>
          </w:tcPr>
          <w:p>
            <w:pPr>
              <w:jc w:val="right"/>
              <w:ind w:right="88"/>
              <w:spacing w:after="0"/>
              <w:rPr>
                <w:sz w:val="20"/>
                <w:szCs w:val="20"/>
                <w:color w:val="auto"/>
              </w:rPr>
            </w:pPr>
            <w:r>
              <w:rPr>
                <w:rFonts w:ascii="Arial" w:cs="Arial" w:eastAsia="Arial" w:hAnsi="Arial"/>
                <w:sz w:val="18"/>
                <w:szCs w:val="18"/>
                <w:color w:val="auto"/>
              </w:rPr>
              <w:t>1,583.1</w:t>
            </w:r>
          </w:p>
        </w:tc>
        <w:tc>
          <w:tcPr>
            <w:tcW w:w="300" w:type="dxa"/>
            <w:vAlign w:val="bottom"/>
            <w:tcBorders>
              <w:top w:val="single" w:sz="8" w:color="auto"/>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DBDBDB"/>
            </w:tcBorders>
            <w:shd w:val="clear" w:color="auto" w:fill="DBDBDB"/>
          </w:tcPr>
          <w:p>
            <w:pPr>
              <w:jc w:val="right"/>
              <w:ind w:right="129"/>
              <w:spacing w:after="0"/>
              <w:rPr>
                <w:sz w:val="20"/>
                <w:szCs w:val="20"/>
                <w:color w:val="auto"/>
              </w:rPr>
            </w:pPr>
            <w:r>
              <w:rPr>
                <w:rFonts w:ascii="Arial" w:cs="Arial" w:eastAsia="Arial" w:hAnsi="Arial"/>
                <w:sz w:val="18"/>
                <w:szCs w:val="18"/>
                <w:color w:val="auto"/>
              </w:rPr>
              <w:t>1,686.9</w:t>
            </w:r>
          </w:p>
        </w:tc>
        <w:tc>
          <w:tcPr>
            <w:tcW w:w="1420" w:type="dxa"/>
            <w:vAlign w:val="bottom"/>
            <w:tcBorders>
              <w:top w:val="single" w:sz="8" w:color="DBDBDB"/>
              <w:bottom w:val="single" w:sz="8" w:color="DBDBDB"/>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86"/>
              </w:rPr>
              <w:t>(6.2)%</w:t>
            </w:r>
          </w:p>
        </w:tc>
        <w:tc>
          <w:tcPr>
            <w:tcW w:w="0" w:type="dxa"/>
            <w:vAlign w:val="bottom"/>
          </w:tcPr>
          <w:p>
            <w:pPr>
              <w:spacing w:after="0"/>
              <w:rPr>
                <w:sz w:val="1"/>
                <w:szCs w:val="1"/>
                <w:color w:val="auto"/>
              </w:rPr>
            </w:pPr>
          </w:p>
        </w:tc>
      </w:tr>
      <w:tr>
        <w:trPr>
          <w:trHeight w:val="227"/>
        </w:trPr>
        <w:tc>
          <w:tcPr>
            <w:tcW w:w="4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Comparable Sales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43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before income tax</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8"/>
                <w:szCs w:val="18"/>
                <w:color w:val="auto"/>
              </w:rPr>
              <w:t>203.3</w:t>
            </w: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BDBDB"/>
            </w:tcBorders>
            <w:shd w:val="clear" w:color="auto" w:fill="DBDBDB"/>
          </w:tcPr>
          <w:p>
            <w:pPr>
              <w:jc w:val="right"/>
              <w:ind w:right="129"/>
              <w:spacing w:after="0"/>
              <w:rPr>
                <w:sz w:val="20"/>
                <w:szCs w:val="20"/>
                <w:color w:val="auto"/>
              </w:rPr>
            </w:pPr>
            <w:r>
              <w:rPr>
                <w:rFonts w:ascii="Arial" w:cs="Arial" w:eastAsia="Arial" w:hAnsi="Arial"/>
                <w:sz w:val="18"/>
                <w:szCs w:val="18"/>
                <w:color w:val="auto"/>
              </w:rPr>
              <w:t>247.0</w:t>
            </w:r>
          </w:p>
        </w:tc>
        <w:tc>
          <w:tcPr>
            <w:tcW w:w="1420" w:type="dxa"/>
            <w:vAlign w:val="bottom"/>
            <w:tcBorders>
              <w:bottom w:val="single" w:sz="8" w:color="DBDBDB"/>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88"/>
              </w:rPr>
              <w:t>(17.7)%</w:t>
            </w:r>
          </w:p>
        </w:tc>
        <w:tc>
          <w:tcPr>
            <w:tcW w:w="0" w:type="dxa"/>
            <w:vAlign w:val="bottom"/>
          </w:tcPr>
          <w:p>
            <w:pPr>
              <w:spacing w:after="0"/>
              <w:rPr>
                <w:sz w:val="1"/>
                <w:szCs w:val="1"/>
                <w:color w:val="auto"/>
              </w:rPr>
            </w:pPr>
          </w:p>
        </w:tc>
      </w:tr>
      <w:tr>
        <w:trPr>
          <w:trHeight w:val="227"/>
        </w:trPr>
        <w:tc>
          <w:tcPr>
            <w:tcW w:w="4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88"/>
              <w:spacing w:after="0"/>
              <w:rPr>
                <w:sz w:val="20"/>
                <w:szCs w:val="20"/>
                <w:color w:val="auto"/>
              </w:rPr>
            </w:pPr>
            <w:r>
              <w:rPr>
                <w:rFonts w:ascii="Arial" w:cs="Arial" w:eastAsia="Arial" w:hAnsi="Arial"/>
                <w:sz w:val="18"/>
                <w:szCs w:val="18"/>
                <w:color w:val="auto"/>
              </w:rPr>
              <w:t>157.1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9"/>
              <w:spacing w:after="0"/>
              <w:rPr>
                <w:sz w:val="20"/>
                <w:szCs w:val="20"/>
                <w:color w:val="auto"/>
              </w:rPr>
            </w:pPr>
            <w:r>
              <w:rPr>
                <w:rFonts w:ascii="Arial" w:cs="Arial" w:eastAsia="Arial" w:hAnsi="Arial"/>
                <w:sz w:val="18"/>
                <w:szCs w:val="18"/>
                <w:color w:val="auto"/>
              </w:rPr>
              <w:t>188.8</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(16.8)%</w:t>
            </w:r>
          </w:p>
        </w:tc>
        <w:tc>
          <w:tcPr>
            <w:tcW w:w="0" w:type="dxa"/>
            <w:vAlign w:val="bottom"/>
          </w:tcPr>
          <w:p>
            <w:pPr>
              <w:spacing w:after="0"/>
              <w:rPr>
                <w:sz w:val="1"/>
                <w:szCs w:val="1"/>
                <w:color w:val="auto"/>
              </w:rPr>
            </w:pPr>
          </w:p>
        </w:tc>
      </w:tr>
      <w:tr>
        <w:trPr>
          <w:trHeight w:val="43"/>
        </w:trPr>
        <w:tc>
          <w:tcPr>
            <w:tcW w:w="43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36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3"/>
                <w:szCs w:val="23"/>
                <w:color w:val="auto"/>
                <w:vertAlign w:val="superscript"/>
              </w:rPr>
              <w:t>(1)</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ind w:right="88"/>
              <w:spacing w:after="0"/>
              <w:rPr>
                <w:sz w:val="20"/>
                <w:szCs w:val="20"/>
                <w:color w:val="auto"/>
              </w:rPr>
            </w:pPr>
            <w:r>
              <w:rPr>
                <w:rFonts w:ascii="Arial" w:cs="Arial" w:eastAsia="Arial" w:hAnsi="Arial"/>
                <w:sz w:val="18"/>
                <w:szCs w:val="18"/>
                <w:color w:val="auto"/>
              </w:rPr>
              <w:t>163.6</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DBDBDB"/>
          </w:tcPr>
          <w:p>
            <w:pPr>
              <w:jc w:val="right"/>
              <w:ind w:right="129"/>
              <w:spacing w:after="0"/>
              <w:rPr>
                <w:sz w:val="20"/>
                <w:szCs w:val="20"/>
                <w:color w:val="auto"/>
              </w:rPr>
            </w:pPr>
            <w:r>
              <w:rPr>
                <w:rFonts w:ascii="Arial" w:cs="Arial" w:eastAsia="Arial" w:hAnsi="Arial"/>
                <w:sz w:val="18"/>
                <w:szCs w:val="18"/>
                <w:color w:val="auto"/>
              </w:rPr>
              <w:t>193.5</w:t>
            </w:r>
          </w:p>
        </w:tc>
        <w:tc>
          <w:tcPr>
            <w:tcW w:w="14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88"/>
              </w:rPr>
              <w:t>(15.5)%</w:t>
            </w:r>
          </w:p>
        </w:tc>
        <w:tc>
          <w:tcPr>
            <w:tcW w:w="0" w:type="dxa"/>
            <w:vAlign w:val="bottom"/>
          </w:tcPr>
          <w:p>
            <w:pPr>
              <w:spacing w:after="0"/>
              <w:rPr>
                <w:sz w:val="1"/>
                <w:szCs w:val="1"/>
                <w:color w:val="auto"/>
              </w:rPr>
            </w:pPr>
          </w:p>
        </w:tc>
      </w:tr>
      <w:tr>
        <w:trPr>
          <w:trHeight w:val="227"/>
        </w:trPr>
        <w:tc>
          <w:tcPr>
            <w:tcW w:w="4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88"/>
              <w:spacing w:after="0"/>
              <w:rPr>
                <w:sz w:val="20"/>
                <w:szCs w:val="20"/>
                <w:color w:val="auto"/>
              </w:rPr>
            </w:pPr>
            <w:r>
              <w:rPr>
                <w:rFonts w:ascii="Arial" w:cs="Arial" w:eastAsia="Arial" w:hAnsi="Arial"/>
                <w:sz w:val="18"/>
                <w:szCs w:val="18"/>
                <w:color w:val="auto"/>
              </w:rPr>
              <w:t>2.01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9"/>
              <w:spacing w:after="0"/>
              <w:rPr>
                <w:sz w:val="20"/>
                <w:szCs w:val="20"/>
                <w:color w:val="auto"/>
              </w:rPr>
            </w:pPr>
            <w:r>
              <w:rPr>
                <w:rFonts w:ascii="Arial" w:cs="Arial" w:eastAsia="Arial" w:hAnsi="Arial"/>
                <w:sz w:val="18"/>
                <w:szCs w:val="18"/>
                <w:color w:val="auto"/>
              </w:rPr>
              <w:t>2.22</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(9.5)%</w:t>
            </w:r>
          </w:p>
        </w:tc>
        <w:tc>
          <w:tcPr>
            <w:tcW w:w="0" w:type="dxa"/>
            <w:vAlign w:val="bottom"/>
          </w:tcPr>
          <w:p>
            <w:pPr>
              <w:spacing w:after="0"/>
              <w:rPr>
                <w:sz w:val="1"/>
                <w:szCs w:val="1"/>
                <w:color w:val="auto"/>
              </w:rPr>
            </w:pPr>
          </w:p>
        </w:tc>
      </w:tr>
      <w:tr>
        <w:trPr>
          <w:trHeight w:val="43"/>
        </w:trPr>
        <w:tc>
          <w:tcPr>
            <w:tcW w:w="43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36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xml:space="preserve">Adjusted earnings per common share, diluted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8"/>
                <w:szCs w:val="18"/>
                <w:color w:val="auto"/>
              </w:rPr>
              <w:t>2.09</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2.28</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86"/>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222885</wp:posOffset>
            </wp:positionV>
            <wp:extent cx="825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222885</wp:posOffset>
            </wp:positionV>
            <wp:extent cx="8890"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394335"/>
                    </a:xfrm>
                    <a:prstGeom prst="rect">
                      <a:avLst/>
                    </a:prstGeom>
                    <a:noFill/>
                  </pic:spPr>
                </pic:pic>
              </a:graphicData>
            </a:graphic>
          </wp:anchor>
        </w:drawing>
      </w:r>
    </w:p>
    <w:p>
      <w:pPr>
        <w:spacing w:after="0" w:line="311" w:lineRule="exact"/>
        <w:rPr>
          <w:sz w:val="20"/>
          <w:szCs w:val="20"/>
          <w:color w:val="auto"/>
        </w:rPr>
      </w:pPr>
    </w:p>
    <w:tbl>
      <w:tblPr>
        <w:tblLayout w:type="fixed"/>
        <w:tblInd w:w="890" w:type="dxa"/>
        <w:tblCellMar>
          <w:top w:w="0" w:type="dxa"/>
          <w:left w:w="0" w:type="dxa"/>
          <w:bottom w:w="0" w:type="dxa"/>
          <w:right w:w="0" w:type="dxa"/>
        </w:tblCellMar>
      </w:tblPr>
      <w:tr>
        <w:trPr>
          <w:trHeight w:val="266"/>
        </w:trPr>
        <w:tc>
          <w:tcPr>
            <w:tcW w:w="436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Arial" w:cs="Arial" w:eastAsia="Arial" w:hAnsi="Arial"/>
                <w:sz w:val="20"/>
                <w:szCs w:val="20"/>
                <w:b w:val="1"/>
                <w:bCs w:val="1"/>
                <w:color w:val="FFFFFF"/>
                <w:w w:val="93"/>
              </w:rPr>
              <w:t xml:space="preserve">Year-to-Date Operatng Results </w:t>
            </w:r>
            <w:r>
              <w:rPr>
                <w:rFonts w:ascii="Arial" w:cs="Arial" w:eastAsia="Arial" w:hAnsi="Arial"/>
                <w:sz w:val="14"/>
                <w:szCs w:val="14"/>
                <w:b w:val="1"/>
                <w:bCs w:val="1"/>
                <w:color w:val="FFFFFF"/>
                <w:w w:val="93"/>
              </w:rPr>
              <w:t>($ in millions, except per</w:t>
            </w:r>
          </w:p>
        </w:tc>
        <w:tc>
          <w:tcPr>
            <w:tcW w:w="240" w:type="dxa"/>
            <w:vAlign w:val="bottom"/>
            <w:tcBorders>
              <w:top w:val="single" w:sz="8" w:color="auto"/>
            </w:tcBorders>
            <w:shd w:val="clear" w:color="auto" w:fill="1928A0"/>
          </w:tcPr>
          <w:p>
            <w:pPr>
              <w:spacing w:after="0"/>
              <w:rPr>
                <w:sz w:val="23"/>
                <w:szCs w:val="23"/>
                <w:color w:val="auto"/>
              </w:rPr>
            </w:pPr>
          </w:p>
        </w:tc>
        <w:tc>
          <w:tcPr>
            <w:tcW w:w="3500" w:type="dxa"/>
            <w:vAlign w:val="bottom"/>
            <w:tcBorders>
              <w:top w:val="single" w:sz="8" w:color="auto"/>
            </w:tcBorders>
            <w:gridSpan w:val="3"/>
            <w:shd w:val="clear" w:color="auto" w:fill="1928A0"/>
          </w:tcPr>
          <w:p>
            <w:pPr>
              <w:jc w:val="right"/>
              <w:ind w:right="1109"/>
              <w:spacing w:after="0"/>
              <w:rPr>
                <w:sz w:val="20"/>
                <w:szCs w:val="20"/>
                <w:color w:val="auto"/>
              </w:rPr>
            </w:pPr>
            <w:r>
              <w:rPr>
                <w:rFonts w:ascii="Arial" w:cs="Arial" w:eastAsia="Arial" w:hAnsi="Arial"/>
                <w:sz w:val="20"/>
                <w:szCs w:val="20"/>
                <w:b w:val="1"/>
                <w:bCs w:val="1"/>
                <w:color w:val="FFFFFF"/>
              </w:rPr>
              <w:t>26 Weeks Ended</w:t>
            </w:r>
          </w:p>
        </w:tc>
        <w:tc>
          <w:tcPr>
            <w:tcW w:w="1420" w:type="dxa"/>
            <w:vAlign w:val="bottom"/>
            <w:tcBorders>
              <w:top w:val="single" w:sz="8" w:color="auto"/>
              <w:right w:val="single" w:sz="8" w:color="auto"/>
            </w:tcBorders>
            <w:shd w:val="clear" w:color="auto" w:fill="1928A0"/>
          </w:tcPr>
          <w:p>
            <w:pPr>
              <w:ind w:left="400"/>
              <w:spacing w:after="0"/>
              <w:rPr>
                <w:sz w:val="20"/>
                <w:szCs w:val="20"/>
                <w:color w:val="auto"/>
              </w:rPr>
            </w:pPr>
            <w:r>
              <w:rPr>
                <w:rFonts w:ascii="Arial" w:cs="Arial" w:eastAsia="Arial" w:hAnsi="Arial"/>
                <w:sz w:val="20"/>
                <w:szCs w:val="20"/>
                <w:b w:val="1"/>
                <w:bCs w:val="1"/>
                <w:color w:val="FFFFFF"/>
              </w:rPr>
              <w:t>Change</w:t>
            </w:r>
          </w:p>
        </w:tc>
        <w:tc>
          <w:tcPr>
            <w:tcW w:w="0" w:type="dxa"/>
            <w:vAlign w:val="bottom"/>
          </w:tcPr>
          <w:p>
            <w:pPr>
              <w:spacing w:after="0"/>
              <w:rPr>
                <w:sz w:val="1"/>
                <w:szCs w:val="1"/>
                <w:color w:val="auto"/>
              </w:rPr>
            </w:pPr>
          </w:p>
        </w:tc>
      </w:tr>
      <w:tr>
        <w:trPr>
          <w:trHeight w:val="115"/>
        </w:trPr>
        <w:tc>
          <w:tcPr>
            <w:tcW w:w="4360" w:type="dxa"/>
            <w:vAlign w:val="bottom"/>
            <w:tcBorders>
              <w:left w:val="single" w:sz="8" w:color="auto"/>
            </w:tcBorders>
            <w:vMerge w:val="continue"/>
            <w:shd w:val="clear" w:color="auto" w:fill="1928A0"/>
          </w:tcPr>
          <w:p>
            <w:pPr>
              <w:spacing w:after="0"/>
              <w:rPr>
                <w:sz w:val="9"/>
                <w:szCs w:val="9"/>
                <w:color w:val="auto"/>
              </w:rPr>
            </w:pPr>
          </w:p>
        </w:tc>
        <w:tc>
          <w:tcPr>
            <w:tcW w:w="240" w:type="dxa"/>
            <w:vAlign w:val="bottom"/>
            <w:shd w:val="clear" w:color="auto" w:fill="1928A0"/>
          </w:tcPr>
          <w:p>
            <w:pPr>
              <w:spacing w:after="0"/>
              <w:rPr>
                <w:sz w:val="9"/>
                <w:szCs w:val="9"/>
                <w:color w:val="auto"/>
              </w:rPr>
            </w:pPr>
          </w:p>
        </w:tc>
        <w:tc>
          <w:tcPr>
            <w:tcW w:w="1500" w:type="dxa"/>
            <w:vAlign w:val="bottom"/>
            <w:vMerge w:val="restart"/>
            <w:shd w:val="clear" w:color="auto" w:fill="1928A0"/>
          </w:tcPr>
          <w:p>
            <w:pPr>
              <w:jc w:val="right"/>
              <w:ind w:right="228"/>
              <w:spacing w:after="0"/>
              <w:rPr>
                <w:sz w:val="20"/>
                <w:szCs w:val="20"/>
                <w:color w:val="auto"/>
              </w:rPr>
            </w:pPr>
            <w:r>
              <w:rPr>
                <w:rFonts w:ascii="Arial" w:cs="Arial" w:eastAsia="Arial" w:hAnsi="Arial"/>
                <w:sz w:val="20"/>
                <w:szCs w:val="20"/>
                <w:b w:val="1"/>
                <w:bCs w:val="1"/>
                <w:color w:val="FFFFFF"/>
                <w:w w:val="93"/>
              </w:rPr>
              <w:t>July 29, 2023</w:t>
            </w:r>
          </w:p>
        </w:tc>
        <w:tc>
          <w:tcPr>
            <w:tcW w:w="300" w:type="dxa"/>
            <w:vAlign w:val="bottom"/>
            <w:shd w:val="clear" w:color="auto" w:fill="1928A0"/>
          </w:tcPr>
          <w:p>
            <w:pPr>
              <w:spacing w:after="0"/>
              <w:rPr>
                <w:sz w:val="9"/>
                <w:szCs w:val="9"/>
                <w:color w:val="auto"/>
              </w:rPr>
            </w:pPr>
          </w:p>
        </w:tc>
        <w:tc>
          <w:tcPr>
            <w:tcW w:w="1700" w:type="dxa"/>
            <w:vAlign w:val="bottom"/>
            <w:vMerge w:val="restart"/>
            <w:shd w:val="clear" w:color="auto" w:fill="1928A0"/>
          </w:tcPr>
          <w:p>
            <w:pPr>
              <w:jc w:val="right"/>
              <w:ind w:right="389"/>
              <w:spacing w:after="0"/>
              <w:rPr>
                <w:sz w:val="20"/>
                <w:szCs w:val="20"/>
                <w:color w:val="auto"/>
              </w:rPr>
            </w:pPr>
            <w:r>
              <w:rPr>
                <w:rFonts w:ascii="Arial" w:cs="Arial" w:eastAsia="Arial" w:hAnsi="Arial"/>
                <w:sz w:val="20"/>
                <w:szCs w:val="20"/>
                <w:b w:val="1"/>
                <w:bCs w:val="1"/>
                <w:color w:val="FFFFFF"/>
                <w:w w:val="97"/>
              </w:rPr>
              <w:t>July 30, 2022</w:t>
            </w:r>
          </w:p>
        </w:tc>
        <w:tc>
          <w:tcPr>
            <w:tcW w:w="1420" w:type="dxa"/>
            <w:vAlign w:val="bottom"/>
            <w:tcBorders>
              <w:right w:val="single" w:sz="8" w:color="auto"/>
            </w:tcBorders>
            <w:vMerge w:val="restart"/>
            <w:shd w:val="clear" w:color="auto" w:fill="1928A0"/>
          </w:tcPr>
          <w:p>
            <w:pPr>
              <w:jc w:val="center"/>
              <w:spacing w:after="0"/>
              <w:rPr>
                <w:sz w:val="20"/>
                <w:szCs w:val="20"/>
                <w:color w:val="auto"/>
              </w:rPr>
            </w:pPr>
            <w:r>
              <w:rPr>
                <w:rFonts w:ascii="Arial" w:cs="Arial" w:eastAsia="Arial" w:hAnsi="Arial"/>
                <w:sz w:val="20"/>
                <w:szCs w:val="20"/>
                <w:b w:val="1"/>
                <w:bCs w:val="1"/>
                <w:color w:val="FFFFFF"/>
                <w:w w:val="78"/>
              </w:rPr>
              <w:t>%</w:t>
            </w:r>
          </w:p>
        </w:tc>
        <w:tc>
          <w:tcPr>
            <w:tcW w:w="0" w:type="dxa"/>
            <w:vAlign w:val="bottom"/>
          </w:tcPr>
          <w:p>
            <w:pPr>
              <w:spacing w:after="0"/>
              <w:rPr>
                <w:sz w:val="1"/>
                <w:szCs w:val="1"/>
                <w:color w:val="auto"/>
              </w:rPr>
            </w:pPr>
          </w:p>
        </w:tc>
      </w:tr>
      <w:tr>
        <w:trPr>
          <w:trHeight w:val="227"/>
        </w:trPr>
        <w:tc>
          <w:tcPr>
            <w:tcW w:w="436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Arial" w:cs="Arial" w:eastAsia="Arial" w:hAnsi="Arial"/>
                <w:sz w:val="14"/>
                <w:szCs w:val="14"/>
                <w:b w:val="1"/>
                <w:bCs w:val="1"/>
                <w:color w:val="FFFFFF"/>
              </w:rPr>
              <w:t>share data)</w:t>
            </w:r>
          </w:p>
        </w:tc>
        <w:tc>
          <w:tcPr>
            <w:tcW w:w="240" w:type="dxa"/>
            <w:vAlign w:val="bottom"/>
            <w:tcBorders>
              <w:bottom w:val="single" w:sz="8" w:color="1928A0"/>
            </w:tcBorders>
            <w:shd w:val="clear" w:color="auto" w:fill="1928A0"/>
          </w:tcPr>
          <w:p>
            <w:pPr>
              <w:spacing w:after="0"/>
              <w:rPr>
                <w:sz w:val="19"/>
                <w:szCs w:val="19"/>
                <w:color w:val="auto"/>
              </w:rPr>
            </w:pPr>
          </w:p>
        </w:tc>
        <w:tc>
          <w:tcPr>
            <w:tcW w:w="1500" w:type="dxa"/>
            <w:vAlign w:val="bottom"/>
            <w:tcBorders>
              <w:bottom w:val="single" w:sz="8" w:color="1928A0"/>
            </w:tcBorders>
            <w:vMerge w:val="continue"/>
            <w:shd w:val="clear" w:color="auto" w:fill="1928A0"/>
          </w:tcPr>
          <w:p>
            <w:pPr>
              <w:spacing w:after="0"/>
              <w:rPr>
                <w:sz w:val="19"/>
                <w:szCs w:val="19"/>
                <w:color w:val="auto"/>
              </w:rPr>
            </w:pPr>
          </w:p>
        </w:tc>
        <w:tc>
          <w:tcPr>
            <w:tcW w:w="300" w:type="dxa"/>
            <w:vAlign w:val="bottom"/>
            <w:tcBorders>
              <w:bottom w:val="single" w:sz="8" w:color="1928A0"/>
            </w:tcBorders>
            <w:shd w:val="clear" w:color="auto" w:fill="1928A0"/>
          </w:tcPr>
          <w:p>
            <w:pPr>
              <w:spacing w:after="0"/>
              <w:rPr>
                <w:sz w:val="19"/>
                <w:szCs w:val="19"/>
                <w:color w:val="auto"/>
              </w:rPr>
            </w:pPr>
          </w:p>
        </w:tc>
        <w:tc>
          <w:tcPr>
            <w:tcW w:w="1700" w:type="dxa"/>
            <w:vAlign w:val="bottom"/>
            <w:tcBorders>
              <w:bottom w:val="single" w:sz="8" w:color="1928A0"/>
            </w:tcBorders>
            <w:vMerge w:val="continue"/>
            <w:shd w:val="clear" w:color="auto" w:fill="1928A0"/>
          </w:tcPr>
          <w:p>
            <w:pPr>
              <w:spacing w:after="0"/>
              <w:rPr>
                <w:sz w:val="19"/>
                <w:szCs w:val="19"/>
                <w:color w:val="auto"/>
              </w:rPr>
            </w:pPr>
          </w:p>
        </w:tc>
        <w:tc>
          <w:tcPr>
            <w:tcW w:w="1420" w:type="dxa"/>
            <w:vAlign w:val="bottom"/>
            <w:tcBorders>
              <w:bottom w:val="single" w:sz="8" w:color="1928A0"/>
              <w:right w:val="single" w:sz="8" w:color="auto"/>
            </w:tcBorders>
            <w:vMerge w:val="continue"/>
            <w:shd w:val="clear" w:color="auto" w:fill="1928A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DBDBDB"/>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DBDBDB"/>
            </w:tcBorders>
            <w:shd w:val="clear" w:color="auto" w:fill="DBDBDB"/>
          </w:tcPr>
          <w:p>
            <w:pPr>
              <w:jc w:val="right"/>
              <w:ind w:right="88"/>
              <w:spacing w:after="0"/>
              <w:rPr>
                <w:sz w:val="20"/>
                <w:szCs w:val="20"/>
                <w:color w:val="auto"/>
              </w:rPr>
            </w:pPr>
            <w:r>
              <w:rPr>
                <w:rFonts w:ascii="Arial" w:cs="Arial" w:eastAsia="Arial" w:hAnsi="Arial"/>
                <w:sz w:val="18"/>
                <w:szCs w:val="18"/>
                <w:color w:val="auto"/>
              </w:rPr>
              <w:t>2,966.7</w:t>
            </w:r>
          </w:p>
        </w:tc>
        <w:tc>
          <w:tcPr>
            <w:tcW w:w="300" w:type="dxa"/>
            <w:vAlign w:val="bottom"/>
            <w:tcBorders>
              <w:top w:val="single" w:sz="8" w:color="auto"/>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DBDBDB"/>
            </w:tcBorders>
            <w:shd w:val="clear" w:color="auto" w:fill="DBDBDB"/>
          </w:tcPr>
          <w:p>
            <w:pPr>
              <w:jc w:val="right"/>
              <w:ind w:right="129"/>
              <w:spacing w:after="0"/>
              <w:rPr>
                <w:sz w:val="20"/>
                <w:szCs w:val="20"/>
                <w:color w:val="auto"/>
              </w:rPr>
            </w:pPr>
            <w:r>
              <w:rPr>
                <w:rFonts w:ascii="Arial" w:cs="Arial" w:eastAsia="Arial" w:hAnsi="Arial"/>
                <w:sz w:val="18"/>
                <w:szCs w:val="18"/>
                <w:color w:val="auto"/>
              </w:rPr>
              <w:t>3,154.6</w:t>
            </w:r>
          </w:p>
        </w:tc>
        <w:tc>
          <w:tcPr>
            <w:tcW w:w="1420" w:type="dxa"/>
            <w:vAlign w:val="bottom"/>
            <w:tcBorders>
              <w:top w:val="single" w:sz="8" w:color="DBDBDB"/>
              <w:bottom w:val="single" w:sz="8" w:color="DBDBDB"/>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86"/>
              </w:rPr>
              <w:t>(6.0)%</w:t>
            </w:r>
          </w:p>
        </w:tc>
        <w:tc>
          <w:tcPr>
            <w:tcW w:w="0" w:type="dxa"/>
            <w:vAlign w:val="bottom"/>
          </w:tcPr>
          <w:p>
            <w:pPr>
              <w:spacing w:after="0"/>
              <w:rPr>
                <w:sz w:val="1"/>
                <w:szCs w:val="1"/>
                <w:color w:val="auto"/>
              </w:rPr>
            </w:pPr>
          </w:p>
        </w:tc>
      </w:tr>
      <w:tr>
        <w:trPr>
          <w:trHeight w:val="227"/>
        </w:trPr>
        <w:tc>
          <w:tcPr>
            <w:tcW w:w="4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Comparable Sales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43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before income tax</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8"/>
                <w:szCs w:val="18"/>
                <w:color w:val="auto"/>
              </w:rPr>
              <w:t>322.0</w:t>
            </w: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BDBDB"/>
            </w:tcBorders>
            <w:shd w:val="clear" w:color="auto" w:fill="DBDBDB"/>
          </w:tcPr>
          <w:p>
            <w:pPr>
              <w:jc w:val="right"/>
              <w:ind w:right="129"/>
              <w:spacing w:after="0"/>
              <w:rPr>
                <w:sz w:val="20"/>
                <w:szCs w:val="20"/>
                <w:color w:val="auto"/>
              </w:rPr>
            </w:pPr>
            <w:r>
              <w:rPr>
                <w:rFonts w:ascii="Arial" w:cs="Arial" w:eastAsia="Arial" w:hAnsi="Arial"/>
                <w:sz w:val="18"/>
                <w:szCs w:val="18"/>
                <w:color w:val="auto"/>
              </w:rPr>
              <w:t>442.3</w:t>
            </w:r>
          </w:p>
        </w:tc>
        <w:tc>
          <w:tcPr>
            <w:tcW w:w="1420" w:type="dxa"/>
            <w:vAlign w:val="bottom"/>
            <w:tcBorders>
              <w:bottom w:val="single" w:sz="8" w:color="DBDBDB"/>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88"/>
              </w:rPr>
              <w:t>(27.2)%</w:t>
            </w:r>
          </w:p>
        </w:tc>
        <w:tc>
          <w:tcPr>
            <w:tcW w:w="0" w:type="dxa"/>
            <w:vAlign w:val="bottom"/>
          </w:tcPr>
          <w:p>
            <w:pPr>
              <w:spacing w:after="0"/>
              <w:rPr>
                <w:sz w:val="1"/>
                <w:szCs w:val="1"/>
                <w:color w:val="auto"/>
              </w:rPr>
            </w:pPr>
          </w:p>
        </w:tc>
      </w:tr>
      <w:tr>
        <w:trPr>
          <w:trHeight w:val="227"/>
        </w:trPr>
        <w:tc>
          <w:tcPr>
            <w:tcW w:w="4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88"/>
              <w:spacing w:after="0"/>
              <w:rPr>
                <w:sz w:val="20"/>
                <w:szCs w:val="20"/>
                <w:color w:val="auto"/>
              </w:rPr>
            </w:pPr>
            <w:r>
              <w:rPr>
                <w:rFonts w:ascii="Arial" w:cs="Arial" w:eastAsia="Arial" w:hAnsi="Arial"/>
                <w:sz w:val="18"/>
                <w:szCs w:val="18"/>
                <w:color w:val="auto"/>
              </w:rPr>
              <w:t>251.0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9"/>
              <w:spacing w:after="0"/>
              <w:rPr>
                <w:sz w:val="20"/>
                <w:szCs w:val="20"/>
                <w:color w:val="auto"/>
              </w:rPr>
            </w:pPr>
            <w:r>
              <w:rPr>
                <w:rFonts w:ascii="Arial" w:cs="Arial" w:eastAsia="Arial" w:hAnsi="Arial"/>
                <w:sz w:val="18"/>
                <w:szCs w:val="18"/>
                <w:color w:val="auto"/>
              </w:rPr>
              <w:t>338.6</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(25.9)%</w:t>
            </w:r>
          </w:p>
        </w:tc>
        <w:tc>
          <w:tcPr>
            <w:tcW w:w="0" w:type="dxa"/>
            <w:vAlign w:val="bottom"/>
          </w:tcPr>
          <w:p>
            <w:pPr>
              <w:spacing w:after="0"/>
              <w:rPr>
                <w:sz w:val="1"/>
                <w:szCs w:val="1"/>
                <w:color w:val="auto"/>
              </w:rPr>
            </w:pPr>
          </w:p>
        </w:tc>
      </w:tr>
      <w:tr>
        <w:trPr>
          <w:trHeight w:val="43"/>
        </w:trPr>
        <w:tc>
          <w:tcPr>
            <w:tcW w:w="43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36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3"/>
                <w:szCs w:val="23"/>
                <w:color w:val="auto"/>
                <w:vertAlign w:val="superscript"/>
              </w:rPr>
              <w:t>(1)</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ind w:right="88"/>
              <w:spacing w:after="0"/>
              <w:rPr>
                <w:sz w:val="20"/>
                <w:szCs w:val="20"/>
                <w:color w:val="auto"/>
              </w:rPr>
            </w:pPr>
            <w:r>
              <w:rPr>
                <w:rFonts w:ascii="Arial" w:cs="Arial" w:eastAsia="Arial" w:hAnsi="Arial"/>
                <w:sz w:val="18"/>
                <w:szCs w:val="18"/>
                <w:color w:val="auto"/>
              </w:rPr>
              <w:t>266.6</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DBDBDB"/>
          </w:tcPr>
          <w:p>
            <w:pPr>
              <w:jc w:val="right"/>
              <w:ind w:right="129"/>
              <w:spacing w:after="0"/>
              <w:rPr>
                <w:sz w:val="20"/>
                <w:szCs w:val="20"/>
                <w:color w:val="auto"/>
              </w:rPr>
            </w:pPr>
            <w:r>
              <w:rPr>
                <w:rFonts w:ascii="Arial" w:cs="Arial" w:eastAsia="Arial" w:hAnsi="Arial"/>
                <w:sz w:val="18"/>
                <w:szCs w:val="18"/>
                <w:color w:val="auto"/>
              </w:rPr>
              <w:t>346.0</w:t>
            </w:r>
          </w:p>
        </w:tc>
        <w:tc>
          <w:tcPr>
            <w:tcW w:w="14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88"/>
              </w:rPr>
              <w:t>(22.9)%</w:t>
            </w:r>
          </w:p>
        </w:tc>
        <w:tc>
          <w:tcPr>
            <w:tcW w:w="0" w:type="dxa"/>
            <w:vAlign w:val="bottom"/>
          </w:tcPr>
          <w:p>
            <w:pPr>
              <w:spacing w:after="0"/>
              <w:rPr>
                <w:sz w:val="1"/>
                <w:szCs w:val="1"/>
                <w:color w:val="auto"/>
              </w:rPr>
            </w:pPr>
          </w:p>
        </w:tc>
      </w:tr>
      <w:tr>
        <w:trPr>
          <w:trHeight w:val="227"/>
        </w:trPr>
        <w:tc>
          <w:tcPr>
            <w:tcW w:w="4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88"/>
              <w:spacing w:after="0"/>
              <w:rPr>
                <w:sz w:val="20"/>
                <w:szCs w:val="20"/>
                <w:color w:val="auto"/>
              </w:rPr>
            </w:pPr>
            <w:r>
              <w:rPr>
                <w:rFonts w:ascii="Arial" w:cs="Arial" w:eastAsia="Arial" w:hAnsi="Arial"/>
                <w:sz w:val="18"/>
                <w:szCs w:val="18"/>
                <w:color w:val="auto"/>
              </w:rPr>
              <w:t>3.19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9"/>
              <w:spacing w:after="0"/>
              <w:rPr>
                <w:sz w:val="20"/>
                <w:szCs w:val="20"/>
                <w:color w:val="auto"/>
              </w:rPr>
            </w:pPr>
            <w:r>
              <w:rPr>
                <w:rFonts w:ascii="Arial" w:cs="Arial" w:eastAsia="Arial" w:hAnsi="Arial"/>
                <w:sz w:val="18"/>
                <w:szCs w:val="18"/>
                <w:color w:val="auto"/>
              </w:rPr>
              <w:t>3.90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(18.2)%</w:t>
            </w:r>
          </w:p>
        </w:tc>
        <w:tc>
          <w:tcPr>
            <w:tcW w:w="0" w:type="dxa"/>
            <w:vAlign w:val="bottom"/>
          </w:tcPr>
          <w:p>
            <w:pPr>
              <w:spacing w:after="0"/>
              <w:rPr>
                <w:sz w:val="1"/>
                <w:szCs w:val="1"/>
                <w:color w:val="auto"/>
              </w:rPr>
            </w:pPr>
          </w:p>
        </w:tc>
      </w:tr>
      <w:tr>
        <w:trPr>
          <w:trHeight w:val="43"/>
        </w:trPr>
        <w:tc>
          <w:tcPr>
            <w:tcW w:w="43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36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xml:space="preserve">Adjusted earnings per common share, diluted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8"/>
                <w:szCs w:val="18"/>
                <w:color w:val="auto"/>
              </w:rPr>
              <w:t>3.39</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3.99</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88"/>
              </w:rPr>
              <w:t>(15.0)%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900" w:right="980" w:hanging="10"/>
        <w:spacing w:after="0" w:line="333" w:lineRule="auto"/>
        <w:tabs>
          <w:tab w:leader="none" w:pos="1093"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net income and Adjusted earnings per common share, diluted, are non-GAAP measures. See "Non-GAAP Measures" and "Reconciliatons of GAAP to Non-GAAP Financial Measures" below for reconciliatons of non-GAAP fnancial measures to their most directly comparable GAAP fnancial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513" w:right="339" w:bottom="1440" w:gutter="0" w:footer="0" w:header="0"/>
        </w:sectPr>
      </w:pPr>
    </w:p>
    <w:bookmarkStart w:id="4" w:name="page5"/>
    <w:bookmarkEnd w:id="4"/>
    <w:tbl>
      <w:tblPr>
        <w:tblLayout w:type="fixed"/>
        <w:tblInd w:w="890" w:type="dxa"/>
        <w:tblCellMar>
          <w:top w:w="0" w:type="dxa"/>
          <w:left w:w="0" w:type="dxa"/>
          <w:bottom w:w="0" w:type="dxa"/>
          <w:right w:w="0" w:type="dxa"/>
        </w:tblCellMar>
      </w:tblPr>
      <w:tr>
        <w:trPr>
          <w:trHeight w:val="266"/>
        </w:trPr>
        <w:tc>
          <w:tcPr>
            <w:tcW w:w="4440" w:type="dxa"/>
            <w:vAlign w:val="bottom"/>
            <w:tcBorders>
              <w:top w:val="single" w:sz="8" w:color="auto"/>
              <w:left w:val="single" w:sz="8" w:color="auto"/>
            </w:tcBorders>
            <w:shd w:val="clear" w:color="auto" w:fill="1928A0"/>
          </w:tcPr>
          <w:p>
            <w:pPr>
              <w:spacing w:after="0"/>
              <w:rPr>
                <w:sz w:val="23"/>
                <w:szCs w:val="23"/>
                <w:color w:val="auto"/>
              </w:rPr>
            </w:pPr>
          </w:p>
        </w:tc>
        <w:tc>
          <w:tcPr>
            <w:tcW w:w="200" w:type="dxa"/>
            <w:vAlign w:val="bottom"/>
            <w:tcBorders>
              <w:top w:val="single" w:sz="8" w:color="auto"/>
            </w:tcBorders>
            <w:shd w:val="clear" w:color="auto" w:fill="1928A0"/>
          </w:tcPr>
          <w:p>
            <w:pPr>
              <w:spacing w:after="0"/>
              <w:rPr>
                <w:sz w:val="23"/>
                <w:szCs w:val="23"/>
                <w:color w:val="auto"/>
              </w:rPr>
            </w:pPr>
          </w:p>
        </w:tc>
        <w:tc>
          <w:tcPr>
            <w:tcW w:w="1800" w:type="dxa"/>
            <w:vAlign w:val="bottom"/>
            <w:tcBorders>
              <w:top w:val="single" w:sz="8" w:color="auto"/>
            </w:tcBorders>
            <w:gridSpan w:val="2"/>
            <w:shd w:val="clear" w:color="auto" w:fill="1928A0"/>
          </w:tcPr>
          <w:p>
            <w:pPr>
              <w:jc w:val="right"/>
              <w:spacing w:after="0"/>
              <w:rPr>
                <w:sz w:val="20"/>
                <w:szCs w:val="20"/>
                <w:color w:val="auto"/>
              </w:rPr>
            </w:pPr>
            <w:r>
              <w:rPr>
                <w:rFonts w:ascii="Arial" w:cs="Arial" w:eastAsia="Arial" w:hAnsi="Arial"/>
                <w:sz w:val="20"/>
                <w:szCs w:val="20"/>
                <w:b w:val="1"/>
                <w:bCs w:val="1"/>
                <w:color w:val="FFFFFF"/>
              </w:rPr>
              <w:t>As of</w:t>
            </w:r>
          </w:p>
        </w:tc>
        <w:tc>
          <w:tcPr>
            <w:tcW w:w="1700" w:type="dxa"/>
            <w:vAlign w:val="bottom"/>
            <w:tcBorders>
              <w:top w:val="single" w:sz="8" w:color="auto"/>
            </w:tcBorders>
            <w:shd w:val="clear" w:color="auto" w:fill="1928A0"/>
          </w:tcPr>
          <w:p>
            <w:pPr>
              <w:spacing w:after="0"/>
              <w:rPr>
                <w:sz w:val="23"/>
                <w:szCs w:val="23"/>
                <w:color w:val="auto"/>
              </w:rPr>
            </w:pPr>
          </w:p>
        </w:tc>
        <w:tc>
          <w:tcPr>
            <w:tcW w:w="1380" w:type="dxa"/>
            <w:vAlign w:val="bottom"/>
            <w:tcBorders>
              <w:top w:val="single" w:sz="8" w:color="auto"/>
              <w:right w:val="single" w:sz="8" w:color="auto"/>
            </w:tcBorders>
            <w:shd w:val="clear" w:color="auto" w:fill="1928A0"/>
          </w:tcPr>
          <w:p>
            <w:pPr>
              <w:jc w:val="right"/>
              <w:ind w:right="406"/>
              <w:spacing w:after="0"/>
              <w:rPr>
                <w:sz w:val="20"/>
                <w:szCs w:val="20"/>
                <w:color w:val="auto"/>
              </w:rPr>
            </w:pPr>
            <w:r>
              <w:rPr>
                <w:rFonts w:ascii="Arial" w:cs="Arial" w:eastAsia="Arial" w:hAnsi="Arial"/>
                <w:sz w:val="20"/>
                <w:szCs w:val="20"/>
                <w:b w:val="1"/>
                <w:bCs w:val="1"/>
                <w:color w:val="FFFFFF"/>
              </w:rPr>
              <w:t>Change</w:t>
            </w:r>
          </w:p>
        </w:tc>
      </w:tr>
      <w:tr>
        <w:trPr>
          <w:trHeight w:val="322"/>
        </w:trPr>
        <w:tc>
          <w:tcPr>
            <w:tcW w:w="444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Arial" w:cs="Arial" w:eastAsia="Arial" w:hAnsi="Arial"/>
                <w:sz w:val="20"/>
                <w:szCs w:val="20"/>
                <w:b w:val="1"/>
                <w:bCs w:val="1"/>
                <w:color w:val="FFFFFF"/>
              </w:rPr>
              <w:t xml:space="preserve">Balance Sheet </w:t>
            </w:r>
            <w:r>
              <w:rPr>
                <w:rFonts w:ascii="Arial" w:cs="Arial" w:eastAsia="Arial" w:hAnsi="Arial"/>
                <w:sz w:val="14"/>
                <w:szCs w:val="14"/>
                <w:b w:val="1"/>
                <w:bCs w:val="1"/>
                <w:color w:val="FFFFFF"/>
              </w:rPr>
              <w:t>($ in millions)</w:t>
            </w:r>
          </w:p>
        </w:tc>
        <w:tc>
          <w:tcPr>
            <w:tcW w:w="200" w:type="dxa"/>
            <w:vAlign w:val="bottom"/>
            <w:tcBorders>
              <w:bottom w:val="single" w:sz="8" w:color="1928A0"/>
            </w:tcBorders>
            <w:shd w:val="clear" w:color="auto" w:fill="1928A0"/>
          </w:tcPr>
          <w:p>
            <w:pPr>
              <w:spacing w:after="0"/>
              <w:rPr>
                <w:sz w:val="24"/>
                <w:szCs w:val="24"/>
                <w:color w:val="auto"/>
              </w:rPr>
            </w:pPr>
          </w:p>
        </w:tc>
        <w:tc>
          <w:tcPr>
            <w:tcW w:w="1420" w:type="dxa"/>
            <w:vAlign w:val="bottom"/>
            <w:tcBorders>
              <w:bottom w:val="single" w:sz="8" w:color="1928A0"/>
            </w:tcBorders>
            <w:shd w:val="clear" w:color="auto" w:fill="1928A0"/>
          </w:tcPr>
          <w:p>
            <w:pPr>
              <w:jc w:val="right"/>
              <w:ind w:right="166"/>
              <w:spacing w:after="0"/>
              <w:rPr>
                <w:sz w:val="20"/>
                <w:szCs w:val="20"/>
                <w:color w:val="auto"/>
              </w:rPr>
            </w:pPr>
            <w:r>
              <w:rPr>
                <w:rFonts w:ascii="Arial" w:cs="Arial" w:eastAsia="Arial" w:hAnsi="Arial"/>
                <w:sz w:val="20"/>
                <w:szCs w:val="20"/>
                <w:b w:val="1"/>
                <w:bCs w:val="1"/>
                <w:color w:val="FFFFFF"/>
                <w:w w:val="92"/>
              </w:rPr>
              <w:t>July 29, 2023</w:t>
            </w:r>
          </w:p>
        </w:tc>
        <w:tc>
          <w:tcPr>
            <w:tcW w:w="380" w:type="dxa"/>
            <w:vAlign w:val="bottom"/>
            <w:tcBorders>
              <w:bottom w:val="single" w:sz="8" w:color="1928A0"/>
            </w:tcBorders>
            <w:shd w:val="clear" w:color="auto" w:fill="1928A0"/>
          </w:tcPr>
          <w:p>
            <w:pPr>
              <w:spacing w:after="0"/>
              <w:rPr>
                <w:sz w:val="24"/>
                <w:szCs w:val="24"/>
                <w:color w:val="auto"/>
              </w:rPr>
            </w:pPr>
          </w:p>
        </w:tc>
        <w:tc>
          <w:tcPr>
            <w:tcW w:w="1700" w:type="dxa"/>
            <w:vAlign w:val="bottom"/>
            <w:tcBorders>
              <w:bottom w:val="single" w:sz="8" w:color="1928A0"/>
            </w:tcBorders>
            <w:shd w:val="clear" w:color="auto" w:fill="1928A0"/>
          </w:tcPr>
          <w:p>
            <w:pPr>
              <w:jc w:val="right"/>
              <w:ind w:right="508"/>
              <w:spacing w:after="0"/>
              <w:rPr>
                <w:sz w:val="20"/>
                <w:szCs w:val="20"/>
                <w:color w:val="auto"/>
              </w:rPr>
            </w:pPr>
            <w:r>
              <w:rPr>
                <w:rFonts w:ascii="Arial" w:cs="Arial" w:eastAsia="Arial" w:hAnsi="Arial"/>
                <w:sz w:val="20"/>
                <w:szCs w:val="20"/>
                <w:b w:val="1"/>
                <w:bCs w:val="1"/>
                <w:color w:val="FFFFFF"/>
                <w:w w:val="87"/>
              </w:rPr>
              <w:t>July 30, 2022</w:t>
            </w:r>
          </w:p>
        </w:tc>
        <w:tc>
          <w:tcPr>
            <w:tcW w:w="1380" w:type="dxa"/>
            <w:vAlign w:val="bottom"/>
            <w:tcBorders>
              <w:bottom w:val="single" w:sz="8" w:color="1928A0"/>
              <w:right w:val="single" w:sz="8" w:color="auto"/>
            </w:tcBorders>
            <w:shd w:val="clear" w:color="auto" w:fill="1928A0"/>
          </w:tcPr>
          <w:p>
            <w:pPr>
              <w:jc w:val="right"/>
              <w:ind w:right="626"/>
              <w:spacing w:after="0"/>
              <w:rPr>
                <w:sz w:val="20"/>
                <w:szCs w:val="20"/>
                <w:color w:val="auto"/>
              </w:rPr>
            </w:pPr>
            <w:r>
              <w:rPr>
                <w:rFonts w:ascii="Arial" w:cs="Arial" w:eastAsia="Arial" w:hAnsi="Arial"/>
                <w:sz w:val="20"/>
                <w:szCs w:val="20"/>
                <w:b w:val="1"/>
                <w:bCs w:val="1"/>
                <w:color w:val="FFFFFF"/>
              </w:rPr>
              <w:t>%</w:t>
            </w:r>
          </w:p>
        </w:tc>
      </w:tr>
      <w:tr>
        <w:trPr>
          <w:trHeight w:val="250"/>
        </w:trPr>
        <w:tc>
          <w:tcPr>
            <w:tcW w:w="44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311.3</w:t>
            </w: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8"/>
                <w:szCs w:val="18"/>
                <w:color w:val="auto"/>
              </w:rPr>
              <w:t>399.9</w:t>
            </w:r>
          </w:p>
        </w:tc>
        <w:tc>
          <w:tcPr>
            <w:tcW w:w="13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(22.2)%</w:t>
            </w:r>
          </w:p>
        </w:tc>
      </w:tr>
      <w:tr>
        <w:trPr>
          <w:trHeight w:val="227"/>
        </w:trPr>
        <w:tc>
          <w:tcPr>
            <w:tcW w:w="44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Merchandise inventories,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1,309.0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68"/>
              <w:spacing w:after="0"/>
              <w:rPr>
                <w:sz w:val="20"/>
                <w:szCs w:val="20"/>
                <w:color w:val="auto"/>
              </w:rPr>
            </w:pPr>
            <w:r>
              <w:rPr>
                <w:rFonts w:ascii="Arial" w:cs="Arial" w:eastAsia="Arial" w:hAnsi="Arial"/>
                <w:sz w:val="18"/>
                <w:szCs w:val="18"/>
                <w:color w:val="auto"/>
              </w:rPr>
              <w:t>1,304.6</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43"/>
        </w:trPr>
        <w:tc>
          <w:tcPr>
            <w:tcW w:w="4440" w:type="dxa"/>
            <w:vAlign w:val="bottom"/>
            <w:tcBorders>
              <w:lef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r>
      <w:tr>
        <w:trPr>
          <w:trHeight w:val="250"/>
        </w:trPr>
        <w:tc>
          <w:tcPr>
            <w:tcW w:w="44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583.7</w:t>
            </w: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8"/>
                <w:szCs w:val="18"/>
                <w:color w:val="auto"/>
              </w:rPr>
              <w:t>683.1</w:t>
            </w:r>
          </w:p>
        </w:tc>
        <w:tc>
          <w:tcPr>
            <w:tcW w:w="13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44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3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311785</wp:posOffset>
            </wp:positionV>
            <wp:extent cx="8255"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386080"/>
                    </a:xfrm>
                    <a:prstGeom prst="rect">
                      <a:avLst/>
                    </a:prstGeom>
                    <a:noFill/>
                  </pic:spPr>
                </pic:pic>
              </a:graphicData>
            </a:graphic>
          </wp:anchor>
        </w:drawing>
        <w:drawing>
          <wp:anchor simplePos="0" relativeHeight="251657728" behindDoc="1" locked="0" layoutInCell="0" allowOverlap="1">
            <wp:simplePos x="0" y="0"/>
            <wp:positionH relativeFrom="page">
              <wp:posOffset>3585845</wp:posOffset>
            </wp:positionH>
            <wp:positionV relativeFrom="page">
              <wp:posOffset>311785</wp:posOffset>
            </wp:positionV>
            <wp:extent cx="825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tbl>
      <w:tblPr>
        <w:tblLayout w:type="fixed"/>
        <w:tblInd w:w="890" w:type="dxa"/>
        <w:tblCellMar>
          <w:top w:w="0" w:type="dxa"/>
          <w:left w:w="0" w:type="dxa"/>
          <w:bottom w:w="0" w:type="dxa"/>
          <w:right w:w="0" w:type="dxa"/>
        </w:tblCellMar>
      </w:tblPr>
      <w:tr>
        <w:trPr>
          <w:trHeight w:val="266"/>
        </w:trPr>
        <w:tc>
          <w:tcPr>
            <w:tcW w:w="4440" w:type="dxa"/>
            <w:vAlign w:val="bottom"/>
            <w:tcBorders>
              <w:top w:val="single" w:sz="8" w:color="auto"/>
              <w:left w:val="single" w:sz="8" w:color="auto"/>
            </w:tcBorders>
            <w:shd w:val="clear" w:color="auto" w:fill="1928A0"/>
          </w:tcPr>
          <w:p>
            <w:pPr>
              <w:spacing w:after="0"/>
              <w:rPr>
                <w:sz w:val="23"/>
                <w:szCs w:val="23"/>
                <w:color w:val="auto"/>
              </w:rPr>
            </w:pPr>
          </w:p>
        </w:tc>
        <w:tc>
          <w:tcPr>
            <w:tcW w:w="200" w:type="dxa"/>
            <w:vAlign w:val="bottom"/>
            <w:tcBorders>
              <w:top w:val="single" w:sz="8" w:color="auto"/>
            </w:tcBorders>
            <w:shd w:val="clear" w:color="auto" w:fill="1928A0"/>
          </w:tcPr>
          <w:p>
            <w:pPr>
              <w:spacing w:after="0"/>
              <w:rPr>
                <w:sz w:val="23"/>
                <w:szCs w:val="23"/>
                <w:color w:val="auto"/>
              </w:rPr>
            </w:pPr>
          </w:p>
        </w:tc>
        <w:tc>
          <w:tcPr>
            <w:tcW w:w="3500" w:type="dxa"/>
            <w:vAlign w:val="bottom"/>
            <w:tcBorders>
              <w:top w:val="single" w:sz="8" w:color="auto"/>
            </w:tcBorders>
            <w:gridSpan w:val="3"/>
            <w:shd w:val="clear" w:color="auto" w:fill="1928A0"/>
          </w:tcPr>
          <w:p>
            <w:pPr>
              <w:jc w:val="right"/>
              <w:ind w:right="1167"/>
              <w:spacing w:after="0"/>
              <w:rPr>
                <w:sz w:val="20"/>
                <w:szCs w:val="20"/>
                <w:color w:val="auto"/>
              </w:rPr>
            </w:pPr>
            <w:r>
              <w:rPr>
                <w:rFonts w:ascii="Arial" w:cs="Arial" w:eastAsia="Arial" w:hAnsi="Arial"/>
                <w:sz w:val="20"/>
                <w:szCs w:val="20"/>
                <w:b w:val="1"/>
                <w:bCs w:val="1"/>
                <w:color w:val="FFFFFF"/>
              </w:rPr>
              <w:t>26 Weeks Ended</w:t>
            </w:r>
          </w:p>
        </w:tc>
        <w:tc>
          <w:tcPr>
            <w:tcW w:w="1380" w:type="dxa"/>
            <w:vAlign w:val="bottom"/>
            <w:tcBorders>
              <w:top w:val="single" w:sz="8" w:color="auto"/>
              <w:right w:val="single" w:sz="8" w:color="auto"/>
            </w:tcBorders>
            <w:shd w:val="clear" w:color="auto" w:fill="1928A0"/>
          </w:tcPr>
          <w:p>
            <w:pPr>
              <w:jc w:val="right"/>
              <w:ind w:right="406"/>
              <w:spacing w:after="0"/>
              <w:rPr>
                <w:sz w:val="20"/>
                <w:szCs w:val="20"/>
                <w:color w:val="auto"/>
              </w:rPr>
            </w:pPr>
            <w:r>
              <w:rPr>
                <w:rFonts w:ascii="Arial" w:cs="Arial" w:eastAsia="Arial" w:hAnsi="Arial"/>
                <w:sz w:val="20"/>
                <w:szCs w:val="20"/>
                <w:b w:val="1"/>
                <w:bCs w:val="1"/>
                <w:color w:val="FFFFFF"/>
              </w:rPr>
              <w:t>Change</w:t>
            </w:r>
          </w:p>
        </w:tc>
      </w:tr>
      <w:tr>
        <w:trPr>
          <w:trHeight w:val="322"/>
        </w:trPr>
        <w:tc>
          <w:tcPr>
            <w:tcW w:w="444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Arial" w:cs="Arial" w:eastAsia="Arial" w:hAnsi="Arial"/>
                <w:sz w:val="20"/>
                <w:szCs w:val="20"/>
                <w:b w:val="1"/>
                <w:bCs w:val="1"/>
                <w:color w:val="FFFFFF"/>
              </w:rPr>
              <w:t xml:space="preserve">Capital Allocaton </w:t>
            </w:r>
            <w:r>
              <w:rPr>
                <w:rFonts w:ascii="Arial" w:cs="Arial" w:eastAsia="Arial" w:hAnsi="Arial"/>
                <w:sz w:val="14"/>
                <w:szCs w:val="14"/>
                <w:b w:val="1"/>
                <w:bCs w:val="1"/>
                <w:color w:val="FFFFFF"/>
              </w:rPr>
              <w:t>($ in millions)</w:t>
            </w:r>
          </w:p>
        </w:tc>
        <w:tc>
          <w:tcPr>
            <w:tcW w:w="200" w:type="dxa"/>
            <w:vAlign w:val="bottom"/>
            <w:tcBorders>
              <w:bottom w:val="single" w:sz="8" w:color="1928A0"/>
            </w:tcBorders>
            <w:shd w:val="clear" w:color="auto" w:fill="1928A0"/>
          </w:tcPr>
          <w:p>
            <w:pPr>
              <w:spacing w:after="0"/>
              <w:rPr>
                <w:sz w:val="24"/>
                <w:szCs w:val="24"/>
                <w:color w:val="auto"/>
              </w:rPr>
            </w:pPr>
          </w:p>
        </w:tc>
        <w:tc>
          <w:tcPr>
            <w:tcW w:w="1420" w:type="dxa"/>
            <w:vAlign w:val="bottom"/>
            <w:tcBorders>
              <w:bottom w:val="single" w:sz="8" w:color="1928A0"/>
            </w:tcBorders>
            <w:shd w:val="clear" w:color="auto" w:fill="1928A0"/>
          </w:tcPr>
          <w:p>
            <w:pPr>
              <w:jc w:val="right"/>
              <w:ind w:right="166"/>
              <w:spacing w:after="0"/>
              <w:rPr>
                <w:sz w:val="20"/>
                <w:szCs w:val="20"/>
                <w:color w:val="auto"/>
              </w:rPr>
            </w:pPr>
            <w:r>
              <w:rPr>
                <w:rFonts w:ascii="Arial" w:cs="Arial" w:eastAsia="Arial" w:hAnsi="Arial"/>
                <w:sz w:val="20"/>
                <w:szCs w:val="20"/>
                <w:b w:val="1"/>
                <w:bCs w:val="1"/>
                <w:color w:val="FFFFFF"/>
                <w:w w:val="92"/>
              </w:rPr>
              <w:t>July 29, 2023</w:t>
            </w:r>
          </w:p>
        </w:tc>
        <w:tc>
          <w:tcPr>
            <w:tcW w:w="280" w:type="dxa"/>
            <w:vAlign w:val="bottom"/>
            <w:tcBorders>
              <w:bottom w:val="single" w:sz="8" w:color="1928A0"/>
            </w:tcBorders>
            <w:shd w:val="clear" w:color="auto" w:fill="1928A0"/>
          </w:tcPr>
          <w:p>
            <w:pPr>
              <w:spacing w:after="0"/>
              <w:rPr>
                <w:sz w:val="24"/>
                <w:szCs w:val="24"/>
                <w:color w:val="auto"/>
              </w:rPr>
            </w:pPr>
          </w:p>
        </w:tc>
        <w:tc>
          <w:tcPr>
            <w:tcW w:w="1800" w:type="dxa"/>
            <w:vAlign w:val="bottom"/>
            <w:tcBorders>
              <w:bottom w:val="single" w:sz="8" w:color="1928A0"/>
            </w:tcBorders>
            <w:shd w:val="clear" w:color="auto" w:fill="1928A0"/>
          </w:tcPr>
          <w:p>
            <w:pPr>
              <w:jc w:val="right"/>
              <w:ind w:right="507"/>
              <w:spacing w:after="0"/>
              <w:rPr>
                <w:sz w:val="20"/>
                <w:szCs w:val="20"/>
                <w:color w:val="auto"/>
              </w:rPr>
            </w:pPr>
            <w:r>
              <w:rPr>
                <w:rFonts w:ascii="Arial" w:cs="Arial" w:eastAsia="Arial" w:hAnsi="Arial"/>
                <w:sz w:val="20"/>
                <w:szCs w:val="20"/>
                <w:b w:val="1"/>
                <w:bCs w:val="1"/>
                <w:color w:val="FFFFFF"/>
                <w:w w:val="95"/>
              </w:rPr>
              <w:t>July 30, 2022</w:t>
            </w:r>
          </w:p>
        </w:tc>
        <w:tc>
          <w:tcPr>
            <w:tcW w:w="1380" w:type="dxa"/>
            <w:vAlign w:val="bottom"/>
            <w:tcBorders>
              <w:bottom w:val="single" w:sz="8" w:color="1928A0"/>
              <w:right w:val="single" w:sz="8" w:color="auto"/>
            </w:tcBorders>
            <w:shd w:val="clear" w:color="auto" w:fill="1928A0"/>
          </w:tcPr>
          <w:p>
            <w:pPr>
              <w:jc w:val="right"/>
              <w:ind w:right="626"/>
              <w:spacing w:after="0"/>
              <w:rPr>
                <w:sz w:val="20"/>
                <w:szCs w:val="20"/>
                <w:color w:val="auto"/>
              </w:rPr>
            </w:pPr>
            <w:r>
              <w:rPr>
                <w:rFonts w:ascii="Arial" w:cs="Arial" w:eastAsia="Arial" w:hAnsi="Arial"/>
                <w:sz w:val="20"/>
                <w:szCs w:val="20"/>
                <w:b w:val="1"/>
                <w:bCs w:val="1"/>
                <w:color w:val="FFFFFF"/>
              </w:rPr>
              <w:t>%</w:t>
            </w:r>
          </w:p>
        </w:tc>
      </w:tr>
      <w:tr>
        <w:trPr>
          <w:trHeight w:val="250"/>
        </w:trPr>
        <w:tc>
          <w:tcPr>
            <w:tcW w:w="44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Share repurchases</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157.6</w:t>
            </w:r>
          </w:p>
        </w:tc>
        <w:tc>
          <w:tcPr>
            <w:tcW w:w="28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DBDBDB"/>
            </w:tcBorders>
            <w:shd w:val="clear" w:color="auto" w:fill="DBDBDB"/>
          </w:tcPr>
          <w:p>
            <w:pPr>
              <w:jc w:val="right"/>
              <w:ind w:right="167"/>
              <w:spacing w:after="0"/>
              <w:rPr>
                <w:sz w:val="20"/>
                <w:szCs w:val="20"/>
                <w:color w:val="auto"/>
              </w:rPr>
            </w:pPr>
            <w:r>
              <w:rPr>
                <w:rFonts w:ascii="Arial" w:cs="Arial" w:eastAsia="Arial" w:hAnsi="Arial"/>
                <w:sz w:val="18"/>
                <w:szCs w:val="18"/>
                <w:color w:val="auto"/>
              </w:rPr>
              <w:t>288.6</w:t>
            </w:r>
          </w:p>
        </w:tc>
        <w:tc>
          <w:tcPr>
            <w:tcW w:w="13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(45.4)%</w:t>
            </w:r>
          </w:p>
        </w:tc>
      </w:tr>
      <w:tr>
        <w:trPr>
          <w:trHeight w:val="227"/>
        </w:trPr>
        <w:tc>
          <w:tcPr>
            <w:tcW w:w="44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67"/>
              <w:spacing w:after="0"/>
              <w:rPr>
                <w:sz w:val="20"/>
                <w:szCs w:val="20"/>
                <w:color w:val="auto"/>
              </w:rPr>
            </w:pPr>
            <w:r>
              <w:rPr>
                <w:rFonts w:ascii="Arial" w:cs="Arial" w:eastAsia="Arial" w:hAnsi="Arial"/>
                <w:sz w:val="18"/>
                <w:szCs w:val="18"/>
                <w:color w:val="auto"/>
              </w:rPr>
              <w:t>12.8</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7.8 %</w:t>
            </w:r>
          </w:p>
        </w:tc>
      </w:tr>
      <w:tr>
        <w:trPr>
          <w:trHeight w:val="43"/>
        </w:trPr>
        <w:tc>
          <w:tcPr>
            <w:tcW w:w="444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-736600</wp:posOffset>
            </wp:positionV>
            <wp:extent cx="8255"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38608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-736600</wp:posOffset>
            </wp:positionV>
            <wp:extent cx="8255"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p>
      <w:pPr>
        <w:spacing w:after="0" w:line="2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Subsequent to the end of the second quarter, on August 30, 2023, Academy announced that its Board of Directors declared a quarterly cash dividend of $0.09 per share of common stock. The dividend is payable on October 11, 2023, to stockholders of record as of the close of business on September 13, 2023.</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Michael Mullican, President, said, "In the second quarter we made significant progress in aligning our expenses with our current sales trends. Our operating margin improved 420 basis points from the first quarter, driven by higher gross margin, sequential improvement in shrink as a rate to sales and disciplined expense management. We also continued to execute our capital allocation plan in the quarter, while self-funding our long-term growth initiatives."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Store Openings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During the second quarter, Academy opened one new store, bringing the total quarter-end number of stores to 270 stores. The Company expects to open six stores in the third quarter and five to six in the fourth quarter and a total of 120 to 140 stores over the five fiscal year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period ending with fiscal 2027.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Outlook</w:t>
      </w:r>
    </w:p>
    <w:p>
      <w:pPr>
        <w:spacing w:after="0" w:line="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Academy is reiterating its previous sales and net income guidance for fiscal 2023, while updating its EPS forecast to reflect the share repurchase activity completed in the second quarter.</w:t>
      </w:r>
    </w:p>
    <w:p>
      <w:pPr>
        <w:spacing w:after="0" w:line="2" w:lineRule="exact"/>
        <w:rPr>
          <w:sz w:val="20"/>
          <w:szCs w:val="20"/>
          <w:color w:val="auto"/>
        </w:rPr>
      </w:pPr>
    </w:p>
    <w:tbl>
      <w:tblPr>
        <w:tblLayout w:type="fixed"/>
        <w:tblInd w:w="350" w:type="dxa"/>
        <w:tblCellMar>
          <w:top w:w="0" w:type="dxa"/>
          <w:left w:w="0" w:type="dxa"/>
          <w:bottom w:w="0" w:type="dxa"/>
          <w:right w:w="0" w:type="dxa"/>
        </w:tblCellMar>
      </w:tblPr>
      <w:tr>
        <w:trPr>
          <w:trHeight w:val="266"/>
        </w:trPr>
        <w:tc>
          <w:tcPr>
            <w:tcW w:w="4140" w:type="dxa"/>
            <w:vAlign w:val="bottom"/>
            <w:tcBorders>
              <w:top w:val="single" w:sz="8" w:color="auto"/>
              <w:left w:val="single" w:sz="8" w:color="auto"/>
            </w:tcBorders>
            <w:shd w:val="clear" w:color="auto" w:fill="1928A0"/>
          </w:tcPr>
          <w:p>
            <w:pPr>
              <w:spacing w:after="0"/>
              <w:rPr>
                <w:sz w:val="23"/>
                <w:szCs w:val="23"/>
                <w:color w:val="auto"/>
              </w:rPr>
            </w:pPr>
          </w:p>
        </w:tc>
        <w:tc>
          <w:tcPr>
            <w:tcW w:w="260" w:type="dxa"/>
            <w:vAlign w:val="bottom"/>
            <w:tcBorders>
              <w:top w:val="single" w:sz="8" w:color="auto"/>
            </w:tcBorders>
            <w:shd w:val="clear" w:color="auto" w:fill="1928A0"/>
          </w:tcPr>
          <w:p>
            <w:pPr>
              <w:spacing w:after="0"/>
              <w:rPr>
                <w:sz w:val="23"/>
                <w:szCs w:val="23"/>
                <w:color w:val="auto"/>
              </w:rPr>
            </w:pPr>
          </w:p>
        </w:tc>
        <w:tc>
          <w:tcPr>
            <w:tcW w:w="3080" w:type="dxa"/>
            <w:vAlign w:val="bottom"/>
            <w:tcBorders>
              <w:top w:val="single" w:sz="8" w:color="auto"/>
            </w:tcBorders>
            <w:gridSpan w:val="3"/>
            <w:shd w:val="clear" w:color="auto" w:fill="1928A0"/>
          </w:tcPr>
          <w:p>
            <w:pPr>
              <w:jc w:val="right"/>
              <w:ind w:right="969"/>
              <w:spacing w:after="0"/>
              <w:rPr>
                <w:sz w:val="20"/>
                <w:szCs w:val="20"/>
                <w:color w:val="auto"/>
              </w:rPr>
            </w:pPr>
            <w:r>
              <w:rPr>
                <w:rFonts w:ascii="Arial" w:cs="Arial" w:eastAsia="Arial" w:hAnsi="Arial"/>
                <w:sz w:val="20"/>
                <w:szCs w:val="20"/>
                <w:b w:val="1"/>
                <w:bCs w:val="1"/>
                <w:color w:val="FFFFFF"/>
              </w:rPr>
              <w:t>Previous Guidance</w:t>
            </w:r>
          </w:p>
        </w:tc>
        <w:tc>
          <w:tcPr>
            <w:tcW w:w="540" w:type="dxa"/>
            <w:vAlign w:val="bottom"/>
            <w:tcBorders>
              <w:top w:val="single" w:sz="8" w:color="auto"/>
            </w:tcBorders>
            <w:shd w:val="clear" w:color="auto" w:fill="1928A0"/>
          </w:tcPr>
          <w:p>
            <w:pPr>
              <w:spacing w:after="0"/>
              <w:rPr>
                <w:sz w:val="23"/>
                <w:szCs w:val="23"/>
                <w:color w:val="auto"/>
              </w:rPr>
            </w:pPr>
          </w:p>
        </w:tc>
        <w:tc>
          <w:tcPr>
            <w:tcW w:w="2580" w:type="dxa"/>
            <w:vAlign w:val="bottom"/>
            <w:tcBorders>
              <w:top w:val="single" w:sz="8" w:color="auto"/>
              <w:right w:val="single" w:sz="8" w:color="auto"/>
            </w:tcBorders>
            <w:gridSpan w:val="3"/>
            <w:shd w:val="clear" w:color="auto" w:fill="1928A0"/>
          </w:tcPr>
          <w:p>
            <w:pPr>
              <w:ind w:left="400"/>
              <w:spacing w:after="0"/>
              <w:rPr>
                <w:sz w:val="20"/>
                <w:szCs w:val="20"/>
                <w:color w:val="auto"/>
              </w:rPr>
            </w:pPr>
            <w:r>
              <w:rPr>
                <w:rFonts w:ascii="Arial" w:cs="Arial" w:eastAsia="Arial" w:hAnsi="Arial"/>
                <w:sz w:val="20"/>
                <w:szCs w:val="20"/>
                <w:b w:val="1"/>
                <w:bCs w:val="1"/>
                <w:color w:val="FFFFFF"/>
              </w:rPr>
              <w:t>Updated Guidance</w:t>
            </w:r>
          </w:p>
        </w:tc>
      </w:tr>
      <w:tr>
        <w:trPr>
          <w:trHeight w:val="322"/>
        </w:trPr>
        <w:tc>
          <w:tcPr>
            <w:tcW w:w="414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Arial" w:cs="Arial" w:eastAsia="Arial" w:hAnsi="Arial"/>
                <w:sz w:val="13"/>
                <w:szCs w:val="13"/>
                <w:b w:val="1"/>
                <w:bCs w:val="1"/>
                <w:color w:val="FFFFFF"/>
              </w:rPr>
              <w:t>(in millions, except per share data)</w:t>
            </w:r>
          </w:p>
        </w:tc>
        <w:tc>
          <w:tcPr>
            <w:tcW w:w="260" w:type="dxa"/>
            <w:vAlign w:val="bottom"/>
            <w:tcBorders>
              <w:bottom w:val="single" w:sz="8" w:color="1928A0"/>
            </w:tcBorders>
            <w:shd w:val="clear" w:color="auto" w:fill="1928A0"/>
          </w:tcPr>
          <w:p>
            <w:pPr>
              <w:spacing w:after="0"/>
              <w:rPr>
                <w:sz w:val="24"/>
                <w:szCs w:val="24"/>
                <w:color w:val="auto"/>
              </w:rPr>
            </w:pPr>
          </w:p>
        </w:tc>
        <w:tc>
          <w:tcPr>
            <w:tcW w:w="1240" w:type="dxa"/>
            <w:vAlign w:val="bottom"/>
            <w:tcBorders>
              <w:bottom w:val="single" w:sz="8" w:color="1928A0"/>
            </w:tcBorders>
            <w:shd w:val="clear" w:color="auto" w:fill="1928A0"/>
          </w:tcPr>
          <w:p>
            <w:pPr>
              <w:jc w:val="right"/>
              <w:ind w:right="309"/>
              <w:spacing w:after="0"/>
              <w:rPr>
                <w:sz w:val="20"/>
                <w:szCs w:val="20"/>
                <w:color w:val="auto"/>
              </w:rPr>
            </w:pPr>
            <w:r>
              <w:rPr>
                <w:rFonts w:ascii="Arial" w:cs="Arial" w:eastAsia="Arial" w:hAnsi="Arial"/>
                <w:sz w:val="20"/>
                <w:szCs w:val="20"/>
                <w:b w:val="1"/>
                <w:bCs w:val="1"/>
                <w:color w:val="FFFFFF"/>
              </w:rPr>
              <w:t>Low end</w:t>
            </w:r>
          </w:p>
        </w:tc>
        <w:tc>
          <w:tcPr>
            <w:tcW w:w="260" w:type="dxa"/>
            <w:vAlign w:val="bottom"/>
            <w:tcBorders>
              <w:bottom w:val="single" w:sz="8" w:color="1928A0"/>
            </w:tcBorders>
            <w:shd w:val="clear" w:color="auto" w:fill="1928A0"/>
          </w:tcPr>
          <w:p>
            <w:pPr>
              <w:spacing w:after="0"/>
              <w:rPr>
                <w:sz w:val="24"/>
                <w:szCs w:val="24"/>
                <w:color w:val="auto"/>
              </w:rPr>
            </w:pPr>
          </w:p>
        </w:tc>
        <w:tc>
          <w:tcPr>
            <w:tcW w:w="1580" w:type="dxa"/>
            <w:vAlign w:val="bottom"/>
            <w:tcBorders>
              <w:bottom w:val="single" w:sz="8" w:color="1928A0"/>
            </w:tcBorders>
            <w:shd w:val="clear" w:color="auto" w:fill="1928A0"/>
          </w:tcPr>
          <w:p>
            <w:pPr>
              <w:jc w:val="right"/>
              <w:ind w:right="609"/>
              <w:spacing w:after="0"/>
              <w:rPr>
                <w:sz w:val="20"/>
                <w:szCs w:val="20"/>
                <w:color w:val="auto"/>
              </w:rPr>
            </w:pPr>
            <w:r>
              <w:rPr>
                <w:rFonts w:ascii="Arial" w:cs="Arial" w:eastAsia="Arial" w:hAnsi="Arial"/>
                <w:sz w:val="20"/>
                <w:szCs w:val="20"/>
                <w:b w:val="1"/>
                <w:bCs w:val="1"/>
                <w:color w:val="FFFFFF"/>
              </w:rPr>
              <w:t>High end</w:t>
            </w:r>
          </w:p>
        </w:tc>
        <w:tc>
          <w:tcPr>
            <w:tcW w:w="540" w:type="dxa"/>
            <w:vAlign w:val="bottom"/>
            <w:tcBorders>
              <w:bottom w:val="single" w:sz="8" w:color="1928A0"/>
            </w:tcBorders>
            <w:shd w:val="clear" w:color="auto" w:fill="1928A0"/>
          </w:tcPr>
          <w:p>
            <w:pPr>
              <w:spacing w:after="0"/>
              <w:rPr>
                <w:sz w:val="24"/>
                <w:szCs w:val="24"/>
                <w:color w:val="auto"/>
              </w:rPr>
            </w:pPr>
          </w:p>
        </w:tc>
        <w:tc>
          <w:tcPr>
            <w:tcW w:w="1180" w:type="dxa"/>
            <w:vAlign w:val="bottom"/>
            <w:tcBorders>
              <w:bottom w:val="single" w:sz="8" w:color="1928A0"/>
            </w:tcBorders>
            <w:shd w:val="clear" w:color="auto" w:fill="1928A0"/>
          </w:tcPr>
          <w:p>
            <w:pPr>
              <w:ind w:left="120"/>
              <w:spacing w:after="0"/>
              <w:rPr>
                <w:sz w:val="20"/>
                <w:szCs w:val="20"/>
                <w:color w:val="auto"/>
              </w:rPr>
            </w:pPr>
            <w:r>
              <w:rPr>
                <w:rFonts w:ascii="Arial" w:cs="Arial" w:eastAsia="Arial" w:hAnsi="Arial"/>
                <w:sz w:val="20"/>
                <w:szCs w:val="20"/>
                <w:b w:val="1"/>
                <w:bCs w:val="1"/>
                <w:color w:val="FFFFFF"/>
              </w:rPr>
              <w:t>Low end</w:t>
            </w:r>
          </w:p>
        </w:tc>
        <w:tc>
          <w:tcPr>
            <w:tcW w:w="220" w:type="dxa"/>
            <w:vAlign w:val="bottom"/>
            <w:tcBorders>
              <w:bottom w:val="single" w:sz="8" w:color="1928A0"/>
            </w:tcBorders>
            <w:shd w:val="clear" w:color="auto" w:fill="1928A0"/>
          </w:tcPr>
          <w:p>
            <w:pPr>
              <w:spacing w:after="0"/>
              <w:rPr>
                <w:sz w:val="24"/>
                <w:szCs w:val="24"/>
                <w:color w:val="auto"/>
              </w:rPr>
            </w:pPr>
          </w:p>
        </w:tc>
        <w:tc>
          <w:tcPr>
            <w:tcW w:w="1180" w:type="dxa"/>
            <w:vAlign w:val="bottom"/>
            <w:tcBorders>
              <w:bottom w:val="single" w:sz="8" w:color="1928A0"/>
              <w:right w:val="single" w:sz="8" w:color="auto"/>
            </w:tcBorders>
            <w:shd w:val="clear" w:color="auto" w:fill="1928A0"/>
          </w:tcPr>
          <w:p>
            <w:pPr>
              <w:ind w:left="100"/>
              <w:spacing w:after="0"/>
              <w:rPr>
                <w:sz w:val="20"/>
                <w:szCs w:val="20"/>
                <w:color w:val="auto"/>
              </w:rPr>
            </w:pPr>
            <w:r>
              <w:rPr>
                <w:rFonts w:ascii="Arial" w:cs="Arial" w:eastAsia="Arial" w:hAnsi="Arial"/>
                <w:sz w:val="20"/>
                <w:szCs w:val="20"/>
                <w:b w:val="1"/>
                <w:bCs w:val="1"/>
                <w:color w:val="FFFFFF"/>
              </w:rPr>
              <w:t>High end</w:t>
            </w:r>
          </w:p>
        </w:tc>
      </w:tr>
      <w:tr>
        <w:trPr>
          <w:trHeight w:val="250"/>
        </w:trPr>
        <w:tc>
          <w:tcPr>
            <w:tcW w:w="41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6,175.0</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6,365.0</w:t>
            </w:r>
          </w:p>
        </w:tc>
        <w:tc>
          <w:tcPr>
            <w:tcW w:w="54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8"/>
                <w:szCs w:val="18"/>
                <w:color w:val="auto"/>
                <w:w w:val="90"/>
              </w:rPr>
              <w:t>no change</w:t>
            </w:r>
          </w:p>
        </w:tc>
        <w:tc>
          <w:tcPr>
            <w:tcW w:w="2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w w:val="87"/>
              </w:rPr>
              <w:t>no change</w:t>
            </w:r>
          </w:p>
        </w:tc>
      </w:tr>
      <w:tr>
        <w:trPr>
          <w:trHeight w:val="162"/>
        </w:trPr>
        <w:tc>
          <w:tcPr>
            <w:tcW w:w="414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50"/>
        </w:trPr>
        <w:tc>
          <w:tcPr>
            <w:tcW w:w="41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Comparable Sales</w:t>
            </w:r>
          </w:p>
        </w:tc>
        <w:tc>
          <w:tcPr>
            <w:tcW w:w="26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ind w:right="229"/>
              <w:spacing w:after="0"/>
              <w:rPr>
                <w:sz w:val="20"/>
                <w:szCs w:val="20"/>
                <w:color w:val="auto"/>
              </w:rPr>
            </w:pPr>
            <w:r>
              <w:rPr>
                <w:rFonts w:ascii="Arial" w:cs="Arial" w:eastAsia="Arial" w:hAnsi="Arial"/>
                <w:sz w:val="18"/>
                <w:szCs w:val="18"/>
                <w:color w:val="auto"/>
              </w:rPr>
              <w:t>(4.5)%</w:t>
            </w:r>
          </w:p>
        </w:tc>
        <w:tc>
          <w:tcPr>
            <w:tcW w:w="54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8"/>
                <w:szCs w:val="18"/>
                <w:color w:val="auto"/>
                <w:w w:val="90"/>
              </w:rPr>
              <w:t>no change</w:t>
            </w:r>
          </w:p>
        </w:tc>
        <w:tc>
          <w:tcPr>
            <w:tcW w:w="2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w w:val="87"/>
              </w:rPr>
              <w:t>no change</w:t>
            </w:r>
          </w:p>
        </w:tc>
      </w:tr>
      <w:tr>
        <w:trPr>
          <w:trHeight w:val="162"/>
        </w:trPr>
        <w:tc>
          <w:tcPr>
            <w:tcW w:w="414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50"/>
        </w:trPr>
        <w:tc>
          <w:tcPr>
            <w:tcW w:w="41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Gross Margin Rate</w:t>
            </w:r>
          </w:p>
        </w:tc>
        <w:tc>
          <w:tcPr>
            <w:tcW w:w="26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34.0 %</w:t>
            </w:r>
          </w:p>
        </w:tc>
        <w:tc>
          <w:tcPr>
            <w:tcW w:w="26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ind w:right="229"/>
              <w:spacing w:after="0"/>
              <w:rPr>
                <w:sz w:val="20"/>
                <w:szCs w:val="20"/>
                <w:color w:val="auto"/>
              </w:rPr>
            </w:pPr>
            <w:r>
              <w:rPr>
                <w:rFonts w:ascii="Arial" w:cs="Arial" w:eastAsia="Arial" w:hAnsi="Arial"/>
                <w:sz w:val="18"/>
                <w:szCs w:val="18"/>
                <w:color w:val="auto"/>
              </w:rPr>
              <w:t>34.4 %</w:t>
            </w:r>
          </w:p>
        </w:tc>
        <w:tc>
          <w:tcPr>
            <w:tcW w:w="54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8"/>
                <w:szCs w:val="18"/>
                <w:color w:val="auto"/>
                <w:w w:val="90"/>
              </w:rPr>
              <w:t>no change</w:t>
            </w:r>
          </w:p>
        </w:tc>
        <w:tc>
          <w:tcPr>
            <w:tcW w:w="2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w w:val="87"/>
              </w:rPr>
              <w:t>no change</w:t>
            </w:r>
          </w:p>
        </w:tc>
      </w:tr>
      <w:tr>
        <w:trPr>
          <w:trHeight w:val="162"/>
        </w:trPr>
        <w:tc>
          <w:tcPr>
            <w:tcW w:w="414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50"/>
        </w:trPr>
        <w:tc>
          <w:tcPr>
            <w:tcW w:w="41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675</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750</w:t>
            </w:r>
          </w:p>
        </w:tc>
        <w:tc>
          <w:tcPr>
            <w:tcW w:w="54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8"/>
                <w:szCs w:val="18"/>
                <w:color w:val="auto"/>
                <w:w w:val="90"/>
              </w:rPr>
              <w:t>no change</w:t>
            </w:r>
          </w:p>
        </w:tc>
        <w:tc>
          <w:tcPr>
            <w:tcW w:w="2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w w:val="87"/>
              </w:rPr>
              <w:t>no change</w:t>
            </w:r>
          </w:p>
        </w:tc>
      </w:tr>
      <w:tr>
        <w:trPr>
          <w:trHeight w:val="162"/>
        </w:trPr>
        <w:tc>
          <w:tcPr>
            <w:tcW w:w="414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50"/>
        </w:trPr>
        <w:tc>
          <w:tcPr>
            <w:tcW w:w="41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520</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575</w:t>
            </w:r>
          </w:p>
        </w:tc>
        <w:tc>
          <w:tcPr>
            <w:tcW w:w="54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8"/>
                <w:szCs w:val="18"/>
                <w:color w:val="auto"/>
                <w:w w:val="90"/>
              </w:rPr>
              <w:t>no change</w:t>
            </w:r>
          </w:p>
        </w:tc>
        <w:tc>
          <w:tcPr>
            <w:tcW w:w="2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w w:val="87"/>
              </w:rPr>
              <w:t>no change</w:t>
            </w:r>
          </w:p>
        </w:tc>
      </w:tr>
      <w:tr>
        <w:trPr>
          <w:trHeight w:val="162"/>
        </w:trPr>
        <w:tc>
          <w:tcPr>
            <w:tcW w:w="414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50"/>
        </w:trPr>
        <w:tc>
          <w:tcPr>
            <w:tcW w:w="41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6.50</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7.20</w:t>
            </w:r>
          </w:p>
        </w:tc>
        <w:tc>
          <w:tcPr>
            <w:tcW w:w="5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b w:val="1"/>
                <w:bCs w:val="1"/>
                <w:i w:val="1"/>
                <w:iCs w:val="1"/>
                <w:color w:val="auto"/>
              </w:rPr>
              <w:t>$</w:t>
            </w:r>
          </w:p>
        </w:tc>
        <w:tc>
          <w:tcPr>
            <w:tcW w:w="118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8"/>
                <w:szCs w:val="18"/>
                <w:b w:val="1"/>
                <w:bCs w:val="1"/>
                <w:i w:val="1"/>
                <w:iCs w:val="1"/>
                <w:color w:val="auto"/>
              </w:rPr>
              <w:t>6.65</w:t>
            </w:r>
          </w:p>
        </w:tc>
        <w:tc>
          <w:tcPr>
            <w:tcW w:w="22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b w:val="1"/>
                <w:bCs w:val="1"/>
                <w:i w:val="1"/>
                <w:iCs w:val="1"/>
                <w:color w:val="auto"/>
                <w:w w:val="79"/>
              </w:rPr>
              <w:t>$</w:t>
            </w:r>
          </w:p>
        </w:tc>
        <w:tc>
          <w:tcPr>
            <w:tcW w:w="1180" w:type="dxa"/>
            <w:vAlign w:val="bottom"/>
            <w:tcBorders>
              <w:bottom w:val="single" w:sz="8" w:color="DBDBDB"/>
              <w:right w:val="single" w:sz="8" w:color="auto"/>
            </w:tcBorders>
            <w:shd w:val="clear" w:color="auto" w:fill="DBDBDB"/>
          </w:tcPr>
          <w:p>
            <w:pPr>
              <w:ind w:left="780"/>
              <w:spacing w:after="0"/>
              <w:rPr>
                <w:sz w:val="20"/>
                <w:szCs w:val="20"/>
                <w:color w:val="auto"/>
              </w:rPr>
            </w:pPr>
            <w:r>
              <w:rPr>
                <w:rFonts w:ascii="Arial" w:cs="Arial" w:eastAsia="Arial" w:hAnsi="Arial"/>
                <w:sz w:val="18"/>
                <w:szCs w:val="18"/>
                <w:b w:val="1"/>
                <w:bCs w:val="1"/>
                <w:i w:val="1"/>
                <w:iCs w:val="1"/>
                <w:color w:val="auto"/>
              </w:rPr>
              <w:t>7.35</w:t>
            </w:r>
          </w:p>
        </w:tc>
      </w:tr>
      <w:tr>
        <w:trPr>
          <w:trHeight w:val="162"/>
        </w:trPr>
        <w:tc>
          <w:tcPr>
            <w:tcW w:w="414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70"/>
        </w:trPr>
        <w:tc>
          <w:tcPr>
            <w:tcW w:w="414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xml:space="preserve">Adjusted Earnings per Common Share, Diluted </w:t>
            </w:r>
            <w:r>
              <w:rPr>
                <w:rFonts w:ascii="Arial" w:cs="Arial" w:eastAsia="Arial" w:hAnsi="Arial"/>
                <w:sz w:val="23"/>
                <w:szCs w:val="23"/>
                <w:color w:val="auto"/>
                <w:vertAlign w:val="superscript"/>
              </w:rPr>
              <w:t>(1)</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ind w:right="89"/>
              <w:spacing w:after="0"/>
              <w:rPr>
                <w:sz w:val="20"/>
                <w:szCs w:val="20"/>
                <w:color w:val="auto"/>
              </w:rPr>
            </w:pPr>
            <w:r>
              <w:rPr>
                <w:rFonts w:ascii="Arial" w:cs="Arial" w:eastAsia="Arial" w:hAnsi="Arial"/>
                <w:sz w:val="18"/>
                <w:szCs w:val="18"/>
                <w:color w:val="auto"/>
              </w:rPr>
              <w:t>6.80</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ind w:right="389"/>
              <w:spacing w:after="0"/>
              <w:rPr>
                <w:sz w:val="20"/>
                <w:szCs w:val="20"/>
                <w:color w:val="auto"/>
              </w:rPr>
            </w:pPr>
            <w:r>
              <w:rPr>
                <w:rFonts w:ascii="Arial" w:cs="Arial" w:eastAsia="Arial" w:hAnsi="Arial"/>
                <w:sz w:val="18"/>
                <w:szCs w:val="18"/>
                <w:color w:val="auto"/>
              </w:rPr>
              <w:t>7.50</w:t>
            </w:r>
          </w:p>
        </w:tc>
        <w:tc>
          <w:tcPr>
            <w:tcW w:w="5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i w:val="1"/>
                <w:iCs w:val="1"/>
                <w:color w:val="auto"/>
              </w:rPr>
              <w:t>$</w:t>
            </w:r>
          </w:p>
        </w:tc>
        <w:tc>
          <w:tcPr>
            <w:tcW w:w="1180" w:type="dxa"/>
            <w:vAlign w:val="bottom"/>
            <w:shd w:val="clear" w:color="auto" w:fill="DBDBDB"/>
          </w:tcPr>
          <w:p>
            <w:pPr>
              <w:ind w:left="780"/>
              <w:spacing w:after="0"/>
              <w:rPr>
                <w:sz w:val="20"/>
                <w:szCs w:val="20"/>
                <w:color w:val="auto"/>
              </w:rPr>
            </w:pPr>
            <w:r>
              <w:rPr>
                <w:rFonts w:ascii="Arial" w:cs="Arial" w:eastAsia="Arial" w:hAnsi="Arial"/>
                <w:sz w:val="18"/>
                <w:szCs w:val="18"/>
                <w:b w:val="1"/>
                <w:bCs w:val="1"/>
                <w:i w:val="1"/>
                <w:iCs w:val="1"/>
                <w:color w:val="auto"/>
              </w:rPr>
              <w:t>6.95</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i w:val="1"/>
                <w:iCs w:val="1"/>
                <w:color w:val="auto"/>
                <w:w w:val="79"/>
              </w:rPr>
              <w:t>$</w:t>
            </w:r>
          </w:p>
        </w:tc>
        <w:tc>
          <w:tcPr>
            <w:tcW w:w="1180" w:type="dxa"/>
            <w:vAlign w:val="bottom"/>
            <w:tcBorders>
              <w:right w:val="single" w:sz="8" w:color="auto"/>
            </w:tcBorders>
            <w:shd w:val="clear" w:color="auto" w:fill="DBDBDB"/>
          </w:tcPr>
          <w:p>
            <w:pPr>
              <w:ind w:left="780"/>
              <w:spacing w:after="0"/>
              <w:rPr>
                <w:sz w:val="20"/>
                <w:szCs w:val="20"/>
                <w:color w:val="auto"/>
              </w:rPr>
            </w:pPr>
            <w:r>
              <w:rPr>
                <w:rFonts w:ascii="Arial" w:cs="Arial" w:eastAsia="Arial" w:hAnsi="Arial"/>
                <w:sz w:val="18"/>
                <w:szCs w:val="18"/>
                <w:b w:val="1"/>
                <w:bCs w:val="1"/>
                <w:i w:val="1"/>
                <w:iCs w:val="1"/>
                <w:color w:val="auto"/>
              </w:rPr>
              <w:t>7.65</w:t>
            </w:r>
          </w:p>
        </w:tc>
      </w:tr>
      <w:tr>
        <w:trPr>
          <w:trHeight w:val="162"/>
        </w:trPr>
        <w:tc>
          <w:tcPr>
            <w:tcW w:w="414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50"/>
        </w:trPr>
        <w:tc>
          <w:tcPr>
            <w:tcW w:w="41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w w:val="90"/>
              </w:rPr>
              <w:t>Diluted Weighted Average Common Shares Outstanding</w:t>
            </w:r>
          </w:p>
        </w:tc>
        <w:tc>
          <w:tcPr>
            <w:tcW w:w="26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79.7</w:t>
            </w:r>
          </w:p>
        </w:tc>
        <w:tc>
          <w:tcPr>
            <w:tcW w:w="26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79.7</w:t>
            </w:r>
          </w:p>
        </w:tc>
        <w:tc>
          <w:tcPr>
            <w:tcW w:w="54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8"/>
                <w:szCs w:val="18"/>
                <w:b w:val="1"/>
                <w:bCs w:val="1"/>
                <w:i w:val="1"/>
                <w:iCs w:val="1"/>
                <w:color w:val="auto"/>
              </w:rPr>
              <w:t>78.1</w:t>
            </w:r>
          </w:p>
        </w:tc>
        <w:tc>
          <w:tcPr>
            <w:tcW w:w="2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right w:val="single" w:sz="8" w:color="auto"/>
            </w:tcBorders>
            <w:shd w:val="clear" w:color="auto" w:fill="DBDBDB"/>
          </w:tcPr>
          <w:p>
            <w:pPr>
              <w:ind w:left="780"/>
              <w:spacing w:after="0"/>
              <w:rPr>
                <w:sz w:val="20"/>
                <w:szCs w:val="20"/>
                <w:color w:val="auto"/>
              </w:rPr>
            </w:pPr>
            <w:r>
              <w:rPr>
                <w:rFonts w:ascii="Arial" w:cs="Arial" w:eastAsia="Arial" w:hAnsi="Arial"/>
                <w:sz w:val="18"/>
                <w:szCs w:val="18"/>
                <w:b w:val="1"/>
                <w:bCs w:val="1"/>
                <w:i w:val="1"/>
                <w:iCs w:val="1"/>
                <w:color w:val="auto"/>
              </w:rPr>
              <w:t>78.1</w:t>
            </w:r>
          </w:p>
        </w:tc>
      </w:tr>
      <w:tr>
        <w:trPr>
          <w:trHeight w:val="162"/>
        </w:trPr>
        <w:tc>
          <w:tcPr>
            <w:tcW w:w="414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250"/>
        </w:trPr>
        <w:tc>
          <w:tcPr>
            <w:tcW w:w="41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250</w:t>
            </w:r>
          </w:p>
        </w:tc>
        <w:tc>
          <w:tcPr>
            <w:tcW w:w="54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8"/>
                <w:szCs w:val="18"/>
                <w:color w:val="auto"/>
                <w:w w:val="90"/>
              </w:rPr>
              <w:t>no change</w:t>
            </w:r>
          </w:p>
        </w:tc>
        <w:tc>
          <w:tcPr>
            <w:tcW w:w="2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w w:val="87"/>
              </w:rPr>
              <w:t>no change</w:t>
            </w:r>
          </w:p>
        </w:tc>
      </w:tr>
      <w:tr>
        <w:trPr>
          <w:trHeight w:val="149"/>
        </w:trPr>
        <w:tc>
          <w:tcPr>
            <w:tcW w:w="4140" w:type="dxa"/>
            <w:vAlign w:val="bottom"/>
            <w:tcBorders>
              <w:lef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270"/>
        </w:trPr>
        <w:tc>
          <w:tcPr>
            <w:tcW w:w="414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xml:space="preserve">Adjusted Free Cash Flow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8"/>
                <w:szCs w:val="18"/>
                <w:color w:val="auto"/>
              </w:rPr>
              <w:t>450</w:t>
            </w:r>
          </w:p>
        </w:tc>
        <w:tc>
          <w:tcPr>
            <w:tcW w:w="540" w:type="dxa"/>
            <w:vAlign w:val="bottom"/>
            <w:tcBorders>
              <w:bottom w:val="single" w:sz="8" w:color="auto"/>
            </w:tcBorders>
            <w:shd w:val="clear" w:color="auto" w:fill="DBDBDB"/>
          </w:tcPr>
          <w:p>
            <w:pPr>
              <w:spacing w:after="0"/>
              <w:rPr>
                <w:sz w:val="23"/>
                <w:szCs w:val="23"/>
                <w:color w:val="auto"/>
              </w:rPr>
            </w:pPr>
          </w:p>
        </w:tc>
        <w:tc>
          <w:tcPr>
            <w:tcW w:w="1180" w:type="dxa"/>
            <w:vAlign w:val="bottom"/>
            <w:tcBorders>
              <w:bottom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w w:val="90"/>
              </w:rPr>
              <w:t>no change</w:t>
            </w:r>
          </w:p>
        </w:tc>
        <w:tc>
          <w:tcPr>
            <w:tcW w:w="220" w:type="dxa"/>
            <w:vAlign w:val="bottom"/>
            <w:tcBorders>
              <w:bottom w:val="single" w:sz="8" w:color="auto"/>
            </w:tcBorders>
            <w:shd w:val="clear" w:color="auto" w:fill="DBDBDB"/>
          </w:tcPr>
          <w:p>
            <w:pPr>
              <w:spacing w:after="0"/>
              <w:rPr>
                <w:sz w:val="23"/>
                <w:szCs w:val="23"/>
                <w:color w:val="auto"/>
              </w:rPr>
            </w:pPr>
          </w:p>
        </w:tc>
        <w:tc>
          <w:tcPr>
            <w:tcW w:w="1180" w:type="dxa"/>
            <w:vAlign w:val="bottom"/>
            <w:tcBorders>
              <w:bottom w:val="single" w:sz="8" w:color="auto"/>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w w:val="87"/>
              </w:rPr>
              <w:t>no change</w:t>
            </w:r>
          </w:p>
        </w:tc>
      </w:tr>
    </w:tbl>
    <w:p>
      <w:pPr>
        <w:spacing w:after="0" w:line="70" w:lineRule="exact"/>
        <w:rPr>
          <w:sz w:val="20"/>
          <w:szCs w:val="20"/>
          <w:color w:val="auto"/>
        </w:rPr>
      </w:pPr>
    </w:p>
    <w:p>
      <w:pPr>
        <w:ind w:left="340" w:right="720" w:firstLine="3"/>
        <w:spacing w:after="0" w:line="272" w:lineRule="auto"/>
        <w:tabs>
          <w:tab w:leader="none" w:pos="533"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earnings per common share, diluted, and adjusted free cash fow are non-GAAP measures. See "Non-GAAP Measures" and "Reconciliatons of GAAP to Non-GAAP Financial Measures" below for reconciliatons of non-GAAP fnancial measures to their most directly comparable GAAP fnancial measures.</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earnings per common share guidance reflects a tax rate of approximately 23.0% and does not include any potential future share repurchases.</w:t>
      </w:r>
    </w:p>
    <w:p>
      <w:pPr>
        <w:sectPr>
          <w:pgSz w:w="11900" w:h="16838" w:orient="portrait"/>
          <w:cols w:equalWidth="0" w:num="1">
            <w:col w:w="11240"/>
          </w:cols>
          <w:pgMar w:left="320" w:top="471"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7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Academy will host a conference call today at 10:00 a.m. Eastern Time to discuss its financial results. Listeners may access the call by dialing 1-877-407-3982 (U.S.) or 1-201-493-6780 (International). The passcode is 13740446.</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A telephonic replay of the conference call will be available for approximately 30 days, by dialing 1-844-512-2921 (U.S.) or 1-412-317-6671 (International) and entering passcode 13738834.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30 days.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270 stores across 18 states as of quarter end.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it provides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reported by other companies and may not be comparable to other similarly titled measures. For additional information on these non-GAAP financial measures, please see our Annual Report for the fiscal year ended January 28, 2023 (the "Annual Report"), which may be updated</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See “Reconciliations of GAAP to Non-GAAP Financial Measures” below for reconciliations of non-GAAP financial measures used in this press release to their most directly comparable 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“forward,” “ahead,” “opportunities,” “plans,” “priorities,” “goals,” “future,” “short/long term,” “will,” “should,” or the negative version of these words or other comparable words. The forward-looking statements include, among other things, statements regarding the Company’s fiscal 2023 outlook, the Company’s strategic plans and financial objectives, growth of the Company’s business and operations, the Company’s payment of dividends and declaration of future dividends, including the timing and amount thereof, share repurchases by the Company, the Company's expectations regarding its future performance, and future financial condition, and other such matters, and are subject to various risks, uncertainties, assumptions, or changes in circumstances that are difficult to predict or quantify. Actual results may differ materially from</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these expectations due to changes in global, regional, or local economic, business, competitive, market, regulatory and other factors that could affect overall consumer spending or our industry, including the possible effects of ongoing macroeconomic challenges, inflation and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increases in interest rates,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and the Company’s Quarterly Report for the thirteen and twenty-six weeks ended July 29, 2023,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6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4"/>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2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2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28"/>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60" w:type="dxa"/>
            <w:vAlign w:val="bottom"/>
            <w:gridSpan w:val="3"/>
          </w:tcPr>
          <w:p>
            <w:pPr>
              <w:jc w:val="right"/>
              <w:ind w:right="110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40"/>
          </w:cols>
          <w:pgMar w:left="320" w:top="4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40" w:type="dxa"/>
            <w:vAlign w:val="bottom"/>
          </w:tcPr>
          <w:p>
            <w:pPr>
              <w:spacing w:after="0"/>
              <w:rPr>
                <w:sz w:val="24"/>
                <w:szCs w:val="24"/>
                <w:color w:val="auto"/>
              </w:rPr>
            </w:pPr>
          </w:p>
        </w:tc>
        <w:tc>
          <w:tcPr>
            <w:tcW w:w="220" w:type="dxa"/>
            <w:vAlign w:val="bottom"/>
            <w:tcBorders>
              <w:bottom w:val="single" w:sz="8" w:color="1928A0"/>
            </w:tcBorders>
            <w:shd w:val="clear" w:color="auto" w:fill="1928A0"/>
          </w:tcPr>
          <w:p>
            <w:pPr>
              <w:spacing w:after="0"/>
              <w:rPr>
                <w:sz w:val="24"/>
                <w:szCs w:val="24"/>
                <w:color w:val="auto"/>
              </w:rPr>
            </w:pPr>
          </w:p>
        </w:tc>
        <w:tc>
          <w:tcPr>
            <w:tcW w:w="1540" w:type="dxa"/>
            <w:vAlign w:val="bottom"/>
            <w:tcBorders>
              <w:bottom w:val="single" w:sz="8" w:color="1928A0"/>
            </w:tcBorders>
            <w:shd w:val="clear" w:color="auto" w:fill="1928A0"/>
          </w:tcPr>
          <w:p>
            <w:pPr>
              <w:spacing w:after="0"/>
              <w:rPr>
                <w:sz w:val="24"/>
                <w:szCs w:val="24"/>
                <w:color w:val="auto"/>
              </w:rPr>
            </w:pPr>
          </w:p>
        </w:tc>
        <w:tc>
          <w:tcPr>
            <w:tcW w:w="3680" w:type="dxa"/>
            <w:vAlign w:val="bottom"/>
            <w:tcBorders>
              <w:bottom w:val="single" w:sz="8" w:color="1928A0"/>
            </w:tcBorders>
            <w:gridSpan w:val="3"/>
            <w:shd w:val="clear" w:color="auto" w:fill="1928A0"/>
          </w:tcPr>
          <w:p>
            <w:pPr>
              <w:jc w:val="right"/>
              <w:ind w:right="830"/>
              <w:spacing w:after="0"/>
              <w:rPr>
                <w:sz w:val="20"/>
                <w:szCs w:val="20"/>
                <w:color w:val="auto"/>
              </w:rPr>
            </w:pPr>
            <w:r>
              <w:rPr>
                <w:rFonts w:ascii="Arial" w:cs="Arial" w:eastAsia="Arial" w:hAnsi="Arial"/>
                <w:sz w:val="20"/>
                <w:szCs w:val="20"/>
                <w:b w:val="1"/>
                <w:bCs w:val="1"/>
                <w:color w:val="FFFFFF"/>
              </w:rPr>
              <w:t>Thirteen Weeks Ended</w:t>
            </w:r>
          </w:p>
        </w:tc>
        <w:tc>
          <w:tcPr>
            <w:tcW w:w="1760" w:type="dxa"/>
            <w:vAlign w:val="bottom"/>
            <w:tcBorders>
              <w:bottom w:val="single" w:sz="8" w:color="1928A0"/>
            </w:tcBorders>
            <w:shd w:val="clear" w:color="auto" w:fill="1928A0"/>
          </w:tcPr>
          <w:p>
            <w:pPr>
              <w:spacing w:after="0"/>
              <w:rPr>
                <w:sz w:val="24"/>
                <w:szCs w:val="24"/>
                <w:color w:val="auto"/>
              </w:rPr>
            </w:pPr>
          </w:p>
        </w:tc>
      </w:tr>
      <w:tr>
        <w:trPr>
          <w:trHeight w:val="231"/>
        </w:trPr>
        <w:tc>
          <w:tcPr>
            <w:tcW w:w="4040" w:type="dxa"/>
            <w:vAlign w:val="bottom"/>
          </w:tcPr>
          <w:p>
            <w:pPr>
              <w:spacing w:after="0"/>
              <w:rPr>
                <w:sz w:val="20"/>
                <w:szCs w:val="20"/>
                <w:color w:val="auto"/>
              </w:rPr>
            </w:pPr>
          </w:p>
        </w:tc>
        <w:tc>
          <w:tcPr>
            <w:tcW w:w="220" w:type="dxa"/>
            <w:vAlign w:val="bottom"/>
            <w:shd w:val="clear" w:color="auto" w:fill="0A2299"/>
          </w:tcPr>
          <w:p>
            <w:pPr>
              <w:spacing w:after="0"/>
              <w:rPr>
                <w:sz w:val="20"/>
                <w:szCs w:val="20"/>
                <w:color w:val="auto"/>
              </w:rPr>
            </w:pPr>
          </w:p>
        </w:tc>
        <w:tc>
          <w:tcPr>
            <w:tcW w:w="1540" w:type="dxa"/>
            <w:vAlign w:val="bottom"/>
            <w:shd w:val="clear" w:color="auto" w:fill="0A2299"/>
          </w:tcPr>
          <w:p>
            <w:pPr>
              <w:spacing w:after="0"/>
              <w:rPr>
                <w:sz w:val="20"/>
                <w:szCs w:val="20"/>
                <w:color w:val="auto"/>
              </w:rPr>
            </w:pPr>
          </w:p>
        </w:tc>
        <w:tc>
          <w:tcPr>
            <w:tcW w:w="1900" w:type="dxa"/>
            <w:vAlign w:val="bottom"/>
            <w:shd w:val="clear" w:color="auto" w:fill="0A2299"/>
          </w:tcPr>
          <w:p>
            <w:pPr>
              <w:jc w:val="right"/>
              <w:ind w:right="269"/>
              <w:spacing w:after="0"/>
              <w:rPr>
                <w:sz w:val="20"/>
                <w:szCs w:val="20"/>
                <w:color w:val="auto"/>
              </w:rPr>
            </w:pPr>
            <w:r>
              <w:rPr>
                <w:rFonts w:ascii="Arial" w:cs="Arial" w:eastAsia="Arial" w:hAnsi="Arial"/>
                <w:sz w:val="18"/>
                <w:szCs w:val="18"/>
                <w:b w:val="1"/>
                <w:bCs w:val="1"/>
                <w:color w:val="FFFFFF"/>
              </w:rPr>
              <w:t>Percentage of</w:t>
            </w:r>
          </w:p>
        </w:tc>
        <w:tc>
          <w:tcPr>
            <w:tcW w:w="220" w:type="dxa"/>
            <w:vAlign w:val="bottom"/>
            <w:shd w:val="clear" w:color="auto" w:fill="0A2299"/>
          </w:tcPr>
          <w:p>
            <w:pPr>
              <w:spacing w:after="0"/>
              <w:rPr>
                <w:sz w:val="20"/>
                <w:szCs w:val="20"/>
                <w:color w:val="auto"/>
              </w:rPr>
            </w:pPr>
          </w:p>
        </w:tc>
        <w:tc>
          <w:tcPr>
            <w:tcW w:w="1560" w:type="dxa"/>
            <w:vAlign w:val="bottom"/>
            <w:shd w:val="clear" w:color="auto" w:fill="0A2299"/>
          </w:tcPr>
          <w:p>
            <w:pPr>
              <w:spacing w:after="0"/>
              <w:rPr>
                <w:sz w:val="20"/>
                <w:szCs w:val="20"/>
                <w:color w:val="auto"/>
              </w:rPr>
            </w:pPr>
          </w:p>
        </w:tc>
        <w:tc>
          <w:tcPr>
            <w:tcW w:w="1760" w:type="dxa"/>
            <w:vAlign w:val="bottom"/>
            <w:shd w:val="clear" w:color="auto" w:fill="0A2299"/>
          </w:tcPr>
          <w:p>
            <w:pPr>
              <w:jc w:val="right"/>
              <w:ind w:right="150"/>
              <w:spacing w:after="0"/>
              <w:rPr>
                <w:sz w:val="20"/>
                <w:szCs w:val="20"/>
                <w:color w:val="auto"/>
              </w:rPr>
            </w:pPr>
            <w:r>
              <w:rPr>
                <w:rFonts w:ascii="Arial" w:cs="Arial" w:eastAsia="Arial" w:hAnsi="Arial"/>
                <w:sz w:val="18"/>
                <w:szCs w:val="18"/>
                <w:b w:val="1"/>
                <w:bCs w:val="1"/>
                <w:color w:val="FFFFFF"/>
              </w:rPr>
              <w:t>Percentage of</w:t>
            </w:r>
          </w:p>
        </w:tc>
      </w:tr>
      <w:tr>
        <w:trPr>
          <w:trHeight w:val="268"/>
        </w:trPr>
        <w:tc>
          <w:tcPr>
            <w:tcW w:w="4040" w:type="dxa"/>
            <w:vAlign w:val="bottom"/>
          </w:tcPr>
          <w:p>
            <w:pPr>
              <w:spacing w:after="0"/>
              <w:rPr>
                <w:sz w:val="23"/>
                <w:szCs w:val="23"/>
                <w:color w:val="auto"/>
              </w:rPr>
            </w:pPr>
          </w:p>
        </w:tc>
        <w:tc>
          <w:tcPr>
            <w:tcW w:w="220" w:type="dxa"/>
            <w:vAlign w:val="bottom"/>
            <w:shd w:val="clear" w:color="auto" w:fill="0A2299"/>
          </w:tcPr>
          <w:p>
            <w:pPr>
              <w:spacing w:after="0"/>
              <w:rPr>
                <w:sz w:val="23"/>
                <w:szCs w:val="23"/>
                <w:color w:val="auto"/>
              </w:rPr>
            </w:pPr>
          </w:p>
        </w:tc>
        <w:tc>
          <w:tcPr>
            <w:tcW w:w="1540" w:type="dxa"/>
            <w:vAlign w:val="bottom"/>
            <w:shd w:val="clear" w:color="auto" w:fill="0A2299"/>
          </w:tcPr>
          <w:p>
            <w:pPr>
              <w:jc w:val="right"/>
              <w:ind w:right="230"/>
              <w:spacing w:after="0"/>
              <w:rPr>
                <w:sz w:val="20"/>
                <w:szCs w:val="20"/>
                <w:color w:val="auto"/>
              </w:rPr>
            </w:pPr>
            <w:r>
              <w:rPr>
                <w:rFonts w:ascii="Arial" w:cs="Arial" w:eastAsia="Arial" w:hAnsi="Arial"/>
                <w:sz w:val="18"/>
                <w:szCs w:val="18"/>
                <w:b w:val="1"/>
                <w:bCs w:val="1"/>
                <w:color w:val="FFFFFF"/>
              </w:rPr>
              <w:t>July 29, 2023</w:t>
            </w:r>
          </w:p>
        </w:tc>
        <w:tc>
          <w:tcPr>
            <w:tcW w:w="1900" w:type="dxa"/>
            <w:vAlign w:val="bottom"/>
            <w:shd w:val="clear" w:color="auto" w:fill="0A2299"/>
          </w:tcPr>
          <w:p>
            <w:pPr>
              <w:jc w:val="right"/>
              <w:ind w:right="529"/>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c>
          <w:tcPr>
            <w:tcW w:w="220" w:type="dxa"/>
            <w:vAlign w:val="bottom"/>
            <w:shd w:val="clear" w:color="auto" w:fill="0A2299"/>
          </w:tcPr>
          <w:p>
            <w:pPr>
              <w:spacing w:after="0"/>
              <w:rPr>
                <w:sz w:val="23"/>
                <w:szCs w:val="23"/>
                <w:color w:val="auto"/>
              </w:rPr>
            </w:pPr>
          </w:p>
        </w:tc>
        <w:tc>
          <w:tcPr>
            <w:tcW w:w="1560" w:type="dxa"/>
            <w:vAlign w:val="bottom"/>
            <w:shd w:val="clear" w:color="auto" w:fill="0A2299"/>
          </w:tcPr>
          <w:p>
            <w:pPr>
              <w:jc w:val="right"/>
              <w:ind w:right="250"/>
              <w:spacing w:after="0"/>
              <w:rPr>
                <w:sz w:val="20"/>
                <w:szCs w:val="20"/>
                <w:color w:val="auto"/>
              </w:rPr>
            </w:pPr>
            <w:r>
              <w:rPr>
                <w:rFonts w:ascii="Arial" w:cs="Arial" w:eastAsia="Arial" w:hAnsi="Arial"/>
                <w:sz w:val="18"/>
                <w:szCs w:val="18"/>
                <w:b w:val="1"/>
                <w:bCs w:val="1"/>
                <w:color w:val="FFFFFF"/>
              </w:rPr>
              <w:t>July 30, 2022</w:t>
            </w:r>
          </w:p>
        </w:tc>
        <w:tc>
          <w:tcPr>
            <w:tcW w:w="1760" w:type="dxa"/>
            <w:vAlign w:val="bottom"/>
            <w:shd w:val="clear" w:color="auto" w:fill="0A2299"/>
          </w:tcPr>
          <w:p>
            <w:pPr>
              <w:jc w:val="right"/>
              <w:ind w:right="430"/>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r>
      <w:tr>
        <w:trPr>
          <w:trHeight w:val="28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1,583,077</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100.0 %</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1,686,915</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1,019,631</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64.4 %</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1,090,852</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64.7 %</w:t>
            </w: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563,446</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35.6 %</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596,063</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35.3 %</w:t>
            </w:r>
          </w:p>
        </w:tc>
      </w:tr>
      <w:tr>
        <w:trPr>
          <w:trHeight w:val="264"/>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352,483</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22.3 %</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339,329</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20.1 %</w:t>
            </w: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210,963</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13.3 %</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256,734</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15.2 %</w:t>
            </w:r>
          </w:p>
        </w:tc>
      </w:tr>
      <w:tr>
        <w:trPr>
          <w:trHeight w:val="262"/>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11,313</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0.7 %</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11,157</w:t>
            </w:r>
          </w:p>
        </w:tc>
        <w:tc>
          <w:tcPr>
            <w:tcW w:w="17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8"/>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DBDBDB"/>
          </w:tcPr>
          <w:p>
            <w:pPr>
              <w:spacing w:after="0"/>
              <w:rPr>
                <w:sz w:val="24"/>
                <w:szCs w:val="24"/>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(3,623)</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(0.2)%</w:t>
            </w:r>
          </w:p>
        </w:tc>
        <w:tc>
          <w:tcPr>
            <w:tcW w:w="220" w:type="dxa"/>
            <w:vAlign w:val="bottom"/>
            <w:tcBorders>
              <w:bottom w:val="single" w:sz="8" w:color="auto"/>
            </w:tcBorders>
            <w:shd w:val="clear" w:color="auto" w:fill="DBDBDB"/>
          </w:tcPr>
          <w:p>
            <w:pPr>
              <w:spacing w:after="0"/>
              <w:rPr>
                <w:sz w:val="24"/>
                <w:szCs w:val="24"/>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(1,441)</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w:t>
            </w:r>
          </w:p>
        </w:tc>
      </w:tr>
      <w:tr>
        <w:trPr>
          <w:trHeight w:val="256"/>
        </w:trPr>
        <w:tc>
          <w:tcPr>
            <w:tcW w:w="40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203,273</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12.8 %</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247,018</w:t>
            </w:r>
          </w:p>
        </w:tc>
        <w:tc>
          <w:tcPr>
            <w:tcW w:w="176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71"/>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DBDBDB"/>
          </w:tcPr>
          <w:p>
            <w:pPr>
              <w:spacing w:after="0"/>
              <w:rPr>
                <w:sz w:val="23"/>
                <w:szCs w:val="23"/>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46,198</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2.9 %</w:t>
            </w:r>
          </w:p>
        </w:tc>
        <w:tc>
          <w:tcPr>
            <w:tcW w:w="220" w:type="dxa"/>
            <w:vAlign w:val="bottom"/>
            <w:tcBorders>
              <w:bottom w:val="single" w:sz="8" w:color="auto"/>
            </w:tcBorders>
            <w:shd w:val="clear" w:color="auto" w:fill="DBDBDB"/>
          </w:tcPr>
          <w:p>
            <w:pPr>
              <w:spacing w:after="0"/>
              <w:rPr>
                <w:sz w:val="23"/>
                <w:szCs w:val="23"/>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58,217</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3.5 %</w:t>
            </w:r>
          </w:p>
        </w:tc>
      </w:tr>
      <w:tr>
        <w:trPr>
          <w:trHeight w:val="270"/>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157,075</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9.9 %</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188,801</w:t>
            </w:r>
          </w:p>
        </w:tc>
        <w:tc>
          <w:tcPr>
            <w:tcW w:w="176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0"/>
        </w:trPr>
        <w:tc>
          <w:tcPr>
            <w:tcW w:w="404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DBDBDB"/>
            </w:tcBorders>
          </w:tcPr>
          <w:p>
            <w:pPr>
              <w:spacing w:after="0" w:line="20" w:lineRule="exact"/>
              <w:rPr>
                <w:sz w:val="1"/>
                <w:szCs w:val="1"/>
                <w:color w:val="auto"/>
              </w:rPr>
            </w:pPr>
          </w:p>
        </w:tc>
      </w:tr>
      <w:tr>
        <w:trPr>
          <w:trHeight w:val="223"/>
        </w:trPr>
        <w:tc>
          <w:tcPr>
            <w:tcW w:w="4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9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2.06</w:t>
            </w:r>
          </w:p>
        </w:tc>
        <w:tc>
          <w:tcPr>
            <w:tcW w:w="1900" w:type="dxa"/>
            <w:vAlign w:val="bottom"/>
            <w:shd w:val="clear" w:color="auto" w:fill="DBDBDB"/>
          </w:tcPr>
          <w:p>
            <w:pPr>
              <w:spacing w:after="0"/>
              <w:rPr>
                <w:sz w:val="23"/>
                <w:szCs w:val="23"/>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w:t>
            </w:r>
          </w:p>
        </w:tc>
        <w:tc>
          <w:tcPr>
            <w:tcW w:w="1760" w:type="dxa"/>
            <w:vAlign w:val="bottom"/>
            <w:shd w:val="clear" w:color="auto" w:fill="DBDBDB"/>
          </w:tcPr>
          <w:p>
            <w:pPr>
              <w:spacing w:after="0"/>
              <w:rPr>
                <w:sz w:val="23"/>
                <w:szCs w:val="23"/>
                <w:color w:val="auto"/>
              </w:rPr>
            </w:pPr>
          </w:p>
        </w:tc>
      </w:tr>
      <w:tr>
        <w:trPr>
          <w:trHeight w:val="263"/>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9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2.22</w:t>
            </w:r>
          </w:p>
        </w:tc>
        <w:tc>
          <w:tcPr>
            <w:tcW w:w="1760" w:type="dxa"/>
            <w:vAlign w:val="bottom"/>
          </w:tcPr>
          <w:p>
            <w:pPr>
              <w:spacing w:after="0"/>
              <w:rPr>
                <w:sz w:val="22"/>
                <w:szCs w:val="22"/>
                <w:color w:val="auto"/>
              </w:rPr>
            </w:pPr>
          </w:p>
        </w:tc>
      </w:tr>
      <w:tr>
        <w:trPr>
          <w:trHeight w:val="264"/>
        </w:trPr>
        <w:tc>
          <w:tcPr>
            <w:tcW w:w="40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60" w:type="dxa"/>
            <w:vAlign w:val="bottom"/>
            <w:shd w:val="clear" w:color="auto" w:fill="DBDBDB"/>
          </w:tcPr>
          <w:p>
            <w:pPr>
              <w:spacing w:after="0"/>
              <w:rPr>
                <w:sz w:val="22"/>
                <w:szCs w:val="22"/>
                <w:color w:val="auto"/>
              </w:rPr>
            </w:pPr>
          </w:p>
        </w:tc>
        <w:tc>
          <w:tcPr>
            <w:tcW w:w="1760" w:type="dxa"/>
            <w:vAlign w:val="bottom"/>
            <w:shd w:val="clear" w:color="auto" w:fill="DBDBDB"/>
          </w:tcPr>
          <w:p>
            <w:pPr>
              <w:spacing w:after="0"/>
              <w:rPr>
                <w:sz w:val="22"/>
                <w:szCs w:val="22"/>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76,104</w:t>
            </w:r>
          </w:p>
        </w:tc>
        <w:tc>
          <w:tcPr>
            <w:tcW w:w="19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82,960</w:t>
            </w:r>
          </w:p>
        </w:tc>
        <w:tc>
          <w:tcPr>
            <w:tcW w:w="1760" w:type="dxa"/>
            <w:vAlign w:val="bottom"/>
            <w:shd w:val="clear" w:color="auto" w:fill="DBDBDB"/>
          </w:tcPr>
          <w:p>
            <w:pPr>
              <w:spacing w:after="0"/>
              <w:rPr>
                <w:sz w:val="23"/>
                <w:szCs w:val="23"/>
                <w:color w:val="auto"/>
              </w:rPr>
            </w:pPr>
          </w:p>
        </w:tc>
      </w:tr>
      <w:tr>
        <w:trPr>
          <w:trHeight w:val="255"/>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78,091</w:t>
            </w:r>
          </w:p>
        </w:tc>
        <w:tc>
          <w:tcPr>
            <w:tcW w:w="1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84,906</w:t>
            </w:r>
          </w:p>
        </w:tc>
        <w:tc>
          <w:tcPr>
            <w:tcW w:w="1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-3118485</wp:posOffset>
            </wp:positionV>
            <wp:extent cx="45688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-3435985</wp:posOffset>
            </wp:positionV>
            <wp:extent cx="45688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40" w:type="dxa"/>
            <w:vAlign w:val="bottom"/>
          </w:tcPr>
          <w:p>
            <w:pPr>
              <w:spacing w:after="0"/>
              <w:rPr>
                <w:sz w:val="24"/>
                <w:szCs w:val="24"/>
                <w:color w:val="auto"/>
              </w:rPr>
            </w:pPr>
          </w:p>
        </w:tc>
        <w:tc>
          <w:tcPr>
            <w:tcW w:w="220" w:type="dxa"/>
            <w:vAlign w:val="bottom"/>
            <w:tcBorders>
              <w:bottom w:val="single" w:sz="8" w:color="1928A0"/>
            </w:tcBorders>
            <w:shd w:val="clear" w:color="auto" w:fill="1928A0"/>
          </w:tcPr>
          <w:p>
            <w:pPr>
              <w:spacing w:after="0"/>
              <w:rPr>
                <w:sz w:val="24"/>
                <w:szCs w:val="24"/>
                <w:color w:val="auto"/>
              </w:rPr>
            </w:pPr>
          </w:p>
        </w:tc>
        <w:tc>
          <w:tcPr>
            <w:tcW w:w="1540" w:type="dxa"/>
            <w:vAlign w:val="bottom"/>
            <w:tcBorders>
              <w:bottom w:val="single" w:sz="8" w:color="1928A0"/>
            </w:tcBorders>
            <w:shd w:val="clear" w:color="auto" w:fill="1928A0"/>
          </w:tcPr>
          <w:p>
            <w:pPr>
              <w:spacing w:after="0"/>
              <w:rPr>
                <w:sz w:val="24"/>
                <w:szCs w:val="24"/>
                <w:color w:val="auto"/>
              </w:rPr>
            </w:pPr>
          </w:p>
        </w:tc>
        <w:tc>
          <w:tcPr>
            <w:tcW w:w="3680" w:type="dxa"/>
            <w:vAlign w:val="bottom"/>
            <w:tcBorders>
              <w:bottom w:val="single" w:sz="8" w:color="1928A0"/>
            </w:tcBorders>
            <w:gridSpan w:val="3"/>
            <w:shd w:val="clear" w:color="auto" w:fill="1928A0"/>
          </w:tcPr>
          <w:p>
            <w:pPr>
              <w:jc w:val="right"/>
              <w:ind w:right="730"/>
              <w:spacing w:after="0"/>
              <w:rPr>
                <w:sz w:val="20"/>
                <w:szCs w:val="20"/>
                <w:color w:val="auto"/>
              </w:rPr>
            </w:pPr>
            <w:r>
              <w:rPr>
                <w:rFonts w:ascii="Arial" w:cs="Arial" w:eastAsia="Arial" w:hAnsi="Arial"/>
                <w:sz w:val="20"/>
                <w:szCs w:val="20"/>
                <w:b w:val="1"/>
                <w:bCs w:val="1"/>
                <w:color w:val="FFFFFF"/>
              </w:rPr>
              <w:t>Twenty-Six Weeks Ended</w:t>
            </w:r>
          </w:p>
        </w:tc>
        <w:tc>
          <w:tcPr>
            <w:tcW w:w="1760" w:type="dxa"/>
            <w:vAlign w:val="bottom"/>
            <w:tcBorders>
              <w:bottom w:val="single" w:sz="8" w:color="1928A0"/>
            </w:tcBorders>
            <w:shd w:val="clear" w:color="auto" w:fill="1928A0"/>
          </w:tcPr>
          <w:p>
            <w:pPr>
              <w:spacing w:after="0"/>
              <w:rPr>
                <w:sz w:val="24"/>
                <w:szCs w:val="24"/>
                <w:color w:val="auto"/>
              </w:rPr>
            </w:pPr>
          </w:p>
        </w:tc>
      </w:tr>
      <w:tr>
        <w:trPr>
          <w:trHeight w:val="231"/>
        </w:trPr>
        <w:tc>
          <w:tcPr>
            <w:tcW w:w="4040" w:type="dxa"/>
            <w:vAlign w:val="bottom"/>
          </w:tcPr>
          <w:p>
            <w:pPr>
              <w:spacing w:after="0"/>
              <w:rPr>
                <w:sz w:val="20"/>
                <w:szCs w:val="20"/>
                <w:color w:val="auto"/>
              </w:rPr>
            </w:pPr>
          </w:p>
        </w:tc>
        <w:tc>
          <w:tcPr>
            <w:tcW w:w="220" w:type="dxa"/>
            <w:vAlign w:val="bottom"/>
            <w:shd w:val="clear" w:color="auto" w:fill="0A2299"/>
          </w:tcPr>
          <w:p>
            <w:pPr>
              <w:spacing w:after="0"/>
              <w:rPr>
                <w:sz w:val="20"/>
                <w:szCs w:val="20"/>
                <w:color w:val="auto"/>
              </w:rPr>
            </w:pPr>
          </w:p>
        </w:tc>
        <w:tc>
          <w:tcPr>
            <w:tcW w:w="1540" w:type="dxa"/>
            <w:vAlign w:val="bottom"/>
            <w:shd w:val="clear" w:color="auto" w:fill="0A2299"/>
          </w:tcPr>
          <w:p>
            <w:pPr>
              <w:spacing w:after="0"/>
              <w:rPr>
                <w:sz w:val="20"/>
                <w:szCs w:val="20"/>
                <w:color w:val="auto"/>
              </w:rPr>
            </w:pPr>
          </w:p>
        </w:tc>
        <w:tc>
          <w:tcPr>
            <w:tcW w:w="1900" w:type="dxa"/>
            <w:vAlign w:val="bottom"/>
            <w:shd w:val="clear" w:color="auto" w:fill="0A2299"/>
          </w:tcPr>
          <w:p>
            <w:pPr>
              <w:jc w:val="right"/>
              <w:ind w:right="269"/>
              <w:spacing w:after="0"/>
              <w:rPr>
                <w:sz w:val="20"/>
                <w:szCs w:val="20"/>
                <w:color w:val="auto"/>
              </w:rPr>
            </w:pPr>
            <w:r>
              <w:rPr>
                <w:rFonts w:ascii="Arial" w:cs="Arial" w:eastAsia="Arial" w:hAnsi="Arial"/>
                <w:sz w:val="18"/>
                <w:szCs w:val="18"/>
                <w:b w:val="1"/>
                <w:bCs w:val="1"/>
                <w:color w:val="FFFFFF"/>
              </w:rPr>
              <w:t>Percentage of</w:t>
            </w:r>
          </w:p>
        </w:tc>
        <w:tc>
          <w:tcPr>
            <w:tcW w:w="220" w:type="dxa"/>
            <w:vAlign w:val="bottom"/>
            <w:shd w:val="clear" w:color="auto" w:fill="0A2299"/>
          </w:tcPr>
          <w:p>
            <w:pPr>
              <w:spacing w:after="0"/>
              <w:rPr>
                <w:sz w:val="20"/>
                <w:szCs w:val="20"/>
                <w:color w:val="auto"/>
              </w:rPr>
            </w:pPr>
          </w:p>
        </w:tc>
        <w:tc>
          <w:tcPr>
            <w:tcW w:w="1560" w:type="dxa"/>
            <w:vAlign w:val="bottom"/>
            <w:shd w:val="clear" w:color="auto" w:fill="0A2299"/>
          </w:tcPr>
          <w:p>
            <w:pPr>
              <w:spacing w:after="0"/>
              <w:rPr>
                <w:sz w:val="20"/>
                <w:szCs w:val="20"/>
                <w:color w:val="auto"/>
              </w:rPr>
            </w:pPr>
          </w:p>
        </w:tc>
        <w:tc>
          <w:tcPr>
            <w:tcW w:w="1760" w:type="dxa"/>
            <w:vAlign w:val="bottom"/>
            <w:shd w:val="clear" w:color="auto" w:fill="0A2299"/>
          </w:tcPr>
          <w:p>
            <w:pPr>
              <w:jc w:val="right"/>
              <w:ind w:right="150"/>
              <w:spacing w:after="0"/>
              <w:rPr>
                <w:sz w:val="20"/>
                <w:szCs w:val="20"/>
                <w:color w:val="auto"/>
              </w:rPr>
            </w:pPr>
            <w:r>
              <w:rPr>
                <w:rFonts w:ascii="Arial" w:cs="Arial" w:eastAsia="Arial" w:hAnsi="Arial"/>
                <w:sz w:val="18"/>
                <w:szCs w:val="18"/>
                <w:b w:val="1"/>
                <w:bCs w:val="1"/>
                <w:color w:val="FFFFFF"/>
              </w:rPr>
              <w:t>Percentage of</w:t>
            </w:r>
          </w:p>
        </w:tc>
      </w:tr>
      <w:tr>
        <w:trPr>
          <w:trHeight w:val="268"/>
        </w:trPr>
        <w:tc>
          <w:tcPr>
            <w:tcW w:w="4040" w:type="dxa"/>
            <w:vAlign w:val="bottom"/>
          </w:tcPr>
          <w:p>
            <w:pPr>
              <w:spacing w:after="0"/>
              <w:rPr>
                <w:sz w:val="23"/>
                <w:szCs w:val="23"/>
                <w:color w:val="auto"/>
              </w:rPr>
            </w:pPr>
          </w:p>
        </w:tc>
        <w:tc>
          <w:tcPr>
            <w:tcW w:w="220" w:type="dxa"/>
            <w:vAlign w:val="bottom"/>
            <w:shd w:val="clear" w:color="auto" w:fill="0A2299"/>
          </w:tcPr>
          <w:p>
            <w:pPr>
              <w:spacing w:after="0"/>
              <w:rPr>
                <w:sz w:val="23"/>
                <w:szCs w:val="23"/>
                <w:color w:val="auto"/>
              </w:rPr>
            </w:pPr>
          </w:p>
        </w:tc>
        <w:tc>
          <w:tcPr>
            <w:tcW w:w="1540" w:type="dxa"/>
            <w:vAlign w:val="bottom"/>
            <w:shd w:val="clear" w:color="auto" w:fill="0A2299"/>
          </w:tcPr>
          <w:p>
            <w:pPr>
              <w:jc w:val="right"/>
              <w:ind w:right="230"/>
              <w:spacing w:after="0"/>
              <w:rPr>
                <w:sz w:val="20"/>
                <w:szCs w:val="20"/>
                <w:color w:val="auto"/>
              </w:rPr>
            </w:pPr>
            <w:r>
              <w:rPr>
                <w:rFonts w:ascii="Arial" w:cs="Arial" w:eastAsia="Arial" w:hAnsi="Arial"/>
                <w:sz w:val="18"/>
                <w:szCs w:val="18"/>
                <w:b w:val="1"/>
                <w:bCs w:val="1"/>
                <w:color w:val="FFFFFF"/>
              </w:rPr>
              <w:t>July 29, 2023</w:t>
            </w:r>
          </w:p>
        </w:tc>
        <w:tc>
          <w:tcPr>
            <w:tcW w:w="1900" w:type="dxa"/>
            <w:vAlign w:val="bottom"/>
            <w:shd w:val="clear" w:color="auto" w:fill="0A2299"/>
          </w:tcPr>
          <w:p>
            <w:pPr>
              <w:jc w:val="right"/>
              <w:ind w:right="529"/>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c>
          <w:tcPr>
            <w:tcW w:w="220" w:type="dxa"/>
            <w:vAlign w:val="bottom"/>
            <w:shd w:val="clear" w:color="auto" w:fill="0A2299"/>
          </w:tcPr>
          <w:p>
            <w:pPr>
              <w:spacing w:after="0"/>
              <w:rPr>
                <w:sz w:val="23"/>
                <w:szCs w:val="23"/>
                <w:color w:val="auto"/>
              </w:rPr>
            </w:pPr>
          </w:p>
        </w:tc>
        <w:tc>
          <w:tcPr>
            <w:tcW w:w="1560" w:type="dxa"/>
            <w:vAlign w:val="bottom"/>
            <w:shd w:val="clear" w:color="auto" w:fill="0A2299"/>
          </w:tcPr>
          <w:p>
            <w:pPr>
              <w:jc w:val="right"/>
              <w:ind w:right="250"/>
              <w:spacing w:after="0"/>
              <w:rPr>
                <w:sz w:val="20"/>
                <w:szCs w:val="20"/>
                <w:color w:val="auto"/>
              </w:rPr>
            </w:pPr>
            <w:r>
              <w:rPr>
                <w:rFonts w:ascii="Arial" w:cs="Arial" w:eastAsia="Arial" w:hAnsi="Arial"/>
                <w:sz w:val="18"/>
                <w:szCs w:val="18"/>
                <w:b w:val="1"/>
                <w:bCs w:val="1"/>
                <w:color w:val="FFFFFF"/>
              </w:rPr>
              <w:t>July 30, 2022</w:t>
            </w:r>
          </w:p>
        </w:tc>
        <w:tc>
          <w:tcPr>
            <w:tcW w:w="1760" w:type="dxa"/>
            <w:vAlign w:val="bottom"/>
            <w:shd w:val="clear" w:color="auto" w:fill="0A2299"/>
          </w:tcPr>
          <w:p>
            <w:pPr>
              <w:jc w:val="right"/>
              <w:ind w:right="430"/>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r>
      <w:tr>
        <w:trPr>
          <w:trHeight w:val="28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2,966,686</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100.0 %</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3,154,645</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1,936,125</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65.3 %</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2,037,158</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64.6 %</w:t>
            </w: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1,030,561</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34.7 %</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1,117,487</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35.4 %</w:t>
            </w:r>
          </w:p>
        </w:tc>
      </w:tr>
      <w:tr>
        <w:trPr>
          <w:trHeight w:val="264"/>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693,402</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23.4 %</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655,260</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20.8 %</w:t>
            </w: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337,159</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11.4 %</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462,227</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14.7 %</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22,543</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0.8 %</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22,077</w:t>
            </w:r>
          </w:p>
        </w:tc>
        <w:tc>
          <w:tcPr>
            <w:tcW w:w="17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7"/>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DBDBDB"/>
          </w:tcPr>
          <w:p>
            <w:pPr>
              <w:spacing w:after="0"/>
              <w:rPr>
                <w:sz w:val="24"/>
                <w:szCs w:val="24"/>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(7,336)</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(0.2)%</w:t>
            </w:r>
          </w:p>
        </w:tc>
        <w:tc>
          <w:tcPr>
            <w:tcW w:w="220" w:type="dxa"/>
            <w:vAlign w:val="bottom"/>
            <w:tcBorders>
              <w:bottom w:val="single" w:sz="8" w:color="auto"/>
            </w:tcBorders>
            <w:shd w:val="clear" w:color="auto" w:fill="DBDBDB"/>
          </w:tcPr>
          <w:p>
            <w:pPr>
              <w:spacing w:after="0"/>
              <w:rPr>
                <w:sz w:val="24"/>
                <w:szCs w:val="24"/>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(2,138)</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w:t>
            </w:r>
          </w:p>
        </w:tc>
      </w:tr>
      <w:tr>
        <w:trPr>
          <w:trHeight w:val="256"/>
        </w:trPr>
        <w:tc>
          <w:tcPr>
            <w:tcW w:w="40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321,952</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10.9 %</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442,288</w:t>
            </w:r>
          </w:p>
        </w:tc>
        <w:tc>
          <w:tcPr>
            <w:tcW w:w="176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71"/>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DBDBDB"/>
          </w:tcPr>
          <w:p>
            <w:pPr>
              <w:spacing w:after="0"/>
              <w:rPr>
                <w:sz w:val="23"/>
                <w:szCs w:val="23"/>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70,907</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2.4 %</w:t>
            </w:r>
          </w:p>
        </w:tc>
        <w:tc>
          <w:tcPr>
            <w:tcW w:w="220" w:type="dxa"/>
            <w:vAlign w:val="bottom"/>
            <w:tcBorders>
              <w:bottom w:val="single" w:sz="8" w:color="auto"/>
            </w:tcBorders>
            <w:shd w:val="clear" w:color="auto" w:fill="DBDBDB"/>
          </w:tcPr>
          <w:p>
            <w:pPr>
              <w:spacing w:after="0"/>
              <w:rPr>
                <w:sz w:val="23"/>
                <w:szCs w:val="23"/>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103,681</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3.3 %</w:t>
            </w:r>
          </w:p>
        </w:tc>
      </w:tr>
      <w:tr>
        <w:trPr>
          <w:trHeight w:val="270"/>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251,045</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8.5 %</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338,607</w:t>
            </w:r>
          </w:p>
        </w:tc>
        <w:tc>
          <w:tcPr>
            <w:tcW w:w="176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404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DBDBDB"/>
            </w:tcBorders>
          </w:tcPr>
          <w:p>
            <w:pPr>
              <w:spacing w:after="0" w:line="20" w:lineRule="exact"/>
              <w:rPr>
                <w:sz w:val="1"/>
                <w:szCs w:val="1"/>
                <w:color w:val="auto"/>
              </w:rPr>
            </w:pPr>
          </w:p>
        </w:tc>
      </w:tr>
      <w:tr>
        <w:trPr>
          <w:trHeight w:val="223"/>
        </w:trPr>
        <w:tc>
          <w:tcPr>
            <w:tcW w:w="4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9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3.28</w:t>
            </w:r>
          </w:p>
        </w:tc>
        <w:tc>
          <w:tcPr>
            <w:tcW w:w="1900" w:type="dxa"/>
            <w:vAlign w:val="bottom"/>
            <w:shd w:val="clear" w:color="auto" w:fill="DBDBDB"/>
          </w:tcPr>
          <w:p>
            <w:pPr>
              <w:spacing w:after="0"/>
              <w:rPr>
                <w:sz w:val="23"/>
                <w:szCs w:val="23"/>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3.99</w:t>
            </w:r>
          </w:p>
        </w:tc>
        <w:tc>
          <w:tcPr>
            <w:tcW w:w="1760" w:type="dxa"/>
            <w:vAlign w:val="bottom"/>
            <w:shd w:val="clear" w:color="auto" w:fill="DBDBDB"/>
          </w:tcPr>
          <w:p>
            <w:pPr>
              <w:spacing w:after="0"/>
              <w:rPr>
                <w:sz w:val="23"/>
                <w:szCs w:val="23"/>
                <w:color w:val="auto"/>
              </w:rPr>
            </w:pPr>
          </w:p>
        </w:tc>
      </w:tr>
      <w:tr>
        <w:trPr>
          <w:trHeight w:val="263"/>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19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3.90</w:t>
            </w:r>
          </w:p>
        </w:tc>
        <w:tc>
          <w:tcPr>
            <w:tcW w:w="1760" w:type="dxa"/>
            <w:vAlign w:val="bottom"/>
          </w:tcPr>
          <w:p>
            <w:pPr>
              <w:spacing w:after="0"/>
              <w:rPr>
                <w:sz w:val="22"/>
                <w:szCs w:val="22"/>
                <w:color w:val="auto"/>
              </w:rPr>
            </w:pPr>
          </w:p>
        </w:tc>
      </w:tr>
      <w:tr>
        <w:trPr>
          <w:trHeight w:val="264"/>
        </w:trPr>
        <w:tc>
          <w:tcPr>
            <w:tcW w:w="40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60" w:type="dxa"/>
            <w:vAlign w:val="bottom"/>
            <w:shd w:val="clear" w:color="auto" w:fill="DBDBDB"/>
          </w:tcPr>
          <w:p>
            <w:pPr>
              <w:spacing w:after="0"/>
              <w:rPr>
                <w:sz w:val="22"/>
                <w:szCs w:val="22"/>
                <w:color w:val="auto"/>
              </w:rPr>
            </w:pPr>
          </w:p>
        </w:tc>
        <w:tc>
          <w:tcPr>
            <w:tcW w:w="1760" w:type="dxa"/>
            <w:vAlign w:val="bottom"/>
            <w:shd w:val="clear" w:color="auto" w:fill="DBDBDB"/>
          </w:tcPr>
          <w:p>
            <w:pPr>
              <w:spacing w:after="0"/>
              <w:rPr>
                <w:sz w:val="22"/>
                <w:szCs w:val="22"/>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76,483</w:t>
            </w:r>
          </w:p>
        </w:tc>
        <w:tc>
          <w:tcPr>
            <w:tcW w:w="19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84,809</w:t>
            </w:r>
          </w:p>
        </w:tc>
        <w:tc>
          <w:tcPr>
            <w:tcW w:w="1760" w:type="dxa"/>
            <w:vAlign w:val="bottom"/>
            <w:shd w:val="clear" w:color="auto" w:fill="DBDBDB"/>
          </w:tcPr>
          <w:p>
            <w:pPr>
              <w:spacing w:after="0"/>
              <w:rPr>
                <w:sz w:val="23"/>
                <w:szCs w:val="23"/>
                <w:color w:val="auto"/>
              </w:rPr>
            </w:pPr>
          </w:p>
        </w:tc>
      </w:tr>
      <w:tr>
        <w:trPr>
          <w:trHeight w:val="255"/>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78,735</w:t>
            </w:r>
          </w:p>
        </w:tc>
        <w:tc>
          <w:tcPr>
            <w:tcW w:w="1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86,792</w:t>
            </w:r>
          </w:p>
        </w:tc>
        <w:tc>
          <w:tcPr>
            <w:tcW w:w="1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-3118485</wp:posOffset>
            </wp:positionV>
            <wp:extent cx="45688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-3435985</wp:posOffset>
            </wp:positionV>
            <wp:extent cx="45688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9"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08"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00" w:type="dxa"/>
            <w:vAlign w:val="bottom"/>
          </w:tcPr>
          <w:p>
            <w:pPr>
              <w:spacing w:after="0"/>
              <w:rPr>
                <w:sz w:val="23"/>
                <w:szCs w:val="23"/>
                <w:color w:val="auto"/>
              </w:rPr>
            </w:pPr>
          </w:p>
        </w:tc>
        <w:tc>
          <w:tcPr>
            <w:tcW w:w="220" w:type="dxa"/>
            <w:vAlign w:val="bottom"/>
            <w:shd w:val="clear" w:color="auto" w:fill="0A2299"/>
          </w:tcPr>
          <w:p>
            <w:pPr>
              <w:spacing w:after="0"/>
              <w:rPr>
                <w:sz w:val="23"/>
                <w:szCs w:val="23"/>
                <w:color w:val="auto"/>
              </w:rPr>
            </w:pPr>
          </w:p>
        </w:tc>
        <w:tc>
          <w:tcPr>
            <w:tcW w:w="1640" w:type="dxa"/>
            <w:vAlign w:val="bottom"/>
            <w:gridSpan w:val="2"/>
            <w:shd w:val="clear" w:color="auto" w:fill="0A2299"/>
          </w:tcPr>
          <w:p>
            <w:pPr>
              <w:ind w:left="100"/>
              <w:spacing w:after="0"/>
              <w:rPr>
                <w:sz w:val="20"/>
                <w:szCs w:val="20"/>
                <w:color w:val="auto"/>
              </w:rPr>
            </w:pPr>
            <w:r>
              <w:rPr>
                <w:rFonts w:ascii="Arial" w:cs="Arial" w:eastAsia="Arial" w:hAnsi="Arial"/>
                <w:sz w:val="18"/>
                <w:szCs w:val="18"/>
                <w:b w:val="1"/>
                <w:bCs w:val="1"/>
                <w:color w:val="FFFFFF"/>
              </w:rPr>
              <w:t>July 29, 2023</w:t>
            </w:r>
          </w:p>
        </w:tc>
        <w:tc>
          <w:tcPr>
            <w:tcW w:w="140" w:type="dxa"/>
            <w:vAlign w:val="bottom"/>
            <w:shd w:val="clear" w:color="auto" w:fill="0A2299"/>
          </w:tcPr>
          <w:p>
            <w:pPr>
              <w:spacing w:after="0"/>
              <w:rPr>
                <w:sz w:val="23"/>
                <w:szCs w:val="23"/>
                <w:color w:val="auto"/>
              </w:rPr>
            </w:pPr>
          </w:p>
        </w:tc>
        <w:tc>
          <w:tcPr>
            <w:tcW w:w="1740" w:type="dxa"/>
            <w:vAlign w:val="bottom"/>
            <w:gridSpan w:val="2"/>
            <w:shd w:val="clear" w:color="auto" w:fill="0A2299"/>
          </w:tcPr>
          <w:p>
            <w:pPr>
              <w:ind w:left="40"/>
              <w:spacing w:after="0"/>
              <w:rPr>
                <w:sz w:val="20"/>
                <w:szCs w:val="20"/>
                <w:color w:val="auto"/>
              </w:rPr>
            </w:pPr>
            <w:r>
              <w:rPr>
                <w:rFonts w:ascii="Arial" w:cs="Arial" w:eastAsia="Arial" w:hAnsi="Arial"/>
                <w:sz w:val="18"/>
                <w:szCs w:val="18"/>
                <w:b w:val="1"/>
                <w:bCs w:val="1"/>
                <w:color w:val="FFFFFF"/>
              </w:rPr>
              <w:t>January 28, 2023</w:t>
            </w:r>
          </w:p>
        </w:tc>
        <w:tc>
          <w:tcPr>
            <w:tcW w:w="220" w:type="dxa"/>
            <w:vAlign w:val="bottom"/>
            <w:shd w:val="clear" w:color="auto" w:fill="0A2299"/>
          </w:tcPr>
          <w:p>
            <w:pPr>
              <w:spacing w:after="0"/>
              <w:rPr>
                <w:sz w:val="23"/>
                <w:szCs w:val="23"/>
                <w:color w:val="auto"/>
              </w:rPr>
            </w:pPr>
          </w:p>
        </w:tc>
        <w:tc>
          <w:tcPr>
            <w:tcW w:w="1580" w:type="dxa"/>
            <w:vAlign w:val="bottom"/>
            <w:shd w:val="clear" w:color="auto" w:fill="0A2299"/>
          </w:tcPr>
          <w:p>
            <w:pPr>
              <w:jc w:val="right"/>
              <w:ind w:right="250"/>
              <w:spacing w:after="0"/>
              <w:rPr>
                <w:sz w:val="20"/>
                <w:szCs w:val="20"/>
                <w:color w:val="auto"/>
              </w:rPr>
            </w:pPr>
            <w:r>
              <w:rPr>
                <w:rFonts w:ascii="Arial" w:cs="Arial" w:eastAsia="Arial" w:hAnsi="Arial"/>
                <w:sz w:val="18"/>
                <w:szCs w:val="18"/>
                <w:b w:val="1"/>
                <w:bCs w:val="1"/>
                <w:color w:val="FFFFFF"/>
              </w:rPr>
              <w:t>July 30, 2022</w:t>
            </w:r>
          </w:p>
        </w:tc>
        <w:tc>
          <w:tcPr>
            <w:tcW w:w="0" w:type="dxa"/>
            <w:vAlign w:val="bottom"/>
          </w:tcPr>
          <w:p>
            <w:pPr>
              <w:spacing w:after="0"/>
              <w:rPr>
                <w:sz w:val="1"/>
                <w:szCs w:val="1"/>
                <w:color w:val="auto"/>
              </w:rPr>
            </w:pPr>
          </w:p>
        </w:tc>
      </w:tr>
      <w:tr>
        <w:trPr>
          <w:trHeight w:val="270"/>
        </w:trPr>
        <w:tc>
          <w:tcPr>
            <w:tcW w:w="5600" w:type="dxa"/>
            <w:vAlign w:val="bottom"/>
            <w:shd w:val="clear" w:color="auto" w:fill="DBDBDB"/>
          </w:tcPr>
          <w:p>
            <w:pPr>
              <w:ind w:left="23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311,336</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337,145</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399,857</w:t>
            </w: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Accounts receivable - less allowance for doubtful accounts of</w:t>
            </w:r>
          </w:p>
        </w:tc>
        <w:tc>
          <w:tcPr>
            <w:tcW w:w="22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14,625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600" w:type="dxa"/>
            <w:vAlign w:val="bottom"/>
          </w:tcPr>
          <w:p>
            <w:pPr>
              <w:ind w:left="220"/>
              <w:spacing w:after="0"/>
              <w:rPr>
                <w:sz w:val="20"/>
                <w:szCs w:val="20"/>
                <w:color w:val="auto"/>
              </w:rPr>
            </w:pPr>
            <w:r>
              <w:rPr>
                <w:rFonts w:ascii="Arial" w:cs="Arial" w:eastAsia="Arial" w:hAnsi="Arial"/>
                <w:sz w:val="18"/>
                <w:szCs w:val="18"/>
                <w:color w:val="auto"/>
              </w:rPr>
              <w:t>$2,534, $2,004 and $1,143, respectively</w:t>
            </w:r>
          </w:p>
        </w:tc>
        <w:tc>
          <w:tcPr>
            <w:tcW w:w="2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14,521</w:t>
            </w: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Merchandise inventories, net</w:t>
            </w:r>
          </w:p>
        </w:tc>
        <w:tc>
          <w:tcPr>
            <w:tcW w:w="220" w:type="dxa"/>
            <w:vAlign w:val="bottom"/>
            <w:shd w:val="clear" w:color="auto" w:fill="DBDBDB"/>
          </w:tcPr>
          <w:p>
            <w:pPr>
              <w:spacing w:after="0"/>
              <w:rPr>
                <w:sz w:val="24"/>
                <w:szCs w:val="2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1,309,033</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1,283,517</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1,304,556</w:t>
            </w:r>
          </w:p>
        </w:tc>
        <w:tc>
          <w:tcPr>
            <w:tcW w:w="0" w:type="dxa"/>
            <w:vAlign w:val="bottom"/>
          </w:tcPr>
          <w:p>
            <w:pPr>
              <w:spacing w:after="0"/>
              <w:rPr>
                <w:sz w:val="1"/>
                <w:szCs w:val="1"/>
                <w:color w:val="auto"/>
              </w:rPr>
            </w:pP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80,490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47,747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46,448</w:t>
            </w: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Assets held for sale</w:t>
            </w:r>
          </w:p>
        </w:tc>
        <w:tc>
          <w:tcPr>
            <w:tcW w:w="220" w:type="dxa"/>
            <w:vAlign w:val="bottom"/>
            <w:shd w:val="clear" w:color="auto" w:fill="DBDBDB"/>
          </w:tcPr>
          <w:p>
            <w:pPr>
              <w:spacing w:after="0"/>
              <w:rPr>
                <w:sz w:val="24"/>
                <w:szCs w:val="24"/>
                <w:color w:val="auto"/>
              </w:rPr>
            </w:pP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1,763</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56"/>
        </w:trPr>
        <w:tc>
          <w:tcPr>
            <w:tcW w:w="560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1,715,484</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1,686,675</w:t>
            </w: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1,767,145</w:t>
            </w:r>
          </w:p>
        </w:tc>
        <w:tc>
          <w:tcPr>
            <w:tcW w:w="0" w:type="dxa"/>
            <w:vAlign w:val="bottom"/>
          </w:tcPr>
          <w:p>
            <w:pPr>
              <w:spacing w:after="0"/>
              <w:rPr>
                <w:sz w:val="1"/>
                <w:szCs w:val="1"/>
                <w:color w:val="auto"/>
              </w:rPr>
            </w:pPr>
          </w:p>
        </w:tc>
      </w:tr>
      <w:tr>
        <w:trPr>
          <w:trHeight w:val="223"/>
        </w:trPr>
        <w:tc>
          <w:tcPr>
            <w:tcW w:w="56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404,967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351,424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350,628</w:t>
            </w: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shd w:val="clear" w:color="auto" w:fill="DBDBDB"/>
          </w:tcPr>
          <w:p>
            <w:pPr>
              <w:spacing w:after="0"/>
              <w:rPr>
                <w:sz w:val="24"/>
                <w:szCs w:val="2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1,091,145</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1,100,085</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1,087,085</w:t>
            </w:r>
          </w:p>
        </w:tc>
        <w:tc>
          <w:tcPr>
            <w:tcW w:w="0" w:type="dxa"/>
            <w:vAlign w:val="bottom"/>
          </w:tcPr>
          <w:p>
            <w:pPr>
              <w:spacing w:after="0"/>
              <w:rPr>
                <w:sz w:val="1"/>
                <w:szCs w:val="1"/>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577,929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577,716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577,299</w:t>
            </w: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GOODWILL</w:t>
            </w:r>
          </w:p>
        </w:tc>
        <w:tc>
          <w:tcPr>
            <w:tcW w:w="220" w:type="dxa"/>
            <w:vAlign w:val="bottom"/>
            <w:shd w:val="clear" w:color="auto" w:fill="DBDBDB"/>
          </w:tcPr>
          <w:p>
            <w:pPr>
              <w:spacing w:after="0"/>
              <w:rPr>
                <w:sz w:val="24"/>
                <w:szCs w:val="2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861,920</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861,920</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23,971</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95"/>
        </w:trPr>
        <w:tc>
          <w:tcPr>
            <w:tcW w:w="56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4,675,416</w:t>
            </w:r>
          </w:p>
        </w:tc>
        <w:tc>
          <w:tcPr>
            <w:tcW w:w="8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4,595,439</w:t>
            </w:r>
          </w:p>
        </w:tc>
        <w:tc>
          <w:tcPr>
            <w:tcW w:w="80" w:type="dxa"/>
            <w:vAlign w:val="bottom"/>
            <w:tcBorders>
              <w:bottom w:val="single" w:sz="8" w:color="DBDBDB"/>
            </w:tcBorders>
            <w:shd w:val="clear" w:color="auto" w:fill="DBDBDB"/>
          </w:tcPr>
          <w:p>
            <w:pPr>
              <w:spacing w:after="0"/>
              <w:rPr>
                <w:sz w:val="24"/>
                <w:szCs w:val="24"/>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4,653,969</w:t>
            </w:r>
          </w:p>
        </w:tc>
        <w:tc>
          <w:tcPr>
            <w:tcW w:w="0" w:type="dxa"/>
            <w:vAlign w:val="bottom"/>
          </w:tcPr>
          <w:p>
            <w:pPr>
              <w:spacing w:after="0"/>
              <w:rPr>
                <w:sz w:val="1"/>
                <w:szCs w:val="1"/>
                <w:color w:val="auto"/>
              </w:rPr>
            </w:pPr>
          </w:p>
        </w:tc>
      </w:tr>
      <w:tr>
        <w:trPr>
          <w:trHeight w:val="20"/>
        </w:trPr>
        <w:tc>
          <w:tcPr>
            <w:tcW w:w="56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669,832</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686,472</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778,016</w:t>
            </w:r>
          </w:p>
        </w:tc>
        <w:tc>
          <w:tcPr>
            <w:tcW w:w="0" w:type="dxa"/>
            <w:vAlign w:val="bottom"/>
          </w:tcPr>
          <w:p>
            <w:pPr>
              <w:spacing w:after="0"/>
              <w:rPr>
                <w:sz w:val="1"/>
                <w:szCs w:val="1"/>
                <w:color w:val="auto"/>
              </w:rPr>
            </w:pP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234,011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240,169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251,569</w:t>
            </w: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Current lease liabilities</w:t>
            </w:r>
          </w:p>
        </w:tc>
        <w:tc>
          <w:tcPr>
            <w:tcW w:w="220" w:type="dxa"/>
            <w:vAlign w:val="bottom"/>
            <w:shd w:val="clear" w:color="auto" w:fill="DBDBDB"/>
          </w:tcPr>
          <w:p>
            <w:pPr>
              <w:spacing w:after="0"/>
              <w:rPr>
                <w:sz w:val="24"/>
                <w:szCs w:val="2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112,936</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109,075</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87,042</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560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1,019,779</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1,038,716</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1,119,627</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LONG-TERM DEBT, NET</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583,729</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584,456</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683,065</w:t>
            </w:r>
          </w:p>
        </w:tc>
        <w:tc>
          <w:tcPr>
            <w:tcW w:w="0" w:type="dxa"/>
            <w:vAlign w:val="bottom"/>
          </w:tcPr>
          <w:p>
            <w:pPr>
              <w:spacing w:after="0"/>
              <w:rPr>
                <w:sz w:val="1"/>
                <w:szCs w:val="1"/>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1,060,996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1,072,192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1,081,790</w:t>
            </w: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220" w:type="dxa"/>
            <w:vAlign w:val="bottom"/>
            <w:shd w:val="clear" w:color="auto" w:fill="DBDBDB"/>
          </w:tcPr>
          <w:p>
            <w:pPr>
              <w:spacing w:after="0"/>
              <w:rPr>
                <w:sz w:val="24"/>
                <w:szCs w:val="2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260,909</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259,043</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235,187</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11,964</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12,726</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13,029</w:t>
            </w:r>
          </w:p>
        </w:tc>
        <w:tc>
          <w:tcPr>
            <w:tcW w:w="0" w:type="dxa"/>
            <w:vAlign w:val="bottom"/>
          </w:tcPr>
          <w:p>
            <w:pPr>
              <w:spacing w:after="0"/>
              <w:rPr>
                <w:sz w:val="1"/>
                <w:szCs w:val="1"/>
                <w:color w:val="auto"/>
              </w:rPr>
            </w:pPr>
          </w:p>
        </w:tc>
      </w:tr>
      <w:tr>
        <w:trPr>
          <w:trHeight w:val="263"/>
        </w:trPr>
        <w:tc>
          <w:tcPr>
            <w:tcW w:w="560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DBDBDB"/>
          </w:tcPr>
          <w:p>
            <w:pPr>
              <w:spacing w:after="0"/>
              <w:rPr>
                <w:sz w:val="22"/>
                <w:szCs w:val="22"/>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2,937,377</w:t>
            </w:r>
          </w:p>
        </w:tc>
        <w:tc>
          <w:tcPr>
            <w:tcW w:w="8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2,967,133</w:t>
            </w:r>
          </w:p>
        </w:tc>
        <w:tc>
          <w:tcPr>
            <w:tcW w:w="8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3,132,698</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STOCKHOLDERS' EQUITY :</w:t>
            </w:r>
          </w:p>
        </w:tc>
        <w:tc>
          <w:tcPr>
            <w:tcW w:w="220" w:type="dxa"/>
            <w:vAlign w:val="bottom"/>
            <w:shd w:val="clear" w:color="auto" w:fill="DBDBDB"/>
          </w:tcPr>
          <w:p>
            <w:pPr>
              <w:spacing w:after="0"/>
              <w:rPr>
                <w:sz w:val="23"/>
                <w:szCs w:val="23"/>
                <w:color w:val="auto"/>
              </w:rPr>
            </w:pPr>
          </w:p>
        </w:tc>
        <w:tc>
          <w:tcPr>
            <w:tcW w:w="15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Preferred stock, $0.01 par value, authorized 50,000,000 shares;</w:t>
            </w:r>
          </w:p>
        </w:tc>
        <w:tc>
          <w:tcPr>
            <w:tcW w:w="220" w:type="dxa"/>
            <w:vAlign w:val="bottom"/>
          </w:tcPr>
          <w:p>
            <w:pPr>
              <w:spacing w:after="0"/>
              <w:rPr>
                <w:sz w:val="20"/>
                <w:szCs w:val="20"/>
                <w:color w:val="auto"/>
              </w:rPr>
            </w:pP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600" w:type="dxa"/>
            <w:vAlign w:val="bottom"/>
          </w:tcPr>
          <w:p>
            <w:pPr>
              <w:ind w:left="220"/>
              <w:spacing w:after="0"/>
              <w:rPr>
                <w:sz w:val="20"/>
                <w:szCs w:val="20"/>
                <w:color w:val="auto"/>
              </w:rPr>
            </w:pPr>
            <w:r>
              <w:rPr>
                <w:rFonts w:ascii="Arial" w:cs="Arial" w:eastAsia="Arial" w:hAnsi="Arial"/>
                <w:sz w:val="18"/>
                <w:szCs w:val="18"/>
                <w:color w:val="auto"/>
              </w:rPr>
              <w:t>none issued and outstanding</w:t>
            </w:r>
          </w:p>
        </w:tc>
        <w:tc>
          <w:tcPr>
            <w:tcW w:w="22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Common stock, $0.01 par value, authorized 300,000,000 shares;</w:t>
            </w:r>
          </w:p>
        </w:tc>
        <w:tc>
          <w:tcPr>
            <w:tcW w:w="22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74,845,563; 76,711,720 and 79,725,034 issued and outstanding</w:t>
            </w:r>
          </w:p>
        </w:tc>
        <w:tc>
          <w:tcPr>
            <w:tcW w:w="22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as of July 29, 2023, January 28, 2023, and July 30, 2022,</w:t>
            </w:r>
          </w:p>
        </w:tc>
        <w:tc>
          <w:tcPr>
            <w:tcW w:w="220" w:type="dxa"/>
            <w:vAlign w:val="bottom"/>
            <w:shd w:val="clear" w:color="auto" w:fill="DBDBDB"/>
          </w:tcPr>
          <w:p>
            <w:pPr>
              <w:spacing w:after="0"/>
              <w:rPr>
                <w:sz w:val="18"/>
                <w:szCs w:val="18"/>
                <w:color w:val="auto"/>
              </w:rPr>
            </w:pPr>
          </w:p>
        </w:tc>
        <w:tc>
          <w:tcPr>
            <w:tcW w:w="15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748</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DBDBDB"/>
          </w:tcPr>
          <w:p>
            <w:pPr>
              <w:spacing w:after="0"/>
              <w:rPr>
                <w:sz w:val="22"/>
                <w:szCs w:val="22"/>
                <w:color w:val="auto"/>
              </w:rPr>
            </w:pPr>
          </w:p>
        </w:tc>
        <w:tc>
          <w:tcPr>
            <w:tcW w:w="1560" w:type="dxa"/>
            <w:vAlign w:val="bottom"/>
            <w:vMerge w:val="continue"/>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236,789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216,209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196,510</w:t>
            </w:r>
          </w:p>
        </w:tc>
        <w:tc>
          <w:tcPr>
            <w:tcW w:w="0" w:type="dxa"/>
            <w:vAlign w:val="bottom"/>
          </w:tcPr>
          <w:p>
            <w:pPr>
              <w:spacing w:after="0"/>
              <w:rPr>
                <w:sz w:val="1"/>
                <w:szCs w:val="1"/>
                <w:color w:val="auto"/>
              </w:rPr>
            </w:pP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DBDBDB"/>
          </w:tcPr>
          <w:p>
            <w:pPr>
              <w:spacing w:after="0"/>
              <w:rPr>
                <w:sz w:val="24"/>
                <w:szCs w:val="24"/>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1,500,502</w:t>
            </w:r>
          </w:p>
        </w:tc>
        <w:tc>
          <w:tcPr>
            <w:tcW w:w="80" w:type="dxa"/>
            <w:vAlign w:val="bottom"/>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spacing w:after="0"/>
              <w:rPr>
                <w:sz w:val="24"/>
                <w:szCs w:val="24"/>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1,411,330</w:t>
            </w:r>
          </w:p>
        </w:tc>
        <w:tc>
          <w:tcPr>
            <w:tcW w:w="80" w:type="dxa"/>
            <w:vAlign w:val="bottom"/>
            <w:shd w:val="clear" w:color="auto" w:fill="DBDBDB"/>
          </w:tcPr>
          <w:p>
            <w:pPr>
              <w:spacing w:after="0"/>
              <w:rPr>
                <w:sz w:val="24"/>
                <w:szCs w:val="24"/>
                <w:color w:val="auto"/>
              </w:rPr>
            </w:pPr>
          </w:p>
        </w:tc>
        <w:tc>
          <w:tcPr>
            <w:tcW w:w="220" w:type="dxa"/>
            <w:vAlign w:val="bottom"/>
            <w:tcBorders>
              <w:bottom w:val="single" w:sz="8" w:color="auto"/>
            </w:tcBorders>
            <w:shd w:val="clear" w:color="auto" w:fill="DBDBDB"/>
          </w:tcPr>
          <w:p>
            <w:pPr>
              <w:spacing w:after="0"/>
              <w:rPr>
                <w:sz w:val="24"/>
                <w:szCs w:val="24"/>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1,323,964</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DBDBDB"/>
            </w:tcBorders>
          </w:tcPr>
          <w:p>
            <w:pPr>
              <w:ind w:left="4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1,738,039</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1,628,306</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1,521,271</w:t>
            </w:r>
          </w:p>
        </w:tc>
        <w:tc>
          <w:tcPr>
            <w:tcW w:w="0" w:type="dxa"/>
            <w:vAlign w:val="bottom"/>
          </w:tcPr>
          <w:p>
            <w:pPr>
              <w:spacing w:after="0"/>
              <w:rPr>
                <w:sz w:val="1"/>
                <w:szCs w:val="1"/>
                <w:color w:val="auto"/>
              </w:rPr>
            </w:pPr>
          </w:p>
        </w:tc>
      </w:tr>
      <w:tr>
        <w:trPr>
          <w:trHeight w:val="295"/>
        </w:trPr>
        <w:tc>
          <w:tcPr>
            <w:tcW w:w="56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4,675,416</w:t>
            </w:r>
          </w:p>
        </w:tc>
        <w:tc>
          <w:tcPr>
            <w:tcW w:w="8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4,595,439</w:t>
            </w:r>
          </w:p>
        </w:tc>
        <w:tc>
          <w:tcPr>
            <w:tcW w:w="80" w:type="dxa"/>
            <w:vAlign w:val="bottom"/>
            <w:tcBorders>
              <w:bottom w:val="single" w:sz="8" w:color="DBDBDB"/>
            </w:tcBorders>
            <w:shd w:val="clear" w:color="auto" w:fill="DBDBDB"/>
          </w:tcPr>
          <w:p>
            <w:pPr>
              <w:spacing w:after="0"/>
              <w:rPr>
                <w:sz w:val="24"/>
                <w:szCs w:val="24"/>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4,653,969</w:t>
            </w:r>
          </w:p>
        </w:tc>
        <w:tc>
          <w:tcPr>
            <w:tcW w:w="0" w:type="dxa"/>
            <w:vAlign w:val="bottom"/>
          </w:tcPr>
          <w:p>
            <w:pPr>
              <w:spacing w:after="0"/>
              <w:rPr>
                <w:sz w:val="1"/>
                <w:szCs w:val="1"/>
                <w:color w:val="auto"/>
              </w:rPr>
            </w:pPr>
          </w:p>
        </w:tc>
      </w:tr>
      <w:tr>
        <w:trPr>
          <w:trHeight w:val="20"/>
        </w:trPr>
        <w:tc>
          <w:tcPr>
            <w:tcW w:w="56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-7225665</wp:posOffset>
            </wp:positionV>
            <wp:extent cx="3522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ectPr>
          <w:pgSz w:w="11900" w:h="16838" w:orient="portrait"/>
          <w:cols w:equalWidth="0" w:num="1">
            <w:col w:w="11140"/>
          </w:cols>
          <w:pgMar w:left="380" w:top="765" w:right="379" w:bottom="1440" w:gutter="0" w:footer="0" w:header="0"/>
        </w:sect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40"/>
          </w:cols>
          <w:pgMar w:left="380" w:top="765" w:right="37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500" w:type="dxa"/>
            <w:vAlign w:val="bottom"/>
          </w:tcPr>
          <w:p>
            <w:pPr>
              <w:spacing w:after="0"/>
              <w:rPr>
                <w:sz w:val="23"/>
                <w:szCs w:val="23"/>
                <w:color w:val="auto"/>
              </w:rPr>
            </w:pPr>
          </w:p>
        </w:tc>
        <w:tc>
          <w:tcPr>
            <w:tcW w:w="220" w:type="dxa"/>
            <w:vAlign w:val="bottom"/>
            <w:shd w:val="clear" w:color="auto" w:fill="0A2299"/>
          </w:tcPr>
          <w:p>
            <w:pPr>
              <w:spacing w:after="0"/>
              <w:rPr>
                <w:sz w:val="23"/>
                <w:szCs w:val="23"/>
                <w:color w:val="auto"/>
              </w:rPr>
            </w:pPr>
          </w:p>
        </w:tc>
        <w:tc>
          <w:tcPr>
            <w:tcW w:w="3460" w:type="dxa"/>
            <w:vAlign w:val="bottom"/>
            <w:gridSpan w:val="4"/>
            <w:shd w:val="clear" w:color="auto" w:fill="0A2299"/>
          </w:tcPr>
          <w:p>
            <w:pPr>
              <w:jc w:val="right"/>
              <w:ind w:right="670"/>
              <w:spacing w:after="0"/>
              <w:rPr>
                <w:sz w:val="20"/>
                <w:szCs w:val="20"/>
                <w:color w:val="auto"/>
              </w:rPr>
            </w:pPr>
            <w:r>
              <w:rPr>
                <w:rFonts w:ascii="Arial" w:cs="Arial" w:eastAsia="Arial" w:hAnsi="Arial"/>
                <w:sz w:val="18"/>
                <w:szCs w:val="18"/>
                <w:b w:val="1"/>
                <w:bCs w:val="1"/>
                <w:color w:val="FFFFFF"/>
              </w:rPr>
              <w:t>Twenty-Six Weeks Ended</w:t>
            </w:r>
          </w:p>
        </w:tc>
      </w:tr>
      <w:tr>
        <w:trPr>
          <w:trHeight w:val="283"/>
        </w:trPr>
        <w:tc>
          <w:tcPr>
            <w:tcW w:w="7500" w:type="dxa"/>
            <w:vAlign w:val="bottom"/>
          </w:tcPr>
          <w:p>
            <w:pPr>
              <w:spacing w:after="0"/>
              <w:rPr>
                <w:sz w:val="24"/>
                <w:szCs w:val="24"/>
                <w:color w:val="auto"/>
              </w:rPr>
            </w:pPr>
          </w:p>
        </w:tc>
        <w:tc>
          <w:tcPr>
            <w:tcW w:w="220" w:type="dxa"/>
            <w:vAlign w:val="bottom"/>
            <w:shd w:val="clear" w:color="auto" w:fill="0A2299"/>
          </w:tcPr>
          <w:p>
            <w:pPr>
              <w:spacing w:after="0"/>
              <w:rPr>
                <w:sz w:val="24"/>
                <w:szCs w:val="24"/>
                <w:color w:val="auto"/>
              </w:rPr>
            </w:pPr>
          </w:p>
        </w:tc>
        <w:tc>
          <w:tcPr>
            <w:tcW w:w="1660" w:type="dxa"/>
            <w:vAlign w:val="bottom"/>
            <w:gridSpan w:val="2"/>
            <w:shd w:val="clear" w:color="auto" w:fill="0A2299"/>
          </w:tcPr>
          <w:p>
            <w:pPr>
              <w:ind w:left="120"/>
              <w:spacing w:after="0"/>
              <w:rPr>
                <w:sz w:val="20"/>
                <w:szCs w:val="20"/>
                <w:color w:val="auto"/>
              </w:rPr>
            </w:pPr>
            <w:r>
              <w:rPr>
                <w:rFonts w:ascii="Arial" w:cs="Arial" w:eastAsia="Arial" w:hAnsi="Arial"/>
                <w:sz w:val="18"/>
                <w:szCs w:val="18"/>
                <w:b w:val="1"/>
                <w:bCs w:val="1"/>
                <w:color w:val="FFFFFF"/>
              </w:rPr>
              <w:t>July 29, 2023</w:t>
            </w:r>
          </w:p>
        </w:tc>
        <w:tc>
          <w:tcPr>
            <w:tcW w:w="220" w:type="dxa"/>
            <w:vAlign w:val="bottom"/>
            <w:shd w:val="clear" w:color="auto" w:fill="0A2299"/>
          </w:tcPr>
          <w:p>
            <w:pPr>
              <w:spacing w:after="0"/>
              <w:rPr>
                <w:sz w:val="24"/>
                <w:szCs w:val="24"/>
                <w:color w:val="auto"/>
              </w:rPr>
            </w:pPr>
          </w:p>
        </w:tc>
        <w:tc>
          <w:tcPr>
            <w:tcW w:w="1580" w:type="dxa"/>
            <w:vAlign w:val="bottom"/>
            <w:shd w:val="clear" w:color="auto" w:fill="0A2299"/>
          </w:tcPr>
          <w:p>
            <w:pPr>
              <w:jc w:val="right"/>
              <w:ind w:right="250"/>
              <w:spacing w:after="0"/>
              <w:rPr>
                <w:sz w:val="20"/>
                <w:szCs w:val="20"/>
                <w:color w:val="auto"/>
              </w:rPr>
            </w:pPr>
            <w:r>
              <w:rPr>
                <w:rFonts w:ascii="Arial" w:cs="Arial" w:eastAsia="Arial" w:hAnsi="Arial"/>
                <w:sz w:val="18"/>
                <w:szCs w:val="18"/>
                <w:b w:val="1"/>
                <w:bCs w:val="1"/>
                <w:color w:val="FFFFFF"/>
              </w:rPr>
              <w:t>July 30, 2022</w:t>
            </w:r>
          </w:p>
        </w:tc>
      </w:tr>
      <w:tr>
        <w:trPr>
          <w:trHeight w:val="270"/>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251,045</w:t>
            </w: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338,607</w:t>
            </w:r>
          </w:p>
        </w:tc>
      </w:tr>
      <w:tr>
        <w:trPr>
          <w:trHeight w:val="258"/>
        </w:trPr>
        <w:tc>
          <w:tcPr>
            <w:tcW w:w="75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DBDBDB"/>
            </w:tcBorders>
            <w:shd w:val="clear" w:color="auto" w:fill="DBDBDB"/>
          </w:tcPr>
          <w:p>
            <w:pPr>
              <w:spacing w:after="0"/>
              <w:rPr>
                <w:sz w:val="22"/>
                <w:szCs w:val="22"/>
                <w:color w:val="auto"/>
              </w:rPr>
            </w:pPr>
          </w:p>
        </w:tc>
        <w:tc>
          <w:tcPr>
            <w:tcW w:w="8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DBDBDB"/>
            </w:tcBorders>
            <w:shd w:val="clear" w:color="auto" w:fill="DBDBDB"/>
          </w:tcPr>
          <w:p>
            <w:pPr>
              <w:spacing w:after="0"/>
              <w:rPr>
                <w:sz w:val="22"/>
                <w:szCs w:val="22"/>
                <w:color w:val="auto"/>
              </w:rPr>
            </w:pP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52,021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51,852</w:t>
            </w:r>
          </w:p>
        </w:tc>
      </w:tr>
      <w:tr>
        <w:trPr>
          <w:trHeight w:val="278"/>
        </w:trPr>
        <w:tc>
          <w:tcPr>
            <w:tcW w:w="75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1,604</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548</w:t>
            </w: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Equity compensation</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19,883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9,657</w:t>
            </w:r>
          </w:p>
        </w:tc>
      </w:tr>
      <w:tr>
        <w:trPr>
          <w:trHeight w:val="278"/>
        </w:trPr>
        <w:tc>
          <w:tcPr>
            <w:tcW w:w="75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Amortization of deferred loan and other costs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1,348</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1,552</w:t>
            </w: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1,866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17,976</w:t>
            </w:r>
          </w:p>
        </w:tc>
      </w:tr>
      <w:tr>
        <w:trPr>
          <w:trHeight w:val="278"/>
        </w:trPr>
        <w:tc>
          <w:tcPr>
            <w:tcW w:w="75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Gain on disposal of property and equipment</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(361)</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00" w:type="dxa"/>
            <w:vAlign w:val="bottom"/>
          </w:tcPr>
          <w:p>
            <w:pPr>
              <w:ind w:left="44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0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1,878</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5,197</w:t>
            </w:r>
          </w:p>
        </w:tc>
      </w:tr>
      <w:tr>
        <w:trPr>
          <w:trHeight w:val="262"/>
        </w:trPr>
        <w:tc>
          <w:tcPr>
            <w:tcW w:w="7500" w:type="dxa"/>
            <w:vAlign w:val="bottom"/>
          </w:tcPr>
          <w:p>
            <w:pPr>
              <w:ind w:left="660"/>
              <w:spacing w:after="0"/>
              <w:rPr>
                <w:sz w:val="20"/>
                <w:szCs w:val="20"/>
                <w:color w:val="auto"/>
              </w:rPr>
            </w:pPr>
            <w:r>
              <w:rPr>
                <w:rFonts w:ascii="Arial" w:cs="Arial" w:eastAsia="Arial" w:hAnsi="Arial"/>
                <w:sz w:val="18"/>
                <w:szCs w:val="18"/>
                <w:color w:val="auto"/>
              </w:rPr>
              <w:t>Merchandise inventories, net</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(25,516)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(132,748)</w:t>
            </w:r>
          </w:p>
        </w:tc>
      </w:tr>
      <w:tr>
        <w:trPr>
          <w:trHeight w:val="278"/>
        </w:trPr>
        <w:tc>
          <w:tcPr>
            <w:tcW w:w="7500" w:type="dxa"/>
            <w:vAlign w:val="bottom"/>
            <w:shd w:val="clear" w:color="auto" w:fill="DBDBDB"/>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(37,559)</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(9,987)</w:t>
            </w:r>
          </w:p>
        </w:tc>
      </w:tr>
      <w:tr>
        <w:trPr>
          <w:trHeight w:val="262"/>
        </w:trPr>
        <w:tc>
          <w:tcPr>
            <w:tcW w:w="7500" w:type="dxa"/>
            <w:vAlign w:val="bottom"/>
          </w:tcPr>
          <w:p>
            <w:pPr>
              <w:ind w:left="66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(6,924)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(5,788)</w:t>
            </w:r>
          </w:p>
        </w:tc>
      </w:tr>
      <w:tr>
        <w:trPr>
          <w:trHeight w:val="278"/>
        </w:trPr>
        <w:tc>
          <w:tcPr>
            <w:tcW w:w="750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(12,446)</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31,596</w:t>
            </w:r>
          </w:p>
        </w:tc>
      </w:tr>
      <w:tr>
        <w:trPr>
          <w:trHeight w:val="262"/>
        </w:trPr>
        <w:tc>
          <w:tcPr>
            <w:tcW w:w="7500" w:type="dxa"/>
            <w:vAlign w:val="bottom"/>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(3,316)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(47,447)</w:t>
            </w:r>
          </w:p>
        </w:tc>
      </w:tr>
      <w:tr>
        <w:trPr>
          <w:trHeight w:val="278"/>
        </w:trPr>
        <w:tc>
          <w:tcPr>
            <w:tcW w:w="7500" w:type="dxa"/>
            <w:vAlign w:val="bottom"/>
            <w:shd w:val="clear" w:color="auto" w:fill="DBDBDB"/>
          </w:tcPr>
          <w:p>
            <w:pPr>
              <w:ind w:left="66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805</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(3,219)</w:t>
            </w:r>
          </w:p>
        </w:tc>
      </w:tr>
      <w:tr>
        <w:trPr>
          <w:trHeight w:val="263"/>
        </w:trPr>
        <w:tc>
          <w:tcPr>
            <w:tcW w:w="7500" w:type="dxa"/>
            <w:vAlign w:val="bottom"/>
            <w:tcBorders>
              <w:bottom w:val="single" w:sz="8" w:color="DBDBDB"/>
            </w:tcBorders>
          </w:tcPr>
          <w:p>
            <w:pPr>
              <w:ind w:left="66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64"/>
        </w:trPr>
        <w:tc>
          <w:tcPr>
            <w:tcW w:w="750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243,566</w:t>
            </w:r>
          </w:p>
        </w:tc>
        <w:tc>
          <w:tcPr>
            <w:tcW w:w="8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258,406</w:t>
            </w:r>
          </w:p>
        </w:tc>
      </w:tr>
      <w:tr>
        <w:trPr>
          <w:trHeight w:val="243"/>
        </w:trPr>
        <w:tc>
          <w:tcPr>
            <w:tcW w:w="7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0"/>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r>
      <w:tr>
        <w:trPr>
          <w:trHeight w:val="262"/>
        </w:trPr>
        <w:tc>
          <w:tcPr>
            <w:tcW w:w="75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(109,759)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(48,050)</w:t>
            </w:r>
          </w:p>
        </w:tc>
      </w:tr>
      <w:tr>
        <w:trPr>
          <w:trHeight w:val="278"/>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Purchases of intangible assets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(213)</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r>
      <w:tr>
        <w:trPr>
          <w:trHeight w:val="263"/>
        </w:trPr>
        <w:tc>
          <w:tcPr>
            <w:tcW w:w="75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Proceeds from the sale of property and equipment</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2,126</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50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(107,846)</w:t>
            </w:r>
          </w:p>
        </w:tc>
        <w:tc>
          <w:tcPr>
            <w:tcW w:w="8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(48,134)</w:t>
            </w:r>
          </w:p>
        </w:tc>
      </w:tr>
      <w:tr>
        <w:trPr>
          <w:trHeight w:val="243"/>
        </w:trPr>
        <w:tc>
          <w:tcPr>
            <w:tcW w:w="7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0"/>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r>
      <w:tr>
        <w:trPr>
          <w:trHeight w:val="262"/>
        </w:trPr>
        <w:tc>
          <w:tcPr>
            <w:tcW w:w="7500" w:type="dxa"/>
            <w:vAlign w:val="bottom"/>
          </w:tcPr>
          <w:p>
            <w:pPr>
              <w:ind w:left="220"/>
              <w:spacing w:after="0"/>
              <w:rPr>
                <w:sz w:val="20"/>
                <w:szCs w:val="20"/>
                <w:color w:val="auto"/>
              </w:rPr>
            </w:pPr>
            <w:r>
              <w:rPr>
                <w:rFonts w:ascii="Arial" w:cs="Arial" w:eastAsia="Arial" w:hAnsi="Arial"/>
                <w:sz w:val="18"/>
                <w:szCs w:val="18"/>
                <w:color w:val="auto"/>
              </w:rPr>
              <w:t>Repayment of Term Loan</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8"/>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11,639</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4,683</w:t>
            </w:r>
          </w:p>
        </w:tc>
      </w:tr>
      <w:tr>
        <w:trPr>
          <w:trHeight w:val="262"/>
        </w:trPr>
        <w:tc>
          <w:tcPr>
            <w:tcW w:w="750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under employee stock purchase program</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2,887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2,797</w:t>
            </w:r>
          </w:p>
        </w:tc>
      </w:tr>
      <w:tr>
        <w:trPr>
          <w:trHeight w:val="278"/>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(4,283)</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(974)</w:t>
            </w: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Repurchase of common stock for retirement</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(156,447)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(288,612)</w:t>
            </w:r>
          </w:p>
        </w:tc>
      </w:tr>
      <w:tr>
        <w:trPr>
          <w:trHeight w:val="271"/>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(13,825)</w:t>
            </w:r>
          </w:p>
        </w:tc>
        <w:tc>
          <w:tcPr>
            <w:tcW w:w="80" w:type="dxa"/>
            <w:vAlign w:val="bottom"/>
            <w:shd w:val="clear" w:color="auto" w:fill="DBDBDB"/>
          </w:tcPr>
          <w:p>
            <w:pPr>
              <w:spacing w:after="0"/>
              <w:rPr>
                <w:sz w:val="23"/>
                <w:szCs w:val="23"/>
                <w:color w:val="auto"/>
              </w:rPr>
            </w:pP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(12,807)</w:t>
            </w:r>
          </w:p>
        </w:tc>
      </w:tr>
      <w:tr>
        <w:trPr>
          <w:trHeight w:val="263"/>
        </w:trPr>
        <w:tc>
          <w:tcPr>
            <w:tcW w:w="7500" w:type="dxa"/>
            <w:vAlign w:val="bottom"/>
            <w:tcBorders>
              <w:bottom w:val="single" w:sz="8" w:color="DBDBDB"/>
            </w:tcBorders>
          </w:tcPr>
          <w:p>
            <w:pPr>
              <w:ind w:left="8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(161,529)</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(296,413)</w:t>
            </w:r>
          </w:p>
        </w:tc>
      </w:tr>
      <w:tr>
        <w:trPr>
          <w:trHeight w:val="243"/>
        </w:trPr>
        <w:tc>
          <w:tcPr>
            <w:tcW w:w="75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5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580" w:type="dxa"/>
            <w:vAlign w:val="bottom"/>
            <w:shd w:val="clear" w:color="auto" w:fill="DBDBDB"/>
          </w:tcPr>
          <w:p>
            <w:pPr>
              <w:spacing w:after="0"/>
              <w:rPr>
                <w:sz w:val="21"/>
                <w:szCs w:val="21"/>
                <w:color w:val="auto"/>
              </w:rPr>
            </w:pPr>
          </w:p>
        </w:tc>
      </w:tr>
      <w:tr>
        <w:trPr>
          <w:trHeight w:val="263"/>
        </w:trPr>
        <w:tc>
          <w:tcPr>
            <w:tcW w:w="75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(25,809)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(86,141)</w:t>
            </w:r>
          </w:p>
        </w:tc>
      </w:tr>
      <w:tr>
        <w:trPr>
          <w:trHeight w:val="271"/>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337,145</w:t>
            </w:r>
          </w:p>
        </w:tc>
        <w:tc>
          <w:tcPr>
            <w:tcW w:w="80" w:type="dxa"/>
            <w:vAlign w:val="bottom"/>
            <w:shd w:val="clear" w:color="auto" w:fill="DBDBDB"/>
          </w:tcPr>
          <w:p>
            <w:pPr>
              <w:spacing w:after="0"/>
              <w:rPr>
                <w:sz w:val="23"/>
                <w:szCs w:val="23"/>
                <w:color w:val="auto"/>
              </w:rPr>
            </w:pP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485,998</w:t>
            </w:r>
          </w:p>
        </w:tc>
      </w:tr>
      <w:tr>
        <w:trPr>
          <w:trHeight w:val="270"/>
        </w:trPr>
        <w:tc>
          <w:tcPr>
            <w:tcW w:w="75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311,336</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399,857</w:t>
            </w: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-6557010</wp:posOffset>
            </wp:positionV>
            <wp:extent cx="23399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-6737350</wp:posOffset>
            </wp:positionV>
            <wp:extent cx="23399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180"/>
          </w:cols>
          <w:pgMar w:left="360" w:top="765"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80"/>
          </w:cols>
          <w:pgMar w:left="360" w:top="765" w:right="359" w:bottom="1440" w:gutter="0" w:footer="0" w:header="0"/>
          <w:type w:val="continuous"/>
        </w:sectPr>
      </w:pPr>
    </w:p>
    <w:bookmarkStart w:id="10" w:name="page11"/>
    <w:bookmarkEnd w:id="10"/>
    <w:p>
      <w:pPr>
        <w:jc w:val="center"/>
        <w:ind w:left="340" w:right="2640"/>
        <w:spacing w:after="0" w:line="287" w:lineRule="auto"/>
        <w:rPr>
          <w:sz w:val="20"/>
          <w:szCs w:val="20"/>
          <w:color w:val="auto"/>
        </w:rPr>
      </w:pPr>
      <w:r>
        <w:rPr>
          <w:rFonts w:ascii="Arial" w:cs="Arial" w:eastAsia="Arial" w:hAnsi="Arial"/>
          <w:sz w:val="18"/>
          <w:szCs w:val="18"/>
          <w:b w:val="1"/>
          <w:bCs w:val="1"/>
          <w:color w:val="auto"/>
        </w:rPr>
        <w:t>ACADEMY SPORTS AND OUTDOORS, INC. RECONCILIATIONS OF GAAP TO NON-GAAP FINANCIAL MEASURES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costs such as equity compensation expense, (gain) loss on early retirement of debt, net, payroll taxes associated with a vesting event, as a result of a secondary offering, of certain time and performance-based equity awards, which occurred in May 2021 (the “2021 Vesting Event”) and other adjustments. We define “Adjusted EBIT” as net income (loss) before interest expense, net, and income tax expense, further adjusted to exclude costs such as equity compensation expense, (gain) loss on early retirement of debt, net, payroll taxes associated with the 2021 Vesting Event and other adjustments. We describe these adjustments reconciling net income (loss) to Adjusted EBITDA and Adjusted EBIT in the following table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20" w:type="dxa"/>
            <w:vAlign w:val="bottom"/>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3280" w:type="dxa"/>
            <w:vAlign w:val="bottom"/>
            <w:gridSpan w:val="5"/>
            <w:shd w:val="clear" w:color="auto" w:fill="0A2299"/>
          </w:tcPr>
          <w:p>
            <w:pPr>
              <w:ind w:left="620"/>
              <w:spacing w:after="0"/>
              <w:rPr>
                <w:sz w:val="20"/>
                <w:szCs w:val="20"/>
                <w:color w:val="auto"/>
              </w:rPr>
            </w:pPr>
            <w:r>
              <w:rPr>
                <w:rFonts w:ascii="Arial" w:cs="Arial" w:eastAsia="Arial" w:hAnsi="Arial"/>
                <w:sz w:val="16"/>
                <w:szCs w:val="16"/>
                <w:b w:val="1"/>
                <w:bCs w:val="1"/>
                <w:color w:val="FFFFFF"/>
              </w:rPr>
              <w:t>Thirteen Weeks Ended</w:t>
            </w:r>
          </w:p>
        </w:tc>
        <w:tc>
          <w:tcPr>
            <w:tcW w:w="220" w:type="dxa"/>
            <w:vAlign w:val="bottom"/>
            <w:shd w:val="clear" w:color="auto" w:fill="0A2299"/>
          </w:tcPr>
          <w:p>
            <w:pPr>
              <w:spacing w:after="0"/>
              <w:rPr>
                <w:sz w:val="21"/>
                <w:szCs w:val="21"/>
                <w:color w:val="auto"/>
              </w:rPr>
            </w:pPr>
          </w:p>
        </w:tc>
        <w:tc>
          <w:tcPr>
            <w:tcW w:w="3200" w:type="dxa"/>
            <w:vAlign w:val="bottom"/>
            <w:gridSpan w:val="4"/>
            <w:shd w:val="clear" w:color="auto" w:fill="0A2299"/>
          </w:tcPr>
          <w:p>
            <w:pPr>
              <w:jc w:val="right"/>
              <w:ind w:right="659"/>
              <w:spacing w:after="0"/>
              <w:rPr>
                <w:sz w:val="20"/>
                <w:szCs w:val="20"/>
                <w:color w:val="auto"/>
              </w:rPr>
            </w:pPr>
            <w:r>
              <w:rPr>
                <w:rFonts w:ascii="Arial" w:cs="Arial" w:eastAsia="Arial" w:hAnsi="Arial"/>
                <w:sz w:val="16"/>
                <w:szCs w:val="16"/>
                <w:b w:val="1"/>
                <w:bCs w:val="1"/>
                <w:color w:val="FFFFFF"/>
              </w:rPr>
              <w:t>Twenty-Six Weeks Ended</w:t>
            </w:r>
          </w:p>
        </w:tc>
      </w:tr>
      <w:tr>
        <w:trPr>
          <w:trHeight w:val="253"/>
        </w:trPr>
        <w:tc>
          <w:tcPr>
            <w:tcW w:w="4320" w:type="dxa"/>
            <w:vAlign w:val="bottom"/>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1520" w:type="dxa"/>
            <w:vAlign w:val="bottom"/>
            <w:gridSpan w:val="2"/>
            <w:shd w:val="clear" w:color="auto" w:fill="0A2299"/>
          </w:tcPr>
          <w:p>
            <w:pPr>
              <w:ind w:left="120"/>
              <w:spacing w:after="0"/>
              <w:rPr>
                <w:sz w:val="20"/>
                <w:szCs w:val="20"/>
                <w:color w:val="auto"/>
              </w:rPr>
            </w:pPr>
            <w:r>
              <w:rPr>
                <w:rFonts w:ascii="Arial" w:cs="Arial" w:eastAsia="Arial" w:hAnsi="Arial"/>
                <w:sz w:val="16"/>
                <w:szCs w:val="16"/>
                <w:b w:val="1"/>
                <w:bCs w:val="1"/>
                <w:color w:val="FFFFFF"/>
              </w:rPr>
              <w:t>July 29, 2023</w:t>
            </w:r>
          </w:p>
        </w:tc>
        <w:tc>
          <w:tcPr>
            <w:tcW w:w="240" w:type="dxa"/>
            <w:vAlign w:val="bottom"/>
            <w:shd w:val="clear" w:color="auto" w:fill="0A2299"/>
          </w:tcPr>
          <w:p>
            <w:pPr>
              <w:spacing w:after="0"/>
              <w:rPr>
                <w:sz w:val="21"/>
                <w:szCs w:val="21"/>
                <w:color w:val="auto"/>
              </w:rPr>
            </w:pPr>
          </w:p>
        </w:tc>
        <w:tc>
          <w:tcPr>
            <w:tcW w:w="1520" w:type="dxa"/>
            <w:vAlign w:val="bottom"/>
            <w:gridSpan w:val="2"/>
            <w:shd w:val="clear" w:color="auto" w:fill="0A2299"/>
          </w:tcPr>
          <w:p>
            <w:pPr>
              <w:ind w:left="100"/>
              <w:spacing w:after="0"/>
              <w:rPr>
                <w:sz w:val="20"/>
                <w:szCs w:val="20"/>
                <w:color w:val="auto"/>
              </w:rPr>
            </w:pPr>
            <w:r>
              <w:rPr>
                <w:rFonts w:ascii="Arial" w:cs="Arial" w:eastAsia="Arial" w:hAnsi="Arial"/>
                <w:sz w:val="16"/>
                <w:szCs w:val="16"/>
                <w:b w:val="1"/>
                <w:bCs w:val="1"/>
                <w:color w:val="FFFFFF"/>
              </w:rPr>
              <w:t>July 30, 2022</w:t>
            </w:r>
          </w:p>
        </w:tc>
        <w:tc>
          <w:tcPr>
            <w:tcW w:w="220" w:type="dxa"/>
            <w:vAlign w:val="bottom"/>
            <w:shd w:val="clear" w:color="auto" w:fill="0A2299"/>
          </w:tcPr>
          <w:p>
            <w:pPr>
              <w:spacing w:after="0"/>
              <w:rPr>
                <w:sz w:val="21"/>
                <w:szCs w:val="21"/>
                <w:color w:val="auto"/>
              </w:rPr>
            </w:pPr>
          </w:p>
        </w:tc>
        <w:tc>
          <w:tcPr>
            <w:tcW w:w="1540" w:type="dxa"/>
            <w:vAlign w:val="bottom"/>
            <w:gridSpan w:val="2"/>
            <w:shd w:val="clear" w:color="auto" w:fill="0A2299"/>
          </w:tcPr>
          <w:p>
            <w:pPr>
              <w:ind w:left="120"/>
              <w:spacing w:after="0"/>
              <w:rPr>
                <w:sz w:val="20"/>
                <w:szCs w:val="20"/>
                <w:color w:val="auto"/>
              </w:rPr>
            </w:pPr>
            <w:r>
              <w:rPr>
                <w:rFonts w:ascii="Arial" w:cs="Arial" w:eastAsia="Arial" w:hAnsi="Arial"/>
                <w:sz w:val="16"/>
                <w:szCs w:val="16"/>
                <w:b w:val="1"/>
                <w:bCs w:val="1"/>
                <w:color w:val="FFFFFF"/>
              </w:rPr>
              <w:t>July 29, 2023</w:t>
            </w:r>
          </w:p>
        </w:tc>
        <w:tc>
          <w:tcPr>
            <w:tcW w:w="220" w:type="dxa"/>
            <w:vAlign w:val="bottom"/>
            <w:shd w:val="clear" w:color="auto" w:fill="0A2299"/>
          </w:tcPr>
          <w:p>
            <w:pPr>
              <w:spacing w:after="0"/>
              <w:rPr>
                <w:sz w:val="21"/>
                <w:szCs w:val="21"/>
                <w:color w:val="auto"/>
              </w:rPr>
            </w:pPr>
          </w:p>
        </w:tc>
        <w:tc>
          <w:tcPr>
            <w:tcW w:w="1440" w:type="dxa"/>
            <w:vAlign w:val="bottom"/>
            <w:shd w:val="clear" w:color="auto" w:fill="0A2299"/>
          </w:tcPr>
          <w:p>
            <w:pPr>
              <w:jc w:val="right"/>
              <w:ind w:right="259"/>
              <w:spacing w:after="0"/>
              <w:rPr>
                <w:sz w:val="20"/>
                <w:szCs w:val="20"/>
                <w:color w:val="auto"/>
              </w:rPr>
            </w:pPr>
            <w:r>
              <w:rPr>
                <w:rFonts w:ascii="Arial" w:cs="Arial" w:eastAsia="Arial" w:hAnsi="Arial"/>
                <w:sz w:val="16"/>
                <w:szCs w:val="16"/>
                <w:b w:val="1"/>
                <w:bCs w:val="1"/>
                <w:color w:val="FFFFFF"/>
              </w:rPr>
              <w:t>July 30, 2022</w:t>
            </w:r>
          </w:p>
        </w:tc>
      </w:tr>
      <w:tr>
        <w:trPr>
          <w:trHeight w:val="256"/>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157,075</w:t>
            </w: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188,801</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251,045</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338,607</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11,313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22,543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22,077</w:t>
            </w:r>
          </w:p>
        </w:tc>
      </w:tr>
      <w:tr>
        <w:trPr>
          <w:trHeight w:val="247"/>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46,198</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58,217</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70,907</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103,681</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25,760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26,274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51,852</w:t>
            </w:r>
          </w:p>
        </w:tc>
      </w:tr>
      <w:tr>
        <w:trPr>
          <w:trHeight w:val="243"/>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 compensation (a)</w:t>
            </w:r>
          </w:p>
        </w:tc>
        <w:tc>
          <w:tcPr>
            <w:tcW w:w="22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8,501</w:t>
            </w:r>
          </w:p>
        </w:tc>
        <w:tc>
          <w:tcPr>
            <w:tcW w:w="80" w:type="dxa"/>
            <w:vAlign w:val="bottom"/>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6,158</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19,883</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9,657</w:t>
            </w:r>
          </w:p>
        </w:tc>
      </w:tr>
      <w:tr>
        <w:trPr>
          <w:trHeight w:val="236"/>
        </w:trPr>
        <w:tc>
          <w:tcPr>
            <w:tcW w:w="43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Adjusted EBITDA (b)</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248,847</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290,607</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416,399</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525,874</w:t>
            </w:r>
          </w:p>
        </w:tc>
      </w:tr>
      <w:tr>
        <w:trPr>
          <w:trHeight w:val="237"/>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Depreciation and amortization</w:t>
            </w:r>
          </w:p>
        </w:tc>
        <w:tc>
          <w:tcPr>
            <w:tcW w:w="22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(25,760)</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(26,274)</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(52,021)</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(51,852)</w:t>
            </w:r>
          </w:p>
        </w:tc>
      </w:tr>
      <w:tr>
        <w:trPr>
          <w:trHeight w:val="240"/>
        </w:trPr>
        <w:tc>
          <w:tcPr>
            <w:tcW w:w="4320" w:type="dxa"/>
            <w:vAlign w:val="bottom"/>
          </w:tcPr>
          <w:p>
            <w:pPr>
              <w:ind w:left="240"/>
              <w:spacing w:after="0"/>
              <w:rPr>
                <w:sz w:val="20"/>
                <w:szCs w:val="20"/>
                <w:color w:val="auto"/>
              </w:rPr>
            </w:pPr>
            <w:r>
              <w:rPr>
                <w:rFonts w:ascii="Arial" w:cs="Arial" w:eastAsia="Arial" w:hAnsi="Arial"/>
                <w:sz w:val="16"/>
                <w:szCs w:val="16"/>
                <w:color w:val="auto"/>
              </w:rPr>
              <w:t>Adjusted EBIT (b)</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223,087</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264,333</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364,378</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474,022</w:t>
            </w:r>
          </w:p>
        </w:tc>
      </w:tr>
      <w:tr>
        <w:trPr>
          <w:trHeight w:val="21"/>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-1302385</wp:posOffset>
            </wp:positionV>
            <wp:extent cx="43973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9737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-1464945</wp:posOffset>
            </wp:positionV>
            <wp:extent cx="43973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15" w:lineRule="exact"/>
        <w:rPr>
          <w:sz w:val="20"/>
          <w:szCs w:val="20"/>
          <w:color w:val="auto"/>
        </w:rPr>
      </w:pPr>
    </w:p>
    <w:p>
      <w:pPr>
        <w:ind w:left="400" w:right="20" w:hanging="374"/>
        <w:spacing w:after="0" w:line="276"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7" w:lineRule="exact"/>
        <w:rPr>
          <w:rFonts w:ascii="Arial" w:cs="Arial" w:eastAsia="Arial" w:hAnsi="Arial"/>
          <w:sz w:val="13"/>
          <w:szCs w:val="13"/>
          <w:color w:val="auto"/>
        </w:rPr>
      </w:pPr>
    </w:p>
    <w:p>
      <w:pPr>
        <w:ind w:left="400" w:right="20" w:hanging="374"/>
        <w:spacing w:after="0" w:line="276"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Effective January 28, 2023, we no longer exclude pre-opening expenses from our computations of Adjusted EBITDA and Adjusted EBIT. Adjusted EBITDA and Adjusted EBIT for the thirteen and twenty-six weeks ended July 30, 2022 have been revised to the current period computation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define “Adjusted Net Income” as net income (loss), plus costs such as equity compensation expense, (gain) loss on early retirement of debt, net, payroll taxes associated with the 2021 Vesting Event and other adjustments,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20" w:type="dxa"/>
            <w:vAlign w:val="bottom"/>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3280" w:type="dxa"/>
            <w:vAlign w:val="bottom"/>
            <w:gridSpan w:val="5"/>
            <w:shd w:val="clear" w:color="auto" w:fill="0A2299"/>
          </w:tcPr>
          <w:p>
            <w:pPr>
              <w:ind w:left="620"/>
              <w:spacing w:after="0"/>
              <w:rPr>
                <w:sz w:val="20"/>
                <w:szCs w:val="20"/>
                <w:color w:val="auto"/>
              </w:rPr>
            </w:pPr>
            <w:r>
              <w:rPr>
                <w:rFonts w:ascii="Arial" w:cs="Arial" w:eastAsia="Arial" w:hAnsi="Arial"/>
                <w:sz w:val="16"/>
                <w:szCs w:val="16"/>
                <w:b w:val="1"/>
                <w:bCs w:val="1"/>
                <w:color w:val="FFFFFF"/>
              </w:rPr>
              <w:t>Thirteen Weeks Ended</w:t>
            </w:r>
          </w:p>
        </w:tc>
        <w:tc>
          <w:tcPr>
            <w:tcW w:w="220" w:type="dxa"/>
            <w:vAlign w:val="bottom"/>
            <w:shd w:val="clear" w:color="auto" w:fill="0A2299"/>
          </w:tcPr>
          <w:p>
            <w:pPr>
              <w:spacing w:after="0"/>
              <w:rPr>
                <w:sz w:val="21"/>
                <w:szCs w:val="21"/>
                <w:color w:val="auto"/>
              </w:rPr>
            </w:pPr>
          </w:p>
        </w:tc>
        <w:tc>
          <w:tcPr>
            <w:tcW w:w="3200" w:type="dxa"/>
            <w:vAlign w:val="bottom"/>
            <w:gridSpan w:val="4"/>
            <w:shd w:val="clear" w:color="auto" w:fill="0A2299"/>
          </w:tcPr>
          <w:p>
            <w:pPr>
              <w:jc w:val="right"/>
              <w:ind w:right="659"/>
              <w:spacing w:after="0"/>
              <w:rPr>
                <w:sz w:val="20"/>
                <w:szCs w:val="20"/>
                <w:color w:val="auto"/>
              </w:rPr>
            </w:pPr>
            <w:r>
              <w:rPr>
                <w:rFonts w:ascii="Arial" w:cs="Arial" w:eastAsia="Arial" w:hAnsi="Arial"/>
                <w:sz w:val="16"/>
                <w:szCs w:val="16"/>
                <w:b w:val="1"/>
                <w:bCs w:val="1"/>
                <w:color w:val="FFFFFF"/>
              </w:rPr>
              <w:t>Twenty-Six Weeks Ended</w:t>
            </w:r>
          </w:p>
        </w:tc>
      </w:tr>
      <w:tr>
        <w:trPr>
          <w:trHeight w:val="253"/>
        </w:trPr>
        <w:tc>
          <w:tcPr>
            <w:tcW w:w="4320" w:type="dxa"/>
            <w:vAlign w:val="bottom"/>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1520" w:type="dxa"/>
            <w:vAlign w:val="bottom"/>
            <w:gridSpan w:val="2"/>
            <w:shd w:val="clear" w:color="auto" w:fill="0A2299"/>
          </w:tcPr>
          <w:p>
            <w:pPr>
              <w:ind w:left="100"/>
              <w:spacing w:after="0"/>
              <w:rPr>
                <w:sz w:val="20"/>
                <w:szCs w:val="20"/>
                <w:color w:val="auto"/>
              </w:rPr>
            </w:pPr>
            <w:r>
              <w:rPr>
                <w:rFonts w:ascii="Arial" w:cs="Arial" w:eastAsia="Arial" w:hAnsi="Arial"/>
                <w:sz w:val="16"/>
                <w:szCs w:val="16"/>
                <w:b w:val="1"/>
                <w:bCs w:val="1"/>
                <w:color w:val="FFFFFF"/>
              </w:rPr>
              <w:t>July 29, 2023</w:t>
            </w:r>
          </w:p>
        </w:tc>
        <w:tc>
          <w:tcPr>
            <w:tcW w:w="220" w:type="dxa"/>
            <w:vAlign w:val="bottom"/>
            <w:shd w:val="clear" w:color="auto" w:fill="0A2299"/>
          </w:tcPr>
          <w:p>
            <w:pPr>
              <w:spacing w:after="0"/>
              <w:rPr>
                <w:sz w:val="21"/>
                <w:szCs w:val="21"/>
                <w:color w:val="auto"/>
              </w:rPr>
            </w:pPr>
          </w:p>
        </w:tc>
        <w:tc>
          <w:tcPr>
            <w:tcW w:w="1540" w:type="dxa"/>
            <w:vAlign w:val="bottom"/>
            <w:gridSpan w:val="2"/>
            <w:shd w:val="clear" w:color="auto" w:fill="0A2299"/>
          </w:tcPr>
          <w:p>
            <w:pPr>
              <w:ind w:left="120"/>
              <w:spacing w:after="0"/>
              <w:rPr>
                <w:sz w:val="20"/>
                <w:szCs w:val="20"/>
                <w:color w:val="auto"/>
              </w:rPr>
            </w:pPr>
            <w:r>
              <w:rPr>
                <w:rFonts w:ascii="Arial" w:cs="Arial" w:eastAsia="Arial" w:hAnsi="Arial"/>
                <w:sz w:val="16"/>
                <w:szCs w:val="16"/>
                <w:b w:val="1"/>
                <w:bCs w:val="1"/>
                <w:color w:val="FFFFFF"/>
              </w:rPr>
              <w:t>July 30, 2022</w:t>
            </w:r>
          </w:p>
        </w:tc>
        <w:tc>
          <w:tcPr>
            <w:tcW w:w="220" w:type="dxa"/>
            <w:vAlign w:val="bottom"/>
            <w:shd w:val="clear" w:color="auto" w:fill="0A2299"/>
          </w:tcPr>
          <w:p>
            <w:pPr>
              <w:spacing w:after="0"/>
              <w:rPr>
                <w:sz w:val="21"/>
                <w:szCs w:val="21"/>
                <w:color w:val="auto"/>
              </w:rPr>
            </w:pPr>
          </w:p>
        </w:tc>
        <w:tc>
          <w:tcPr>
            <w:tcW w:w="1520" w:type="dxa"/>
            <w:vAlign w:val="bottom"/>
            <w:gridSpan w:val="2"/>
            <w:shd w:val="clear" w:color="auto" w:fill="0A2299"/>
          </w:tcPr>
          <w:p>
            <w:pPr>
              <w:ind w:left="100"/>
              <w:spacing w:after="0"/>
              <w:rPr>
                <w:sz w:val="20"/>
                <w:szCs w:val="20"/>
                <w:color w:val="auto"/>
              </w:rPr>
            </w:pPr>
            <w:r>
              <w:rPr>
                <w:rFonts w:ascii="Arial" w:cs="Arial" w:eastAsia="Arial" w:hAnsi="Arial"/>
                <w:sz w:val="16"/>
                <w:szCs w:val="16"/>
                <w:b w:val="1"/>
                <w:bCs w:val="1"/>
                <w:color w:val="FFFFFF"/>
              </w:rPr>
              <w:t>July 29, 2023</w:t>
            </w:r>
          </w:p>
        </w:tc>
        <w:tc>
          <w:tcPr>
            <w:tcW w:w="220" w:type="dxa"/>
            <w:vAlign w:val="bottom"/>
            <w:shd w:val="clear" w:color="auto" w:fill="0A2299"/>
          </w:tcPr>
          <w:p>
            <w:pPr>
              <w:spacing w:after="0"/>
              <w:rPr>
                <w:sz w:val="21"/>
                <w:szCs w:val="21"/>
                <w:color w:val="auto"/>
              </w:rPr>
            </w:pPr>
          </w:p>
        </w:tc>
        <w:tc>
          <w:tcPr>
            <w:tcW w:w="1460" w:type="dxa"/>
            <w:vAlign w:val="bottom"/>
            <w:shd w:val="clear" w:color="auto" w:fill="0A2299"/>
          </w:tcPr>
          <w:p>
            <w:pPr>
              <w:jc w:val="right"/>
              <w:ind w:right="259"/>
              <w:spacing w:after="0"/>
              <w:rPr>
                <w:sz w:val="20"/>
                <w:szCs w:val="20"/>
                <w:color w:val="auto"/>
              </w:rPr>
            </w:pPr>
            <w:r>
              <w:rPr>
                <w:rFonts w:ascii="Arial" w:cs="Arial" w:eastAsia="Arial" w:hAnsi="Arial"/>
                <w:sz w:val="16"/>
                <w:szCs w:val="16"/>
                <w:b w:val="1"/>
                <w:bCs w:val="1"/>
                <w:color w:val="FFFFFF"/>
              </w:rPr>
              <w:t>July 30, 2022</w:t>
            </w:r>
          </w:p>
        </w:tc>
      </w:tr>
      <w:tr>
        <w:trPr>
          <w:trHeight w:val="256"/>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157,075</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188,801</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251,045</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338,607</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8,501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19,883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9,657</w:t>
            </w:r>
          </w:p>
        </w:tc>
      </w:tr>
      <w:tr>
        <w:trPr>
          <w:trHeight w:val="243"/>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effects of these adjustments (b)</w:t>
            </w:r>
          </w:p>
        </w:tc>
        <w:tc>
          <w:tcPr>
            <w:tcW w:w="22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(2,008)</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(4,378)</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(2,265)</w:t>
            </w:r>
          </w:p>
        </w:tc>
      </w:tr>
      <w:tr>
        <w:trPr>
          <w:trHeight w:val="236"/>
        </w:trPr>
        <w:tc>
          <w:tcPr>
            <w:tcW w:w="4320" w:type="dxa"/>
            <w:vAlign w:val="bottom"/>
          </w:tcPr>
          <w:p>
            <w:pPr>
              <w:ind w:left="240"/>
              <w:spacing w:after="0"/>
              <w:rPr>
                <w:sz w:val="20"/>
                <w:szCs w:val="20"/>
                <w:color w:val="auto"/>
              </w:rPr>
            </w:pPr>
            <w:r>
              <w:rPr>
                <w:rFonts w:ascii="Arial" w:cs="Arial" w:eastAsia="Arial" w:hAnsi="Arial"/>
                <w:sz w:val="16"/>
                <w:szCs w:val="16"/>
                <w:color w:val="auto"/>
              </w:rPr>
              <w:t>Adjusted Net Income (c)</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163,568</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193,510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266,550</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345,999</w:t>
            </w:r>
          </w:p>
        </w:tc>
      </w:tr>
      <w:tr>
        <w:trPr>
          <w:trHeight w:val="152"/>
        </w:trPr>
        <w:tc>
          <w:tcPr>
            <w:tcW w:w="43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43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2.06</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3.28</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w:t>
            </w:r>
          </w:p>
        </w:tc>
      </w:tr>
      <w:tr>
        <w:trPr>
          <w:trHeight w:val="239"/>
        </w:trPr>
        <w:tc>
          <w:tcPr>
            <w:tcW w:w="43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3.19</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47"/>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Earnings per Common Share:</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spacing w:after="0"/>
              <w:rPr>
                <w:sz w:val="21"/>
                <w:szCs w:val="21"/>
                <w:color w:val="auto"/>
              </w:rPr>
            </w:pPr>
          </w:p>
        </w:tc>
      </w:tr>
      <w:tr>
        <w:trPr>
          <w:trHeight w:val="239"/>
        </w:trPr>
        <w:tc>
          <w:tcPr>
            <w:tcW w:w="432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3.49</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47"/>
        </w:trPr>
        <w:tc>
          <w:tcPr>
            <w:tcW w:w="43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2.09</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3.39</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43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76,104</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82,960</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76,483</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84,809</w:t>
            </w:r>
          </w:p>
        </w:tc>
      </w:tr>
      <w:tr>
        <w:trPr>
          <w:trHeight w:val="236"/>
        </w:trPr>
        <w:tc>
          <w:tcPr>
            <w:tcW w:w="43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78,091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84,906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78,735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-2112010</wp:posOffset>
            </wp:positionV>
            <wp:extent cx="4397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9737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-2274570</wp:posOffset>
            </wp:positionV>
            <wp:extent cx="4397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09" w:lineRule="exact"/>
        <w:rPr>
          <w:sz w:val="20"/>
          <w:szCs w:val="20"/>
          <w:color w:val="auto"/>
        </w:rPr>
      </w:pPr>
    </w:p>
    <w:p>
      <w:pPr>
        <w:ind w:left="440" w:right="20" w:hanging="414"/>
        <w:spacing w:after="0" w:line="276" w:lineRule="auto"/>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7" w:lineRule="exact"/>
        <w:rPr>
          <w:rFonts w:ascii="Arial" w:cs="Arial" w:eastAsia="Arial" w:hAnsi="Arial"/>
          <w:sz w:val="13"/>
          <w:szCs w:val="13"/>
          <w:color w:val="auto"/>
        </w:rPr>
      </w:pPr>
    </w:p>
    <w:p>
      <w:pPr>
        <w:ind w:left="440" w:right="20" w:hanging="414"/>
        <w:spacing w:after="0" w:line="276" w:lineRule="auto"/>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the thirteen and twenty-six weeks ended July 29, 2023 and July 30, 2022, this represents the estimated tax effect (by using the projected full year tax rates for the respective years) of the total adjustments made to arrive at Adjusted Net Income.</w:t>
      </w:r>
    </w:p>
    <w:p>
      <w:pPr>
        <w:spacing w:after="0" w:line="7" w:lineRule="exact"/>
        <w:rPr>
          <w:rFonts w:ascii="Arial" w:cs="Arial" w:eastAsia="Arial" w:hAnsi="Arial"/>
          <w:sz w:val="13"/>
          <w:szCs w:val="13"/>
          <w:color w:val="auto"/>
        </w:rPr>
      </w:pPr>
    </w:p>
    <w:p>
      <w:pPr>
        <w:ind w:left="440" w:right="20" w:hanging="414"/>
        <w:spacing w:after="0" w:line="276" w:lineRule="auto"/>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Effective January 28, 2023, we no longer exclude pre-opening expenses from our computations of Adjusted Net Income. Adjusted Net Income for the thirteen and twenty-six weeks ended July 30, 2022 has been revised to the current period computation methodology.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Adjusted Earnings Per Common Share, Diluted, Guidance Reconciliation (amounts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Pr>
          <w:p>
            <w:pPr>
              <w:spacing w:after="0"/>
              <w:rPr>
                <w:sz w:val="21"/>
                <w:szCs w:val="21"/>
                <w:color w:val="auto"/>
              </w:rPr>
            </w:pPr>
          </w:p>
        </w:tc>
        <w:tc>
          <w:tcPr>
            <w:tcW w:w="1860" w:type="dxa"/>
            <w:vAlign w:val="bottom"/>
            <w:shd w:val="clear" w:color="auto" w:fill="0A2299"/>
          </w:tcPr>
          <w:p>
            <w:pPr>
              <w:jc w:val="center"/>
              <w:ind w:left="379"/>
              <w:spacing w:after="0"/>
              <w:rPr>
                <w:sz w:val="20"/>
                <w:szCs w:val="20"/>
                <w:color w:val="auto"/>
              </w:rPr>
            </w:pPr>
            <w:r>
              <w:rPr>
                <w:rFonts w:ascii="Arial" w:cs="Arial" w:eastAsia="Arial" w:hAnsi="Arial"/>
                <w:sz w:val="16"/>
                <w:szCs w:val="16"/>
                <w:b w:val="1"/>
                <w:bCs w:val="1"/>
                <w:color w:val="FFFFFF"/>
              </w:rPr>
              <w:t>Low Range*</w:t>
            </w:r>
          </w:p>
        </w:tc>
        <w:tc>
          <w:tcPr>
            <w:tcW w:w="460" w:type="dxa"/>
            <w:vAlign w:val="bottom"/>
            <w:shd w:val="clear" w:color="auto" w:fill="0A2299"/>
          </w:tcPr>
          <w:p>
            <w:pPr>
              <w:spacing w:after="0"/>
              <w:rPr>
                <w:sz w:val="21"/>
                <w:szCs w:val="21"/>
                <w:color w:val="auto"/>
              </w:rPr>
            </w:pPr>
          </w:p>
        </w:tc>
        <w:tc>
          <w:tcPr>
            <w:tcW w:w="80" w:type="dxa"/>
            <w:vAlign w:val="bottom"/>
            <w:shd w:val="clear" w:color="auto" w:fill="0A2299"/>
          </w:tcPr>
          <w:p>
            <w:pPr>
              <w:spacing w:after="0"/>
              <w:rPr>
                <w:sz w:val="21"/>
                <w:szCs w:val="21"/>
                <w:color w:val="auto"/>
              </w:rPr>
            </w:pPr>
          </w:p>
        </w:tc>
        <w:tc>
          <w:tcPr>
            <w:tcW w:w="260" w:type="dxa"/>
            <w:vAlign w:val="bottom"/>
            <w:shd w:val="clear" w:color="auto" w:fill="0A2299"/>
          </w:tcPr>
          <w:p>
            <w:pPr>
              <w:spacing w:after="0"/>
              <w:rPr>
                <w:sz w:val="21"/>
                <w:szCs w:val="21"/>
                <w:color w:val="auto"/>
              </w:rPr>
            </w:pPr>
          </w:p>
        </w:tc>
        <w:tc>
          <w:tcPr>
            <w:tcW w:w="2040" w:type="dxa"/>
            <w:vAlign w:val="bottom"/>
            <w:shd w:val="clear" w:color="auto" w:fill="0A2299"/>
          </w:tcPr>
          <w:p>
            <w:pPr>
              <w:jc w:val="center"/>
              <w:ind w:right="199"/>
              <w:spacing w:after="0"/>
              <w:rPr>
                <w:sz w:val="20"/>
                <w:szCs w:val="20"/>
                <w:color w:val="auto"/>
              </w:rPr>
            </w:pPr>
            <w:r>
              <w:rPr>
                <w:rFonts w:ascii="Arial" w:cs="Arial" w:eastAsia="Arial" w:hAnsi="Arial"/>
                <w:sz w:val="16"/>
                <w:szCs w:val="16"/>
                <w:b w:val="1"/>
                <w:bCs w:val="1"/>
                <w:color w:val="FFFFFF"/>
              </w:rPr>
              <w:t>High Range*</w:t>
            </w:r>
          </w:p>
        </w:tc>
      </w:tr>
      <w:tr>
        <w:trPr>
          <w:trHeight w:val="211"/>
        </w:trPr>
        <w:tc>
          <w:tcPr>
            <w:tcW w:w="6540" w:type="dxa"/>
            <w:vAlign w:val="bottom"/>
          </w:tcPr>
          <w:p>
            <w:pPr>
              <w:spacing w:after="0"/>
              <w:rPr>
                <w:sz w:val="18"/>
                <w:szCs w:val="18"/>
                <w:color w:val="auto"/>
              </w:rPr>
            </w:pPr>
          </w:p>
        </w:tc>
        <w:tc>
          <w:tcPr>
            <w:tcW w:w="1860" w:type="dxa"/>
            <w:vAlign w:val="bottom"/>
            <w:shd w:val="clear" w:color="auto" w:fill="0A2299"/>
          </w:tcPr>
          <w:p>
            <w:pPr>
              <w:jc w:val="center"/>
              <w:ind w:left="339"/>
              <w:spacing w:after="0"/>
              <w:rPr>
                <w:sz w:val="20"/>
                <w:szCs w:val="20"/>
                <w:color w:val="auto"/>
              </w:rPr>
            </w:pPr>
            <w:r>
              <w:rPr>
                <w:rFonts w:ascii="Arial" w:cs="Arial" w:eastAsia="Arial" w:hAnsi="Arial"/>
                <w:sz w:val="16"/>
                <w:szCs w:val="16"/>
                <w:b w:val="1"/>
                <w:bCs w:val="1"/>
                <w:color w:val="FFFFFF"/>
              </w:rPr>
              <w:t>Fiscal Year Ending</w:t>
            </w:r>
          </w:p>
        </w:tc>
        <w:tc>
          <w:tcPr>
            <w:tcW w:w="460" w:type="dxa"/>
            <w:vAlign w:val="bottom"/>
            <w:shd w:val="clear" w:color="auto" w:fill="0A2299"/>
          </w:tcPr>
          <w:p>
            <w:pPr>
              <w:spacing w:after="0"/>
              <w:rPr>
                <w:sz w:val="18"/>
                <w:szCs w:val="18"/>
                <w:color w:val="auto"/>
              </w:rPr>
            </w:pPr>
          </w:p>
        </w:tc>
        <w:tc>
          <w:tcPr>
            <w:tcW w:w="80" w:type="dxa"/>
            <w:vAlign w:val="bottom"/>
            <w:shd w:val="clear" w:color="auto" w:fill="0A2299"/>
          </w:tcPr>
          <w:p>
            <w:pPr>
              <w:spacing w:after="0"/>
              <w:rPr>
                <w:sz w:val="18"/>
                <w:szCs w:val="18"/>
                <w:color w:val="auto"/>
              </w:rPr>
            </w:pPr>
          </w:p>
        </w:tc>
        <w:tc>
          <w:tcPr>
            <w:tcW w:w="260" w:type="dxa"/>
            <w:vAlign w:val="bottom"/>
            <w:shd w:val="clear" w:color="auto" w:fill="0A2299"/>
          </w:tcPr>
          <w:p>
            <w:pPr>
              <w:spacing w:after="0"/>
              <w:rPr>
                <w:sz w:val="18"/>
                <w:szCs w:val="18"/>
                <w:color w:val="auto"/>
              </w:rPr>
            </w:pPr>
          </w:p>
        </w:tc>
        <w:tc>
          <w:tcPr>
            <w:tcW w:w="2040" w:type="dxa"/>
            <w:vAlign w:val="bottom"/>
            <w:shd w:val="clear" w:color="auto" w:fill="0A2299"/>
          </w:tcPr>
          <w:p>
            <w:pPr>
              <w:jc w:val="center"/>
              <w:ind w:right="239"/>
              <w:spacing w:after="0"/>
              <w:rPr>
                <w:sz w:val="20"/>
                <w:szCs w:val="20"/>
                <w:color w:val="auto"/>
              </w:rPr>
            </w:pPr>
            <w:r>
              <w:rPr>
                <w:rFonts w:ascii="Arial" w:cs="Arial" w:eastAsia="Arial" w:hAnsi="Arial"/>
                <w:sz w:val="16"/>
                <w:szCs w:val="16"/>
                <w:b w:val="1"/>
                <w:bCs w:val="1"/>
                <w:color w:val="FFFFFF"/>
              </w:rPr>
              <w:t>Fiscal Year Ending</w:t>
            </w:r>
          </w:p>
        </w:tc>
      </w:tr>
      <w:tr>
        <w:trPr>
          <w:trHeight w:val="228"/>
        </w:trPr>
        <w:tc>
          <w:tcPr>
            <w:tcW w:w="6540" w:type="dxa"/>
            <w:vAlign w:val="bottom"/>
          </w:tcPr>
          <w:p>
            <w:pPr>
              <w:spacing w:after="0"/>
              <w:rPr>
                <w:sz w:val="19"/>
                <w:szCs w:val="19"/>
                <w:color w:val="auto"/>
              </w:rPr>
            </w:pPr>
          </w:p>
        </w:tc>
        <w:tc>
          <w:tcPr>
            <w:tcW w:w="1860" w:type="dxa"/>
            <w:vAlign w:val="bottom"/>
            <w:tcBorders>
              <w:bottom w:val="single" w:sz="8" w:color="0A2299"/>
            </w:tcBorders>
            <w:shd w:val="clear" w:color="auto" w:fill="0A2299"/>
          </w:tcPr>
          <w:p>
            <w:pPr>
              <w:jc w:val="center"/>
              <w:ind w:left="379"/>
              <w:spacing w:after="0"/>
              <w:rPr>
                <w:sz w:val="20"/>
                <w:szCs w:val="20"/>
                <w:color w:val="auto"/>
              </w:rPr>
            </w:pPr>
            <w:r>
              <w:rPr>
                <w:rFonts w:ascii="Arial" w:cs="Arial" w:eastAsia="Arial" w:hAnsi="Arial"/>
                <w:sz w:val="16"/>
                <w:szCs w:val="16"/>
                <w:b w:val="1"/>
                <w:bCs w:val="1"/>
                <w:color w:val="FFFFFF"/>
              </w:rPr>
              <w:t>February 3, 2024</w:t>
            </w:r>
          </w:p>
        </w:tc>
        <w:tc>
          <w:tcPr>
            <w:tcW w:w="460" w:type="dxa"/>
            <w:vAlign w:val="bottom"/>
            <w:tcBorders>
              <w:bottom w:val="single" w:sz="8" w:color="0A2299"/>
            </w:tcBorders>
            <w:shd w:val="clear" w:color="auto" w:fill="0A2299"/>
          </w:tcPr>
          <w:p>
            <w:pPr>
              <w:spacing w:after="0"/>
              <w:rPr>
                <w:sz w:val="19"/>
                <w:szCs w:val="19"/>
                <w:color w:val="auto"/>
              </w:rPr>
            </w:pPr>
          </w:p>
        </w:tc>
        <w:tc>
          <w:tcPr>
            <w:tcW w:w="80" w:type="dxa"/>
            <w:vAlign w:val="bottom"/>
            <w:tcBorders>
              <w:bottom w:val="single" w:sz="8" w:color="0A2299"/>
            </w:tcBorders>
            <w:shd w:val="clear" w:color="auto" w:fill="0A2299"/>
          </w:tcPr>
          <w:p>
            <w:pPr>
              <w:spacing w:after="0"/>
              <w:rPr>
                <w:sz w:val="19"/>
                <w:szCs w:val="19"/>
                <w:color w:val="auto"/>
              </w:rPr>
            </w:pPr>
          </w:p>
        </w:tc>
        <w:tc>
          <w:tcPr>
            <w:tcW w:w="260" w:type="dxa"/>
            <w:vAlign w:val="bottom"/>
            <w:tcBorders>
              <w:bottom w:val="single" w:sz="8" w:color="0A2299"/>
            </w:tcBorders>
            <w:shd w:val="clear" w:color="auto" w:fill="0A2299"/>
          </w:tcPr>
          <w:p>
            <w:pPr>
              <w:spacing w:after="0"/>
              <w:rPr>
                <w:sz w:val="19"/>
                <w:szCs w:val="19"/>
                <w:color w:val="auto"/>
              </w:rPr>
            </w:pPr>
          </w:p>
        </w:tc>
        <w:tc>
          <w:tcPr>
            <w:tcW w:w="2040" w:type="dxa"/>
            <w:vAlign w:val="bottom"/>
            <w:tcBorders>
              <w:bottom w:val="single" w:sz="8" w:color="0A2299"/>
            </w:tcBorders>
            <w:shd w:val="clear" w:color="auto" w:fill="0A2299"/>
          </w:tcPr>
          <w:p>
            <w:pPr>
              <w:jc w:val="center"/>
              <w:ind w:right="199"/>
              <w:spacing w:after="0"/>
              <w:rPr>
                <w:sz w:val="20"/>
                <w:szCs w:val="20"/>
                <w:color w:val="auto"/>
              </w:rPr>
            </w:pPr>
            <w:r>
              <w:rPr>
                <w:rFonts w:ascii="Arial" w:cs="Arial" w:eastAsia="Arial" w:hAnsi="Arial"/>
                <w:sz w:val="16"/>
                <w:szCs w:val="16"/>
                <w:b w:val="1"/>
                <w:bCs w:val="1"/>
                <w:color w:val="FFFFFF"/>
              </w:rPr>
              <w:t>February 3, 2024</w:t>
            </w:r>
          </w:p>
        </w:tc>
      </w:tr>
      <w:tr>
        <w:trPr>
          <w:trHeight w:val="257"/>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860" w:type="dxa"/>
            <w:vAlign w:val="bottom"/>
            <w:shd w:val="clear" w:color="auto" w:fill="DBDBDB"/>
          </w:tcPr>
          <w:p>
            <w:pPr>
              <w:jc w:val="right"/>
              <w:ind w:right="165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520</w:t>
            </w:r>
          </w:p>
        </w:tc>
        <w:tc>
          <w:tcPr>
            <w:tcW w:w="3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575</w:t>
            </w: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1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6"/>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1860" w:type="dxa"/>
            <w:vAlign w:val="bottom"/>
            <w:tcBorders>
              <w:bottom w:val="single" w:sz="8" w:color="auto"/>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6540" w:type="dxa"/>
            <w:vAlign w:val="bottom"/>
          </w:tcPr>
          <w:p>
            <w:pPr>
              <w:ind w:left="240"/>
              <w:spacing w:after="0"/>
              <w:rPr>
                <w:sz w:val="20"/>
                <w:szCs w:val="20"/>
                <w:color w:val="auto"/>
              </w:rPr>
            </w:pPr>
            <w:r>
              <w:rPr>
                <w:rFonts w:ascii="Arial" w:cs="Arial" w:eastAsia="Arial" w:hAnsi="Arial"/>
                <w:sz w:val="16"/>
                <w:szCs w:val="16"/>
                <w:color w:val="auto"/>
              </w:rPr>
              <w:t>Adjusted Net Income</w:t>
            </w:r>
          </w:p>
        </w:tc>
        <w:tc>
          <w:tcPr>
            <w:tcW w:w="1860" w:type="dxa"/>
            <w:vAlign w:val="bottom"/>
          </w:tcPr>
          <w:p>
            <w:pPr>
              <w:jc w:val="right"/>
              <w:ind w:right="16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545</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0"/>
        </w:trPr>
        <w:tc>
          <w:tcPr>
            <w:tcW w:w="6540" w:type="dxa"/>
            <w:vAlign w:val="bottom"/>
            <w:tcBorders>
              <w:bottom w:val="single" w:sz="8" w:color="DBDBDB"/>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40" w:type="dxa"/>
            <w:vAlign w:val="bottom"/>
            <w:shd w:val="clear" w:color="auto" w:fill="DBDBDB"/>
          </w:tcPr>
          <w:p>
            <w:pPr>
              <w:spacing w:after="0"/>
              <w:rPr>
                <w:sz w:val="20"/>
                <w:szCs w:val="20"/>
                <w:color w:val="auto"/>
              </w:rPr>
            </w:pPr>
          </w:p>
        </w:tc>
        <w:tc>
          <w:tcPr>
            <w:tcW w:w="186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040" w:type="dxa"/>
            <w:vAlign w:val="bottom"/>
            <w:shd w:val="clear" w:color="auto" w:fill="DBDBDB"/>
          </w:tcPr>
          <w:p>
            <w:pPr>
              <w:spacing w:after="0"/>
              <w:rPr>
                <w:sz w:val="20"/>
                <w:szCs w:val="20"/>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color w:val="auto"/>
              </w:rPr>
              <w:t>Earnings Per Common Share, Diluted</w:t>
            </w:r>
          </w:p>
        </w:tc>
        <w:tc>
          <w:tcPr>
            <w:tcW w:w="1860" w:type="dxa"/>
            <w:vAlign w:val="bottom"/>
          </w:tcPr>
          <w:p>
            <w:pPr>
              <w:jc w:val="right"/>
              <w:ind w:right="16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6.65</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7.35</w:t>
            </w:r>
          </w:p>
        </w:tc>
      </w:tr>
      <w:tr>
        <w:trPr>
          <w:trHeight w:val="253"/>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1860" w:type="dxa"/>
            <w:vAlign w:val="bottom"/>
            <w:shd w:val="clear" w:color="auto" w:fill="DBDBDB"/>
          </w:tcPr>
          <w:p>
            <w:pPr>
              <w:spacing w:after="0"/>
              <w:rPr>
                <w:sz w:val="21"/>
                <w:szCs w:val="21"/>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0.41</w:t>
            </w: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0.41</w:t>
            </w:r>
          </w:p>
        </w:tc>
      </w:tr>
      <w:tr>
        <w:trPr>
          <w:trHeight w:val="236"/>
        </w:trPr>
        <w:tc>
          <w:tcPr>
            <w:tcW w:w="6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(0.11)</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263"/>
        </w:trPr>
        <w:tc>
          <w:tcPr>
            <w:tcW w:w="65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1860" w:type="dxa"/>
            <w:vAlign w:val="bottom"/>
            <w:shd w:val="clear" w:color="auto" w:fill="DBDBDB"/>
          </w:tcPr>
          <w:p>
            <w:pPr>
              <w:jc w:val="right"/>
              <w:ind w:right="165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6.95</w:t>
            </w:r>
          </w:p>
        </w:tc>
        <w:tc>
          <w:tcPr>
            <w:tcW w:w="3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7.65</w:t>
            </w:r>
          </w:p>
        </w:tc>
      </w:tr>
      <w:tr>
        <w:trPr>
          <w:trHeight w:val="20"/>
        </w:trPr>
        <w:tc>
          <w:tcPr>
            <w:tcW w:w="6540" w:type="dxa"/>
            <w:vAlign w:val="bottom"/>
            <w:tcBorders>
              <w:top w:val="single" w:sz="8" w:color="DBDBDB"/>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-1482090</wp:posOffset>
            </wp:positionV>
            <wp:extent cx="2983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-1773555</wp:posOffset>
            </wp:positionV>
            <wp:extent cx="2983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36" w:lineRule="exact"/>
        <w:rPr>
          <w:sz w:val="20"/>
          <w:szCs w:val="20"/>
          <w:color w:val="auto"/>
        </w:rPr>
      </w:pPr>
    </w:p>
    <w:p>
      <w:pPr>
        <w:ind w:left="380" w:hanging="354"/>
        <w:spacing w:after="0"/>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53" w:lineRule="exact"/>
        <w:rPr>
          <w:sz w:val="20"/>
          <w:szCs w:val="20"/>
          <w:color w:val="auto"/>
        </w:rPr>
      </w:pPr>
    </w:p>
    <w:p>
      <w:pPr>
        <w:ind w:left="380" w:right="20" w:hanging="354"/>
        <w:spacing w:after="0" w:line="255"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Adjustments include non-cash charges related to equity-based compensation (as defined above), which may vary from period to period. The tax effect of these adjustments is determined by using the projected full year tax rate for the fiscal year.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00" w:type="dxa"/>
            <w:vAlign w:val="bottom"/>
          </w:tcPr>
          <w:p>
            <w:pPr>
              <w:spacing w:after="0"/>
              <w:rPr>
                <w:sz w:val="21"/>
                <w:szCs w:val="21"/>
                <w:color w:val="auto"/>
              </w:rPr>
            </w:pPr>
          </w:p>
        </w:tc>
        <w:tc>
          <w:tcPr>
            <w:tcW w:w="280" w:type="dxa"/>
            <w:vAlign w:val="bottom"/>
            <w:shd w:val="clear" w:color="auto" w:fill="0A2299"/>
          </w:tcPr>
          <w:p>
            <w:pPr>
              <w:spacing w:after="0"/>
              <w:rPr>
                <w:sz w:val="21"/>
                <w:szCs w:val="21"/>
                <w:color w:val="auto"/>
              </w:rPr>
            </w:pPr>
          </w:p>
        </w:tc>
        <w:tc>
          <w:tcPr>
            <w:tcW w:w="3460" w:type="dxa"/>
            <w:vAlign w:val="bottom"/>
            <w:gridSpan w:val="4"/>
            <w:shd w:val="clear" w:color="auto" w:fill="0A2299"/>
          </w:tcPr>
          <w:p>
            <w:pPr>
              <w:jc w:val="right"/>
              <w:ind w:right="919"/>
              <w:spacing w:after="0"/>
              <w:rPr>
                <w:sz w:val="20"/>
                <w:szCs w:val="20"/>
                <w:color w:val="auto"/>
              </w:rPr>
            </w:pPr>
            <w:r>
              <w:rPr>
                <w:rFonts w:ascii="Arial" w:cs="Arial" w:eastAsia="Arial" w:hAnsi="Arial"/>
                <w:sz w:val="16"/>
                <w:szCs w:val="16"/>
                <w:b w:val="1"/>
                <w:bCs w:val="1"/>
                <w:color w:val="FFFFFF"/>
              </w:rPr>
              <w:t>Thirteen Weeks Ended</w:t>
            </w:r>
          </w:p>
        </w:tc>
        <w:tc>
          <w:tcPr>
            <w:tcW w:w="80" w:type="dxa"/>
            <w:vAlign w:val="bottom"/>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3300" w:type="dxa"/>
            <w:vAlign w:val="bottom"/>
            <w:gridSpan w:val="4"/>
            <w:shd w:val="clear" w:color="auto" w:fill="0A2299"/>
          </w:tcPr>
          <w:p>
            <w:pPr>
              <w:jc w:val="right"/>
              <w:ind w:right="719"/>
              <w:spacing w:after="0"/>
              <w:rPr>
                <w:sz w:val="20"/>
                <w:szCs w:val="20"/>
                <w:color w:val="auto"/>
              </w:rPr>
            </w:pPr>
            <w:r>
              <w:rPr>
                <w:rFonts w:ascii="Arial" w:cs="Arial" w:eastAsia="Arial" w:hAnsi="Arial"/>
                <w:sz w:val="16"/>
                <w:szCs w:val="16"/>
                <w:b w:val="1"/>
                <w:bCs w:val="1"/>
                <w:color w:val="FFFFFF"/>
              </w:rPr>
              <w:t>Twenty-Six Weeks Ended</w:t>
            </w:r>
          </w:p>
        </w:tc>
      </w:tr>
      <w:tr>
        <w:trPr>
          <w:trHeight w:val="253"/>
        </w:trPr>
        <w:tc>
          <w:tcPr>
            <w:tcW w:w="3900" w:type="dxa"/>
            <w:vAlign w:val="bottom"/>
          </w:tcPr>
          <w:p>
            <w:pPr>
              <w:spacing w:after="0"/>
              <w:rPr>
                <w:sz w:val="21"/>
                <w:szCs w:val="21"/>
                <w:color w:val="auto"/>
              </w:rPr>
            </w:pPr>
          </w:p>
        </w:tc>
        <w:tc>
          <w:tcPr>
            <w:tcW w:w="280" w:type="dxa"/>
            <w:vAlign w:val="bottom"/>
            <w:shd w:val="clear" w:color="auto" w:fill="0A2299"/>
          </w:tcPr>
          <w:p>
            <w:pPr>
              <w:spacing w:after="0"/>
              <w:rPr>
                <w:sz w:val="21"/>
                <w:szCs w:val="21"/>
                <w:color w:val="auto"/>
              </w:rPr>
            </w:pPr>
          </w:p>
        </w:tc>
        <w:tc>
          <w:tcPr>
            <w:tcW w:w="1660" w:type="dxa"/>
            <w:vAlign w:val="bottom"/>
            <w:gridSpan w:val="2"/>
            <w:shd w:val="clear" w:color="auto" w:fill="0A2299"/>
          </w:tcPr>
          <w:p>
            <w:pPr>
              <w:ind w:left="160"/>
              <w:spacing w:after="0"/>
              <w:rPr>
                <w:sz w:val="20"/>
                <w:szCs w:val="20"/>
                <w:color w:val="auto"/>
              </w:rPr>
            </w:pPr>
            <w:r>
              <w:rPr>
                <w:rFonts w:ascii="Arial" w:cs="Arial" w:eastAsia="Arial" w:hAnsi="Arial"/>
                <w:sz w:val="16"/>
                <w:szCs w:val="16"/>
                <w:b w:val="1"/>
                <w:bCs w:val="1"/>
                <w:color w:val="FFFFFF"/>
              </w:rPr>
              <w:t>July 29, 2023</w:t>
            </w:r>
          </w:p>
        </w:tc>
        <w:tc>
          <w:tcPr>
            <w:tcW w:w="260" w:type="dxa"/>
            <w:vAlign w:val="bottom"/>
            <w:shd w:val="clear" w:color="auto" w:fill="0A2299"/>
          </w:tcPr>
          <w:p>
            <w:pPr>
              <w:spacing w:after="0"/>
              <w:rPr>
                <w:sz w:val="21"/>
                <w:szCs w:val="21"/>
                <w:color w:val="auto"/>
              </w:rPr>
            </w:pPr>
          </w:p>
        </w:tc>
        <w:tc>
          <w:tcPr>
            <w:tcW w:w="1540" w:type="dxa"/>
            <w:vAlign w:val="bottom"/>
            <w:shd w:val="clear" w:color="auto" w:fill="0A2299"/>
          </w:tcPr>
          <w:p>
            <w:pPr>
              <w:jc w:val="right"/>
              <w:ind w:right="319"/>
              <w:spacing w:after="0"/>
              <w:rPr>
                <w:sz w:val="20"/>
                <w:szCs w:val="20"/>
                <w:color w:val="auto"/>
              </w:rPr>
            </w:pPr>
            <w:r>
              <w:rPr>
                <w:rFonts w:ascii="Arial" w:cs="Arial" w:eastAsia="Arial" w:hAnsi="Arial"/>
                <w:sz w:val="16"/>
                <w:szCs w:val="16"/>
                <w:b w:val="1"/>
                <w:bCs w:val="1"/>
                <w:color w:val="FFFFFF"/>
              </w:rPr>
              <w:t>July 30, 2022</w:t>
            </w:r>
          </w:p>
        </w:tc>
        <w:tc>
          <w:tcPr>
            <w:tcW w:w="80" w:type="dxa"/>
            <w:vAlign w:val="bottom"/>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1560" w:type="dxa"/>
            <w:vAlign w:val="bottom"/>
            <w:gridSpan w:val="2"/>
            <w:shd w:val="clear" w:color="auto" w:fill="0A2299"/>
          </w:tcPr>
          <w:p>
            <w:pPr>
              <w:ind w:left="120"/>
              <w:spacing w:after="0"/>
              <w:rPr>
                <w:sz w:val="20"/>
                <w:szCs w:val="20"/>
                <w:color w:val="auto"/>
              </w:rPr>
            </w:pPr>
            <w:r>
              <w:rPr>
                <w:rFonts w:ascii="Arial" w:cs="Arial" w:eastAsia="Arial" w:hAnsi="Arial"/>
                <w:sz w:val="16"/>
                <w:szCs w:val="16"/>
                <w:b w:val="1"/>
                <w:bCs w:val="1"/>
                <w:color w:val="FFFFFF"/>
              </w:rPr>
              <w:t>July 29, 2023</w:t>
            </w:r>
          </w:p>
        </w:tc>
        <w:tc>
          <w:tcPr>
            <w:tcW w:w="240" w:type="dxa"/>
            <w:vAlign w:val="bottom"/>
            <w:shd w:val="clear" w:color="auto" w:fill="0A2299"/>
          </w:tcPr>
          <w:p>
            <w:pPr>
              <w:spacing w:after="0"/>
              <w:rPr>
                <w:sz w:val="21"/>
                <w:szCs w:val="21"/>
                <w:color w:val="auto"/>
              </w:rPr>
            </w:pPr>
          </w:p>
        </w:tc>
        <w:tc>
          <w:tcPr>
            <w:tcW w:w="1500" w:type="dxa"/>
            <w:vAlign w:val="bottom"/>
            <w:shd w:val="clear" w:color="auto" w:fill="0A2299"/>
          </w:tcPr>
          <w:p>
            <w:pPr>
              <w:jc w:val="right"/>
              <w:ind w:right="299"/>
              <w:spacing w:after="0"/>
              <w:rPr>
                <w:sz w:val="20"/>
                <w:szCs w:val="20"/>
                <w:color w:val="auto"/>
              </w:rPr>
            </w:pPr>
            <w:r>
              <w:rPr>
                <w:rFonts w:ascii="Arial" w:cs="Arial" w:eastAsia="Arial" w:hAnsi="Arial"/>
                <w:sz w:val="16"/>
                <w:szCs w:val="16"/>
                <w:b w:val="1"/>
                <w:bCs w:val="1"/>
                <w:color w:val="FFFFFF"/>
              </w:rPr>
              <w:t>July 30, 2022</w:t>
            </w:r>
          </w:p>
        </w:tc>
      </w:tr>
      <w:tr>
        <w:trPr>
          <w:trHeight w:val="257"/>
        </w:trPr>
        <w:tc>
          <w:tcPr>
            <w:tcW w:w="3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191,431</w:t>
            </w:r>
          </w:p>
        </w:tc>
        <w:tc>
          <w:tcPr>
            <w:tcW w:w="80" w:type="dxa"/>
            <w:vAlign w:val="bottom"/>
            <w:shd w:val="clear" w:color="auto" w:fill="DBDBDB"/>
          </w:tcPr>
          <w:p>
            <w:pPr>
              <w:spacing w:after="0"/>
              <w:rPr>
                <w:sz w:val="22"/>
                <w:szCs w:val="22"/>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161,309</w:t>
            </w:r>
          </w:p>
        </w:tc>
        <w:tc>
          <w:tcPr>
            <w:tcW w:w="30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DBDBDB"/>
          </w:tcPr>
          <w:p>
            <w:pPr>
              <w:jc w:val="center"/>
              <w:ind w:left="659"/>
              <w:spacing w:after="0"/>
              <w:rPr>
                <w:sz w:val="20"/>
                <w:szCs w:val="20"/>
                <w:color w:val="auto"/>
              </w:rPr>
            </w:pPr>
            <w:r>
              <w:rPr>
                <w:rFonts w:ascii="Arial" w:cs="Arial" w:eastAsia="Arial" w:hAnsi="Arial"/>
                <w:sz w:val="16"/>
                <w:szCs w:val="16"/>
                <w:b w:val="1"/>
                <w:bCs w:val="1"/>
                <w:color w:val="auto"/>
              </w:rPr>
              <w:t>243,566</w:t>
            </w: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258,406</w:t>
            </w:r>
          </w:p>
        </w:tc>
      </w:tr>
      <w:tr>
        <w:trPr>
          <w:trHeight w:val="239"/>
        </w:trPr>
        <w:tc>
          <w:tcPr>
            <w:tcW w:w="3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(67,299)</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(30,822)</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b w:val="1"/>
                <w:bCs w:val="1"/>
                <w:color w:val="auto"/>
              </w:rPr>
              <w:t>(107,846)</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(48,134)</w:t>
            </w:r>
          </w:p>
        </w:tc>
      </w:tr>
      <w:tr>
        <w:trPr>
          <w:trHeight w:val="260"/>
        </w:trPr>
        <w:tc>
          <w:tcPr>
            <w:tcW w:w="3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Free Cash Flow</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124,132</w:t>
            </w:r>
          </w:p>
        </w:tc>
        <w:tc>
          <w:tcPr>
            <w:tcW w:w="80" w:type="dxa"/>
            <w:vAlign w:val="bottom"/>
            <w:shd w:val="clear" w:color="auto" w:fill="DBDBDB"/>
          </w:tcPr>
          <w:p>
            <w:pPr>
              <w:spacing w:after="0"/>
              <w:rPr>
                <w:sz w:val="22"/>
                <w:szCs w:val="22"/>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130,487</w:t>
            </w:r>
          </w:p>
        </w:tc>
        <w:tc>
          <w:tcPr>
            <w:tcW w:w="30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DBDBDB"/>
          </w:tcPr>
          <w:p>
            <w:pPr>
              <w:jc w:val="center"/>
              <w:ind w:left="659"/>
              <w:spacing w:after="0"/>
              <w:rPr>
                <w:sz w:val="20"/>
                <w:szCs w:val="20"/>
                <w:color w:val="auto"/>
              </w:rPr>
            </w:pPr>
            <w:r>
              <w:rPr>
                <w:rFonts w:ascii="Arial" w:cs="Arial" w:eastAsia="Arial" w:hAnsi="Arial"/>
                <w:sz w:val="16"/>
                <w:szCs w:val="16"/>
                <w:b w:val="1"/>
                <w:bCs w:val="1"/>
                <w:color w:val="auto"/>
              </w:rPr>
              <w:t>135,720</w:t>
            </w: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210,272</w:t>
            </w:r>
          </w:p>
        </w:tc>
      </w:tr>
      <w:tr>
        <w:trPr>
          <w:trHeight w:val="20"/>
        </w:trPr>
        <w:tc>
          <w:tcPr>
            <w:tcW w:w="39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-513715</wp:posOffset>
            </wp:positionV>
            <wp:extent cx="4654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-676910</wp:posOffset>
            </wp:positionV>
            <wp:extent cx="4654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 Guidance Reconciliation (amounts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40" w:type="dxa"/>
            <w:vAlign w:val="bottom"/>
          </w:tcPr>
          <w:p>
            <w:pPr>
              <w:spacing w:after="0"/>
              <w:rPr>
                <w:sz w:val="21"/>
                <w:szCs w:val="21"/>
                <w:color w:val="auto"/>
              </w:rPr>
            </w:pPr>
          </w:p>
        </w:tc>
        <w:tc>
          <w:tcPr>
            <w:tcW w:w="140" w:type="dxa"/>
            <w:vAlign w:val="bottom"/>
            <w:shd w:val="clear" w:color="auto" w:fill="0A2299"/>
          </w:tcPr>
          <w:p>
            <w:pPr>
              <w:spacing w:after="0"/>
              <w:rPr>
                <w:sz w:val="21"/>
                <w:szCs w:val="21"/>
                <w:color w:val="auto"/>
              </w:rPr>
            </w:pPr>
          </w:p>
        </w:tc>
        <w:tc>
          <w:tcPr>
            <w:tcW w:w="1660" w:type="dxa"/>
            <w:vAlign w:val="bottom"/>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Low Range*</w:t>
            </w:r>
          </w:p>
        </w:tc>
        <w:tc>
          <w:tcPr>
            <w:tcW w:w="100" w:type="dxa"/>
            <w:vAlign w:val="bottom"/>
            <w:shd w:val="clear" w:color="auto" w:fill="0A2299"/>
          </w:tcPr>
          <w:p>
            <w:pPr>
              <w:spacing w:after="0"/>
              <w:rPr>
                <w:sz w:val="21"/>
                <w:szCs w:val="21"/>
                <w:color w:val="auto"/>
              </w:rPr>
            </w:pPr>
          </w:p>
        </w:tc>
        <w:tc>
          <w:tcPr>
            <w:tcW w:w="120" w:type="dxa"/>
            <w:vAlign w:val="bottom"/>
            <w:shd w:val="clear" w:color="auto" w:fill="0A2299"/>
          </w:tcPr>
          <w:p>
            <w:pPr>
              <w:spacing w:after="0"/>
              <w:rPr>
                <w:sz w:val="21"/>
                <w:szCs w:val="21"/>
                <w:color w:val="auto"/>
              </w:rPr>
            </w:pPr>
          </w:p>
        </w:tc>
        <w:tc>
          <w:tcPr>
            <w:tcW w:w="1680" w:type="dxa"/>
            <w:vAlign w:val="bottom"/>
            <w:shd w:val="clear" w:color="auto" w:fill="0A2299"/>
          </w:tcPr>
          <w:p>
            <w:pPr>
              <w:jc w:val="center"/>
              <w:ind w:right="39"/>
              <w:spacing w:after="0"/>
              <w:rPr>
                <w:sz w:val="20"/>
                <w:szCs w:val="20"/>
                <w:color w:val="auto"/>
              </w:rPr>
            </w:pPr>
            <w:r>
              <w:rPr>
                <w:rFonts w:ascii="Arial" w:cs="Arial" w:eastAsia="Arial" w:hAnsi="Arial"/>
                <w:sz w:val="16"/>
                <w:szCs w:val="16"/>
                <w:b w:val="1"/>
                <w:bCs w:val="1"/>
                <w:color w:val="FFFFFF"/>
              </w:rPr>
              <w:t>High Range*</w:t>
            </w:r>
          </w:p>
        </w:tc>
      </w:tr>
      <w:tr>
        <w:trPr>
          <w:trHeight w:val="211"/>
        </w:trPr>
        <w:tc>
          <w:tcPr>
            <w:tcW w:w="7540" w:type="dxa"/>
            <w:vAlign w:val="bottom"/>
          </w:tcPr>
          <w:p>
            <w:pPr>
              <w:spacing w:after="0"/>
              <w:rPr>
                <w:sz w:val="18"/>
                <w:szCs w:val="18"/>
                <w:color w:val="auto"/>
              </w:rPr>
            </w:pPr>
          </w:p>
        </w:tc>
        <w:tc>
          <w:tcPr>
            <w:tcW w:w="140" w:type="dxa"/>
            <w:vAlign w:val="bottom"/>
            <w:shd w:val="clear" w:color="auto" w:fill="0A2299"/>
          </w:tcPr>
          <w:p>
            <w:pPr>
              <w:spacing w:after="0"/>
              <w:rPr>
                <w:sz w:val="18"/>
                <w:szCs w:val="18"/>
                <w:color w:val="auto"/>
              </w:rPr>
            </w:pPr>
          </w:p>
        </w:tc>
        <w:tc>
          <w:tcPr>
            <w:tcW w:w="1660" w:type="dxa"/>
            <w:vAlign w:val="bottom"/>
            <w:shd w:val="clear" w:color="auto" w:fill="0A2299"/>
          </w:tcPr>
          <w:p>
            <w:pPr>
              <w:jc w:val="center"/>
              <w:ind w:right="99"/>
              <w:spacing w:after="0"/>
              <w:rPr>
                <w:sz w:val="20"/>
                <w:szCs w:val="20"/>
                <w:color w:val="auto"/>
              </w:rPr>
            </w:pPr>
            <w:r>
              <w:rPr>
                <w:rFonts w:ascii="Arial" w:cs="Arial" w:eastAsia="Arial" w:hAnsi="Arial"/>
                <w:sz w:val="16"/>
                <w:szCs w:val="16"/>
                <w:b w:val="1"/>
                <w:bCs w:val="1"/>
                <w:color w:val="FFFFFF"/>
              </w:rPr>
              <w:t>Fiscal Year Ending</w:t>
            </w:r>
          </w:p>
        </w:tc>
        <w:tc>
          <w:tcPr>
            <w:tcW w:w="100" w:type="dxa"/>
            <w:vAlign w:val="bottom"/>
            <w:shd w:val="clear" w:color="auto" w:fill="0A2299"/>
          </w:tcPr>
          <w:p>
            <w:pPr>
              <w:spacing w:after="0"/>
              <w:rPr>
                <w:sz w:val="18"/>
                <w:szCs w:val="18"/>
                <w:color w:val="auto"/>
              </w:rPr>
            </w:pPr>
          </w:p>
        </w:tc>
        <w:tc>
          <w:tcPr>
            <w:tcW w:w="120" w:type="dxa"/>
            <w:vAlign w:val="bottom"/>
            <w:shd w:val="clear" w:color="auto" w:fill="0A2299"/>
          </w:tcPr>
          <w:p>
            <w:pPr>
              <w:spacing w:after="0"/>
              <w:rPr>
                <w:sz w:val="18"/>
                <w:szCs w:val="18"/>
                <w:color w:val="auto"/>
              </w:rPr>
            </w:pPr>
          </w:p>
        </w:tc>
        <w:tc>
          <w:tcPr>
            <w:tcW w:w="1680" w:type="dxa"/>
            <w:vAlign w:val="bottom"/>
            <w:shd w:val="clear" w:color="auto" w:fill="0A2299"/>
          </w:tcPr>
          <w:p>
            <w:pPr>
              <w:jc w:val="center"/>
              <w:ind w:right="79"/>
              <w:spacing w:after="0"/>
              <w:rPr>
                <w:sz w:val="20"/>
                <w:szCs w:val="20"/>
                <w:color w:val="auto"/>
              </w:rPr>
            </w:pPr>
            <w:r>
              <w:rPr>
                <w:rFonts w:ascii="Arial" w:cs="Arial" w:eastAsia="Arial" w:hAnsi="Arial"/>
                <w:sz w:val="16"/>
                <w:szCs w:val="16"/>
                <w:b w:val="1"/>
                <w:bCs w:val="1"/>
                <w:color w:val="FFFFFF"/>
              </w:rPr>
              <w:t>Fiscal Year Ending</w:t>
            </w:r>
          </w:p>
        </w:tc>
      </w:tr>
      <w:tr>
        <w:trPr>
          <w:trHeight w:val="228"/>
        </w:trPr>
        <w:tc>
          <w:tcPr>
            <w:tcW w:w="7540" w:type="dxa"/>
            <w:vAlign w:val="bottom"/>
          </w:tcPr>
          <w:p>
            <w:pPr>
              <w:spacing w:after="0"/>
              <w:rPr>
                <w:sz w:val="19"/>
                <w:szCs w:val="19"/>
                <w:color w:val="auto"/>
              </w:rPr>
            </w:pPr>
          </w:p>
        </w:tc>
        <w:tc>
          <w:tcPr>
            <w:tcW w:w="140" w:type="dxa"/>
            <w:vAlign w:val="bottom"/>
            <w:tcBorders>
              <w:bottom w:val="single" w:sz="8" w:color="0A2299"/>
            </w:tcBorders>
            <w:shd w:val="clear" w:color="auto" w:fill="0A2299"/>
          </w:tcPr>
          <w:p>
            <w:pPr>
              <w:spacing w:after="0"/>
              <w:rPr>
                <w:sz w:val="19"/>
                <w:szCs w:val="19"/>
                <w:color w:val="auto"/>
              </w:rPr>
            </w:pPr>
          </w:p>
        </w:tc>
        <w:tc>
          <w:tcPr>
            <w:tcW w:w="1660" w:type="dxa"/>
            <w:vAlign w:val="bottom"/>
            <w:tcBorders>
              <w:bottom w:val="single" w:sz="8" w:color="0A2299"/>
            </w:tcBorders>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February 3, 2024</w:t>
            </w:r>
          </w:p>
        </w:tc>
        <w:tc>
          <w:tcPr>
            <w:tcW w:w="100" w:type="dxa"/>
            <w:vAlign w:val="bottom"/>
            <w:tcBorders>
              <w:bottom w:val="single" w:sz="8" w:color="0A2299"/>
            </w:tcBorders>
            <w:shd w:val="clear" w:color="auto" w:fill="0A2299"/>
          </w:tcPr>
          <w:p>
            <w:pPr>
              <w:spacing w:after="0"/>
              <w:rPr>
                <w:sz w:val="19"/>
                <w:szCs w:val="19"/>
                <w:color w:val="auto"/>
              </w:rPr>
            </w:pPr>
          </w:p>
        </w:tc>
        <w:tc>
          <w:tcPr>
            <w:tcW w:w="120" w:type="dxa"/>
            <w:vAlign w:val="bottom"/>
            <w:tcBorders>
              <w:bottom w:val="single" w:sz="8" w:color="0A2299"/>
            </w:tcBorders>
            <w:shd w:val="clear" w:color="auto" w:fill="0A2299"/>
          </w:tcPr>
          <w:p>
            <w:pPr>
              <w:spacing w:after="0"/>
              <w:rPr>
                <w:sz w:val="19"/>
                <w:szCs w:val="19"/>
                <w:color w:val="auto"/>
              </w:rPr>
            </w:pPr>
          </w:p>
        </w:tc>
        <w:tc>
          <w:tcPr>
            <w:tcW w:w="1680" w:type="dxa"/>
            <w:vAlign w:val="bottom"/>
            <w:tcBorders>
              <w:bottom w:val="single" w:sz="8" w:color="0A2299"/>
            </w:tcBorders>
            <w:shd w:val="clear" w:color="auto" w:fill="0A2299"/>
          </w:tcPr>
          <w:p>
            <w:pPr>
              <w:jc w:val="center"/>
              <w:ind w:right="39"/>
              <w:spacing w:after="0"/>
              <w:rPr>
                <w:sz w:val="20"/>
                <w:szCs w:val="20"/>
                <w:color w:val="auto"/>
              </w:rPr>
            </w:pPr>
            <w:r>
              <w:rPr>
                <w:rFonts w:ascii="Arial" w:cs="Arial" w:eastAsia="Arial" w:hAnsi="Arial"/>
                <w:sz w:val="16"/>
                <w:szCs w:val="16"/>
                <w:b w:val="1"/>
                <w:bCs w:val="1"/>
                <w:color w:val="FFFFFF"/>
              </w:rPr>
              <w:t>February 3, 2024</w:t>
            </w:r>
          </w:p>
        </w:tc>
      </w:tr>
      <w:tr>
        <w:trPr>
          <w:trHeight w:val="256"/>
        </w:trPr>
        <w:tc>
          <w:tcPr>
            <w:tcW w:w="7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DBDBDB"/>
          </w:tcPr>
          <w:p>
            <w:pPr>
              <w:jc w:val="center"/>
              <w:ind w:left="1179"/>
              <w:spacing w:after="0"/>
              <w:rPr>
                <w:sz w:val="20"/>
                <w:szCs w:val="20"/>
                <w:color w:val="auto"/>
              </w:rPr>
            </w:pPr>
            <w:r>
              <w:rPr>
                <w:rFonts w:ascii="Arial" w:cs="Arial" w:eastAsia="Arial" w:hAnsi="Arial"/>
                <w:sz w:val="16"/>
                <w:szCs w:val="16"/>
                <w:color w:val="auto"/>
              </w:rPr>
              <w:t>600</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center"/>
              <w:ind w:left="1179"/>
              <w:spacing w:after="0"/>
              <w:rPr>
                <w:sz w:val="20"/>
                <w:szCs w:val="20"/>
                <w:color w:val="auto"/>
              </w:rPr>
            </w:pPr>
            <w:r>
              <w:rPr>
                <w:rFonts w:ascii="Arial" w:cs="Arial" w:eastAsia="Arial" w:hAnsi="Arial"/>
                <w:sz w:val="16"/>
                <w:szCs w:val="16"/>
                <w:color w:val="auto"/>
                <w:w w:val="97"/>
              </w:rPr>
              <w:t>700</w:t>
            </w:r>
          </w:p>
        </w:tc>
      </w:tr>
      <w:tr>
        <w:trPr>
          <w:trHeight w:val="237"/>
        </w:trPr>
        <w:tc>
          <w:tcPr>
            <w:tcW w:w="7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left="115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1179"/>
              <w:spacing w:after="0"/>
              <w:rPr>
                <w:sz w:val="20"/>
                <w:szCs w:val="20"/>
                <w:color w:val="auto"/>
              </w:rPr>
            </w:pPr>
            <w:r>
              <w:rPr>
                <w:rFonts w:ascii="Arial" w:cs="Arial" w:eastAsia="Arial" w:hAnsi="Arial"/>
                <w:sz w:val="16"/>
                <w:szCs w:val="16"/>
                <w:color w:val="auto"/>
              </w:rPr>
              <w:t>(250)</w:t>
            </w:r>
          </w:p>
        </w:tc>
      </w:tr>
      <w:tr>
        <w:trPr>
          <w:trHeight w:val="263"/>
        </w:trPr>
        <w:tc>
          <w:tcPr>
            <w:tcW w:w="75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Adjusted Free Cash Flow</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DBDBDB"/>
          </w:tcPr>
          <w:p>
            <w:pPr>
              <w:jc w:val="center"/>
              <w:ind w:left="1179"/>
              <w:spacing w:after="0"/>
              <w:rPr>
                <w:sz w:val="20"/>
                <w:szCs w:val="20"/>
                <w:color w:val="auto"/>
              </w:rPr>
            </w:pPr>
            <w:r>
              <w:rPr>
                <w:rFonts w:ascii="Arial" w:cs="Arial" w:eastAsia="Arial" w:hAnsi="Arial"/>
                <w:sz w:val="16"/>
                <w:szCs w:val="16"/>
                <w:color w:val="auto"/>
              </w:rPr>
              <w:t>400</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center"/>
              <w:ind w:left="1179"/>
              <w:spacing w:after="0"/>
              <w:rPr>
                <w:sz w:val="20"/>
                <w:szCs w:val="20"/>
                <w:color w:val="auto"/>
              </w:rPr>
            </w:pPr>
            <w:r>
              <w:rPr>
                <w:rFonts w:ascii="Arial" w:cs="Arial" w:eastAsia="Arial" w:hAnsi="Arial"/>
                <w:sz w:val="16"/>
                <w:szCs w:val="16"/>
                <w:color w:val="auto"/>
                <w:w w:val="97"/>
              </w:rPr>
              <w:t>450</w:t>
            </w: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-513715</wp:posOffset>
            </wp:positionV>
            <wp:extent cx="2348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-805180</wp:posOffset>
            </wp:positionV>
            <wp:extent cx="23488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4" w:lineRule="exact"/>
        <w:rPr>
          <w:sz w:val="20"/>
          <w:szCs w:val="20"/>
          <w:color w:val="auto"/>
        </w:rPr>
      </w:pPr>
    </w:p>
    <w:p>
      <w:pPr>
        <w:ind w:left="380" w:hanging="354"/>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2023-08-31T07:12:36Z</dcterms:created>
  <dcterms:modified xsi:type="dcterms:W3CDTF">2023-08-31T07:12:36Z</dcterms:modified>
</cp:coreProperties>
</file>