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84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1,249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497,388</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July 2, 2024, is being amended solely to correct an administrative error, which resulted in the misreporting of the number of shares of the Issuer's common stock withheld to cover tax liability upon settlement of restricted stock units on July 1, 2024. As a result of the correction of this administrative error, the number of shares beneficially owned by the Reporting Person reflects a reduction in the number of shares reported as beneficially owned by the Reporting Person of 257 shares.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Gary Holland, Attorney-in- </w:t>
      </w:r>
      <w:r>
        <w:rPr>
          <w:rFonts w:ascii="Times New Roman" w:cs="Times New Roman" w:eastAsia="Times New Roman" w:hAnsi="Times New Roman"/>
          <w:sz w:val="34"/>
          <w:szCs w:val="34"/>
          <w:color w:val="0000FF"/>
          <w:vertAlign w:val="subscript"/>
        </w:rPr>
        <w:t>07/05/2024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2024-07-05T15:23:17Z</dcterms:created>
  <dcterms:modified xsi:type="dcterms:W3CDTF">2024-07-05T15:23:17Z</dcterms:modified>
</cp:coreProperties>
</file>