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50800</wp:posOffset>
            </wp:positionV>
            <wp:extent cx="42773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jc w:val="center"/>
        <w:ind w:left="3840" w:right="1340" w:hanging="2491"/>
        <w:spacing w:after="0" w:line="281" w:lineRule="auto"/>
        <w:tabs>
          <w:tab w:leader="none" w:pos="153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October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jc w:val="center"/>
        <w:ind w:left="3480" w:right="1340" w:hanging="2137"/>
        <w:spacing w:after="0" w:line="449" w:lineRule="auto"/>
        <w:tabs>
          <w:tab w:leader="none" w:pos="1538"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 to ___________</w:t>
      </w:r>
      <w:r>
        <w:rPr>
          <w:rFonts w:ascii="Arial" w:cs="Arial" w:eastAsia="Arial" w:hAnsi="Arial"/>
          <w:sz w:val="16"/>
          <w:szCs w:val="16"/>
          <w:color w:val="auto"/>
        </w:rPr>
        <w:t>.</w:t>
      </w:r>
    </w:p>
    <w:p>
      <w:pPr>
        <w:ind w:left="44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80645</wp:posOffset>
            </wp:positionV>
            <wp:extent cx="42773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174625</wp:posOffset>
            </wp:positionV>
            <wp:extent cx="182562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Academy Sports and Outdoors,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96" w:lineRule="exact"/>
        <w:rPr>
          <w:sz w:val="24"/>
          <w:szCs w:val="24"/>
          <w:color w:val="auto"/>
        </w:rPr>
      </w:pPr>
    </w:p>
    <w:p>
      <w:pPr>
        <w:ind w:left="1860"/>
        <w:spacing w:after="0"/>
        <w:tabs>
          <w:tab w:leader="none" w:pos="850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85-1800912</w:t>
      </w:r>
    </w:p>
    <w:p>
      <w:pPr>
        <w:spacing w:after="0" w:line="131" w:lineRule="exact"/>
        <w:rPr>
          <w:sz w:val="24"/>
          <w:szCs w:val="24"/>
          <w:color w:val="auto"/>
        </w:rPr>
      </w:pPr>
    </w:p>
    <w:p>
      <w:pPr>
        <w:ind w:left="1240"/>
        <w:spacing w:after="0"/>
        <w:tabs>
          <w:tab w:leader="none" w:pos="8360" w:val="left"/>
        </w:tabs>
        <w:rPr>
          <w:sz w:val="20"/>
          <w:szCs w:val="20"/>
          <w:color w:val="auto"/>
        </w:rPr>
      </w:pPr>
      <w:r>
        <w:rPr>
          <w:rFonts w:ascii="Arial" w:cs="Arial" w:eastAsia="Arial" w:hAnsi="Arial"/>
          <w:sz w:val="16"/>
          <w:szCs w:val="16"/>
          <w:i w:val="1"/>
          <w:iCs w:val="1"/>
          <w:color w:val="auto"/>
        </w:rPr>
        <w:t>(State or other jurisdiction of</w:t>
      </w:r>
      <w:r>
        <w:rPr>
          <w:sz w:val="20"/>
          <w:szCs w:val="20"/>
          <w:color w:val="auto"/>
        </w:rPr>
        <w:tab/>
      </w:r>
      <w:r>
        <w:rPr>
          <w:rFonts w:ascii="Arial" w:cs="Arial" w:eastAsia="Arial" w:hAnsi="Arial"/>
          <w:sz w:val="14"/>
          <w:szCs w:val="14"/>
          <w:i w:val="1"/>
          <w:iCs w:val="1"/>
          <w:color w:val="auto"/>
        </w:rPr>
        <w:t>(I.R.S. Employer</w:t>
      </w:r>
    </w:p>
    <w:p>
      <w:pPr>
        <w:spacing w:after="0" w:line="73" w:lineRule="exact"/>
        <w:rPr>
          <w:sz w:val="24"/>
          <w:szCs w:val="24"/>
          <w:color w:val="auto"/>
        </w:rPr>
      </w:pPr>
    </w:p>
    <w:p>
      <w:pPr>
        <w:ind w:left="1180"/>
        <w:spacing w:after="0"/>
        <w:tabs>
          <w:tab w:leader="none" w:pos="8300" w:val="left"/>
        </w:tabs>
        <w:rPr>
          <w:sz w:val="20"/>
          <w:szCs w:val="20"/>
          <w:color w:val="auto"/>
        </w:rPr>
      </w:pPr>
      <w:r>
        <w:rPr>
          <w:rFonts w:ascii="Arial" w:cs="Arial" w:eastAsia="Arial" w:hAnsi="Arial"/>
          <w:sz w:val="16"/>
          <w:szCs w:val="16"/>
          <w:i w:val="1"/>
          <w:iCs w:val="1"/>
          <w:color w:val="auto"/>
        </w:rPr>
        <w:t>incorporation or organization)</w:t>
      </w:r>
      <w:r>
        <w:rPr>
          <w:sz w:val="20"/>
          <w:szCs w:val="20"/>
          <w:color w:val="auto"/>
        </w:rPr>
        <w:tab/>
      </w:r>
      <w:r>
        <w:rPr>
          <w:rFonts w:ascii="Arial" w:cs="Arial" w:eastAsia="Arial" w:hAnsi="Arial"/>
          <w:sz w:val="15"/>
          <w:szCs w:val="15"/>
          <w:i w:val="1"/>
          <w:iCs w:val="1"/>
          <w:color w:val="auto"/>
        </w:rPr>
        <w:t>Identification No.)</w:t>
      </w:r>
    </w:p>
    <w:p>
      <w:pPr>
        <w:spacing w:after="0" w:line="109" w:lineRule="exact"/>
        <w:rPr>
          <w:sz w:val="24"/>
          <w:szCs w:val="24"/>
          <w:color w:val="auto"/>
        </w:rPr>
      </w:pPr>
    </w:p>
    <w:p>
      <w:pPr>
        <w:ind w:left="4720"/>
        <w:spacing w:after="0"/>
        <w:rPr>
          <w:sz w:val="20"/>
          <w:szCs w:val="20"/>
          <w:color w:val="auto"/>
        </w:rPr>
      </w:pPr>
      <w:r>
        <w:rPr>
          <w:rFonts w:ascii="Arial" w:cs="Arial" w:eastAsia="Arial" w:hAnsi="Arial"/>
          <w:sz w:val="16"/>
          <w:szCs w:val="16"/>
          <w:b w:val="1"/>
          <w:bCs w:val="1"/>
          <w:color w:val="auto"/>
        </w:rPr>
        <w:t>1800 North Mason Road</w:t>
      </w:r>
    </w:p>
    <w:p>
      <w:pPr>
        <w:spacing w:after="0" w:line="46"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Katy, Texas 77449</w:t>
      </w:r>
    </w:p>
    <w:p>
      <w:pPr>
        <w:spacing w:after="0" w:line="36" w:lineRule="exact"/>
        <w:rPr>
          <w:sz w:val="24"/>
          <w:szCs w:val="24"/>
          <w:color w:val="auto"/>
        </w:rPr>
      </w:pPr>
    </w:p>
    <w:p>
      <w:pPr>
        <w:ind w:left="3920"/>
        <w:spacing w:after="0"/>
        <w:rPr>
          <w:sz w:val="20"/>
          <w:szCs w:val="20"/>
          <w:color w:val="auto"/>
        </w:rPr>
      </w:pPr>
      <w:r>
        <w:rPr>
          <w:rFonts w:ascii="Arial" w:cs="Arial" w:eastAsia="Arial" w:hAnsi="Arial"/>
          <w:sz w:val="16"/>
          <w:szCs w:val="16"/>
          <w:i w:val="1"/>
          <w:iCs w:val="1"/>
          <w:color w:val="auto"/>
        </w:rPr>
        <w:t>(Address of principal executive offices) (Zip Code)</w:t>
      </w:r>
    </w:p>
    <w:p>
      <w:pPr>
        <w:spacing w:after="0" w:line="123" w:lineRule="exact"/>
        <w:rPr>
          <w:sz w:val="24"/>
          <w:szCs w:val="24"/>
          <w:color w:val="auto"/>
        </w:rPr>
      </w:pPr>
    </w:p>
    <w:p>
      <w:pPr>
        <w:ind w:left="5060"/>
        <w:spacing w:after="0"/>
        <w:rPr>
          <w:sz w:val="20"/>
          <w:szCs w:val="20"/>
          <w:color w:val="auto"/>
        </w:rPr>
      </w:pPr>
      <w:r>
        <w:rPr>
          <w:rFonts w:ascii="Arial" w:cs="Arial" w:eastAsia="Arial" w:hAnsi="Arial"/>
          <w:sz w:val="16"/>
          <w:szCs w:val="16"/>
          <w:b w:val="1"/>
          <w:bCs w:val="1"/>
          <w:color w:val="auto"/>
        </w:rPr>
        <w:t>(281) 646-5200</w:t>
      </w:r>
    </w:p>
    <w:p>
      <w:pPr>
        <w:spacing w:after="0" w:line="36" w:lineRule="exact"/>
        <w:rPr>
          <w:sz w:val="24"/>
          <w:szCs w:val="24"/>
          <w:color w:val="auto"/>
        </w:rPr>
      </w:pPr>
    </w:p>
    <w:p>
      <w:pPr>
        <w:ind w:left="378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23" w:lineRule="exact"/>
        <w:rPr>
          <w:sz w:val="24"/>
          <w:szCs w:val="24"/>
          <w:color w:val="auto"/>
        </w:rPr>
      </w:pPr>
    </w:p>
    <w:p>
      <w:pPr>
        <w:ind w:left="5060"/>
        <w:spacing w:after="0"/>
        <w:rPr>
          <w:sz w:val="20"/>
          <w:szCs w:val="20"/>
          <w:color w:val="auto"/>
        </w:rPr>
      </w:pPr>
      <w:r>
        <w:rPr>
          <w:rFonts w:ascii="Arial" w:cs="Arial" w:eastAsia="Arial" w:hAnsi="Arial"/>
          <w:sz w:val="16"/>
          <w:szCs w:val="16"/>
          <w:b w:val="1"/>
          <w:bCs w:val="1"/>
          <w:color w:val="auto"/>
        </w:rPr>
        <w:t>Not applicable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123" w:lineRule="exact"/>
        <w:rPr>
          <w:sz w:val="24"/>
          <w:szCs w:val="24"/>
          <w:color w:val="auto"/>
        </w:rPr>
      </w:pPr>
    </w:p>
    <w:tbl>
      <w:tblPr>
        <w:tblLayout w:type="fixed"/>
        <w:tblInd w:w="82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40" w:type="dxa"/>
            <w:vAlign w:val="bottom"/>
            <w:gridSpan w:val="5"/>
          </w:tcPr>
          <w:p>
            <w:pPr>
              <w:jc w:val="center"/>
              <w:ind w:right="275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182"/>
        </w:trPr>
        <w:tc>
          <w:tcPr>
            <w:tcW w:w="760" w:type="dxa"/>
            <w:vAlign w:val="bottom"/>
          </w:tcPr>
          <w:p>
            <w:pPr>
              <w:spacing w:after="0"/>
              <w:rPr>
                <w:sz w:val="15"/>
                <w:szCs w:val="15"/>
                <w:color w:val="auto"/>
              </w:rPr>
            </w:pPr>
          </w:p>
        </w:tc>
        <w:tc>
          <w:tcPr>
            <w:tcW w:w="1980" w:type="dxa"/>
            <w:vAlign w:val="bottom"/>
            <w:gridSpan w:val="2"/>
          </w:tcPr>
          <w:p>
            <w:pPr>
              <w:jc w:val="center"/>
              <w:ind w:right="780"/>
              <w:spacing w:after="0" w:line="181" w:lineRule="exact"/>
              <w:rPr>
                <w:sz w:val="20"/>
                <w:szCs w:val="20"/>
                <w:color w:val="auto"/>
              </w:rPr>
            </w:pPr>
            <w:r>
              <w:rPr>
                <w:rFonts w:ascii="Arial" w:cs="Arial" w:eastAsia="Arial" w:hAnsi="Arial"/>
                <w:sz w:val="16"/>
                <w:szCs w:val="16"/>
                <w:b w:val="1"/>
                <w:bCs w:val="1"/>
                <w:i w:val="1"/>
                <w:iCs w:val="1"/>
                <w:color w:val="auto"/>
                <w:w w:val="87"/>
              </w:rPr>
              <w:t>Title of each class</w:t>
            </w:r>
          </w:p>
        </w:tc>
        <w:tc>
          <w:tcPr>
            <w:tcW w:w="3240" w:type="dxa"/>
            <w:vAlign w:val="bottom"/>
            <w:gridSpan w:val="3"/>
          </w:tcPr>
          <w:p>
            <w:pPr>
              <w:jc w:val="center"/>
              <w:ind w:left="639"/>
              <w:spacing w:after="0" w:line="181" w:lineRule="exact"/>
              <w:rPr>
                <w:sz w:val="20"/>
                <w:szCs w:val="20"/>
                <w:color w:val="auto"/>
              </w:rPr>
            </w:pPr>
            <w:r>
              <w:rPr>
                <w:rFonts w:ascii="Arial" w:cs="Arial" w:eastAsia="Arial" w:hAnsi="Arial"/>
                <w:sz w:val="16"/>
                <w:szCs w:val="16"/>
                <w:b w:val="1"/>
                <w:bCs w:val="1"/>
                <w:i w:val="1"/>
                <w:iCs w:val="1"/>
                <w:color w:val="auto"/>
                <w:w w:val="88"/>
              </w:rPr>
              <w:t>Trading Symbol(s)</w:t>
            </w:r>
          </w:p>
        </w:tc>
        <w:tc>
          <w:tcPr>
            <w:tcW w:w="3600" w:type="dxa"/>
            <w:vAlign w:val="bottom"/>
            <w:gridSpan w:val="2"/>
          </w:tcPr>
          <w:p>
            <w:pPr>
              <w:jc w:val="center"/>
              <w:ind w:left="559"/>
              <w:spacing w:after="0" w:line="181" w:lineRule="exact"/>
              <w:rPr>
                <w:sz w:val="20"/>
                <w:szCs w:val="20"/>
                <w:color w:val="auto"/>
              </w:rPr>
            </w:pPr>
            <w:r>
              <w:rPr>
                <w:rFonts w:ascii="Arial" w:cs="Arial" w:eastAsia="Arial" w:hAnsi="Arial"/>
                <w:sz w:val="16"/>
                <w:szCs w:val="16"/>
                <w:b w:val="1"/>
                <w:bCs w:val="1"/>
                <w:i w:val="1"/>
                <w:iCs w:val="1"/>
                <w:color w:val="auto"/>
                <w:w w:val="87"/>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0"/>
        </w:trPr>
        <w:tc>
          <w:tcPr>
            <w:tcW w:w="2740" w:type="dxa"/>
            <w:vAlign w:val="bottom"/>
            <w:gridSpan w:val="3"/>
          </w:tcPr>
          <w:p>
            <w:pPr>
              <w:jc w:val="center"/>
              <w:ind w:right="20"/>
              <w:spacing w:after="0"/>
              <w:rPr>
                <w:sz w:val="20"/>
                <w:szCs w:val="20"/>
                <w:color w:val="auto"/>
              </w:rPr>
            </w:pPr>
            <w:r>
              <w:rPr>
                <w:rFonts w:ascii="Arial" w:cs="Arial" w:eastAsia="Arial" w:hAnsi="Arial"/>
                <w:sz w:val="16"/>
                <w:szCs w:val="16"/>
                <w:color w:val="auto"/>
                <w:w w:val="90"/>
              </w:rPr>
              <w:t>Common Stock, par value $0.01 per share</w:t>
            </w:r>
          </w:p>
        </w:tc>
        <w:tc>
          <w:tcPr>
            <w:tcW w:w="1360" w:type="dxa"/>
            <w:vAlign w:val="bottom"/>
          </w:tcPr>
          <w:p>
            <w:pPr>
              <w:spacing w:after="0"/>
              <w:rPr>
                <w:sz w:val="20"/>
                <w:szCs w:val="20"/>
                <w:color w:val="auto"/>
              </w:rPr>
            </w:pPr>
          </w:p>
        </w:tc>
        <w:tc>
          <w:tcPr>
            <w:tcW w:w="1880" w:type="dxa"/>
            <w:vAlign w:val="bottom"/>
            <w:gridSpan w:val="2"/>
          </w:tcPr>
          <w:p>
            <w:pPr>
              <w:jc w:val="center"/>
              <w:ind w:right="640"/>
              <w:spacing w:after="0"/>
              <w:rPr>
                <w:sz w:val="20"/>
                <w:szCs w:val="20"/>
                <w:color w:val="auto"/>
              </w:rPr>
            </w:pPr>
            <w:r>
              <w:rPr>
                <w:rFonts w:ascii="Arial" w:cs="Arial" w:eastAsia="Arial" w:hAnsi="Arial"/>
                <w:sz w:val="16"/>
                <w:szCs w:val="16"/>
                <w:color w:val="auto"/>
                <w:w w:val="94"/>
              </w:rPr>
              <w:t>ASO</w:t>
            </w:r>
          </w:p>
        </w:tc>
        <w:tc>
          <w:tcPr>
            <w:tcW w:w="6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85"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7" w:lineRule="exact"/>
        <w:rPr>
          <w:sz w:val="24"/>
          <w:szCs w:val="24"/>
          <w:color w:val="auto"/>
        </w:rPr>
      </w:pPr>
    </w:p>
    <w:p>
      <w:pPr>
        <w:ind w:right="180"/>
        <w:spacing w:after="0" w:line="25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0"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200"/>
        <w:spacing w:after="0" w:line="184" w:lineRule="exact"/>
        <w:tabs>
          <w:tab w:leader="none" w:pos="66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50" w:lineRule="exact"/>
        <w:rPr>
          <w:sz w:val="24"/>
          <w:szCs w:val="24"/>
          <w:color w:val="auto"/>
        </w:rPr>
      </w:pPr>
    </w:p>
    <w:p>
      <w:pPr>
        <w:ind w:left="2200"/>
        <w:spacing w:after="0" w:line="184" w:lineRule="exact"/>
        <w:tabs>
          <w:tab w:leader="none" w:pos="668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32" w:lineRule="exact"/>
        <w:rPr>
          <w:sz w:val="24"/>
          <w:szCs w:val="24"/>
          <w:color w:val="auto"/>
        </w:rPr>
      </w:pPr>
    </w:p>
    <w:p>
      <w:pPr>
        <w:ind w:left="67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6" w:lineRule="exact"/>
        <w:rPr>
          <w:sz w:val="24"/>
          <w:szCs w:val="24"/>
          <w:color w:val="auto"/>
        </w:rPr>
      </w:pPr>
    </w:p>
    <w:p>
      <w:pPr>
        <w:jc w:val="both"/>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As of December 3, 2020, Academy Sports and Outdoors, Inc. had 89,913,905 shares of common stock, par value $0.01 per share, outstanding.</w:t>
      </w:r>
    </w:p>
    <w:p>
      <w:pPr>
        <w:sectPr>
          <w:pgSz w:w="11900" w:h="16838" w:orient="portrait"/>
          <w:cols w:equalWidth="0" w:num="1">
            <w:col w:w="11120"/>
          </w:cols>
          <w:pgMar w:left="400" w:top="922" w:right="379" w:bottom="1440" w:gutter="0" w:footer="0" w:header="0"/>
        </w:sectPr>
      </w:pPr>
    </w:p>
    <w:p>
      <w:pPr>
        <w:spacing w:after="0" w:line="392" w:lineRule="exact"/>
        <w:rPr>
          <w:sz w:val="24"/>
          <w:szCs w:val="24"/>
          <w:color w:val="auto"/>
        </w:rPr>
      </w:pPr>
    </w:p>
    <w:p>
      <w:pPr>
        <w:jc w:val="center"/>
        <w:ind w:right="40"/>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00" w:top="922"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Borders>
              <w:bottom w:val="single" w:sz="8" w:color="CCEEFF"/>
            </w:tcBorders>
          </w:tcPr>
          <w:p>
            <w:pPr>
              <w:spacing w:after="0"/>
              <w:rPr>
                <w:sz w:val="20"/>
                <w:szCs w:val="20"/>
                <w:color w:val="auto"/>
              </w:rPr>
            </w:pPr>
          </w:p>
        </w:tc>
        <w:tc>
          <w:tcPr>
            <w:tcW w:w="298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52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Page</w:t>
            </w:r>
          </w:p>
        </w:tc>
      </w:tr>
      <w:tr>
        <w:trPr>
          <w:trHeight w:val="223"/>
        </w:trPr>
        <w:tc>
          <w:tcPr>
            <w:tcW w:w="1040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FINANCIAL INFORMATION</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2">
              <w:r>
                <w:rPr>
                  <w:rFonts w:ascii="Arial" w:cs="Arial" w:eastAsia="Arial" w:hAnsi="Arial"/>
                  <w:sz w:val="18"/>
                  <w:szCs w:val="18"/>
                  <w:u w:val="single" w:color="auto"/>
                  <w:color w:val="0000FF"/>
                  <w:w w:val="79"/>
                </w:rPr>
                <w:t>3</w:t>
              </w:r>
            </w:hyperlink>
          </w:p>
        </w:tc>
      </w:tr>
      <w:tr>
        <w:trPr>
          <w:trHeight w:val="230"/>
        </w:trPr>
        <w:tc>
          <w:tcPr>
            <w:tcW w:w="10400" w:type="dxa"/>
            <w:vAlign w:val="bottom"/>
            <w:gridSpan w:val="4"/>
          </w:tcPr>
          <w:p>
            <w:pPr>
              <w:ind w:left="2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Financial Statements</w:t>
              </w:r>
            </w:hyperlink>
          </w:p>
        </w:tc>
        <w:tc>
          <w:tcPr>
            <w:tcW w:w="84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3</w:t>
              </w:r>
            </w:hyperlink>
          </w:p>
        </w:tc>
      </w:tr>
      <w:tr>
        <w:trPr>
          <w:trHeight w:val="229"/>
        </w:trPr>
        <w:tc>
          <w:tcPr>
            <w:tcW w:w="10400" w:type="dxa"/>
            <w:vAlign w:val="bottom"/>
            <w:gridSpan w:val="4"/>
            <w:shd w:val="clear" w:color="auto" w:fill="CCEEFF"/>
          </w:tcPr>
          <w:p>
            <w:pPr>
              <w:ind w:left="24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2. Management's Discussion and Analysis of Financial Condition and Results of Operations</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30</w:t>
              </w:r>
            </w:hyperlink>
          </w:p>
        </w:tc>
      </w:tr>
      <w:tr>
        <w:trPr>
          <w:trHeight w:val="189"/>
        </w:trPr>
        <w:tc>
          <w:tcPr>
            <w:tcW w:w="10400" w:type="dxa"/>
            <w:vAlign w:val="bottom"/>
            <w:gridSpan w:val="4"/>
          </w:tcPr>
          <w:p>
            <w:pPr>
              <w:ind w:left="240"/>
              <w:spacing w:after="0" w:line="189" w:lineRule="exact"/>
              <w:rPr>
                <w:rFonts w:ascii="Arial" w:cs="Arial" w:eastAsia="Arial" w:hAnsi="Arial"/>
                <w:sz w:val="18"/>
                <w:szCs w:val="18"/>
                <w:color w:val="0000FF"/>
              </w:rPr>
            </w:pPr>
            <w:hyperlink w:anchor="page50">
              <w:r>
                <w:rPr>
                  <w:rFonts w:ascii="Arial" w:cs="Arial" w:eastAsia="Arial" w:hAnsi="Arial"/>
                  <w:sz w:val="18"/>
                  <w:szCs w:val="18"/>
                  <w:u w:val="single" w:color="auto"/>
                  <w:color w:val="0000FF"/>
                </w:rPr>
                <w:t>Item 3. Quantitative and Qualitative Disclosures</w:t>
              </w:r>
              <w:r>
                <w:rPr>
                  <w:rFonts w:ascii="Arial" w:cs="Arial" w:eastAsia="Arial" w:hAnsi="Arial"/>
                  <w:sz w:val="18"/>
                  <w:szCs w:val="18"/>
                  <w:color w:val="0000FF"/>
                </w:rPr>
                <w:t xml:space="preserve"> About Market Risk</w:t>
              </w:r>
            </w:hyperlink>
          </w:p>
        </w:tc>
        <w:tc>
          <w:tcPr>
            <w:tcW w:w="840" w:type="dxa"/>
            <w:vAlign w:val="bottom"/>
          </w:tcPr>
          <w:p>
            <w:pPr>
              <w:jc w:val="center"/>
              <w:spacing w:after="0" w:line="189" w:lineRule="exact"/>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50</w:t>
              </w:r>
            </w:hyperlink>
          </w:p>
        </w:tc>
      </w:tr>
      <w:tr>
        <w:trPr>
          <w:trHeight w:val="20"/>
        </w:trPr>
        <w:tc>
          <w:tcPr>
            <w:tcW w:w="7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0"/>
        </w:trPr>
        <w:tc>
          <w:tcPr>
            <w:tcW w:w="780" w:type="dxa"/>
            <w:vAlign w:val="bottom"/>
            <w:shd w:val="clear" w:color="auto" w:fill="CCEEFF"/>
          </w:tcPr>
          <w:p>
            <w:pPr>
              <w:ind w:left="240"/>
              <w:spacing w:after="0"/>
              <w:rPr>
                <w:rFonts w:ascii="Arial" w:cs="Arial" w:eastAsia="Arial" w:hAnsi="Arial"/>
                <w:sz w:val="18"/>
                <w:szCs w:val="18"/>
                <w:u w:val="single" w:color="auto"/>
                <w:color w:val="0000FF"/>
                <w:w w:val="94"/>
              </w:rPr>
            </w:pPr>
            <w:hyperlink w:anchor="page50">
              <w:r>
                <w:rPr>
                  <w:rFonts w:ascii="Arial" w:cs="Arial" w:eastAsia="Arial" w:hAnsi="Arial"/>
                  <w:sz w:val="18"/>
                  <w:szCs w:val="18"/>
                  <w:u w:val="single" w:color="auto"/>
                  <w:color w:val="0000FF"/>
                  <w:w w:val="94"/>
                </w:rPr>
                <w:t>Item 4.</w:t>
              </w:r>
            </w:hyperlink>
          </w:p>
        </w:tc>
        <w:tc>
          <w:tcPr>
            <w:tcW w:w="962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Controls and Procedures</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50</w:t>
              </w:r>
            </w:hyperlink>
          </w:p>
        </w:tc>
      </w:tr>
      <w:tr>
        <w:trPr>
          <w:trHeight w:val="229"/>
        </w:trPr>
        <w:tc>
          <w:tcPr>
            <w:tcW w:w="10400" w:type="dxa"/>
            <w:vAlign w:val="bottom"/>
            <w:gridSpan w:val="4"/>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PART II. OTHER INFORMATION</w:t>
              </w:r>
            </w:hyperlink>
          </w:p>
        </w:tc>
        <w:tc>
          <w:tcPr>
            <w:tcW w:w="840" w:type="dxa"/>
            <w:vAlign w:val="bottom"/>
          </w:tcPr>
          <w:p>
            <w:pPr>
              <w:jc w:val="center"/>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51</w:t>
              </w:r>
            </w:hyperlink>
          </w:p>
        </w:tc>
      </w:tr>
      <w:tr>
        <w:trPr>
          <w:trHeight w:val="229"/>
        </w:trPr>
        <w:tc>
          <w:tcPr>
            <w:tcW w:w="780" w:type="dxa"/>
            <w:vAlign w:val="bottom"/>
            <w:shd w:val="clear" w:color="auto" w:fill="CCEEFF"/>
          </w:tcPr>
          <w:p>
            <w:pPr>
              <w:ind w:left="240"/>
              <w:spacing w:after="0"/>
              <w:rPr>
                <w:rFonts w:ascii="Arial" w:cs="Arial" w:eastAsia="Arial" w:hAnsi="Arial"/>
                <w:sz w:val="18"/>
                <w:szCs w:val="18"/>
                <w:u w:val="single" w:color="auto"/>
                <w:color w:val="0000FF"/>
                <w:w w:val="94"/>
              </w:rPr>
            </w:pPr>
            <w:hyperlink w:anchor="page51">
              <w:r>
                <w:rPr>
                  <w:rFonts w:ascii="Arial" w:cs="Arial" w:eastAsia="Arial" w:hAnsi="Arial"/>
                  <w:sz w:val="18"/>
                  <w:szCs w:val="18"/>
                  <w:u w:val="single" w:color="auto"/>
                  <w:color w:val="0000FF"/>
                  <w:w w:val="94"/>
                </w:rPr>
                <w:t>Item 1.</w:t>
              </w:r>
            </w:hyperlink>
          </w:p>
        </w:tc>
        <w:tc>
          <w:tcPr>
            <w:tcW w:w="962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Legal Proceedings</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51</w:t>
              </w:r>
            </w:hyperlink>
          </w:p>
        </w:tc>
      </w:tr>
      <w:tr>
        <w:trPr>
          <w:trHeight w:val="230"/>
        </w:trPr>
        <w:tc>
          <w:tcPr>
            <w:tcW w:w="10400" w:type="dxa"/>
            <w:vAlign w:val="bottom"/>
            <w:gridSpan w:val="4"/>
          </w:tcPr>
          <w:p>
            <w:pPr>
              <w:ind w:left="2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1A. Risk Factors</w:t>
              </w:r>
            </w:hyperlink>
          </w:p>
        </w:tc>
        <w:tc>
          <w:tcPr>
            <w:tcW w:w="840" w:type="dxa"/>
            <w:vAlign w:val="bottom"/>
          </w:tcPr>
          <w:p>
            <w:pPr>
              <w:jc w:val="center"/>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51</w:t>
              </w:r>
            </w:hyperlink>
          </w:p>
        </w:tc>
      </w:tr>
      <w:tr>
        <w:trPr>
          <w:trHeight w:val="229"/>
        </w:trPr>
        <w:tc>
          <w:tcPr>
            <w:tcW w:w="780" w:type="dxa"/>
            <w:vAlign w:val="bottom"/>
            <w:shd w:val="clear" w:color="auto" w:fill="CCEEFF"/>
          </w:tcPr>
          <w:p>
            <w:pPr>
              <w:ind w:left="240"/>
              <w:spacing w:after="0"/>
              <w:rPr>
                <w:rFonts w:ascii="Arial" w:cs="Arial" w:eastAsia="Arial" w:hAnsi="Arial"/>
                <w:sz w:val="18"/>
                <w:szCs w:val="18"/>
                <w:u w:val="single" w:color="auto"/>
                <w:color w:val="0000FF"/>
                <w:w w:val="94"/>
              </w:rPr>
            </w:pPr>
            <w:hyperlink w:anchor="page53">
              <w:r>
                <w:rPr>
                  <w:rFonts w:ascii="Arial" w:cs="Arial" w:eastAsia="Arial" w:hAnsi="Arial"/>
                  <w:sz w:val="18"/>
                  <w:szCs w:val="18"/>
                  <w:u w:val="single" w:color="auto"/>
                  <w:color w:val="0000FF"/>
                  <w:w w:val="94"/>
                </w:rPr>
                <w:t>Item 2.</w:t>
              </w:r>
            </w:hyperlink>
          </w:p>
        </w:tc>
        <w:tc>
          <w:tcPr>
            <w:tcW w:w="962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Unregistered Sales of Equity Securities and Use of Proceeds</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54</w:t>
              </w:r>
            </w:hyperlink>
          </w:p>
        </w:tc>
      </w:tr>
      <w:tr>
        <w:trPr>
          <w:trHeight w:val="230"/>
        </w:trPr>
        <w:tc>
          <w:tcPr>
            <w:tcW w:w="780" w:type="dxa"/>
            <w:vAlign w:val="bottom"/>
          </w:tcPr>
          <w:p>
            <w:pPr>
              <w:ind w:left="240"/>
              <w:spacing w:after="0"/>
              <w:rPr>
                <w:rFonts w:ascii="Arial" w:cs="Arial" w:eastAsia="Arial" w:hAnsi="Arial"/>
                <w:sz w:val="18"/>
                <w:szCs w:val="18"/>
                <w:u w:val="single" w:color="auto"/>
                <w:color w:val="0000FF"/>
                <w:w w:val="94"/>
              </w:rPr>
            </w:pPr>
            <w:hyperlink w:anchor="page54">
              <w:r>
                <w:rPr>
                  <w:rFonts w:ascii="Arial" w:cs="Arial" w:eastAsia="Arial" w:hAnsi="Arial"/>
                  <w:sz w:val="18"/>
                  <w:szCs w:val="18"/>
                  <w:u w:val="single" w:color="auto"/>
                  <w:color w:val="0000FF"/>
                  <w:w w:val="94"/>
                </w:rPr>
                <w:t>Item 6.</w:t>
              </w:r>
            </w:hyperlink>
          </w:p>
        </w:tc>
        <w:tc>
          <w:tcPr>
            <w:tcW w:w="9620" w:type="dxa"/>
            <w:vAlign w:val="bottom"/>
            <w:gridSpan w:val="3"/>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Exhibits</w:t>
              </w:r>
            </w:hyperlink>
          </w:p>
        </w:tc>
        <w:tc>
          <w:tcPr>
            <w:tcW w:w="840" w:type="dxa"/>
            <w:vAlign w:val="bottom"/>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55</w:t>
              </w:r>
            </w:hyperlink>
          </w:p>
        </w:tc>
      </w:tr>
      <w:tr>
        <w:trPr>
          <w:trHeight w:val="229"/>
        </w:trPr>
        <w:tc>
          <w:tcPr>
            <w:tcW w:w="1040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SIGNATURES</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57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ind w:left="60"/>
              <w:spacing w:after="0"/>
              <w:rPr>
                <w:sz w:val="20"/>
                <w:szCs w:val="20"/>
                <w:color w:val="auto"/>
              </w:rPr>
            </w:pPr>
            <w:r>
              <w:rPr>
                <w:rFonts w:ascii="Arial" w:cs="Arial" w:eastAsia="Arial" w:hAnsi="Arial"/>
                <w:sz w:val="17"/>
                <w:szCs w:val="17"/>
                <w:b w:val="1"/>
                <w:bCs w:val="1"/>
                <w:color w:val="auto"/>
              </w:rPr>
              <w:t>October 31, 2020</w:t>
            </w:r>
          </w:p>
        </w:tc>
        <w:tc>
          <w:tcPr>
            <w:tcW w:w="160" w:type="dxa"/>
            <w:vAlign w:val="bottom"/>
          </w:tcPr>
          <w:p>
            <w:pPr>
              <w:spacing w:after="0"/>
              <w:rPr>
                <w:sz w:val="19"/>
                <w:szCs w:val="19"/>
                <w:color w:val="auto"/>
              </w:rPr>
            </w:pPr>
          </w:p>
        </w:tc>
        <w:tc>
          <w:tcPr>
            <w:tcW w:w="1620" w:type="dxa"/>
            <w:vAlign w:val="bottom"/>
            <w:gridSpan w:val="2"/>
          </w:tcPr>
          <w:p>
            <w:pPr>
              <w:ind w:left="60"/>
              <w:spacing w:after="0"/>
              <w:rPr>
                <w:sz w:val="20"/>
                <w:szCs w:val="20"/>
                <w:color w:val="auto"/>
              </w:rPr>
            </w:pPr>
            <w:r>
              <w:rPr>
                <w:rFonts w:ascii="Arial" w:cs="Arial" w:eastAsia="Arial" w:hAnsi="Arial"/>
                <w:sz w:val="17"/>
                <w:szCs w:val="17"/>
                <w:b w:val="1"/>
                <w:bCs w:val="1"/>
                <w:color w:val="auto"/>
              </w:rPr>
              <w:t>February 1, 2020</w:t>
            </w:r>
          </w:p>
        </w:tc>
        <w:tc>
          <w:tcPr>
            <w:tcW w:w="160" w:type="dxa"/>
            <w:vAlign w:val="bottom"/>
          </w:tcPr>
          <w:p>
            <w:pPr>
              <w:spacing w:after="0"/>
              <w:rPr>
                <w:sz w:val="19"/>
                <w:szCs w:val="19"/>
                <w:color w:val="auto"/>
              </w:rPr>
            </w:pPr>
          </w:p>
        </w:tc>
        <w:tc>
          <w:tcPr>
            <w:tcW w:w="1580" w:type="dxa"/>
            <w:vAlign w:val="bottom"/>
          </w:tcPr>
          <w:p>
            <w:pPr>
              <w:jc w:val="right"/>
              <w:ind w:right="135"/>
              <w:spacing w:after="0"/>
              <w:rPr>
                <w:sz w:val="20"/>
                <w:szCs w:val="20"/>
                <w:color w:val="auto"/>
              </w:rPr>
            </w:pPr>
            <w:r>
              <w:rPr>
                <w:rFonts w:ascii="Arial" w:cs="Arial" w:eastAsia="Arial" w:hAnsi="Arial"/>
                <w:sz w:val="17"/>
                <w:szCs w:val="17"/>
                <w:b w:val="1"/>
                <w:bCs w:val="1"/>
                <w:color w:val="auto"/>
                <w:w w:val="92"/>
              </w:rPr>
              <w:t>November 2, 2019</w:t>
            </w:r>
          </w:p>
        </w:tc>
        <w:tc>
          <w:tcPr>
            <w:tcW w:w="0" w:type="dxa"/>
            <w:vAlign w:val="bottom"/>
          </w:tcPr>
          <w:p>
            <w:pPr>
              <w:spacing w:after="0"/>
              <w:rPr>
                <w:sz w:val="1"/>
                <w:szCs w:val="1"/>
                <w:color w:val="auto"/>
              </w:rPr>
            </w:pPr>
          </w:p>
        </w:tc>
      </w:tr>
      <w:tr>
        <w:trPr>
          <w:trHeight w:val="198"/>
        </w:trPr>
        <w:tc>
          <w:tcPr>
            <w:tcW w:w="5940" w:type="dxa"/>
            <w:vAlign w:val="bottom"/>
            <w:tcBorders>
              <w:top w:val="single" w:sz="8" w:color="CCEEFF"/>
            </w:tcBorders>
            <w:shd w:val="clear" w:color="auto" w:fill="CCEEFF"/>
          </w:tcPr>
          <w:p>
            <w:pPr>
              <w:ind w:left="2620"/>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869,725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43,538</w:t>
            </w:r>
          </w:p>
        </w:tc>
        <w:tc>
          <w:tcPr>
            <w:tcW w:w="0" w:type="dxa"/>
            <w:vAlign w:val="bottom"/>
          </w:tcPr>
          <w:p>
            <w:pPr>
              <w:spacing w:after="0"/>
              <w:rPr>
                <w:sz w:val="1"/>
                <w:szCs w:val="1"/>
                <w:color w:val="auto"/>
              </w:rPr>
            </w:pPr>
          </w:p>
        </w:tc>
      </w:tr>
      <w:tr>
        <w:trPr>
          <w:trHeight w:val="162"/>
        </w:trPr>
        <w:tc>
          <w:tcPr>
            <w:tcW w:w="5940" w:type="dxa"/>
            <w:vAlign w:val="bottom"/>
          </w:tcPr>
          <w:p>
            <w:pPr>
              <w:ind w:left="240"/>
              <w:spacing w:after="0" w:line="162" w:lineRule="exact"/>
              <w:rPr>
                <w:sz w:val="20"/>
                <w:szCs w:val="20"/>
                <w:color w:val="auto"/>
              </w:rPr>
            </w:pPr>
            <w:r>
              <w:rPr>
                <w:rFonts w:ascii="Arial" w:cs="Arial" w:eastAsia="Arial" w:hAnsi="Arial"/>
                <w:sz w:val="17"/>
                <w:szCs w:val="17"/>
                <w:color w:val="auto"/>
                <w:w w:val="93"/>
              </w:rPr>
              <w:t>Accounts receivable - less allowance for doubtful accounts of $1,286, $3,275 and</w:t>
            </w:r>
          </w:p>
        </w:tc>
        <w:tc>
          <w:tcPr>
            <w:tcW w:w="1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11,908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color w:val="auto"/>
              </w:rPr>
              <w:t>13,999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7"/>
                <w:szCs w:val="17"/>
                <w:color w:val="auto"/>
              </w:rPr>
              <w:t>9,798</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7"/>
                <w:szCs w:val="17"/>
                <w:color w:val="auto"/>
              </w:rPr>
              <w:t>$3,642, respectively</w:t>
            </w: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Merchandise inventories, net</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1,082,907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1,099,749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1,331,969</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25,789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24,548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26,140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Assets held for sale</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1,763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0" w:type="dxa"/>
            <w:vAlign w:val="bottom"/>
          </w:tcPr>
          <w:p>
            <w:pPr>
              <w:spacing w:after="0"/>
              <w:rPr>
                <w:sz w:val="1"/>
                <w:szCs w:val="1"/>
                <w:color w:val="auto"/>
              </w:rPr>
            </w:pPr>
          </w:p>
        </w:tc>
      </w:tr>
      <w:tr>
        <w:trPr>
          <w:trHeight w:val="209"/>
        </w:trPr>
        <w:tc>
          <w:tcPr>
            <w:tcW w:w="5940" w:type="dxa"/>
            <w:vAlign w:val="bottom"/>
          </w:tcPr>
          <w:p>
            <w:pPr>
              <w:ind w:left="460"/>
              <w:spacing w:after="0"/>
              <w:rPr>
                <w:sz w:val="20"/>
                <w:szCs w:val="20"/>
                <w:color w:val="auto"/>
              </w:rPr>
            </w:pPr>
            <w:r>
              <w:rPr>
                <w:rFonts w:ascii="Arial" w:cs="Arial" w:eastAsia="Arial" w:hAnsi="Arial"/>
                <w:sz w:val="17"/>
                <w:szCs w:val="17"/>
                <w:b w:val="1"/>
                <w:bCs w:val="1"/>
                <w:color w:val="auto"/>
              </w:rPr>
              <w:t>Total current assets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1,992,092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1,289,444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1,413,208</w:t>
            </w:r>
          </w:p>
        </w:tc>
        <w:tc>
          <w:tcPr>
            <w:tcW w:w="0" w:type="dxa"/>
            <w:vAlign w:val="bottom"/>
          </w:tcPr>
          <w:p>
            <w:pPr>
              <w:spacing w:after="0"/>
              <w:rPr>
                <w:sz w:val="1"/>
                <w:szCs w:val="1"/>
                <w:color w:val="auto"/>
              </w:rPr>
            </w:pPr>
          </w:p>
        </w:tc>
      </w:tr>
      <w:tr>
        <w:trPr>
          <w:trHeight w:val="95"/>
        </w:trPr>
        <w:tc>
          <w:tcPr>
            <w:tcW w:w="59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7"/>
                <w:szCs w:val="17"/>
                <w:b w:val="1"/>
                <w:bCs w:val="1"/>
                <w:color w:val="auto"/>
              </w:rPr>
              <w:t>PROPERTY AND EQUIPMENT, NET</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382,620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441,407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454,406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RIGHT-OF-USE ASSETS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1,163,361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1,145,705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1,165,826</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7"/>
                <w:szCs w:val="17"/>
                <w:b w:val="1"/>
                <w:bCs w:val="1"/>
                <w:color w:val="auto"/>
              </w:rPr>
              <w:t>TRADE NAME</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577,000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577,000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577,000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GOODWILL</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861,920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861,920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861,920</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OTHER NONCURRENT ASSETS</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4,923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15,845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16,349</w:t>
            </w:r>
          </w:p>
        </w:tc>
        <w:tc>
          <w:tcPr>
            <w:tcW w:w="0" w:type="dxa"/>
            <w:vAlign w:val="bottom"/>
          </w:tcPr>
          <w:p>
            <w:pPr>
              <w:spacing w:after="0"/>
              <w:rPr>
                <w:sz w:val="1"/>
                <w:szCs w:val="1"/>
                <w:color w:val="auto"/>
              </w:rPr>
            </w:pPr>
          </w:p>
        </w:tc>
      </w:tr>
      <w:tr>
        <w:trPr>
          <w:trHeight w:val="235"/>
        </w:trPr>
        <w:tc>
          <w:tcPr>
            <w:tcW w:w="5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4,981,916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4,331,321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4,488,709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LIABILITIES AND STOCKHOLDERS'/PARTNERS' EQUITY</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868,879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428,823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529,926</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274,612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211,381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219,992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Current lease liabilities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79,361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73,252</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Current maturities of long-term debt</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18,250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34,116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18,250</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1,241,102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750,649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841,420</w:t>
            </w:r>
          </w:p>
        </w:tc>
        <w:tc>
          <w:tcPr>
            <w:tcW w:w="0" w:type="dxa"/>
            <w:vAlign w:val="bottom"/>
          </w:tcPr>
          <w:p>
            <w:pPr>
              <w:spacing w:after="0"/>
              <w:rPr>
                <w:sz w:val="1"/>
                <w:szCs w:val="1"/>
                <w:color w:val="auto"/>
              </w:rPr>
            </w:pPr>
          </w:p>
        </w:tc>
      </w:tr>
      <w:tr>
        <w:trPr>
          <w:trHeight w:val="95"/>
        </w:trPr>
        <w:tc>
          <w:tcPr>
            <w:tcW w:w="5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LONG-TERM DEBT, net</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1,408,885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1,428,542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1,492,609</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7"/>
                <w:szCs w:val="17"/>
                <w:b w:val="1"/>
                <w:bCs w:val="1"/>
                <w:color w:val="auto"/>
              </w:rPr>
              <w:t>LONG-TERM LEASE LIABILITIES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1,171,420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1,141,896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1,163,250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LIABILITIES, NET</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132,701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43,244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19,197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19,529</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3,997,352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3,340,284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3,516,808</w:t>
            </w:r>
          </w:p>
        </w:tc>
        <w:tc>
          <w:tcPr>
            <w:tcW w:w="0" w:type="dxa"/>
            <w:vAlign w:val="bottom"/>
          </w:tcPr>
          <w:p>
            <w:pPr>
              <w:spacing w:after="0"/>
              <w:rPr>
                <w:sz w:val="1"/>
                <w:szCs w:val="1"/>
                <w:color w:val="auto"/>
              </w:rPr>
            </w:pPr>
          </w:p>
        </w:tc>
      </w:tr>
      <w:tr>
        <w:trPr>
          <w:trHeight w:val="75"/>
        </w:trPr>
        <w:tc>
          <w:tcPr>
            <w:tcW w:w="5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14)</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REDEEMABLE MEMBERSHIP UNITS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2,818</w:t>
            </w:r>
          </w:p>
        </w:tc>
        <w:tc>
          <w:tcPr>
            <w:tcW w:w="0" w:type="dxa"/>
            <w:vAlign w:val="bottom"/>
          </w:tcPr>
          <w:p>
            <w:pPr>
              <w:spacing w:after="0"/>
              <w:rPr>
                <w:sz w:val="1"/>
                <w:szCs w:val="1"/>
                <w:color w:val="auto"/>
              </w:rPr>
            </w:pPr>
          </w:p>
        </w:tc>
      </w:tr>
      <w:tr>
        <w:trPr>
          <w:trHeight w:val="95"/>
        </w:trPr>
        <w:tc>
          <w:tcPr>
            <w:tcW w:w="5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 xml:space="preserve">STOCKHOLDERS'/PARTNERS' EQUITY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240"/>
              <w:spacing w:after="0" w:line="162" w:lineRule="exact"/>
              <w:rPr>
                <w:sz w:val="20"/>
                <w:szCs w:val="20"/>
                <w:color w:val="auto"/>
              </w:rPr>
            </w:pPr>
            <w:r>
              <w:rPr>
                <w:rFonts w:ascii="Arial" w:cs="Arial" w:eastAsia="Arial" w:hAnsi="Arial"/>
                <w:sz w:val="17"/>
                <w:szCs w:val="17"/>
                <w:color w:val="auto"/>
                <w:w w:val="93"/>
              </w:rPr>
              <w:t>Preferred stock, $0.01 par value, authorized 50,000,000 shares; none issued and</w:t>
            </w:r>
          </w:p>
        </w:tc>
        <w:tc>
          <w:tcPr>
            <w:tcW w:w="160" w:type="dxa"/>
            <w:vAlign w:val="bottom"/>
          </w:tcPr>
          <w:p>
            <w:pPr>
              <w:spacing w:after="0"/>
              <w:rPr>
                <w:sz w:val="14"/>
                <w:szCs w:val="14"/>
                <w:color w:val="auto"/>
              </w:rPr>
            </w:pP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4"/>
                <w:szCs w:val="14"/>
                <w:color w:val="auto"/>
              </w:rPr>
            </w:pP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7"/>
                <w:szCs w:val="17"/>
                <w:color w:val="auto"/>
              </w:rPr>
              <w:t>outstanding</w:t>
            </w:r>
          </w:p>
        </w:tc>
        <w:tc>
          <w:tcPr>
            <w:tcW w:w="1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240"/>
              <w:spacing w:after="0" w:line="162" w:lineRule="exact"/>
              <w:rPr>
                <w:sz w:val="20"/>
                <w:szCs w:val="20"/>
                <w:color w:val="auto"/>
              </w:rPr>
            </w:pPr>
            <w:r>
              <w:rPr>
                <w:rFonts w:ascii="Arial" w:cs="Arial" w:eastAsia="Arial" w:hAnsi="Arial"/>
                <w:sz w:val="17"/>
                <w:szCs w:val="17"/>
                <w:color w:val="auto"/>
                <w:w w:val="99"/>
              </w:rPr>
              <w:t>Partners' equity, membership units authorized, issued and outstanding were</w:t>
            </w:r>
          </w:p>
        </w:tc>
        <w:tc>
          <w:tcPr>
            <w:tcW w:w="16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996,285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976,538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72,468,164 as of February 1, 2020 and November 2, 2019</w:t>
            </w:r>
          </w:p>
        </w:tc>
        <w:tc>
          <w:tcPr>
            <w:tcW w:w="160" w:type="dxa"/>
            <w:vAlign w:val="bottom"/>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240"/>
              <w:spacing w:after="0" w:line="162" w:lineRule="exact"/>
              <w:rPr>
                <w:sz w:val="20"/>
                <w:szCs w:val="20"/>
                <w:color w:val="auto"/>
              </w:rPr>
            </w:pPr>
            <w:r>
              <w:rPr>
                <w:rFonts w:ascii="Arial" w:cs="Arial" w:eastAsia="Arial" w:hAnsi="Arial"/>
                <w:sz w:val="17"/>
                <w:szCs w:val="17"/>
                <w:color w:val="auto"/>
                <w:w w:val="98"/>
              </w:rPr>
              <w:t>Common stock, $0.01 par value, authorized 300,000,000 shares; 88,103,975</w:t>
            </w:r>
          </w:p>
        </w:tc>
        <w:tc>
          <w:tcPr>
            <w:tcW w:w="1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881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7"/>
                <w:szCs w:val="17"/>
                <w:color w:val="auto"/>
              </w:rPr>
              <w:t>issued and outstanding as of October 31, 2020</w:t>
            </w: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93,064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7"/>
                <w:szCs w:val="17"/>
                <w:color w:val="auto"/>
              </w:rPr>
              <w:t>Retained earnings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895,646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(5,027)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(7,455)</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ind w:left="460"/>
              <w:spacing w:after="0"/>
              <w:rPr>
                <w:sz w:val="20"/>
                <w:szCs w:val="20"/>
                <w:color w:val="auto"/>
              </w:rPr>
            </w:pPr>
            <w:r>
              <w:rPr>
                <w:rFonts w:ascii="Arial" w:cs="Arial" w:eastAsia="Arial" w:hAnsi="Arial"/>
                <w:sz w:val="17"/>
                <w:szCs w:val="17"/>
                <w:b w:val="1"/>
                <w:bCs w:val="1"/>
                <w:color w:val="auto"/>
              </w:rPr>
              <w:t>Stockholders'/partners' equity</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984,564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988,219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969,083</w:t>
            </w:r>
          </w:p>
        </w:tc>
        <w:tc>
          <w:tcPr>
            <w:tcW w:w="0" w:type="dxa"/>
            <w:vAlign w:val="bottom"/>
          </w:tcPr>
          <w:p>
            <w:pPr>
              <w:spacing w:after="0"/>
              <w:rPr>
                <w:sz w:val="1"/>
                <w:szCs w:val="1"/>
                <w:color w:val="auto"/>
              </w:rPr>
            </w:pPr>
          </w:p>
        </w:tc>
      </w:tr>
      <w:tr>
        <w:trPr>
          <w:trHeight w:val="234"/>
        </w:trPr>
        <w:tc>
          <w:tcPr>
            <w:tcW w:w="5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Total liabilities and stockholders'/partners'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4,981,916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4,331,321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4,488,709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See Retrospective Presentation of Ownership Exchange in Note 2.</w:t>
      </w:r>
    </w:p>
    <w:p>
      <w:pPr>
        <w:jc w:val="center"/>
        <w:spacing w:after="0"/>
        <w:rPr>
          <w:sz w:val="20"/>
          <w:szCs w:val="20"/>
          <w:color w:val="auto"/>
        </w:rPr>
      </w:pPr>
      <w:r>
        <w:rPr>
          <w:rFonts w:ascii="Arial" w:cs="Arial" w:eastAsia="Arial" w:hAnsi="Arial"/>
          <w:sz w:val="18"/>
          <w:szCs w:val="18"/>
          <w:color w:val="auto"/>
        </w:rPr>
        <w:t>See Condensed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00" w:type="dxa"/>
            <w:vAlign w:val="bottom"/>
            <w:gridSpan w:val="5"/>
          </w:tcPr>
          <w:p>
            <w:pPr>
              <w:ind w:left="74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34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November 2, 2019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November 2, 2019</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1,349,076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1,145,203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4,091,797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3,459,405</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908,565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782,781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2,856,840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2,398,783</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440,511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1,234,957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1,060,622</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358,955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309,246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955,591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923,418</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81,556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53,176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279,366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137,204</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22,399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24,585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70,487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77,171</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EARLY RETIREMENT OF DEBT, NET</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217,567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104,219</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23"/>
        </w:trPr>
        <w:tc>
          <w:tcPr>
            <w:tcW w:w="40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59,586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217,242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102,305</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4040" w:type="dxa"/>
            <w:vAlign w:val="bottom"/>
          </w:tcPr>
          <w:p>
            <w:pPr>
              <w:ind w:left="46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0.74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 AVERAGE COMMON SHARES</w:t>
            </w: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46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76,771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72,484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73,908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72,480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80,714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77,171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See Retrospective Presentation of Ownership Exchange in Note 2.</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gridSpan w:val="5"/>
          </w:tcPr>
          <w:p>
            <w:pPr>
              <w:ind w:left="74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34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November 2, 2019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November 2, 2019</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59,586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28,552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217,242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102,305</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loss on interest rate swaps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(14,459)</w:t>
            </w:r>
          </w:p>
        </w:tc>
        <w:tc>
          <w:tcPr>
            <w:tcW w:w="0" w:type="dxa"/>
            <w:vAlign w:val="bottom"/>
          </w:tcPr>
          <w:p>
            <w:pPr>
              <w:spacing w:after="0"/>
              <w:rPr>
                <w:sz w:val="1"/>
                <w:szCs w:val="1"/>
                <w:color w:val="auto"/>
              </w:rPr>
            </w:pPr>
          </w:p>
        </w:tc>
      </w:tr>
      <w:tr>
        <w:trPr>
          <w:trHeight w:val="176"/>
        </w:trPr>
        <w:tc>
          <w:tcPr>
            <w:tcW w:w="4020" w:type="dxa"/>
            <w:vAlign w:val="bottom"/>
          </w:tcPr>
          <w:p>
            <w:pPr>
              <w:ind w:left="240"/>
              <w:spacing w:after="0" w:line="176" w:lineRule="exact"/>
              <w:rPr>
                <w:sz w:val="20"/>
                <w:szCs w:val="20"/>
                <w:color w:val="auto"/>
              </w:rPr>
            </w:pPr>
            <w:r>
              <w:rPr>
                <w:rFonts w:ascii="Arial" w:cs="Arial" w:eastAsia="Arial" w:hAnsi="Arial"/>
                <w:sz w:val="18"/>
                <w:szCs w:val="18"/>
                <w:color w:val="auto"/>
                <w:w w:val="94"/>
              </w:rPr>
              <w:t>Recognized interest (income) expense on interest</w:t>
            </w:r>
          </w:p>
        </w:tc>
        <w:tc>
          <w:tcPr>
            <w:tcW w:w="16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7,578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rate swaps</w:t>
            </w:r>
          </w:p>
        </w:tc>
        <w:tc>
          <w:tcPr>
            <w:tcW w:w="1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swaps from debt refinancing</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Tax expense</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62,898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220,281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86,402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PARTNERS' /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Membership</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3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Redeemable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Units /</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12"/>
            <w:vMerge w:val="restart"/>
          </w:tcPr>
          <w:p>
            <w:pPr>
              <w:jc w:val="center"/>
              <w:ind w:left="328"/>
              <w:spacing w:after="0"/>
              <w:rPr>
                <w:sz w:val="20"/>
                <w:szCs w:val="20"/>
                <w:color w:val="auto"/>
              </w:rPr>
            </w:pPr>
            <w:r>
              <w:rPr>
                <w:rFonts w:ascii="Arial" w:cs="Arial" w:eastAsia="Arial" w:hAnsi="Arial"/>
                <w:sz w:val="14"/>
                <w:szCs w:val="14"/>
                <w:b w:val="1"/>
                <w:bCs w:val="1"/>
                <w:color w:val="auto"/>
                <w:w w:val="94"/>
              </w:rPr>
              <w:t>Partners' Equity / Stockholders' Equity</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12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Membership Units</w:t>
            </w: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12"/>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57"/>
        </w:trPr>
        <w:tc>
          <w:tcPr>
            <w:tcW w:w="2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86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5"/>
              </w:rPr>
              <w:t>Total</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7"/>
              </w:rPr>
              <w:t>Partners' /</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5"/>
              </w:rPr>
              <w:t>Partners' Equity</w:t>
            </w:r>
          </w:p>
        </w:tc>
        <w:tc>
          <w:tcPr>
            <w:tcW w:w="80" w:type="dxa"/>
            <w:vAlign w:val="bottom"/>
            <w:vMerge w:val="restart"/>
          </w:tcPr>
          <w:p>
            <w:pPr>
              <w:spacing w:after="0"/>
              <w:rPr>
                <w:sz w:val="11"/>
                <w:szCs w:val="11"/>
                <w:color w:val="auto"/>
              </w:rPr>
            </w:pPr>
          </w:p>
        </w:tc>
        <w:tc>
          <w:tcPr>
            <w:tcW w:w="126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8"/>
              </w:rPr>
              <w:t>Paid-In</w:t>
            </w:r>
          </w:p>
        </w:tc>
        <w:tc>
          <w:tcPr>
            <w:tcW w:w="720" w:type="dxa"/>
            <w:vAlign w:val="bottom"/>
            <w:gridSpan w:val="3"/>
            <w:vMerge w:val="continue"/>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9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Stockholders'</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6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6"/>
                <w:szCs w:val="16"/>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8"/>
                <w:szCs w:val="18"/>
                <w:b w:val="1"/>
                <w:bCs w:val="1"/>
                <w:color w:val="auto"/>
                <w:vertAlign w:val="superscript"/>
              </w:rPr>
              <w:t>(1)</w:t>
            </w: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8"/>
                <w:szCs w:val="18"/>
                <w:b w:val="1"/>
                <w:bCs w:val="1"/>
                <w:color w:val="auto"/>
                <w:vertAlign w:val="superscript"/>
              </w:rPr>
              <w:t>(1)</w:t>
            </w:r>
          </w:p>
        </w:tc>
        <w:tc>
          <w:tcPr>
            <w:tcW w:w="10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 xml:space="preserve">Shares </w:t>
            </w:r>
            <w:r>
              <w:rPr>
                <w:rFonts w:ascii="Arial" w:cs="Arial" w:eastAsia="Arial" w:hAnsi="Arial"/>
                <w:sz w:val="18"/>
                <w:szCs w:val="18"/>
                <w:b w:val="1"/>
                <w:bCs w:val="1"/>
                <w:color w:val="auto"/>
                <w:w w:val="98"/>
                <w:vertAlign w:val="superscript"/>
              </w:rPr>
              <w:t>(1)</w:t>
            </w: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Amount</w:t>
            </w: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9"/>
              </w:rPr>
              <w:t>Units / Shares</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83"/>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February 1,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2,818</w:t>
            </w: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72,306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996,285</w:t>
            </w: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(8,066)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988,219</w:t>
            </w: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72,468</w:t>
            </w:r>
          </w:p>
        </w:tc>
        <w:tc>
          <w:tcPr>
            <w:tcW w:w="0" w:type="dxa"/>
            <w:vAlign w:val="bottom"/>
          </w:tcPr>
          <w:p>
            <w:pPr>
              <w:spacing w:after="0"/>
              <w:rPr>
                <w:sz w:val="1"/>
                <w:szCs w:val="1"/>
                <w:color w:val="auto"/>
              </w:rPr>
            </w:pPr>
          </w:p>
        </w:tc>
      </w:tr>
      <w:tr>
        <w:trPr>
          <w:trHeight w:val="179"/>
        </w:trPr>
        <w:tc>
          <w:tcPr>
            <w:tcW w:w="2580" w:type="dxa"/>
            <w:vAlign w:val="bottom"/>
          </w:tcPr>
          <w:p>
            <w:pPr>
              <w:ind w:left="240"/>
              <w:spacing w:after="0"/>
              <w:rPr>
                <w:sz w:val="20"/>
                <w:szCs w:val="20"/>
                <w:color w:val="auto"/>
              </w:rPr>
            </w:pPr>
            <w:r>
              <w:rPr>
                <w:rFonts w:ascii="Arial" w:cs="Arial" w:eastAsia="Arial" w:hAnsi="Arial"/>
                <w:sz w:val="14"/>
                <w:szCs w:val="14"/>
                <w:color w:val="auto"/>
              </w:rPr>
              <w:t>Net loss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(10,020)</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(10,020)</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Equity compensation</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580" w:type="dxa"/>
            <w:vAlign w:val="bottom"/>
          </w:tcPr>
          <w:p>
            <w:pPr>
              <w:ind w:left="240"/>
              <w:spacing w:after="0" w:line="135" w:lineRule="exact"/>
              <w:rPr>
                <w:sz w:val="20"/>
                <w:szCs w:val="20"/>
                <w:color w:val="auto"/>
              </w:rPr>
            </w:pPr>
            <w:r>
              <w:rPr>
                <w:rFonts w:ascii="Arial" w:cs="Arial" w:eastAsia="Arial" w:hAnsi="Arial"/>
                <w:sz w:val="14"/>
                <w:szCs w:val="14"/>
                <w:color w:val="auto"/>
              </w:rPr>
              <w:t>Adjustment to Redeemable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40"/>
              <w:spacing w:after="0" w:line="135" w:lineRule="exact"/>
              <w:rPr>
                <w:sz w:val="20"/>
                <w:szCs w:val="20"/>
                <w:color w:val="auto"/>
              </w:rPr>
            </w:pPr>
            <w:r>
              <w:rPr>
                <w:rFonts w:ascii="Arial" w:cs="Arial" w:eastAsia="Arial" w:hAnsi="Arial"/>
                <w:sz w:val="14"/>
                <w:szCs w:val="14"/>
                <w:color w:val="auto"/>
              </w:rPr>
              <w:t>Membership Units for settlement of</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2580" w:type="dxa"/>
            <w:vAlign w:val="bottom"/>
          </w:tcPr>
          <w:p>
            <w:pPr>
              <w:ind w:left="240"/>
              <w:spacing w:after="0"/>
              <w:rPr>
                <w:sz w:val="20"/>
                <w:szCs w:val="20"/>
                <w:color w:val="auto"/>
              </w:rPr>
            </w:pPr>
            <w:r>
              <w:rPr>
                <w:rFonts w:ascii="Arial" w:cs="Arial" w:eastAsia="Arial" w:hAnsi="Arial"/>
                <w:sz w:val="14"/>
                <w:szCs w:val="14"/>
                <w:color w:val="auto"/>
              </w:rPr>
              <w:t>vested Restricted Units</w:t>
            </w: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Adjustment to Redeemable</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Membership Units for repurchase of</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units from Managers</w:t>
            </w: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40"/>
              <w:spacing w:after="0" w:line="135" w:lineRule="exact"/>
              <w:rPr>
                <w:sz w:val="20"/>
                <w:szCs w:val="20"/>
                <w:color w:val="auto"/>
              </w:rPr>
            </w:pPr>
            <w:r>
              <w:rPr>
                <w:rFonts w:ascii="Arial" w:cs="Arial" w:eastAsia="Arial" w:hAnsi="Arial"/>
                <w:sz w:val="14"/>
                <w:szCs w:val="14"/>
                <w:color w:val="auto"/>
              </w:rPr>
              <w:t>Repurchase of Redeemable</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2580" w:type="dxa"/>
            <w:vAlign w:val="bottom"/>
          </w:tcPr>
          <w:p>
            <w:pPr>
              <w:ind w:left="240"/>
              <w:spacing w:after="0"/>
              <w:rPr>
                <w:sz w:val="20"/>
                <w:szCs w:val="20"/>
                <w:color w:val="auto"/>
              </w:rPr>
            </w:pPr>
            <w:r>
              <w:rPr>
                <w:rFonts w:ascii="Arial" w:cs="Arial" w:eastAsia="Arial" w:hAnsi="Arial"/>
                <w:sz w:val="14"/>
                <w:szCs w:val="14"/>
                <w:color w:val="auto"/>
              </w:rPr>
              <w:t>Membership Units</w:t>
            </w: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8"/>
              </w:rPr>
              <w:t>Unrealized loss on interest rate swaps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(4,434)</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580" w:type="dxa"/>
            <w:vAlign w:val="bottom"/>
          </w:tcPr>
          <w:p>
            <w:pPr>
              <w:ind w:left="240"/>
              <w:spacing w:after="0" w:line="135" w:lineRule="exact"/>
              <w:rPr>
                <w:sz w:val="20"/>
                <w:szCs w:val="20"/>
                <w:color w:val="auto"/>
              </w:rPr>
            </w:pPr>
            <w:r>
              <w:rPr>
                <w:rFonts w:ascii="Arial" w:cs="Arial" w:eastAsia="Arial" w:hAnsi="Arial"/>
                <w:sz w:val="14"/>
                <w:szCs w:val="14"/>
                <w:color w:val="auto"/>
              </w:rPr>
              <w:t>Recognized interest expense on</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1,893</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80" w:type="dxa"/>
            <w:vAlign w:val="bottom"/>
          </w:tcPr>
          <w:p>
            <w:pPr>
              <w:ind w:left="240"/>
              <w:spacing w:after="0"/>
              <w:rPr>
                <w:sz w:val="20"/>
                <w:szCs w:val="20"/>
                <w:color w:val="auto"/>
              </w:rPr>
            </w:pPr>
            <w:r>
              <w:rPr>
                <w:rFonts w:ascii="Arial" w:cs="Arial" w:eastAsia="Arial" w:hAnsi="Arial"/>
                <w:sz w:val="14"/>
                <w:szCs w:val="14"/>
                <w:color w:val="auto"/>
              </w:rPr>
              <w:t>interest rate swaps</w:t>
            </w: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May 2,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2,977</w:t>
            </w: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72,306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988,178</w:t>
            </w:r>
          </w:p>
        </w:tc>
        <w:tc>
          <w:tcPr>
            <w:tcW w:w="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977,571</w:t>
            </w: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72,478</w:t>
            </w:r>
          </w:p>
        </w:tc>
        <w:tc>
          <w:tcPr>
            <w:tcW w:w="0" w:type="dxa"/>
            <w:vAlign w:val="bottom"/>
          </w:tcPr>
          <w:p>
            <w:pPr>
              <w:spacing w:after="0"/>
              <w:rPr>
                <w:sz w:val="1"/>
                <w:szCs w:val="1"/>
                <w:color w:val="auto"/>
              </w:rPr>
            </w:pPr>
          </w:p>
        </w:tc>
      </w:tr>
      <w:tr>
        <w:trPr>
          <w:trHeight w:val="179"/>
        </w:trPr>
        <w:tc>
          <w:tcPr>
            <w:tcW w:w="258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167,676</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167,676</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Equity compensation</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80" w:type="dxa"/>
            <w:vAlign w:val="bottom"/>
          </w:tcPr>
          <w:p>
            <w:pPr>
              <w:ind w:left="240"/>
              <w:spacing w:after="0"/>
              <w:rPr>
                <w:sz w:val="20"/>
                <w:szCs w:val="20"/>
                <w:color w:val="auto"/>
              </w:rPr>
            </w:pPr>
            <w:r>
              <w:rPr>
                <w:rFonts w:ascii="Arial" w:cs="Arial" w:eastAsia="Arial" w:hAnsi="Arial"/>
                <w:sz w:val="14"/>
                <w:szCs w:val="14"/>
                <w:color w:val="auto"/>
                <w:w w:val="98"/>
              </w:rPr>
              <w:t>Unrealized loss on interest rate swaps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(606)</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Recognized interest expense on</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2,874</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rate swaps</w:t>
            </w: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Balances as of August 1, 2020</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2,977</w:t>
            </w:r>
          </w:p>
        </w:tc>
        <w:tc>
          <w:tcPr>
            <w:tcW w:w="8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72,306</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1,157,435</w:t>
            </w:r>
          </w:p>
        </w:tc>
        <w:tc>
          <w:tcPr>
            <w:tcW w:w="8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(8,339)</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1,149,096</w:t>
            </w:r>
          </w:p>
        </w:tc>
        <w:tc>
          <w:tcPr>
            <w:tcW w:w="8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72,478</w:t>
            </w: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59,586</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580" w:type="dxa"/>
            <w:vAlign w:val="bottom"/>
          </w:tcPr>
          <w:p>
            <w:pPr>
              <w:ind w:left="240"/>
              <w:spacing w:after="0" w:line="135" w:lineRule="exact"/>
              <w:rPr>
                <w:sz w:val="20"/>
                <w:szCs w:val="20"/>
                <w:color w:val="auto"/>
              </w:rPr>
            </w:pPr>
            <w:r>
              <w:rPr>
                <w:rFonts w:ascii="Arial" w:cs="Arial" w:eastAsia="Arial" w:hAnsi="Arial"/>
                <w:sz w:val="14"/>
                <w:szCs w:val="14"/>
                <w:color w:val="auto"/>
              </w:rPr>
              <w:t>Distributions to holders of</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(257,000)</w:t>
            </w:r>
          </w:p>
        </w:tc>
        <w:tc>
          <w:tcPr>
            <w:tcW w:w="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(257,000)</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80" w:type="dxa"/>
            <w:vAlign w:val="bottom"/>
          </w:tcPr>
          <w:p>
            <w:pPr>
              <w:ind w:left="240"/>
              <w:spacing w:after="0"/>
              <w:rPr>
                <w:sz w:val="20"/>
                <w:szCs w:val="20"/>
                <w:color w:val="auto"/>
              </w:rPr>
            </w:pPr>
            <w:r>
              <w:rPr>
                <w:rFonts w:ascii="Arial" w:cs="Arial" w:eastAsia="Arial" w:hAnsi="Arial"/>
                <w:sz w:val="14"/>
                <w:szCs w:val="14"/>
                <w:color w:val="auto"/>
              </w:rPr>
              <w:t>Membership Units</w:t>
            </w: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Effect of the Reorganization</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(2,977)</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(72,306)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(900,435)</w:t>
            </w: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72,478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66,627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836,060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2,977</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Transactions</w:t>
            </w: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240"/>
              <w:spacing w:after="0"/>
              <w:rPr>
                <w:sz w:val="20"/>
                <w:szCs w:val="20"/>
                <w:color w:val="auto"/>
              </w:rPr>
            </w:pPr>
            <w:r>
              <w:rPr>
                <w:rFonts w:ascii="Arial" w:cs="Arial" w:eastAsia="Arial" w:hAnsi="Arial"/>
                <w:sz w:val="14"/>
                <w:szCs w:val="14"/>
                <w:color w:val="auto"/>
              </w:rPr>
              <w:t>Equity compensation</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23,359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23,359</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w w:val="98"/>
              </w:rPr>
              <w:t>Issuance of common stock in IPO, net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15,625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184,726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184,882</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15,625</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of Offering Costs</w:t>
            </w: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40"/>
              <w:spacing w:after="0" w:line="135" w:lineRule="exact"/>
              <w:rPr>
                <w:sz w:val="20"/>
                <w:szCs w:val="20"/>
                <w:color w:val="auto"/>
              </w:rPr>
            </w:pPr>
            <w:r>
              <w:rPr>
                <w:rFonts w:ascii="Arial" w:cs="Arial" w:eastAsia="Arial" w:hAnsi="Arial"/>
                <w:sz w:val="14"/>
                <w:szCs w:val="14"/>
                <w:color w:val="auto"/>
              </w:rPr>
              <w:t>Cumulative tax effect resulting from</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6"/>
              </w:rPr>
              <w:t>(148,829)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(148,829)</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80" w:type="dxa"/>
            <w:vAlign w:val="bottom"/>
          </w:tcPr>
          <w:p>
            <w:pPr>
              <w:ind w:left="240"/>
              <w:spacing w:after="0"/>
              <w:rPr>
                <w:sz w:val="20"/>
                <w:szCs w:val="20"/>
                <w:color w:val="auto"/>
              </w:rPr>
            </w:pPr>
            <w:r>
              <w:rPr>
                <w:rFonts w:ascii="Arial" w:cs="Arial" w:eastAsia="Arial" w:hAnsi="Arial"/>
                <w:sz w:val="14"/>
                <w:szCs w:val="14"/>
                <w:color w:val="auto"/>
              </w:rPr>
              <w:t>Reorganization Transactions</w:t>
            </w: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Share-Based Award Payments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(32,819)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(32,819)</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80" w:type="dxa"/>
            <w:vAlign w:val="bottom"/>
          </w:tcPr>
          <w:p>
            <w:pPr>
              <w:ind w:left="240"/>
              <w:spacing w:after="0"/>
              <w:rPr>
                <w:sz w:val="20"/>
                <w:szCs w:val="20"/>
                <w:color w:val="auto"/>
              </w:rPr>
            </w:pPr>
            <w:r>
              <w:rPr>
                <w:rFonts w:ascii="Arial" w:cs="Arial" w:eastAsia="Arial" w:hAnsi="Arial"/>
                <w:sz w:val="14"/>
                <w:szCs w:val="14"/>
                <w:color w:val="auto"/>
              </w:rPr>
              <w:t>Stock option exercises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w w:val="98"/>
              </w:rPr>
              <w:t>Unrealized loss on interest rate swaps</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of tax impact of $53)</w:t>
            </w: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40"/>
              <w:spacing w:after="0" w:line="135" w:lineRule="exact"/>
              <w:rPr>
                <w:sz w:val="20"/>
                <w:szCs w:val="20"/>
                <w:color w:val="auto"/>
              </w:rPr>
            </w:pPr>
            <w:r>
              <w:rPr>
                <w:rFonts w:ascii="Arial" w:cs="Arial" w:eastAsia="Arial" w:hAnsi="Arial"/>
                <w:sz w:val="14"/>
                <w:szCs w:val="14"/>
                <w:color w:val="auto"/>
              </w:rPr>
              <w:t>Recognized interest expense 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40"/>
              <w:spacing w:after="0" w:line="135" w:lineRule="exact"/>
              <w:rPr>
                <w:sz w:val="20"/>
                <w:szCs w:val="20"/>
                <w:color w:val="auto"/>
              </w:rPr>
            </w:pPr>
            <w:r>
              <w:rPr>
                <w:rFonts w:ascii="Arial" w:cs="Arial" w:eastAsia="Arial" w:hAnsi="Arial"/>
                <w:sz w:val="14"/>
                <w:szCs w:val="14"/>
                <w:color w:val="auto"/>
              </w:rPr>
              <w:t>interest rate swaps (net of tax impact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2,590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2,590</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80" w:type="dxa"/>
            <w:vAlign w:val="bottom"/>
          </w:tcPr>
          <w:p>
            <w:pPr>
              <w:ind w:left="240"/>
              <w:spacing w:after="0"/>
              <w:rPr>
                <w:sz w:val="20"/>
                <w:szCs w:val="20"/>
                <w:color w:val="auto"/>
              </w:rPr>
            </w:pPr>
            <w:r>
              <w:rPr>
                <w:rFonts w:ascii="Arial" w:cs="Arial" w:eastAsia="Arial" w:hAnsi="Arial"/>
                <w:sz w:val="14"/>
                <w:szCs w:val="14"/>
                <w:color w:val="auto"/>
              </w:rPr>
              <w:t>of $221)</w:t>
            </w: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Loss on swaps from debt refinancing</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of tax impact of $330)</w:t>
            </w: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Balances as of October 31, 2020</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88,104</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93,064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895,646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(5,027)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984,564</w:t>
            </w:r>
          </w:p>
        </w:tc>
        <w:tc>
          <w:tcPr>
            <w:tcW w:w="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88,104</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See Retrospective Presentation of Ownership Exchange in Note 2.</w:t>
      </w:r>
    </w:p>
    <w:p>
      <w:pPr>
        <w:jc w:val="center"/>
        <w:spacing w:after="0"/>
        <w:rPr>
          <w:sz w:val="20"/>
          <w:szCs w:val="20"/>
          <w:color w:val="auto"/>
        </w:rPr>
      </w:pPr>
      <w:r>
        <w:rPr>
          <w:rFonts w:ascii="Arial" w:cs="Arial" w:eastAsia="Arial" w:hAnsi="Arial"/>
          <w:sz w:val="14"/>
          <w:szCs w:val="14"/>
          <w:color w:val="auto"/>
        </w:rPr>
        <w:t>See Condensed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PARTNERS'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7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9"/>
              </w:rPr>
              <w:t>Redeemable Membership</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720" w:type="dxa"/>
            <w:vAlign w:val="bottom"/>
            <w:gridSpan w:val="5"/>
            <w:vMerge w:val="continue"/>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Partners' Equity</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Membership</w:t>
            </w: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Units</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Partners' Equity</w:t>
            </w:r>
          </w:p>
        </w:tc>
        <w:tc>
          <w:tcPr>
            <w:tcW w:w="12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Partners'</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80" w:type="dxa"/>
            <w:vAlign w:val="bottom"/>
          </w:tcPr>
          <w:p>
            <w:pPr>
              <w:spacing w:after="0"/>
              <w:rPr>
                <w:sz w:val="16"/>
                <w:szCs w:val="16"/>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840" w:type="dxa"/>
            <w:vAlign w:val="bottom"/>
            <w:gridSpan w:val="2"/>
          </w:tcPr>
          <w:p>
            <w:pPr>
              <w:ind w:left="140"/>
              <w:spacing w:after="0" w:line="185" w:lineRule="exact"/>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8"/>
                <w:szCs w:val="18"/>
                <w:b w:val="1"/>
                <w:bCs w:val="1"/>
                <w:color w:val="auto"/>
                <w:vertAlign w:val="superscript"/>
              </w:rPr>
              <w:t>(1)</w:t>
            </w: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tcBorders>
            <w:gridSpan w:val="2"/>
          </w:tcPr>
          <w:p>
            <w:pPr>
              <w:ind w:left="180"/>
              <w:spacing w:after="0" w:line="185" w:lineRule="exact"/>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8"/>
                <w:szCs w:val="18"/>
                <w:b w:val="1"/>
                <w:bCs w:val="1"/>
                <w:color w:val="auto"/>
                <w:vertAlign w:val="superscript"/>
              </w:rPr>
              <w:t>(1)</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920" w:type="dxa"/>
            <w:vAlign w:val="bottom"/>
          </w:tcPr>
          <w:p>
            <w:pPr>
              <w:jc w:val="center"/>
              <w:spacing w:after="0" w:line="185" w:lineRule="exact"/>
              <w:rPr>
                <w:sz w:val="20"/>
                <w:szCs w:val="20"/>
                <w:color w:val="auto"/>
              </w:rPr>
            </w:pPr>
            <w:r>
              <w:rPr>
                <w:rFonts w:ascii="Arial" w:cs="Arial" w:eastAsia="Arial" w:hAnsi="Arial"/>
                <w:sz w:val="14"/>
                <w:szCs w:val="14"/>
                <w:b w:val="1"/>
                <w:bCs w:val="1"/>
                <w:color w:val="auto"/>
                <w:w w:val="89"/>
              </w:rPr>
              <w:t xml:space="preserve">Units </w:t>
            </w:r>
            <w:r>
              <w:rPr>
                <w:rFonts w:ascii="Arial" w:cs="Arial" w:eastAsia="Arial" w:hAnsi="Arial"/>
                <w:sz w:val="18"/>
                <w:szCs w:val="18"/>
                <w:b w:val="1"/>
                <w:bCs w:val="1"/>
                <w:color w:val="auto"/>
                <w:w w:val="89"/>
                <w:vertAlign w:val="superscript"/>
              </w:rPr>
              <w:t>(1)</w:t>
            </w:r>
          </w:p>
        </w:tc>
        <w:tc>
          <w:tcPr>
            <w:tcW w:w="0" w:type="dxa"/>
            <w:vAlign w:val="bottom"/>
          </w:tcPr>
          <w:p>
            <w:pPr>
              <w:spacing w:after="0"/>
              <w:rPr>
                <w:sz w:val="1"/>
                <w:szCs w:val="1"/>
                <w:color w:val="auto"/>
              </w:rPr>
            </w:pPr>
          </w:p>
        </w:tc>
      </w:tr>
      <w:tr>
        <w:trPr>
          <w:trHeight w:val="18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February 2, 2019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1,362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17,885</w:t>
            </w: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71,111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848,591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8,448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857,039</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72,473</w:t>
            </w:r>
          </w:p>
        </w:tc>
        <w:tc>
          <w:tcPr>
            <w:tcW w:w="0" w:type="dxa"/>
            <w:vAlign w:val="bottom"/>
          </w:tcPr>
          <w:p>
            <w:pPr>
              <w:spacing w:after="0"/>
              <w:rPr>
                <w:sz w:val="1"/>
                <w:szCs w:val="1"/>
                <w:color w:val="auto"/>
              </w:rPr>
            </w:pPr>
          </w:p>
        </w:tc>
      </w:tr>
      <w:tr>
        <w:trPr>
          <w:trHeight w:val="179"/>
        </w:trPr>
        <w:tc>
          <w:tcPr>
            <w:tcW w:w="48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25,406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25,406</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Equity compensation</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4800" w:type="dxa"/>
            <w:vAlign w:val="bottom"/>
          </w:tcPr>
          <w:p>
            <w:pPr>
              <w:ind w:left="240"/>
              <w:spacing w:after="0" w:line="135" w:lineRule="exact"/>
              <w:rPr>
                <w:sz w:val="20"/>
                <w:szCs w:val="20"/>
                <w:color w:val="auto"/>
              </w:rPr>
            </w:pPr>
            <w:r>
              <w:rPr>
                <w:rFonts w:ascii="Arial" w:cs="Arial" w:eastAsia="Arial" w:hAnsi="Arial"/>
                <w:sz w:val="14"/>
                <w:szCs w:val="14"/>
                <w:color w:val="auto"/>
              </w:rPr>
              <w:t>Cumulative-effect adjustment related to the adoption of the New Lease</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5,075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5,075</w:t>
            </w: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Arial" w:cs="Arial" w:eastAsia="Arial" w:hAnsi="Arial"/>
                <w:sz w:val="14"/>
                <w:szCs w:val="14"/>
                <w:color w:val="auto"/>
              </w:rPr>
              <w:t>Standard</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loss on interest rate swaps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Arial" w:cs="Arial" w:eastAsia="Arial" w:hAnsi="Arial"/>
                <w:sz w:val="14"/>
                <w:szCs w:val="14"/>
                <w:color w:val="auto"/>
              </w:rPr>
              <w:t>Recognized interest income on interest rate swaps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(882)</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May 4, 2019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17,885</w:t>
            </w: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71,111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881,094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4,056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885,150</w:t>
            </w: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72,473</w:t>
            </w:r>
          </w:p>
        </w:tc>
        <w:tc>
          <w:tcPr>
            <w:tcW w:w="0" w:type="dxa"/>
            <w:vAlign w:val="bottom"/>
          </w:tcPr>
          <w:p>
            <w:pPr>
              <w:spacing w:after="0"/>
              <w:rPr>
                <w:sz w:val="1"/>
                <w:szCs w:val="1"/>
                <w:color w:val="auto"/>
              </w:rPr>
            </w:pPr>
          </w:p>
        </w:tc>
      </w:tr>
      <w:tr>
        <w:trPr>
          <w:trHeight w:val="179"/>
        </w:trPr>
        <w:tc>
          <w:tcPr>
            <w:tcW w:w="48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48,347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48,347</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Equity compensation</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4800" w:type="dxa"/>
            <w:vAlign w:val="bottom"/>
          </w:tcPr>
          <w:p>
            <w:pPr>
              <w:ind w:left="240"/>
              <w:spacing w:after="0" w:line="135" w:lineRule="exact"/>
              <w:rPr>
                <w:sz w:val="20"/>
                <w:szCs w:val="20"/>
                <w:color w:val="auto"/>
              </w:rPr>
            </w:pPr>
            <w:r>
              <w:rPr>
                <w:rFonts w:ascii="Arial" w:cs="Arial" w:eastAsia="Arial" w:hAnsi="Arial"/>
                <w:sz w:val="14"/>
                <w:szCs w:val="14"/>
                <w:color w:val="auto"/>
              </w:rPr>
              <w:t>Adjustment to Redeemable Membership Units for settlement of vested</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vMerge w:val="restart"/>
          </w:tcPr>
          <w:p>
            <w:pPr>
              <w:ind w:left="320"/>
              <w:spacing w:after="0"/>
              <w:rPr>
                <w:sz w:val="20"/>
                <w:szCs w:val="20"/>
                <w:color w:val="auto"/>
              </w:rPr>
            </w:pPr>
            <w:r>
              <w:rPr>
                <w:rFonts w:ascii="Arial" w:cs="Arial" w:eastAsia="Arial" w:hAnsi="Arial"/>
                <w:sz w:val="14"/>
                <w:szCs w:val="14"/>
                <w:color w:val="auto"/>
                <w:w w:val="97"/>
              </w:rPr>
              <w:t>(300)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Arial" w:cs="Arial" w:eastAsia="Arial" w:hAnsi="Arial"/>
                <w:sz w:val="14"/>
                <w:szCs w:val="14"/>
                <w:color w:val="auto"/>
              </w:rPr>
              <w:t>Restricted Units</w:t>
            </w: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loss on interest rate swaps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(9,632)</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Arial" w:cs="Arial" w:eastAsia="Arial" w:hAnsi="Arial"/>
                <w:sz w:val="14"/>
                <w:szCs w:val="14"/>
                <w:color w:val="auto"/>
              </w:rPr>
              <w:t>Recognized interest income on interest rate swaps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(708)</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August 3, 2019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18,185</w:t>
            </w: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71,111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931,586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925,302</w:t>
            </w: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72,491</w:t>
            </w:r>
          </w:p>
        </w:tc>
        <w:tc>
          <w:tcPr>
            <w:tcW w:w="0" w:type="dxa"/>
            <w:vAlign w:val="bottom"/>
          </w:tcPr>
          <w:p>
            <w:pPr>
              <w:spacing w:after="0"/>
              <w:rPr>
                <w:sz w:val="1"/>
                <w:szCs w:val="1"/>
                <w:color w:val="auto"/>
              </w:rPr>
            </w:pPr>
          </w:p>
        </w:tc>
      </w:tr>
      <w:tr>
        <w:trPr>
          <w:trHeight w:val="179"/>
        </w:trPr>
        <w:tc>
          <w:tcPr>
            <w:tcW w:w="48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28,552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28,552</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Equity compensation</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1,405</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Arial" w:cs="Arial" w:eastAsia="Arial" w:hAnsi="Arial"/>
                <w:sz w:val="14"/>
                <w:szCs w:val="14"/>
                <w:color w:val="auto"/>
              </w:rPr>
              <w:t>Equity contributions from Managers</w:t>
            </w: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8"/>
        </w:trPr>
        <w:tc>
          <w:tcPr>
            <w:tcW w:w="480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Adjustment to Redeemable Membership Units for settlement of vested</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w w:val="97"/>
              </w:rPr>
              <w:t>(100)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Restricted Units</w:t>
            </w: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00" w:type="dxa"/>
            <w:vAlign w:val="bottom"/>
          </w:tcPr>
          <w:p>
            <w:pPr>
              <w:ind w:left="240"/>
              <w:spacing w:after="0" w:line="135" w:lineRule="exact"/>
              <w:rPr>
                <w:sz w:val="20"/>
                <w:szCs w:val="20"/>
                <w:color w:val="auto"/>
              </w:rPr>
            </w:pPr>
            <w:r>
              <w:rPr>
                <w:rFonts w:ascii="Arial" w:cs="Arial" w:eastAsia="Arial" w:hAnsi="Arial"/>
                <w:sz w:val="14"/>
                <w:szCs w:val="14"/>
                <w:color w:val="auto"/>
                <w:w w:val="98"/>
              </w:rPr>
              <w:t>Adjustment to Redeemable Membership Units for repurchase of units from</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538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538</w:t>
            </w: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Arial" w:cs="Arial" w:eastAsia="Arial" w:hAnsi="Arial"/>
                <w:sz w:val="14"/>
                <w:szCs w:val="14"/>
                <w:color w:val="auto"/>
              </w:rPr>
              <w:t>Managers</w:t>
            </w: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 of Redeemable Membership Units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7"/>
              </w:rPr>
              <w:t>(473)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Arial" w:cs="Arial" w:eastAsia="Arial" w:hAnsi="Arial"/>
                <w:sz w:val="14"/>
                <w:szCs w:val="14"/>
                <w:color w:val="auto"/>
              </w:rPr>
              <w:t>Reclassification of membership units with lapsed put rights (Note 2)</w:t>
            </w:r>
          </w:p>
        </w:tc>
        <w:tc>
          <w:tcPr>
            <w:tcW w:w="760" w:type="dxa"/>
            <w:vAlign w:val="bottom"/>
          </w:tcPr>
          <w:p>
            <w:pPr>
              <w:jc w:val="right"/>
              <w:spacing w:after="0"/>
              <w:rPr>
                <w:sz w:val="20"/>
                <w:szCs w:val="20"/>
                <w:color w:val="auto"/>
              </w:rPr>
            </w:pPr>
            <w:r>
              <w:rPr>
                <w:rFonts w:ascii="Arial" w:cs="Arial" w:eastAsia="Arial" w:hAnsi="Arial"/>
                <w:sz w:val="14"/>
                <w:szCs w:val="14"/>
                <w:color w:val="auto"/>
              </w:rPr>
              <w:t>(1,195)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(14,930)</w:t>
            </w: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14,930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14,930</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loss on interest rate swaps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800" w:type="dxa"/>
            <w:vAlign w:val="bottom"/>
          </w:tcPr>
          <w:p>
            <w:pPr>
              <w:ind w:left="240"/>
              <w:spacing w:after="0"/>
              <w:rPr>
                <w:sz w:val="20"/>
                <w:szCs w:val="20"/>
                <w:color w:val="auto"/>
              </w:rPr>
            </w:pPr>
            <w:r>
              <w:rPr>
                <w:rFonts w:ascii="Arial" w:cs="Arial" w:eastAsia="Arial" w:hAnsi="Arial"/>
                <w:sz w:val="14"/>
                <w:szCs w:val="14"/>
                <w:color w:val="auto"/>
              </w:rPr>
              <w:t>Recognized interest expense on interest rate swaps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November 2, 2019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72,306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976,538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969,083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72,468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See Retrospective Presentation of Ownership Exchange in Note 2.</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Condensed 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7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80" w:type="dxa"/>
            <w:vAlign w:val="bottom"/>
          </w:tcPr>
          <w:p>
            <w:pPr>
              <w:spacing w:after="0"/>
              <w:rPr>
                <w:sz w:val="19"/>
                <w:szCs w:val="19"/>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November 2, 2019</w:t>
            </w:r>
          </w:p>
        </w:tc>
      </w:tr>
      <w:tr>
        <w:trPr>
          <w:trHeight w:val="209"/>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73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217,242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102,305</w:t>
            </w:r>
          </w:p>
        </w:tc>
      </w:tr>
      <w:tr>
        <w:trPr>
          <w:trHeight w:val="230"/>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73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79,718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88,693</w:t>
            </w:r>
          </w:p>
        </w:tc>
      </w:tr>
      <w:tr>
        <w:trPr>
          <w:trHeight w:val="230"/>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lease expense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r>
      <w:tr>
        <w:trPr>
          <w:trHeight w:val="229"/>
        </w:trPr>
        <w:tc>
          <w:tcPr>
            <w:tcW w:w="7340" w:type="dxa"/>
            <w:vAlign w:val="bottom"/>
          </w:tcPr>
          <w:p>
            <w:pPr>
              <w:ind w:left="440"/>
              <w:spacing w:after="0"/>
              <w:rPr>
                <w:sz w:val="20"/>
                <w:szCs w:val="20"/>
                <w:color w:val="auto"/>
              </w:rPr>
            </w:pPr>
            <w:r>
              <w:rPr>
                <w:rFonts w:ascii="Arial" w:cs="Arial" w:eastAsia="Arial" w:hAnsi="Arial"/>
                <w:sz w:val="18"/>
                <w:szCs w:val="18"/>
                <w:color w:val="auto"/>
              </w:rPr>
              <w:t>Equity compensation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27,049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5,872</w:t>
            </w:r>
          </w:p>
        </w:tc>
      </w:tr>
      <w:tr>
        <w:trPr>
          <w:trHeight w:val="229"/>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deferred loan and other costs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r>
      <w:tr>
        <w:trPr>
          <w:trHeight w:val="230"/>
        </w:trPr>
        <w:tc>
          <w:tcPr>
            <w:tcW w:w="7340" w:type="dxa"/>
            <w:vAlign w:val="bottom"/>
          </w:tcPr>
          <w:p>
            <w:pPr>
              <w:ind w:left="440"/>
              <w:spacing w:after="0"/>
              <w:rPr>
                <w:sz w:val="20"/>
                <w:szCs w:val="20"/>
                <w:color w:val="auto"/>
              </w:rPr>
            </w:pPr>
            <w:r>
              <w:rPr>
                <w:rFonts w:ascii="Arial" w:cs="Arial" w:eastAsia="Arial" w:hAnsi="Arial"/>
                <w:sz w:val="18"/>
                <w:szCs w:val="18"/>
                <w:color w:val="auto"/>
              </w:rPr>
              <w:t>Loss on swaps from debt refinancing</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1,330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7340" w:type="dxa"/>
            <w:vAlign w:val="bottom"/>
          </w:tcPr>
          <w:p>
            <w:pPr>
              <w:ind w:left="440"/>
              <w:spacing w:after="0"/>
              <w:rPr>
                <w:sz w:val="20"/>
                <w:szCs w:val="20"/>
                <w:color w:val="auto"/>
              </w:rPr>
            </w:pPr>
            <w:r>
              <w:rPr>
                <w:rFonts w:ascii="Arial" w:cs="Arial" w:eastAsia="Arial" w:hAnsi="Arial"/>
                <w:sz w:val="18"/>
                <w:szCs w:val="18"/>
                <w:color w:val="auto"/>
              </w:rPr>
              <w:t>Non-cash gain on early retirement of debt, net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(7,831)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(42,265)</w:t>
            </w:r>
          </w:p>
        </w:tc>
      </w:tr>
      <w:tr>
        <w:trPr>
          <w:trHeight w:val="229"/>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on disposal of property and equipment</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7340" w:type="dxa"/>
            <w:vAlign w:val="bottom"/>
          </w:tcPr>
          <w:p>
            <w:pPr>
              <w:ind w:left="440"/>
              <w:spacing w:after="0"/>
              <w:rPr>
                <w:sz w:val="20"/>
                <w:szCs w:val="20"/>
                <w:color w:val="auto"/>
              </w:rPr>
            </w:pPr>
            <w:r>
              <w:rPr>
                <w:rFonts w:ascii="Arial" w:cs="Arial" w:eastAsia="Arial" w:hAnsi="Arial"/>
                <w:sz w:val="18"/>
                <w:szCs w:val="18"/>
                <w:color w:val="auto"/>
              </w:rPr>
              <w:t>Casualty loss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7340" w:type="dxa"/>
            <w:vAlign w:val="bottom"/>
          </w:tcPr>
          <w:p>
            <w:pPr>
              <w:ind w:left="6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2,121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8,328</w:t>
            </w:r>
          </w:p>
        </w:tc>
      </w:tr>
      <w:tr>
        <w:trPr>
          <w:trHeight w:val="229"/>
        </w:trPr>
        <w:tc>
          <w:tcPr>
            <w:tcW w:w="7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Merchandise inventories, net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(197,812)</w:t>
            </w:r>
          </w:p>
        </w:tc>
      </w:tr>
      <w:tr>
        <w:trPr>
          <w:trHeight w:val="230"/>
        </w:trPr>
        <w:tc>
          <w:tcPr>
            <w:tcW w:w="7340" w:type="dxa"/>
            <w:vAlign w:val="bottom"/>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(1,151)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(5,134)</w:t>
            </w:r>
          </w:p>
        </w:tc>
      </w:tr>
      <w:tr>
        <w:trPr>
          <w:trHeight w:val="229"/>
        </w:trPr>
        <w:tc>
          <w:tcPr>
            <w:tcW w:w="7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30"/>
        </w:trPr>
        <w:tc>
          <w:tcPr>
            <w:tcW w:w="734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439,682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99,557</w:t>
            </w:r>
          </w:p>
        </w:tc>
      </w:tr>
      <w:tr>
        <w:trPr>
          <w:trHeight w:val="229"/>
        </w:trPr>
        <w:tc>
          <w:tcPr>
            <w:tcW w:w="7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30,240</w:t>
            </w:r>
          </w:p>
        </w:tc>
      </w:tr>
      <w:tr>
        <w:trPr>
          <w:trHeight w:val="230"/>
        </w:trPr>
        <w:tc>
          <w:tcPr>
            <w:tcW w:w="7340" w:type="dxa"/>
            <w:vAlign w:val="bottom"/>
          </w:tcPr>
          <w:p>
            <w:pPr>
              <w:ind w:left="66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9,590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21,784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62"/>
        </w:trPr>
        <w:tc>
          <w:tcPr>
            <w:tcW w:w="73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857,218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94,756</w:t>
            </w:r>
          </w:p>
        </w:tc>
      </w:tr>
      <w:tr>
        <w:trPr>
          <w:trHeight w:val="230"/>
        </w:trPr>
        <w:tc>
          <w:tcPr>
            <w:tcW w:w="7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r>
      <w:tr>
        <w:trPr>
          <w:trHeight w:val="230"/>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(48,614)</w:t>
            </w:r>
          </w:p>
        </w:tc>
      </w:tr>
      <w:tr>
        <w:trPr>
          <w:trHeight w:val="229"/>
        </w:trPr>
        <w:tc>
          <w:tcPr>
            <w:tcW w:w="7340" w:type="dxa"/>
            <w:vAlign w:val="bottom"/>
          </w:tcPr>
          <w:p>
            <w:pPr>
              <w:ind w:left="220"/>
              <w:spacing w:after="0"/>
              <w:rPr>
                <w:sz w:val="20"/>
                <w:szCs w:val="20"/>
                <w:color w:val="auto"/>
              </w:rPr>
            </w:pPr>
            <w:r>
              <w:rPr>
                <w:rFonts w:ascii="Arial" w:cs="Arial" w:eastAsia="Arial" w:hAnsi="Arial"/>
                <w:sz w:val="18"/>
                <w:szCs w:val="18"/>
                <w:color w:val="auto"/>
              </w:rPr>
              <w:t>Proceeds from the sale of property and equipment</w:t>
            </w:r>
          </w:p>
        </w:tc>
        <w:tc>
          <w:tcPr>
            <w:tcW w:w="1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from member</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8,125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r>
      <w:tr>
        <w:trPr>
          <w:trHeight w:val="262"/>
        </w:trPr>
        <w:tc>
          <w:tcPr>
            <w:tcW w:w="73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(13,790)</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(52,579)</w:t>
            </w:r>
          </w:p>
        </w:tc>
      </w:tr>
      <w:tr>
        <w:trPr>
          <w:trHeight w:val="230"/>
        </w:trPr>
        <w:tc>
          <w:tcPr>
            <w:tcW w:w="7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r>
      <w:tr>
        <w:trPr>
          <w:trHeight w:val="229"/>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revolving credit facility</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401,100</w:t>
            </w:r>
          </w:p>
        </w:tc>
      </w:tr>
      <w:tr>
        <w:trPr>
          <w:trHeight w:val="230"/>
        </w:trPr>
        <w:tc>
          <w:tcPr>
            <w:tcW w:w="7340" w:type="dxa"/>
            <w:vAlign w:val="bottom"/>
          </w:tcPr>
          <w:p>
            <w:pPr>
              <w:ind w:left="220"/>
              <w:spacing w:after="0"/>
              <w:rPr>
                <w:sz w:val="20"/>
                <w:szCs w:val="20"/>
                <w:color w:val="auto"/>
              </w:rPr>
            </w:pPr>
            <w:r>
              <w:rPr>
                <w:rFonts w:ascii="Arial" w:cs="Arial" w:eastAsia="Arial" w:hAnsi="Arial"/>
                <w:sz w:val="18"/>
                <w:szCs w:val="18"/>
                <w:color w:val="auto"/>
              </w:rPr>
              <w:t>Repayment of revolving credit facility</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(500,000)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(356,800)</w:t>
            </w:r>
          </w:p>
        </w:tc>
      </w:tr>
      <w:tr>
        <w:trPr>
          <w:trHeight w:val="230"/>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term loan facility</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(118,257)</w:t>
            </w:r>
          </w:p>
        </w:tc>
      </w:tr>
      <w:tr>
        <w:trPr>
          <w:trHeight w:val="230"/>
        </w:trPr>
        <w:tc>
          <w:tcPr>
            <w:tcW w:w="7340" w:type="dxa"/>
            <w:vAlign w:val="bottom"/>
          </w:tcPr>
          <w:p>
            <w:pPr>
              <w:ind w:left="220"/>
              <w:spacing w:after="0"/>
              <w:rPr>
                <w:sz w:val="20"/>
                <w:szCs w:val="20"/>
                <w:color w:val="auto"/>
              </w:rPr>
            </w:pPr>
            <w:r>
              <w:rPr>
                <w:rFonts w:ascii="Arial" w:cs="Arial" w:eastAsia="Arial" w:hAnsi="Arial"/>
                <w:sz w:val="18"/>
                <w:szCs w:val="18"/>
                <w:color w:val="auto"/>
              </w:rPr>
              <w:t>Debt issuance fees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Award Payments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220"/>
              <w:spacing w:after="0"/>
              <w:rPr>
                <w:sz w:val="20"/>
                <w:szCs w:val="20"/>
                <w:color w:val="auto"/>
              </w:rPr>
            </w:pPr>
            <w:r>
              <w:rPr>
                <w:rFonts w:ascii="Arial" w:cs="Arial" w:eastAsia="Arial" w:hAnsi="Arial"/>
                <w:sz w:val="18"/>
                <w:szCs w:val="18"/>
                <w:color w:val="auto"/>
              </w:rPr>
              <w:t>Distribution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(257,000)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contributions from Managers</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7340" w:type="dxa"/>
            <w:vAlign w:val="bottom"/>
          </w:tcPr>
          <w:p>
            <w:pPr>
              <w:ind w:left="220"/>
              <w:spacing w:after="0"/>
              <w:rPr>
                <w:sz w:val="20"/>
                <w:szCs w:val="20"/>
                <w:color w:val="auto"/>
              </w:rPr>
            </w:pPr>
            <w:r>
              <w:rPr>
                <w:rFonts w:ascii="Arial" w:cs="Arial" w:eastAsia="Arial" w:hAnsi="Arial"/>
                <w:sz w:val="18"/>
                <w:szCs w:val="18"/>
                <w:color w:val="auto"/>
              </w:rPr>
              <w:t>Proceeds from issuance of common stock, net of Offering Costs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184,882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Redeemable Membership Units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62"/>
        </w:trPr>
        <w:tc>
          <w:tcPr>
            <w:tcW w:w="73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(123,088)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(74,330)</w:t>
            </w:r>
          </w:p>
        </w:tc>
      </w:tr>
      <w:tr>
        <w:trPr>
          <w:trHeight w:val="230"/>
        </w:trPr>
        <w:tc>
          <w:tcPr>
            <w:tcW w:w="7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720,340</w:t>
            </w: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(32,153)</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149,385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75,691</w:t>
            </w: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869,725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43,538</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Condensed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20" w:top="810" w:right="4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7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80" w:type="dxa"/>
            <w:vAlign w:val="bottom"/>
          </w:tcPr>
          <w:p>
            <w:pPr>
              <w:spacing w:after="0"/>
              <w:rPr>
                <w:sz w:val="19"/>
                <w:szCs w:val="19"/>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November 2, 2019</w:t>
            </w:r>
          </w:p>
        </w:tc>
      </w:tr>
      <w:tr>
        <w:trPr>
          <w:trHeight w:val="210"/>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734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68,759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74,818</w:t>
            </w:r>
          </w:p>
        </w:tc>
      </w:tr>
      <w:tr>
        <w:trPr>
          <w:trHeight w:val="229"/>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r>
      <w:tr>
        <w:trPr>
          <w:trHeight w:val="54"/>
        </w:trPr>
        <w:tc>
          <w:tcPr>
            <w:tcW w:w="7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7340" w:type="dxa"/>
            <w:vAlign w:val="bottom"/>
          </w:tcPr>
          <w:p>
            <w:pPr>
              <w:ind w:left="220"/>
              <w:spacing w:after="0"/>
              <w:rPr>
                <w:sz w:val="20"/>
                <w:szCs w:val="20"/>
                <w:color w:val="auto"/>
              </w:rPr>
            </w:pPr>
            <w:r>
              <w:rPr>
                <w:rFonts w:ascii="Arial" w:cs="Arial" w:eastAsia="Arial" w:hAnsi="Arial"/>
                <w:sz w:val="18"/>
                <w:szCs w:val="18"/>
                <w:color w:val="auto"/>
              </w:rPr>
              <w:t>Non-cash issuance of common stock</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capital expenditures in accounts payable and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r>
      <w:tr>
        <w:trPr>
          <w:trHeight w:val="234"/>
        </w:trPr>
        <w:tc>
          <w:tcPr>
            <w:tcW w:w="7340" w:type="dxa"/>
            <w:vAlign w:val="bottom"/>
          </w:tcPr>
          <w:p>
            <w:pPr>
              <w:ind w:left="220"/>
              <w:spacing w:after="0"/>
              <w:rPr>
                <w:sz w:val="20"/>
                <w:szCs w:val="20"/>
                <w:color w:val="auto"/>
              </w:rPr>
            </w:pPr>
            <w:r>
              <w:rPr>
                <w:rFonts w:ascii="Arial" w:cs="Arial" w:eastAsia="Arial" w:hAnsi="Arial"/>
                <w:sz w:val="18"/>
                <w:szCs w:val="18"/>
                <w:color w:val="auto"/>
              </w:rPr>
              <w:t>Right-of-use assets obtained in exchange for new operating leases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84,595</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55,562</w:t>
            </w:r>
          </w:p>
        </w:tc>
      </w:tr>
    </w:tbl>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20" w:top="810" w:right="419" w:bottom="1440" w:gutter="0" w:footer="0" w:header="0"/>
        </w:sectPr>
      </w:pPr>
    </w:p>
    <w:bookmarkStart w:id="9" w:name="page10"/>
    <w:bookmarkEnd w:id="9"/>
    <w:p>
      <w:pPr>
        <w:jc w:val="center"/>
        <w:ind w:right="80"/>
        <w:spacing w:after="0" w:line="275" w:lineRule="auto"/>
        <w:rPr>
          <w:sz w:val="20"/>
          <w:szCs w:val="20"/>
          <w:color w:val="auto"/>
        </w:rPr>
      </w:pPr>
      <w:r>
        <w:rPr>
          <w:rFonts w:ascii="Arial" w:cs="Arial" w:eastAsia="Arial" w:hAnsi="Arial"/>
          <w:sz w:val="18"/>
          <w:szCs w:val="18"/>
          <w:b w:val="1"/>
          <w:bCs w:val="1"/>
          <w:color w:val="auto"/>
        </w:rPr>
        <w:t>ACADEMY SPORTS AND OUTDOORS, INC.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left="260" w:firstLine="324"/>
        <w:spacing w:after="0" w:line="253" w:lineRule="auto"/>
        <w:rPr>
          <w:sz w:val="20"/>
          <w:szCs w:val="20"/>
          <w:color w:val="auto"/>
        </w:rPr>
      </w:pPr>
      <w:r>
        <w:rPr>
          <w:rFonts w:ascii="Arial" w:cs="Arial" w:eastAsia="Arial" w:hAnsi="Arial"/>
          <w:sz w:val="18"/>
          <w:szCs w:val="18"/>
          <w:color w:val="auto"/>
        </w:rPr>
        <w:t>All references to "we", "us," "our" or the "Company" in the financial statements refer to, (1) prior to October 1, 2020, New Academy Holding Company, LLC, a Delaware limited liability company ("NAHC") and the prior parent holding company for our operations, and its consolidated subsidiaries; and (2) on and after October 1, 2020,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(collectively, "KKR"), acquired a majority interest in the Company. Upon completion of our initial public offering (the "IPO") detailed below, affiliates of KKR held a 69.9% ownership interest in the Company (see IPO Over-Allotment Exercise in Note 15).</w:t>
      </w:r>
    </w:p>
    <w:p>
      <w:pPr>
        <w:spacing w:after="0" w:line="142" w:lineRule="exact"/>
        <w:rPr>
          <w:sz w:val="20"/>
          <w:szCs w:val="20"/>
          <w:color w:val="auto"/>
        </w:rPr>
      </w:pPr>
    </w:p>
    <w:p>
      <w:pPr>
        <w:jc w:val="both"/>
        <w:ind w:left="260" w:firstLine="324"/>
        <w:spacing w:after="0" w:line="279" w:lineRule="auto"/>
        <w:rPr>
          <w:sz w:val="20"/>
          <w:szCs w:val="20"/>
          <w:color w:val="auto"/>
        </w:rPr>
      </w:pPr>
      <w:r>
        <w:rPr>
          <w:rFonts w:ascii="Arial" w:cs="Arial" w:eastAsia="Arial" w:hAnsi="Arial"/>
          <w:sz w:val="17"/>
          <w:szCs w:val="17"/>
          <w:color w:val="auto"/>
        </w:rPr>
        <w:t xml:space="preserve">The Company is one of the leading full-line sporting goods and outdoor recreational products retailers in the United States in terms of net sales. As of October 31,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Arial" w:cs="Arial" w:eastAsia="Arial" w:hAnsi="Arial"/>
          <w:sz w:val="17"/>
          <w:szCs w:val="17"/>
          <w:i w:val="1"/>
          <w:iCs w:val="1"/>
          <w:color w:val="auto"/>
        </w:rPr>
        <w:t>academy.com</w:t>
      </w:r>
      <w:r>
        <w:rPr>
          <w:rFonts w:ascii="Arial" w:cs="Arial" w:eastAsia="Arial" w:hAnsi="Arial"/>
          <w:sz w:val="17"/>
          <w:szCs w:val="17"/>
          <w:color w:val="auto"/>
        </w:rPr>
        <w:t xml:space="preserve"> website.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Initial Public Offering and Reorganization Transactions</w:t>
      </w:r>
    </w:p>
    <w:p>
      <w:pPr>
        <w:spacing w:after="0" w:line="171" w:lineRule="exact"/>
        <w:rPr>
          <w:sz w:val="20"/>
          <w:szCs w:val="20"/>
          <w:color w:val="auto"/>
        </w:rPr>
      </w:pPr>
    </w:p>
    <w:p>
      <w:pPr>
        <w:jc w:val="both"/>
        <w:ind w:left="260" w:firstLine="324"/>
        <w:spacing w:after="0" w:line="271" w:lineRule="auto"/>
        <w:rPr>
          <w:sz w:val="20"/>
          <w:szCs w:val="20"/>
          <w:color w:val="auto"/>
        </w:rPr>
      </w:pPr>
      <w:r>
        <w:rPr>
          <w:rFonts w:ascii="Arial" w:cs="Arial" w:eastAsia="Arial" w:hAnsi="Arial"/>
          <w:sz w:val="17"/>
          <w:szCs w:val="17"/>
          <w:color w:val="auto"/>
        </w:rPr>
        <w:t>On October 6, 2020, ASO, Inc. completed an IPO in which we issued and sold 15,625,000 shares of common stock, $0.01 par value for cash consideration of $12.22 per share (representing an initial public offering price of $13.00 per share, net of underwriting discounts) to a syndicate of underwriters led by Credit Suisse Securities (USA) LLC and J.P. Morgan Securities LLC, as representatives, resulting in net proceeds of approximately $184.9 million after deducting underwriting discounts, which included approximately $2.7 million paid to KKR Capital Markets LLC ("KCM"), an affiliate of KKR, for underwriting services in connection with the IPO, and $6.1 million in costs directly associated with the IPO ("Offering Costs"), such as legal and accounting fees. The shares sold in the offering were registered under the Securities Act of 1933, as amended (the "Securities Act"), pursuant to our registration statement on Form S-1 (File No. 333-248683) (the "Registration Statement"), which was declared effective by the Securities and Exchange Commission (the "SEC") on October 1, 2020.</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connection with our IPO, we completed a series of reorganization transactions (the "Reorganization Transactions") that resulted in:</w:t>
      </w:r>
    </w:p>
    <w:p>
      <w:pPr>
        <w:spacing w:after="0" w:line="183" w:lineRule="exact"/>
        <w:rPr>
          <w:sz w:val="20"/>
          <w:szCs w:val="20"/>
          <w:color w:val="auto"/>
        </w:rPr>
      </w:pPr>
    </w:p>
    <w:p>
      <w:pPr>
        <w:ind w:left="900" w:right="20" w:hanging="324"/>
        <w:spacing w:after="0" w:line="277" w:lineRule="auto"/>
        <w:tabs>
          <w:tab w:leader="none" w:pos="895" w:val="left"/>
        </w:tabs>
        <w:numPr>
          <w:ilvl w:val="1"/>
          <w:numId w:val="6"/>
        </w:numPr>
        <w:rPr>
          <w:rFonts w:ascii="Arial" w:cs="Arial" w:eastAsia="Arial" w:hAnsi="Arial"/>
          <w:sz w:val="18"/>
          <w:szCs w:val="18"/>
          <w:color w:val="auto"/>
        </w:rPr>
      </w:pPr>
      <w:r>
        <w:rPr>
          <w:rFonts w:ascii="Arial" w:cs="Arial" w:eastAsia="Arial" w:hAnsi="Arial"/>
          <w:sz w:val="18"/>
          <w:szCs w:val="18"/>
          <w:color w:val="auto"/>
        </w:rPr>
        <w:t>NAHC, the previous parent holding company for the Company, being contributed to ASO, Inc. by its members and becoming a wholly-owned subsidiary of ASO, Inc., which thereupon became our parent holding company; and</w:t>
      </w:r>
    </w:p>
    <w:p>
      <w:pPr>
        <w:spacing w:after="0" w:line="8" w:lineRule="exact"/>
        <w:rPr>
          <w:rFonts w:ascii="Arial" w:cs="Arial" w:eastAsia="Arial" w:hAnsi="Arial"/>
          <w:sz w:val="18"/>
          <w:szCs w:val="18"/>
          <w:color w:val="auto"/>
        </w:rPr>
      </w:pPr>
    </w:p>
    <w:p>
      <w:pPr>
        <w:ind w:left="900" w:hanging="324"/>
        <w:spacing w:after="0" w:line="277" w:lineRule="auto"/>
        <w:tabs>
          <w:tab w:leader="none" w:pos="895" w:val="left"/>
        </w:tabs>
        <w:numPr>
          <w:ilvl w:val="1"/>
          <w:numId w:val="6"/>
        </w:numPr>
        <w:rPr>
          <w:rFonts w:ascii="Arial" w:cs="Arial" w:eastAsia="Arial" w:hAnsi="Arial"/>
          <w:sz w:val="18"/>
          <w:szCs w:val="18"/>
          <w:color w:val="auto"/>
        </w:rPr>
      </w:pPr>
      <w:r>
        <w:rPr>
          <w:rFonts w:ascii="Arial" w:cs="Arial" w:eastAsia="Arial" w:hAnsi="Arial"/>
          <w:sz w:val="18"/>
          <w:szCs w:val="18"/>
          <w:color w:val="auto"/>
        </w:rPr>
        <w:t>one share of common stock of ASO, Inc. issued to then-existing members of NAHC for every 3.15 membership units of NAHC contributed to ASO, Inc.</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80" w:hanging="171"/>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jc w:val="both"/>
        <w:ind w:left="260" w:firstLine="324"/>
        <w:spacing w:after="0" w:line="272" w:lineRule="auto"/>
        <w:rPr>
          <w:sz w:val="20"/>
          <w:szCs w:val="20"/>
          <w:color w:val="auto"/>
        </w:rPr>
      </w:pPr>
      <w:r>
        <w:rPr>
          <w:rFonts w:ascii="Arial" w:cs="Arial" w:eastAsia="Arial" w:hAnsi="Arial"/>
          <w:sz w:val="17"/>
          <w:szCs w:val="17"/>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for the fiscal year ended February 1, 2020 included in our final prospectus dated October 1, 2020 (the "Prospectus"), as filed with the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093" w:right="339" w:bottom="1440" w:gutter="0" w:footer="0" w:header="0"/>
        </w:sectPr>
      </w:pPr>
    </w:p>
    <w:bookmarkStart w:id="10" w:name="page11"/>
    <w:bookmarkEnd w:id="10"/>
    <w:p>
      <w:pPr>
        <w:jc w:val="both"/>
        <w:spacing w:after="0" w:line="296" w:lineRule="auto"/>
        <w:rPr>
          <w:sz w:val="20"/>
          <w:szCs w:val="20"/>
          <w:color w:val="auto"/>
        </w:rPr>
      </w:pPr>
      <w:r>
        <w:rPr>
          <w:rFonts w:ascii="Arial" w:cs="Arial" w:eastAsia="Arial" w:hAnsi="Arial"/>
          <w:sz w:val="16"/>
          <w:szCs w:val="16"/>
          <w:color w:val="auto"/>
        </w:rPr>
        <w:t>SEC on October 2, 2020 pursuant to Rule 424(b)(4) under the Securities Act. The information furnished herein reflects all normal recurring adjustments which are, in the opinion of management, necessary for a fair presentation of the results for the interim periods presented. The results of operations for the thirteen and thirty-nine weeks ended October 31, 2020 are not necessarily indicative of the results that will be realized for the fiscal year ending January 30, 2021 or any other period. The balance sheet as of February 1, 2020 has been derived from our audited financial statements as of that date. For further information, refer to our audited financial statements and notes thereto included for the year ended February 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These unaudited condensed consolidated financial statements include the accounts of ASO, Inc. and, its subsidiaries, ASO Co-Invest Blocker Sub, L.P., ASO Blocker Sub, L.P., NAHC, Academy Managing Co., LLC, Associated Investors, LLC, Academy, Ltd., the Company's operating company, and Academy International Limited. ASO Co-Invest Blocker Sub, L.P., ASO Blocker Sub, L.P., NAHC, Academy Managing Co., LLC, and Associated Investors, LLC are intermediate holding companies. All intercompany balances and transactions have been eliminated in consolidation.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additional unforeseen effects from the COVID-19 pandemic, these estimates are becoming more challenging, and actual results could differ materially from our estimates.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reclassifications have been made in the prior period consolidated financial statements to conform to the current period presentation. 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and thirty-nine weeks ended November 2, 2019 for comparability purposes. This reclassification is in divisional presentation only and did not impact the overall net sales balances previously disclosed.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Retrospective Presentation of Ownership Exchange</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the IPO, ASO, Inc. was a wholly-owned subsidiary of NAHC. On the IPO pricing date (October 1, 2020), the then-existing members of NAHC contributed all of their membership units of NAHC to ASO, Inc. and, in exchange, received one share of common stock of ASO, Inc. for every 3.15 membership units of NAHC contributed to ASO, Inc. (such 3.15:1 contribution and exchange ratio, the "Contribution Ratio"). As a result of such contributions and exchanges, upon the IPO, NAHC became a wholly-owned subsidiary of ASO, Inc., which became our parent holding company. The par value and authorized shares of the common stock of ASO, Inc. of $0.01 and 300,000,000, respectively, remain unchanged as a result of such contributions and exchanges. All membership units and redeemable membership units in the financial statements and notes have been retrospectively adjusted to give effect to the Contribution Ratio, as if such contributions and exchanges occurred as of all pre-IPO periods presented, including the periods presented on the Balance Sheets, Statements of Income, Statements of Partners’ / Stockholders’ Equity, Note 10. Equity and Share-Based Compensation and Note 11. Earnings per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Membership Units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Prior to October 1, 2020, Allstar Managers LLC, a Delaware limited liability company ("Managers"), owned membership units in NAHC (each, a "NAHC Membership Unit"). Managers is 100% owned by certain current and former executives and directors of the Company and was formed to facilitate the purchase of indirect contingently redeemable ownership interests in NAHC. Prior to October 1, 2020, certain executives and directors could acquire contingently redeemable membership units in Managers (the "Redeemable Membership Units"), either by (1) purchasing the Redeemable Membership Units with cash consideration, which was subsequently contributed to NAHC by Managers in exchange for a number of NAHC Membership Units equal to the number of Redeemable Membership Units purchased, or (2) by receiving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the Redeemable Membership Units in settlement of vested restricted units awarded to the executive or director under the Company's 2011 Unit Incentive Plan (see Note 10). Each outstanding Redeemable Membership Unit in Managers corresponded to an outstanding NAHC Membership Unit, on a unit-for-unit basis.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1, 2020, Managers received one share of ASO, Inc. common stock in exchange for every 3.15 membership units in NAHC that Managers contributed to ASO, Inc., and the Redeemable Membership Units in Managers that were held by its owners were reduced proportionately by the Contribution Ratio, so that the outstanding number of Redeemable Membership Units in Managers equal the number of shares of ASO, Inc. common stock held by Managers on a 1:1 basis.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NAHC is the sole managing member of Managers with a controlling voting interest, but no economic interest, in Managers. As the sole managing member of Managers, NAHC operates and controls all business affairs of Managers.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terms and conditions of the agreements governing the Redeemable Membership Units include provisions by which the holder, or its heirs, have the right to require Managers or NAHC to purchase the holder's Redeemable Membership Units upon the holder’s termination of employment due to death or disability for cash at fair value. The carrying value of the Redeemable Membership Units is classified as temporary equity, initially at fair value, as redemption was an event that was not solely within our control. If redemption becomes probable, we are required to re-measure the Redeemable Membership Units to fair value. Periodically, these rights lapsed due to contractual expiration or a holder's termination of employment for reasons other than death or disability. Due to the lapse of this right for certain issuances, $14.9 million was reclassified from temporary equity to Partners' Equity during the 2019 third quarter.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subject to U.S. federal, state and foreign income taxes.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measured using enacted tax rates in effect for the year in which the temporary differences are expected to be realized or settled. The effect of a change in tax rates on deferred tax assets and liabilities is recognized in income in the period that includes the enactment date.</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recognize deferred tax assets to the extent we believe these assets are more-likely-than-not to be realized. In making such a determination, we consider all available positive and negative evidence, including recent results of operations, future reversals of existing taxable temporary differences, projected future taxable income and tax planning strategies. A valuation allowance is recorded to reduce the carrying amount of deferred tax assets if it is more-likely-than-not that all or a portion of the asset will not be realized. The Company recognizes tax benefits from uncertain tax positions only if it is more-likely-than-not the tax position will be sustained on examination by the taxing authorities based on the technical merits of the position. The tax benefits recognized from such positions are measured based on the largest benefit having a greater than 50% likelihood of being ultimately sustained. Interest and penalties from income tax matters are recognized in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Net Sales</w:t>
      </w:r>
    </w:p>
    <w:p>
      <w:pPr>
        <w:spacing w:after="0" w:line="175"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sets forth the approximate amount of sales by merchandise divisions for the periods presented (amounts in thousands):</w:t>
      </w:r>
    </w:p>
    <w:p>
      <w:pPr>
        <w:spacing w:after="0" w:line="15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gridSpan w:val="5"/>
          </w:tcPr>
          <w:p>
            <w:pPr>
              <w:ind w:left="74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34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3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November 2, 2019</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November 2, 2019</w:t>
            </w:r>
          </w:p>
        </w:tc>
      </w:tr>
      <w:tr>
        <w:trPr>
          <w:trHeight w:val="210"/>
        </w:trPr>
        <w:tc>
          <w:tcPr>
            <w:tcW w:w="334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Merchandise division sales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9"/>
        </w:trPr>
        <w:tc>
          <w:tcPr>
            <w:tcW w:w="3340" w:type="dxa"/>
            <w:vAlign w:val="bottom"/>
          </w:tcPr>
          <w:p>
            <w:pPr>
              <w:ind w:left="220"/>
              <w:spacing w:after="0"/>
              <w:rPr>
                <w:sz w:val="20"/>
                <w:szCs w:val="20"/>
                <w:color w:val="auto"/>
              </w:rPr>
            </w:pPr>
            <w:r>
              <w:rPr>
                <w:rFonts w:ascii="Arial" w:cs="Arial" w:eastAsia="Arial" w:hAnsi="Arial"/>
                <w:sz w:val="18"/>
                <w:szCs w:val="18"/>
                <w:color w:val="auto"/>
              </w:rPr>
              <w:t>Outdoors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487,401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364,944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1,448,987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1,002,138</w:t>
            </w: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Sports and recreation</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263,506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919,699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721,665</w:t>
            </w: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Apparel</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318,731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322,375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939,388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951,385</w:t>
            </w: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Footwear</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272,626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255,649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762,174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769,857</w:t>
            </w:r>
          </w:p>
        </w:tc>
      </w:tr>
      <w:tr>
        <w:trPr>
          <w:trHeight w:val="223"/>
        </w:trPr>
        <w:tc>
          <w:tcPr>
            <w:tcW w:w="3340" w:type="dxa"/>
            <w:vAlign w:val="bottom"/>
          </w:tcPr>
          <w:p>
            <w:pPr>
              <w:ind w:left="440"/>
              <w:spacing w:after="0" w:line="223" w:lineRule="exact"/>
              <w:rPr>
                <w:sz w:val="20"/>
                <w:szCs w:val="20"/>
                <w:color w:val="auto"/>
              </w:rPr>
            </w:pPr>
            <w:r>
              <w:rPr>
                <w:rFonts w:ascii="Arial" w:cs="Arial" w:eastAsia="Arial" w:hAnsi="Arial"/>
                <w:sz w:val="18"/>
                <w:szCs w:val="18"/>
                <w:color w:val="auto"/>
              </w:rPr>
              <w:t xml:space="preserve">Total merchandise sales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1,342,264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1,139,560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4,070,248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3,445,045</w:t>
            </w:r>
          </w:p>
        </w:tc>
      </w:tr>
      <w:tr>
        <w:trPr>
          <w:trHeight w:val="229"/>
        </w:trPr>
        <w:tc>
          <w:tcPr>
            <w:tcW w:w="3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sales </w:t>
            </w:r>
            <w:r>
              <w:rPr>
                <w:rFonts w:ascii="Arial" w:cs="Arial" w:eastAsia="Arial" w:hAnsi="Arial"/>
                <w:sz w:val="23"/>
                <w:szCs w:val="23"/>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21,549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14,360</w:t>
            </w:r>
          </w:p>
        </w:tc>
      </w:tr>
      <w:tr>
        <w:trPr>
          <w:trHeight w:val="223"/>
        </w:trPr>
        <w:tc>
          <w:tcPr>
            <w:tcW w:w="3340" w:type="dxa"/>
            <w:vAlign w:val="bottom"/>
          </w:tcPr>
          <w:p>
            <w:pPr>
              <w:ind w:left="4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1,349,076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1,145,203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4,091,797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3,459,405</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420" w:hanging="168"/>
        <w:spacing w:after="0" w:line="238" w:lineRule="auto"/>
        <w:tabs>
          <w:tab w:leader="none" w:pos="46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and thirty-nine weeks ended November 2, 2019 for comparability purposes. This reclassification is in divisional presentation only and did not impact the overall net sales balances previously disclosed (see Note 2).</w:t>
      </w:r>
    </w:p>
    <w:p>
      <w:pPr>
        <w:ind w:left="420" w:hanging="168"/>
        <w:spacing w:after="0" w:line="243" w:lineRule="auto"/>
        <w:tabs>
          <w:tab w:leader="none" w:pos="42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E-commerce sales consisted of 7.5% and 9.8% of merchandise sales for the thirteen and thirty-nine weeks ended October 31, 2020, respectively, and 4.5% and 3.8% for the thirteen and thirty-nine weeks ended November 2, 2019, respectively.</w:t>
      </w:r>
    </w:p>
    <w:p>
      <w:pPr>
        <w:spacing w:after="0" w:line="1" w:lineRule="exact"/>
        <w:rPr>
          <w:rFonts w:ascii="Arial" w:cs="Arial" w:eastAsia="Arial" w:hAnsi="Arial"/>
          <w:sz w:val="21"/>
          <w:szCs w:val="21"/>
          <w:color w:val="auto"/>
          <w:vertAlign w:val="superscript"/>
        </w:rPr>
      </w:pPr>
    </w:p>
    <w:p>
      <w:pPr>
        <w:ind w:left="420" w:hanging="168"/>
        <w:spacing w:after="0" w:line="219" w:lineRule="auto"/>
        <w:tabs>
          <w:tab w:leader="none" w:pos="456"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Other sales consisted primarily of the sales return allowance, gift card breakage income, credit card bounties and royalties, shipping income, net hunting and fishing license income and other items.</w:t>
      </w:r>
    </w:p>
    <w:p>
      <w:pPr>
        <w:spacing w:after="0" w:line="149" w:lineRule="exact"/>
        <w:rPr>
          <w:sz w:val="20"/>
          <w:szCs w:val="20"/>
          <w:color w:val="auto"/>
        </w:rPr>
      </w:pPr>
    </w:p>
    <w:p>
      <w:pPr>
        <w:jc w:val="both"/>
        <w:ind w:left="260" w:firstLine="324"/>
        <w:spacing w:after="0" w:line="342" w:lineRule="auto"/>
        <w:rPr>
          <w:sz w:val="20"/>
          <w:szCs w:val="20"/>
          <w:color w:val="auto"/>
        </w:rPr>
      </w:pPr>
      <w:r>
        <w:rPr>
          <w:rFonts w:ascii="Arial" w:cs="Arial" w:eastAsia="Arial" w:hAnsi="Arial"/>
          <w:sz w:val="16"/>
          <w:szCs w:val="16"/>
          <w:color w:val="auto"/>
        </w:rPr>
        <w:t>We sell gift cards in stores, online and in third-party retail locations. A liability for gift cards, which is recorded in accrued expenses and other liabilities on our balance sheets is established at the time of sale and revenues are recognized as the gift cards are redeemed in stores or on our website.</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reconciliation of the gift card liability (amounts in thousands):</w:t>
      </w:r>
    </w:p>
    <w:p>
      <w:pPr>
        <w:spacing w:after="0" w:line="15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gridSpan w:val="5"/>
          </w:tcPr>
          <w:p>
            <w:pPr>
              <w:ind w:left="74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34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3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November 2, 2019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November 2, 2019</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Gift card liability, beginning balance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67,993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66,153</w:t>
            </w:r>
          </w:p>
        </w:tc>
      </w:tr>
      <w:tr>
        <w:trPr>
          <w:trHeight w:val="223"/>
        </w:trPr>
        <w:tc>
          <w:tcPr>
            <w:tcW w:w="3320" w:type="dxa"/>
            <w:vAlign w:val="bottom"/>
          </w:tcPr>
          <w:p>
            <w:pPr>
              <w:ind w:left="220"/>
              <w:spacing w:after="0"/>
              <w:rPr>
                <w:sz w:val="20"/>
                <w:szCs w:val="20"/>
                <w:color w:val="auto"/>
              </w:rPr>
            </w:pPr>
            <w:r>
              <w:rPr>
                <w:rFonts w:ascii="Arial" w:cs="Arial" w:eastAsia="Arial" w:hAnsi="Arial"/>
                <w:sz w:val="18"/>
                <w:szCs w:val="18"/>
                <w:color w:val="auto"/>
              </w:rPr>
              <w:t>Issued</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14,910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19,382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47,524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63,883</w:t>
            </w:r>
          </w:p>
        </w:tc>
      </w:tr>
      <w:tr>
        <w:trPr>
          <w:trHeight w:val="230"/>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Redeemed</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(80,006)</w:t>
            </w:r>
          </w:p>
        </w:tc>
      </w:tr>
      <w:tr>
        <w:trPr>
          <w:trHeight w:val="230"/>
        </w:trPr>
        <w:tc>
          <w:tcPr>
            <w:tcW w:w="3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as breakage income</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Gift card liability, 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52,089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47,655</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09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4. Long-Term Debt</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w w:val="91"/>
              </w:rPr>
              <w:t>Our debt consisted of the following (amounts in thousands) as of:</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Pr>
          <w:p>
            <w:pPr>
              <w:spacing w:after="0"/>
              <w:rPr>
                <w:sz w:val="24"/>
                <w:szCs w:val="24"/>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 2020</w:t>
            </w:r>
          </w:p>
        </w:tc>
        <w:tc>
          <w:tcPr>
            <w:tcW w:w="140" w:type="dxa"/>
            <w:vAlign w:val="bottom"/>
          </w:tcPr>
          <w:p>
            <w:pPr>
              <w:spacing w:after="0"/>
              <w:rPr>
                <w:sz w:val="24"/>
                <w:szCs w:val="24"/>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November 2, 2019</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Asset-Based Revolving Credit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5100" w:type="dxa"/>
            <w:vAlign w:val="bottom"/>
          </w:tcPr>
          <w:p>
            <w:pPr>
              <w:ind w:left="20"/>
              <w:spacing w:after="0" w:line="176" w:lineRule="exact"/>
              <w:rPr>
                <w:sz w:val="20"/>
                <w:szCs w:val="20"/>
                <w:color w:val="auto"/>
              </w:rPr>
            </w:pPr>
            <w:r>
              <w:rPr>
                <w:rFonts w:ascii="Arial" w:cs="Arial" w:eastAsia="Arial" w:hAnsi="Arial"/>
                <w:sz w:val="18"/>
                <w:szCs w:val="18"/>
                <w:color w:val="auto"/>
                <w:w w:val="93"/>
              </w:rPr>
              <w:t>Senior Secured Term Loan Facility, due July 2022 net of discount of</w:t>
            </w:r>
          </w:p>
        </w:tc>
        <w:tc>
          <w:tcPr>
            <w:tcW w:w="1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1,429,667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1,466,402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1,470,695</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$1.8 million, $2.6 million and $2.9 million, respectively</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1,429,667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1,466,402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1,514,995</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(18,250)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(18,250)</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deferred loan costs </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1,408,885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1,428,542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1,492,609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6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These costs are related to the 2015 Term Loan Facility.</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November 6, 2020, the Company refinanced its long-term debt (see Note 15).</w:t>
      </w:r>
    </w:p>
    <w:p>
      <w:pPr>
        <w:spacing w:after="0" w:line="171" w:lineRule="exact"/>
        <w:rPr>
          <w:sz w:val="20"/>
          <w:szCs w:val="20"/>
          <w:color w:val="auto"/>
        </w:rPr>
      </w:pPr>
    </w:p>
    <w:p>
      <w:pPr>
        <w:ind w:left="260" w:firstLine="324"/>
        <w:spacing w:after="0" w:line="291" w:lineRule="auto"/>
        <w:rPr>
          <w:sz w:val="20"/>
          <w:szCs w:val="20"/>
          <w:color w:val="auto"/>
        </w:rPr>
      </w:pPr>
      <w:r>
        <w:rPr>
          <w:rFonts w:ascii="Arial" w:cs="Arial" w:eastAsia="Arial" w:hAnsi="Arial"/>
          <w:sz w:val="16"/>
          <w:szCs w:val="16"/>
          <w:b w:val="1"/>
          <w:bCs w:val="1"/>
          <w:i w:val="1"/>
          <w:iCs w:val="1"/>
          <w:u w:val="single" w:color="auto"/>
          <w:color w:val="auto"/>
        </w:rPr>
        <w:t>2015 Term Loan Facility.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July 2, 2015, Academy, Ltd. entered into a seven-year $1.8 billion senior secured term loan facility (the "2015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Loan Facility"). The 2015 Term Loan Facility bears interest, at our election, at either (1) LIBOR rate with a floor of 1.00%, plus a margin of 4.00%, or</w:t>
      </w:r>
    </w:p>
    <w:p>
      <w:pPr>
        <w:jc w:val="both"/>
        <w:ind w:left="260" w:hanging="8"/>
        <w:spacing w:after="0" w:line="252" w:lineRule="auto"/>
        <w:tabs>
          <w:tab w:leader="none" w:pos="53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October 31, 2020, the weighted average interest rate was 5.00%, with interest payable monthly. The terms and conditions of the 2015 Term Loan Facility also require that we prepay outstanding loans under the 2015 Term Loan Facility under certain circumstances. As of October 31, 2020, no prepayments of outstanding loans have been triggered under the terms and conditions of the 2015 Term Loan Facility.</w:t>
      </w:r>
    </w:p>
    <w:p>
      <w:pPr>
        <w:spacing w:after="0" w:line="140"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During the thirty-nine weeks ended October 31, 2020 and November 2, 2019, we repurchased a portion of our principal on the 2015 Term Loan Facility, which was trading at a discount, in open market transactions. The following table provides further detail regarding these repurchases (amounts in millions):</w:t>
      </w:r>
    </w:p>
    <w:p>
      <w:pPr>
        <w:spacing w:after="0" w:line="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6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Pr>
          <w:p>
            <w:pPr>
              <w:spacing w:after="0"/>
              <w:rPr>
                <w:sz w:val="19"/>
                <w:szCs w:val="19"/>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November 2, 2019</w:t>
            </w: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principal repurchased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Reacquisition price of debt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recognized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bl>
    <w:p>
      <w:pPr>
        <w:spacing w:after="0" w:line="256" w:lineRule="exact"/>
        <w:rPr>
          <w:sz w:val="20"/>
          <w:szCs w:val="20"/>
          <w:color w:val="auto"/>
        </w:rPr>
      </w:pPr>
    </w:p>
    <w:p>
      <w:pPr>
        <w:jc w:val="both"/>
        <w:ind w:left="260" w:firstLine="324"/>
        <w:spacing w:after="0" w:line="290" w:lineRule="auto"/>
        <w:rPr>
          <w:sz w:val="20"/>
          <w:szCs w:val="20"/>
          <w:color w:val="auto"/>
        </w:rPr>
      </w:pPr>
      <w:r>
        <w:rPr>
          <w:rFonts w:ascii="Arial" w:cs="Arial" w:eastAsia="Arial" w:hAnsi="Arial"/>
          <w:sz w:val="16"/>
          <w:szCs w:val="16"/>
          <w:b w:val="1"/>
          <w:bCs w:val="1"/>
          <w:i w:val="1"/>
          <w:iCs w:val="1"/>
          <w:u w:val="single" w:color="auto"/>
          <w:color w:val="auto"/>
        </w:rPr>
        <w:t>2018 ABL Facility.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July 2, 2015, Academy, Ltd. entered into a five-year $650 million secured asset-based revolving credit facility (the "2015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ABL Facility"). On May 22, 2018, the Company amended the agreement governing the 2015 ABL Facility (as amended, the "2018 ABL Facility"), to increase the commitment on the facility from $650 million to $1 billion. The operative terms, conditions, covenants and pricing of the 2018 ABL Facility remain the same in all material respects to the 2015 ABL Facility and/or have been sized in approximate proportion to the relative increase in the facility where such operative terms are based upon the commitment level on the facility. The 2018 ABL Facility matures on May 22, 2023, subject to a springing maturity clause which is triggered 91 days before the July 2, 2022 maturity of the 2015 Term Loan Facility should it not be paid off or extended at least 91 days beyond the May 22, 2023 maturity date of the 2018 ABL Facility. Academy, Ltd. has the option to increase the commitments under the 2018 ABL Facility by $250 million, subject to the satisfaction of certain conditions under the agreement.</w:t>
      </w:r>
    </w:p>
    <w:p>
      <w:pPr>
        <w:spacing w:after="0" w:line="111" w:lineRule="exact"/>
        <w:rPr>
          <w:sz w:val="20"/>
          <w:szCs w:val="20"/>
          <w:color w:val="auto"/>
        </w:rPr>
      </w:pPr>
    </w:p>
    <w:p>
      <w:pPr>
        <w:jc w:val="both"/>
        <w:ind w:left="260" w:firstLine="324"/>
        <w:spacing w:after="0" w:line="296" w:lineRule="auto"/>
        <w:rPr>
          <w:sz w:val="20"/>
          <w:szCs w:val="20"/>
          <w:color w:val="auto"/>
        </w:rPr>
      </w:pPr>
      <w:r>
        <w:rPr>
          <w:rFonts w:ascii="Arial" w:cs="Arial" w:eastAsia="Arial" w:hAnsi="Arial"/>
          <w:sz w:val="16"/>
          <w:szCs w:val="16"/>
          <w:color w:val="auto"/>
        </w:rPr>
        <w:t>The 2018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October 31, 2020, we had outstanding letters of credit of approximately $30.8 million, of which $21.1 million were issued under the 2018 ABL Facility, and we had no borrowings outstanding under the 2018 ABL Facility, leaving the available borrowing capacity under the 2018 ABL Facility of $844.7 million.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093" w:right="339" w:bottom="1440" w:gutter="0" w:footer="0" w:header="0"/>
        </w:sectPr>
      </w:pPr>
    </w:p>
    <w:bookmarkStart w:id="14" w:name="page15"/>
    <w:bookmarkEnd w:id="14"/>
    <w:p>
      <w:pPr>
        <w:jc w:val="both"/>
        <w:ind w:left="260" w:firstLine="324"/>
        <w:spacing w:after="0" w:line="296" w:lineRule="auto"/>
        <w:rPr>
          <w:sz w:val="20"/>
          <w:szCs w:val="20"/>
          <w:color w:val="auto"/>
        </w:rPr>
      </w:pPr>
      <w:r>
        <w:rPr>
          <w:rFonts w:ascii="Arial" w:cs="Arial" w:eastAsia="Arial" w:hAnsi="Arial"/>
          <w:sz w:val="16"/>
          <w:szCs w:val="16"/>
          <w:color w:val="auto"/>
        </w:rPr>
        <w:t>Borrowings under the 2018 ABL Facility bear interest, at our election, at either (1) LIBOR plus a margin of 1.25% to 1.75%, or (2) a base rate equal to the highest of (a) the federal funds rate plus 0.50%, (b) JPMorgan Chase Bank, N.A.'s "prime rate", or (c) the one-month LIBOR rate plus 1.00%, plus a margin of 0.25% to 0.75%. The 2018 ABL Facility also provides a fee applicable to the unused commitments of 0.25%. The terms and conditions of the 2018 ABL Facility also require that we prepay outstanding loans under the 2018 ABL Facility under certain circumstances. As of October 31, 2020, no future prepayments of outstanding loans have been triggered under the terms and conditions of the 2018 ABL Facility.</w:t>
      </w:r>
    </w:p>
    <w:p>
      <w:pPr>
        <w:spacing w:after="0" w:line="103"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7"/>
          <w:szCs w:val="17"/>
          <w:b w:val="1"/>
          <w:bCs w:val="1"/>
          <w:i w:val="1"/>
          <w:iCs w:val="1"/>
          <w:u w:val="single" w:color="auto"/>
          <w:color w:val="auto"/>
        </w:rPr>
        <w:t>Covenants</w:t>
      </w: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2018 ABL Facility and the 2015 Term Loan Facility agreements contain covenants, including, among others, covenants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2018 ABL Facility is subject to a certain minimum adjusted fixed charge coverage ratio. These covenants are subject to certain qualifications and limitations. We were in compliance with these covenants as of October 31, 2020.</w:t>
      </w:r>
    </w:p>
    <w:p>
      <w:pPr>
        <w:spacing w:after="0" w:line="118"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b w:val="1"/>
          <w:bCs w:val="1"/>
          <w:i w:val="1"/>
          <w:iCs w:val="1"/>
          <w:u w:val="single" w:color="auto"/>
          <w:color w:val="auto"/>
        </w:rPr>
        <w:t>Capitalized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capitalized interest primarily related to construction of new stores and store renovations in the amount of $0.1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$0.4 million for the thirteen and thirty-nine weeks ended October 31, 2020, respectively, and $0.2 million and $0.5 million for the thirteen and thirty-nine weeks ended November 2, 2019, respectively.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use interest rate swap agreements to hedge market risk relating to possible adverse changes in interest rates.</w:t>
      </w:r>
    </w:p>
    <w:p>
      <w:pPr>
        <w:spacing w:after="0" w:line="171" w:lineRule="exact"/>
        <w:rPr>
          <w:sz w:val="20"/>
          <w:szCs w:val="20"/>
          <w:color w:val="auto"/>
        </w:rPr>
      </w:pPr>
    </w:p>
    <w:p>
      <w:pPr>
        <w:jc w:val="both"/>
        <w:ind w:left="260" w:firstLine="324"/>
        <w:spacing w:after="0" w:line="269" w:lineRule="auto"/>
        <w:rPr>
          <w:sz w:val="20"/>
          <w:szCs w:val="20"/>
          <w:color w:val="auto"/>
        </w:rPr>
      </w:pPr>
      <w:r>
        <w:rPr>
          <w:rFonts w:ascii="Arial" w:cs="Arial" w:eastAsia="Arial" w:hAnsi="Arial"/>
          <w:sz w:val="17"/>
          <w:szCs w:val="17"/>
          <w:color w:val="auto"/>
        </w:rPr>
        <w:t>All interest rate swaps had been designated as cash flow hedges of variable rate interest payments on borrowings under the 2015 Term Loan Facility. On October 28, 2020, we determined that a portion of the underlying cash flows related to $100.0 million of swap notional principal amount was no longer probable of occurring over the remaining term of the interest rate swaps as a result of the Company's planned refinancing transactions (see Note 15). As a result, we reclassified approximately $1.3 million of losses from accumulated other comprehensive loss ("AOCI") to other (income) expense, net in our statements of income for the thirteen and thirty-nine weeks ended October 31, 2020 related to the portion of the forecasted transaction no longer considered probable of occurring. We also de-designated a portion of our interest rate swaps as cash flow hedges, leaving $250 million notional principal amount designated and $650 million undesignated. The remaining $4.0 million loss in AOCI as of October 31, 2020 related to the de-designated hedges will be amortized as an increase to interest expense over the original maturity of the de-designated swaps. The de-designated $650 million notional principal amount of fixed interest rate swaps will receive mark-to-market treatment prospectively, with changes in fair value recorded immediately to other (income) expense, net on the statements of income.</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our interest rate swaps is as follows (dollar amounts in thousands):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2720" w:type="dxa"/>
            <w:vAlign w:val="bottom"/>
            <w:gridSpan w:val="2"/>
          </w:tcPr>
          <w:p>
            <w:pPr>
              <w:ind w:left="640"/>
              <w:spacing w:after="0"/>
              <w:rPr>
                <w:sz w:val="20"/>
                <w:szCs w:val="20"/>
                <w:color w:val="auto"/>
              </w:rPr>
            </w:pPr>
            <w:r>
              <w:rPr>
                <w:rFonts w:ascii="Arial" w:cs="Arial" w:eastAsia="Arial" w:hAnsi="Arial"/>
                <w:sz w:val="18"/>
                <w:szCs w:val="18"/>
                <w:b w:val="1"/>
                <w:bCs w:val="1"/>
                <w:color w:val="auto"/>
              </w:rPr>
              <w:t>Notional Amount</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Fixed Rate</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Effective Date</w:t>
            </w: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2"/>
              </w:rPr>
              <w:t>Termination Date</w:t>
            </w:r>
          </w:p>
        </w:tc>
      </w:tr>
      <w:tr>
        <w:trPr>
          <w:trHeight w:val="223"/>
        </w:trPr>
        <w:tc>
          <w:tcPr>
            <w:tcW w:w="262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86"/>
              </w:rPr>
              <w:t xml:space="preserve">$250,000 </w:t>
            </w:r>
            <w:r>
              <w:rPr>
                <w:rFonts w:ascii="Arial" w:cs="Arial" w:eastAsia="Arial" w:hAnsi="Arial"/>
                <w:sz w:val="23"/>
                <w:szCs w:val="23"/>
                <w:color w:val="auto"/>
                <w:w w:val="86"/>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2.21%</w:t>
            </w:r>
          </w:p>
        </w:tc>
        <w:tc>
          <w:tcPr>
            <w:tcW w:w="12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7, 2016</w:t>
            </w:r>
          </w:p>
        </w:tc>
        <w:tc>
          <w:tcPr>
            <w:tcW w:w="12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3, 2021</w:t>
            </w:r>
          </w:p>
        </w:tc>
      </w:tr>
      <w:tr>
        <w:trPr>
          <w:trHeight w:val="230"/>
        </w:trPr>
        <w:tc>
          <w:tcPr>
            <w:tcW w:w="2620" w:type="dxa"/>
            <w:vAlign w:val="bottom"/>
          </w:tcPr>
          <w:p>
            <w:pPr>
              <w:jc w:val="center"/>
              <w:spacing w:after="0"/>
              <w:rPr>
                <w:sz w:val="20"/>
                <w:szCs w:val="20"/>
                <w:color w:val="auto"/>
              </w:rPr>
            </w:pPr>
            <w:r>
              <w:rPr>
                <w:rFonts w:ascii="Arial" w:cs="Arial" w:eastAsia="Arial" w:hAnsi="Arial"/>
                <w:sz w:val="18"/>
                <w:szCs w:val="18"/>
                <w:color w:val="auto"/>
                <w:w w:val="87"/>
              </w:rPr>
              <w:t>$250,000</w:t>
            </w:r>
          </w:p>
        </w:tc>
        <w:tc>
          <w:tcPr>
            <w:tcW w:w="10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3"/>
              </w:rPr>
              <w:t>1.54%</w:t>
            </w:r>
          </w:p>
        </w:tc>
        <w:tc>
          <w:tcPr>
            <w:tcW w:w="120" w:type="dxa"/>
            <w:vAlign w:val="bottom"/>
          </w:tcPr>
          <w:p>
            <w:pPr>
              <w:spacing w:after="0"/>
              <w:rPr>
                <w:sz w:val="19"/>
                <w:szCs w:val="19"/>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1, 2016</w:t>
            </w: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November 1, 2021</w:t>
            </w:r>
          </w:p>
        </w:tc>
      </w:tr>
      <w:tr>
        <w:trPr>
          <w:trHeight w:val="230"/>
        </w:trPr>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$400,000</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2.54%</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March 1, 2018</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1, 2021</w:t>
            </w:r>
          </w:p>
        </w:tc>
      </w:tr>
    </w:tbl>
    <w:p>
      <w:pPr>
        <w:spacing w:after="0" w:line="148" w:lineRule="exact"/>
        <w:rPr>
          <w:sz w:val="20"/>
          <w:szCs w:val="20"/>
          <w:color w:val="auto"/>
        </w:rPr>
      </w:pPr>
    </w:p>
    <w:p>
      <w:pPr>
        <w:ind w:left="420" w:right="160" w:hanging="168"/>
        <w:spacing w:after="0" w:line="267" w:lineRule="auto"/>
        <w:tabs>
          <w:tab w:leader="none" w:pos="423"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initial $600,000 notional amount of the swap amortizes to $525,000, $430,000, $320,000 and $250,000 on September 3, 2017, 2018,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259" w:right="339" w:bottom="1440" w:gutter="0" w:footer="0" w:header="0"/>
        </w:sectPr>
      </w:pPr>
    </w:p>
    <w:bookmarkStart w:id="15" w:name="page16"/>
    <w:bookmarkEnd w:id="15"/>
    <w:p>
      <w:pPr>
        <w:ind w:left="580"/>
        <w:spacing w:after="0"/>
        <w:rPr>
          <w:sz w:val="20"/>
          <w:szCs w:val="20"/>
          <w:color w:val="auto"/>
        </w:rPr>
      </w:pPr>
      <w:r>
        <w:rPr>
          <w:rFonts w:ascii="Arial" w:cs="Arial" w:eastAsia="Arial" w:hAnsi="Arial"/>
          <w:sz w:val="18"/>
          <w:szCs w:val="18"/>
          <w:color w:val="auto"/>
        </w:rPr>
        <w:t>The fair value of these interest rate swaps is as follows (amounts in thousands) as of:</w:t>
      </w:r>
    </w:p>
    <w:p>
      <w:pPr>
        <w:spacing w:after="0" w:line="46"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 2020</w:t>
            </w:r>
          </w:p>
        </w:tc>
        <w:tc>
          <w:tcPr>
            <w:tcW w:w="140" w:type="dxa"/>
            <w:vAlign w:val="bottom"/>
          </w:tcPr>
          <w:p>
            <w:pPr>
              <w:spacing w:after="0"/>
              <w:rPr>
                <w:sz w:val="20"/>
                <w:szCs w:val="20"/>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November 2, 2019</w:t>
            </w:r>
          </w:p>
        </w:tc>
        <w:tc>
          <w:tcPr>
            <w:tcW w:w="0" w:type="dxa"/>
            <w:vAlign w:val="bottom"/>
          </w:tcPr>
          <w:p>
            <w:pPr>
              <w:spacing w:after="0"/>
              <w:rPr>
                <w:sz w:val="1"/>
                <w:szCs w:val="1"/>
                <w:color w:val="auto"/>
              </w:rPr>
            </w:pPr>
          </w:p>
        </w:tc>
      </w:tr>
      <w:tr>
        <w:trPr>
          <w:trHeight w:val="190"/>
        </w:trPr>
        <w:tc>
          <w:tcPr>
            <w:tcW w:w="5100" w:type="dxa"/>
            <w:vAlign w:val="bottom"/>
            <w:tcBorders>
              <w:top w:val="single" w:sz="8" w:color="CCEEFF"/>
            </w:tcBorders>
            <w:gridSpan w:val="3"/>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Derivatives designated as hedging instruments</w:t>
            </w:r>
          </w:p>
        </w:tc>
        <w:tc>
          <w:tcPr>
            <w:tcW w:w="18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1540" w:type="dxa"/>
            <w:vAlign w:val="bottom"/>
            <w:tcBorders>
              <w:top w:val="single" w:sz="8" w:color="CCEEFF"/>
            </w:tcBorders>
            <w:gridSpan w:val="2"/>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Amounts included in 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51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0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color w:val="auto"/>
              </w:rPr>
              <w:t>Amounts included in accrued expenses and other current</w:t>
            </w:r>
          </w:p>
        </w:tc>
        <w:tc>
          <w:tcPr>
            <w:tcW w:w="18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1,198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30"/>
        </w:trPr>
        <w:tc>
          <w:tcPr>
            <w:tcW w:w="5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Amounts included in other long-term liabilities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156"/>
        </w:trPr>
        <w:tc>
          <w:tcPr>
            <w:tcW w:w="5100" w:type="dxa"/>
            <w:vAlign w:val="bottom"/>
            <w:gridSpan w:val="3"/>
            <w:shd w:val="clear" w:color="auto" w:fill="CCEEFF"/>
          </w:tcPr>
          <w:p>
            <w:pPr>
              <w:ind w:left="440"/>
              <w:spacing w:after="0" w:line="156" w:lineRule="exact"/>
              <w:rPr>
                <w:sz w:val="20"/>
                <w:szCs w:val="20"/>
                <w:color w:val="auto"/>
              </w:rPr>
            </w:pPr>
            <w:r>
              <w:rPr>
                <w:rFonts w:ascii="Arial" w:cs="Arial" w:eastAsia="Arial" w:hAnsi="Arial"/>
                <w:sz w:val="18"/>
                <w:szCs w:val="18"/>
                <w:color w:val="auto"/>
              </w:rPr>
              <w:t>Total derivatives designated as hedging instruments net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(1,334)</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34"/>
        </w:trPr>
        <w:tc>
          <w:tcPr>
            <w:tcW w:w="51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liability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3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10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Derivatives not designated as hedging instruments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12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0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color w:val="auto"/>
              </w:rPr>
              <w:t>Amounts included in accrued expenses and other current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4,548</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18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68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Total derivatives not designated as hedging instruments</w:t>
            </w: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derivatives net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60" w:firstLine="324"/>
        <w:spacing w:after="0" w:line="311" w:lineRule="auto"/>
        <w:rPr>
          <w:sz w:val="20"/>
          <w:szCs w:val="20"/>
          <w:color w:val="auto"/>
        </w:rPr>
      </w:pPr>
      <w:r>
        <w:rPr>
          <w:rFonts w:ascii="Arial" w:cs="Arial" w:eastAsia="Arial" w:hAnsi="Arial"/>
          <w:sz w:val="16"/>
          <w:szCs w:val="16"/>
          <w:color w:val="auto"/>
        </w:rPr>
        <w:t>For derivatives designated as hedging instruments, amounts included in AOCI are reclassified to interest expense in the same period during which the hedged transaction affects earnings, which is as interest expense is recorded on the underlying 2015 Term Loan Facility. As of October 31, 2020, we estimate that approximately $4.6 million of the balance in AOCI will be reclassified as an increase in interest expense during the next 12 months.</w:t>
      </w:r>
    </w:p>
    <w:p>
      <w:pPr>
        <w:spacing w:after="0" w:line="95"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8"/>
          <w:szCs w:val="18"/>
          <w:color w:val="auto"/>
        </w:rPr>
        <w:t>The impact of gains and losses related to interest rate swaps that are deferred into AOCI and subsequently reclassified into interest expense or other (income) expense, net is as follows (amounts in thousands):</w:t>
      </w:r>
    </w:p>
    <w:p>
      <w:pPr>
        <w:spacing w:after="0" w:line="23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gridSpan w:val="5"/>
          </w:tcPr>
          <w:p>
            <w:pPr>
              <w:ind w:left="74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34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November 2, 2019</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November 2, 2019</w:t>
            </w:r>
          </w:p>
        </w:tc>
        <w:tc>
          <w:tcPr>
            <w:tcW w:w="0" w:type="dxa"/>
            <w:vAlign w:val="bottom"/>
          </w:tcPr>
          <w:p>
            <w:pPr>
              <w:spacing w:after="0"/>
              <w:rPr>
                <w:sz w:val="1"/>
                <w:szCs w:val="1"/>
                <w:color w:val="auto"/>
              </w:rPr>
            </w:pPr>
          </w:p>
        </w:tc>
      </w:tr>
      <w:tr>
        <w:trPr>
          <w:trHeight w:val="155"/>
        </w:trPr>
        <w:tc>
          <w:tcPr>
            <w:tcW w:w="33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Accumulated Other Comprehensive Income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(8,339)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tcBorders>
            <w:vMerge w:val="restart"/>
            <w:shd w:val="clear" w:color="auto" w:fill="CCEEFF"/>
          </w:tcPr>
          <w:p>
            <w:pPr>
              <w:jc w:val="center"/>
              <w:ind w:left="890"/>
              <w:spacing w:after="0"/>
              <w:rPr>
                <w:sz w:val="20"/>
                <w:szCs w:val="20"/>
                <w:color w:val="auto"/>
              </w:rPr>
            </w:pPr>
            <w:r>
              <w:rPr>
                <w:rFonts w:ascii="Arial" w:cs="Arial" w:eastAsia="Arial" w:hAnsi="Arial"/>
                <w:sz w:val="18"/>
                <w:szCs w:val="18"/>
                <w:b w:val="1"/>
                <w:bCs w:val="1"/>
                <w:color w:val="auto"/>
                <w:w w:val="91"/>
              </w:rPr>
              <w:t>(8,066)</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beginning</w:t>
            </w:r>
          </w:p>
        </w:tc>
        <w:tc>
          <w:tcPr>
            <w:tcW w:w="16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20"/>
              <w:spacing w:after="0" w:line="176" w:lineRule="exact"/>
              <w:rPr>
                <w:sz w:val="20"/>
                <w:szCs w:val="20"/>
                <w:color w:val="auto"/>
              </w:rPr>
            </w:pPr>
            <w:r>
              <w:rPr>
                <w:rFonts w:ascii="Arial" w:cs="Arial" w:eastAsia="Arial" w:hAnsi="Arial"/>
                <w:sz w:val="18"/>
                <w:szCs w:val="18"/>
                <w:color w:val="auto"/>
              </w:rPr>
              <w:t>Loss deferred into AOCI (net of tax</w:t>
            </w:r>
          </w:p>
        </w:tc>
        <w:tc>
          <w:tcPr>
            <w:tcW w:w="16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(1,317)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vMerge w:val="restart"/>
          </w:tcPr>
          <w:p>
            <w:pPr>
              <w:jc w:val="center"/>
              <w:ind w:left="890"/>
              <w:spacing w:after="0"/>
              <w:rPr>
                <w:sz w:val="20"/>
                <w:szCs w:val="20"/>
                <w:color w:val="auto"/>
              </w:rPr>
            </w:pPr>
            <w:r>
              <w:rPr>
                <w:rFonts w:ascii="Arial" w:cs="Arial" w:eastAsia="Arial" w:hAnsi="Arial"/>
                <w:sz w:val="18"/>
                <w:szCs w:val="18"/>
                <w:b w:val="1"/>
                <w:bCs w:val="1"/>
                <w:color w:val="auto"/>
                <w:w w:val="91"/>
              </w:rPr>
              <w:t>(5,318)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(14,459)</w:t>
            </w: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impact of $53)</w:t>
            </w:r>
          </w:p>
        </w:tc>
        <w:tc>
          <w:tcPr>
            <w:tcW w:w="1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Increase (decrease) to interest expense</w:t>
            </w:r>
          </w:p>
        </w:tc>
        <w:tc>
          <w:tcPr>
            <w:tcW w:w="1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center"/>
              <w:ind w:left="930"/>
              <w:spacing w:after="0"/>
              <w:rPr>
                <w:sz w:val="20"/>
                <w:szCs w:val="20"/>
                <w:color w:val="auto"/>
              </w:rPr>
            </w:pPr>
            <w:r>
              <w:rPr>
                <w:rFonts w:ascii="Arial" w:cs="Arial" w:eastAsia="Arial" w:hAnsi="Arial"/>
                <w:sz w:val="18"/>
                <w:szCs w:val="18"/>
                <w:b w:val="1"/>
                <w:bCs w:val="1"/>
                <w:color w:val="auto"/>
                <w:w w:val="88"/>
              </w:rPr>
              <w:t>7,357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of tax impact of $221)</w:t>
            </w: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20"/>
              <w:spacing w:after="0" w:line="176" w:lineRule="exact"/>
              <w:rPr>
                <w:sz w:val="20"/>
                <w:szCs w:val="20"/>
                <w:color w:val="auto"/>
              </w:rPr>
            </w:pPr>
            <w:r>
              <w:rPr>
                <w:rFonts w:ascii="Arial" w:cs="Arial" w:eastAsia="Arial" w:hAnsi="Arial"/>
                <w:sz w:val="18"/>
                <w:szCs w:val="18"/>
                <w:color w:val="auto"/>
                <w:w w:val="99"/>
              </w:rPr>
              <w:t>Loss on swaps from debt refinancing in</w:t>
            </w: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20"/>
              <w:spacing w:after="0" w:line="176" w:lineRule="exact"/>
              <w:rPr>
                <w:sz w:val="20"/>
                <w:szCs w:val="20"/>
                <w:color w:val="auto"/>
              </w:rPr>
            </w:pPr>
            <w:r>
              <w:rPr>
                <w:rFonts w:ascii="Arial" w:cs="Arial" w:eastAsia="Arial" w:hAnsi="Arial"/>
                <w:sz w:val="18"/>
                <w:szCs w:val="18"/>
                <w:color w:val="auto"/>
              </w:rPr>
              <w:t>other (income) expense, net (net of tax</w:t>
            </w:r>
          </w:p>
        </w:tc>
        <w:tc>
          <w:tcPr>
            <w:tcW w:w="16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580" w:type="dxa"/>
            <w:vAlign w:val="bottom"/>
            <w:vMerge w:val="restart"/>
          </w:tcPr>
          <w:p>
            <w:pPr>
              <w:jc w:val="center"/>
              <w:ind w:left="930"/>
              <w:spacing w:after="0"/>
              <w:rPr>
                <w:sz w:val="20"/>
                <w:szCs w:val="20"/>
                <w:color w:val="auto"/>
              </w:rPr>
            </w:pPr>
            <w:r>
              <w:rPr>
                <w:rFonts w:ascii="Arial" w:cs="Arial" w:eastAsia="Arial" w:hAnsi="Arial"/>
                <w:sz w:val="18"/>
                <w:szCs w:val="18"/>
                <w:b w:val="1"/>
                <w:bCs w:val="1"/>
                <w:color w:val="auto"/>
                <w:w w:val="88"/>
              </w:rPr>
              <w:t>1,000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impact of $330)</w:t>
            </w:r>
          </w:p>
        </w:tc>
        <w:tc>
          <w:tcPr>
            <w:tcW w:w="1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3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Accumulated Other Comprehensive Income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(5,027)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tcBorders>
            <w:vMerge w:val="restart"/>
            <w:shd w:val="clear" w:color="auto" w:fill="CCEEFF"/>
          </w:tcPr>
          <w:p>
            <w:pPr>
              <w:jc w:val="center"/>
              <w:ind w:left="890"/>
              <w:spacing w:after="0"/>
              <w:rPr>
                <w:sz w:val="20"/>
                <w:szCs w:val="20"/>
                <w:color w:val="auto"/>
              </w:rPr>
            </w:pPr>
            <w:r>
              <w:rPr>
                <w:rFonts w:ascii="Arial" w:cs="Arial" w:eastAsia="Arial" w:hAnsi="Arial"/>
                <w:sz w:val="18"/>
                <w:szCs w:val="18"/>
                <w:b w:val="1"/>
                <w:bCs w:val="1"/>
                <w:color w:val="auto"/>
                <w:w w:val="91"/>
              </w:rPr>
              <w:t>(5,027)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(Loss), ending</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75" w:lineRule="exact"/>
        <w:rPr>
          <w:sz w:val="20"/>
          <w:szCs w:val="20"/>
          <w:color w:val="auto"/>
        </w:rPr>
      </w:pPr>
    </w:p>
    <w:p>
      <w:pPr>
        <w:jc w:val="both"/>
        <w:ind w:left="260" w:firstLine="324"/>
        <w:spacing w:after="0" w:line="259" w:lineRule="auto"/>
        <w:rPr>
          <w:sz w:val="20"/>
          <w:szCs w:val="20"/>
          <w:color w:val="auto"/>
        </w:rPr>
      </w:pPr>
      <w:r>
        <w:rPr>
          <w:rFonts w:ascii="Arial" w:cs="Arial" w:eastAsia="Arial" w:hAnsi="Arial"/>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259" w:right="339" w:bottom="1440" w:gutter="0" w:footer="0" w:header="0"/>
        </w:sectPr>
      </w:pPr>
    </w:p>
    <w:bookmarkStart w:id="16" w:name="page17"/>
    <w:bookmarkEnd w:id="16"/>
    <w:p>
      <w:pPr>
        <w:ind w:left="320"/>
        <w:spacing w:after="0"/>
        <w:rPr>
          <w:sz w:val="20"/>
          <w:szCs w:val="20"/>
          <w:color w:val="auto"/>
        </w:rPr>
      </w:pPr>
      <w:r>
        <w:rPr>
          <w:rFonts w:ascii="Arial" w:cs="Arial" w:eastAsia="Arial" w:hAnsi="Arial"/>
          <w:sz w:val="18"/>
          <w:szCs w:val="18"/>
          <w:color w:val="auto"/>
        </w:rPr>
        <w:t>The fair value measurements are classified as either:</w:t>
      </w:r>
    </w:p>
    <w:p>
      <w:pPr>
        <w:spacing w:after="0" w:line="171" w:lineRule="exact"/>
        <w:rPr>
          <w:sz w:val="20"/>
          <w:szCs w:val="20"/>
          <w:color w:val="auto"/>
        </w:rPr>
      </w:pPr>
    </w:p>
    <w:p>
      <w:pPr>
        <w:ind w:left="640" w:hanging="324"/>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which represents valuations based on unadjusted quoted prices in active markets that are accessible at the measurement date for identical, unrestricted assets or liabilities;</w:t>
      </w:r>
    </w:p>
    <w:p>
      <w:pPr>
        <w:spacing w:after="0" w:line="8" w:lineRule="exact"/>
        <w:rPr>
          <w:rFonts w:ascii="Arial" w:cs="Arial" w:eastAsia="Arial" w:hAnsi="Arial"/>
          <w:sz w:val="18"/>
          <w:szCs w:val="18"/>
          <w:color w:val="auto"/>
        </w:rPr>
      </w:pPr>
    </w:p>
    <w:p>
      <w:pPr>
        <w:jc w:val="both"/>
        <w:ind w:left="640" w:hanging="324"/>
        <w:spacing w:after="0" w:line="263"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21" w:lineRule="exact"/>
        <w:rPr>
          <w:rFonts w:ascii="Arial" w:cs="Arial" w:eastAsia="Arial" w:hAnsi="Arial"/>
          <w:sz w:val="18"/>
          <w:szCs w:val="18"/>
          <w:color w:val="auto"/>
        </w:rPr>
      </w:pPr>
    </w:p>
    <w:p>
      <w:pPr>
        <w:ind w:left="640" w:hanging="324"/>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the fair value hierarchy for our derivative financial instruments (amounts in thousands) as of:</w:t>
      </w:r>
    </w:p>
    <w:p>
      <w:pPr>
        <w:spacing w:after="0" w:line="208" w:lineRule="exact"/>
        <w:rPr>
          <w:sz w:val="20"/>
          <w:szCs w:val="20"/>
          <w:color w:val="auto"/>
        </w:rPr>
      </w:pPr>
    </w:p>
    <w:p>
      <w:pPr>
        <w:ind w:left="3160"/>
        <w:spacing w:after="0"/>
        <w:tabs>
          <w:tab w:leader="none" w:pos="5320" w:val="left"/>
          <w:tab w:leader="none" w:pos="7140" w:val="left"/>
          <w:tab w:leader="none" w:pos="8940" w:val="left"/>
        </w:tabs>
        <w:rPr>
          <w:sz w:val="20"/>
          <w:szCs w:val="20"/>
          <w:color w:val="auto"/>
        </w:rPr>
      </w:pPr>
      <w:r>
        <w:rPr>
          <w:rFonts w:ascii="Arial" w:cs="Arial" w:eastAsia="Arial" w:hAnsi="Arial"/>
          <w:sz w:val="18"/>
          <w:szCs w:val="18"/>
          <w:b w:val="1"/>
          <w:bCs w:val="1"/>
          <w:color w:val="auto"/>
        </w:rPr>
        <w:t>Fair Value Hierarchy</w:t>
      </w:r>
      <w:r>
        <w:rPr>
          <w:sz w:val="20"/>
          <w:szCs w:val="20"/>
          <w:color w:val="auto"/>
        </w:rPr>
        <w:tab/>
      </w:r>
      <w:r>
        <w:rPr>
          <w:rFonts w:ascii="Arial" w:cs="Arial" w:eastAsia="Arial" w:hAnsi="Arial"/>
          <w:sz w:val="18"/>
          <w:szCs w:val="18"/>
          <w:b w:val="1"/>
          <w:bCs w:val="1"/>
          <w:color w:val="auto"/>
        </w:rPr>
        <w:t>October 31, 2020</w:t>
      </w:r>
      <w:r>
        <w:rPr>
          <w:sz w:val="20"/>
          <w:szCs w:val="20"/>
          <w:color w:val="auto"/>
        </w:rPr>
        <w:tab/>
      </w:r>
      <w:r>
        <w:rPr>
          <w:rFonts w:ascii="Arial" w:cs="Arial" w:eastAsia="Arial" w:hAnsi="Arial"/>
          <w:sz w:val="18"/>
          <w:szCs w:val="18"/>
          <w:b w:val="1"/>
          <w:bCs w:val="1"/>
          <w:color w:val="auto"/>
        </w:rPr>
        <w:t>February 1, 2020</w:t>
      </w:r>
      <w:r>
        <w:rPr>
          <w:sz w:val="20"/>
          <w:szCs w:val="20"/>
          <w:color w:val="auto"/>
        </w:rPr>
        <w:tab/>
      </w:r>
      <w:r>
        <w:rPr>
          <w:rFonts w:ascii="Arial" w:cs="Arial" w:eastAsia="Arial" w:hAnsi="Arial"/>
          <w:sz w:val="16"/>
          <w:szCs w:val="16"/>
          <w:b w:val="1"/>
          <w:bCs w:val="1"/>
          <w:color w:val="auto"/>
        </w:rPr>
        <w:t>November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68655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8655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Assets</w:t>
      </w:r>
    </w:p>
    <w:p>
      <w:pPr>
        <w:spacing w:after="0" w:line="23" w:lineRule="exact"/>
        <w:rPr>
          <w:sz w:val="20"/>
          <w:szCs w:val="20"/>
          <w:color w:val="auto"/>
        </w:rPr>
      </w:pPr>
    </w:p>
    <w:p>
      <w:pPr>
        <w:ind w:left="220"/>
        <w:spacing w:after="0"/>
        <w:tabs>
          <w:tab w:leader="none" w:pos="3700" w:val="left"/>
          <w:tab w:leader="none" w:pos="5140" w:val="left"/>
          <w:tab w:leader="none" w:pos="6600" w:val="left"/>
          <w:tab w:leader="none" w:pos="7000" w:val="left"/>
          <w:tab w:leader="none" w:pos="8380" w:val="left"/>
          <w:tab w:leader="none" w:pos="8780" w:val="left"/>
          <w:tab w:leader="none" w:pos="10160" w:val="left"/>
        </w:tabs>
        <w:rPr>
          <w:sz w:val="20"/>
          <w:szCs w:val="20"/>
          <w:color w:val="auto"/>
        </w:rPr>
      </w:pPr>
      <w:r>
        <w:rPr>
          <w:rFonts w:ascii="Arial" w:cs="Arial" w:eastAsia="Arial" w:hAnsi="Arial"/>
          <w:sz w:val="18"/>
          <w:szCs w:val="18"/>
          <w:color w:val="auto"/>
        </w:rPr>
        <w:t>Interest rate swap</w:t>
      </w:r>
      <w:r>
        <w:rPr>
          <w:sz w:val="20"/>
          <w:szCs w:val="20"/>
          <w:color w:val="auto"/>
        </w:rPr>
        <w:tab/>
      </w:r>
      <w:r>
        <w:rPr>
          <w:rFonts w:ascii="Arial" w:cs="Arial" w:eastAsia="Arial" w:hAnsi="Arial"/>
          <w:sz w:val="18"/>
          <w:szCs w:val="18"/>
          <w:color w:val="auto"/>
        </w:rPr>
        <w:t>Level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6865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86550" cy="171450"/>
                    </a:xfrm>
                    <a:prstGeom prst="rect">
                      <a:avLst/>
                    </a:prstGeom>
                    <a:noFill/>
                  </pic:spPr>
                </pic:pic>
              </a:graphicData>
            </a:graphic>
          </wp:anchor>
        </w:drawing>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68655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86550" cy="145415"/>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3700" w:val="left"/>
          <w:tab w:leader="none" w:pos="5140" w:val="left"/>
          <w:tab w:leader="none" w:pos="6360" w:val="left"/>
          <w:tab w:leader="none" w:pos="7000" w:val="left"/>
          <w:tab w:leader="none" w:pos="8140" w:val="left"/>
          <w:tab w:leader="none" w:pos="8780" w:val="left"/>
          <w:tab w:leader="none" w:pos="10020" w:val="left"/>
        </w:tabs>
        <w:rPr>
          <w:sz w:val="20"/>
          <w:szCs w:val="20"/>
          <w:color w:val="auto"/>
        </w:rPr>
      </w:pPr>
      <w:r>
        <w:rPr>
          <w:rFonts w:ascii="Arial" w:cs="Arial" w:eastAsia="Arial" w:hAnsi="Arial"/>
          <w:sz w:val="18"/>
          <w:szCs w:val="18"/>
          <w:color w:val="auto"/>
        </w:rPr>
        <w:t>Interest rate swap</w:t>
      </w:r>
      <w:r>
        <w:rPr>
          <w:sz w:val="20"/>
          <w:szCs w:val="20"/>
          <w:color w:val="auto"/>
        </w:rPr>
        <w:tab/>
      </w:r>
      <w:r>
        <w:rPr>
          <w:rFonts w:ascii="Arial" w:cs="Arial" w:eastAsia="Arial" w:hAnsi="Arial"/>
          <w:sz w:val="18"/>
          <w:szCs w:val="18"/>
          <w:color w:val="auto"/>
        </w:rPr>
        <w:t>Level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5,882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8,106</w:t>
        <w:tab/>
        <w:t>$</w:t>
      </w:r>
      <w:r>
        <w:rPr>
          <w:sz w:val="20"/>
          <w:szCs w:val="20"/>
          <w:color w:val="auto"/>
        </w:rPr>
        <w:tab/>
      </w:r>
      <w:r>
        <w:rPr>
          <w:rFonts w:ascii="Arial" w:cs="Arial" w:eastAsia="Arial" w:hAnsi="Arial"/>
          <w:sz w:val="16"/>
          <w:szCs w:val="16"/>
          <w:color w:val="auto"/>
        </w:rPr>
        <w:t>7,685</w:t>
      </w:r>
    </w:p>
    <w:p>
      <w:pPr>
        <w:spacing w:after="0" w:line="200" w:lineRule="exact"/>
        <w:rPr>
          <w:sz w:val="20"/>
          <w:szCs w:val="20"/>
          <w:color w:val="auto"/>
        </w:rPr>
      </w:pPr>
    </w:p>
    <w:p>
      <w:pPr>
        <w:spacing w:after="0" w:line="21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Periodically we make cash investments in money market funds comprised of U.S. Government treasury bills and securities, which are classified as cash and redeemable on demand. As of October 31, 2020 and February 1, 2020, we held $767.0 million and $113.3 million in money market funds, respectively. We held no investments in money market funds as of November 2, 2019.</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 of the 2015 Term Loan Facility is estimated using a discounted cash flow analysis based on quoted market prices for the instrument in an inactive market and is therefore classified as Level 2 within the fair value hierarchy. As of October 31, 2020, February 1, 2020 and November 2, 2019, the estimated fair value of our 2015 Term Loan Facility was $1.4 billion, $1.2 billion and $1.0 billion, respectively. As borrowings on the 2018 ABL Facility are generally repaid in less than 12 months, we believe that fair value approximates the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6980" w:type="dxa"/>
            <w:vAlign w:val="bottom"/>
            <w:gridSpan w:val="4"/>
          </w:tcPr>
          <w:p>
            <w:pPr>
              <w:ind w:left="320"/>
              <w:spacing w:after="0"/>
              <w:rPr>
                <w:sz w:val="20"/>
                <w:szCs w:val="20"/>
                <w:color w:val="auto"/>
              </w:rPr>
            </w:pPr>
            <w:r>
              <w:rPr>
                <w:rFonts w:ascii="Arial" w:cs="Arial" w:eastAsia="Arial" w:hAnsi="Arial"/>
                <w:sz w:val="18"/>
                <w:szCs w:val="18"/>
                <w:color w:val="auto"/>
              </w:rPr>
              <w:t>Property and equipment consists of the following (amounts in thousands) as of:</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18"/>
        </w:trPr>
        <w:tc>
          <w:tcPr>
            <w:tcW w:w="2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1, 2020</w:t>
            </w:r>
          </w:p>
        </w:tc>
        <w:tc>
          <w:tcPr>
            <w:tcW w:w="140" w:type="dxa"/>
            <w:vAlign w:val="bottom"/>
          </w:tcPr>
          <w:p>
            <w:pPr>
              <w:spacing w:after="0"/>
              <w:rPr>
                <w:sz w:val="24"/>
                <w:szCs w:val="24"/>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November 2, 2019</w:t>
            </w:r>
          </w:p>
        </w:tc>
      </w:tr>
      <w:tr>
        <w:trPr>
          <w:trHeight w:val="223"/>
        </w:trPr>
        <w:tc>
          <w:tcPr>
            <w:tcW w:w="260" w:type="dxa"/>
            <w:vAlign w:val="bottom"/>
          </w:tcPr>
          <w:p>
            <w:pPr>
              <w:spacing w:after="0"/>
              <w:rPr>
                <w:sz w:val="19"/>
                <w:szCs w:val="19"/>
                <w:color w:val="auto"/>
              </w:rPr>
            </w:pPr>
          </w:p>
        </w:tc>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435,094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433,266</w:t>
            </w:r>
          </w:p>
        </w:tc>
      </w:tr>
      <w:tr>
        <w:trPr>
          <w:trHeight w:val="230"/>
        </w:trPr>
        <w:tc>
          <w:tcPr>
            <w:tcW w:w="2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Equipment and software</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543,147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537,364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527,845</w:t>
            </w:r>
          </w:p>
        </w:tc>
      </w:tr>
      <w:tr>
        <w:trPr>
          <w:trHeight w:val="229"/>
        </w:trPr>
        <w:tc>
          <w:tcPr>
            <w:tcW w:w="2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317,371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314,909</w:t>
            </w:r>
          </w:p>
        </w:tc>
      </w:tr>
      <w:tr>
        <w:trPr>
          <w:trHeight w:val="230"/>
        </w:trPr>
        <w:tc>
          <w:tcPr>
            <w:tcW w:w="2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27,979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17,639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21,197</w:t>
            </w:r>
          </w:p>
        </w:tc>
      </w:tr>
      <w:tr>
        <w:trPr>
          <w:trHeight w:val="229"/>
        </w:trPr>
        <w:tc>
          <w:tcPr>
            <w:tcW w:w="2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r>
      <w:tr>
        <w:trPr>
          <w:trHeight w:val="223"/>
        </w:trPr>
        <w:tc>
          <w:tcPr>
            <w:tcW w:w="26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Arial" w:cs="Arial" w:eastAsia="Arial" w:hAnsi="Arial"/>
                <w:sz w:val="18"/>
                <w:szCs w:val="18"/>
                <w:color w:val="auto"/>
              </w:rPr>
              <w:t>Total property and equipment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1,327,289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1,311,928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1,300,915</w:t>
            </w:r>
          </w:p>
        </w:tc>
      </w:tr>
      <w:tr>
        <w:trPr>
          <w:trHeight w:val="230"/>
        </w:trPr>
        <w:tc>
          <w:tcPr>
            <w:tcW w:w="2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(944,669)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(846,509)</w:t>
            </w:r>
          </w:p>
        </w:tc>
      </w:tr>
      <w:tr>
        <w:trPr>
          <w:trHeight w:val="223"/>
        </w:trPr>
        <w:tc>
          <w:tcPr>
            <w:tcW w:w="26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382,620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441,407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454,406</w:t>
            </w:r>
          </w:p>
        </w:tc>
      </w:tr>
      <w:tr>
        <w:trPr>
          <w:trHeight w:val="21"/>
        </w:trPr>
        <w:tc>
          <w:tcPr>
            <w:tcW w:w="2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8"/>
          <w:szCs w:val="18"/>
          <w:color w:val="auto"/>
        </w:rPr>
        <w:t>Depreciation expense was $25.5 million and $79.7 million in the thirteen and thirty-nine weeks ended October 31, 2020, respectively, and $29.6 million and $88.7 million in the thirteen and thirty-nine weeks ended November 2, 2019, respectively.</w:t>
      </w: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8. Leases</w:t>
      </w:r>
    </w:p>
    <w:p>
      <w:pPr>
        <w:spacing w:after="0" w:line="175" w:lineRule="exact"/>
        <w:rPr>
          <w:sz w:val="20"/>
          <w:szCs w:val="20"/>
          <w:color w:val="auto"/>
        </w:rPr>
      </w:pPr>
    </w:p>
    <w:p>
      <w:pPr>
        <w:jc w:val="both"/>
        <w:ind w:left="260" w:firstLine="324"/>
        <w:spacing w:after="0" w:line="271" w:lineRule="auto"/>
        <w:rPr>
          <w:sz w:val="20"/>
          <w:szCs w:val="20"/>
          <w:color w:val="auto"/>
        </w:rPr>
      </w:pPr>
      <w:r>
        <w:rPr>
          <w:rFonts w:ascii="Arial" w:cs="Arial" w:eastAsia="Arial" w:hAnsi="Arial"/>
          <w:sz w:val="17"/>
          <w:szCs w:val="17"/>
          <w:color w:val="auto"/>
        </w:rPr>
        <w:t xml:space="preserve">In April 2020, the Financial Accounting Standards Board issued </w:t>
      </w:r>
      <w:r>
        <w:rPr>
          <w:rFonts w:ascii="Arial" w:cs="Arial" w:eastAsia="Arial" w:hAnsi="Arial"/>
          <w:sz w:val="17"/>
          <w:szCs w:val="17"/>
          <w:i w:val="1"/>
          <w:iCs w:val="1"/>
          <w:color w:val="auto"/>
        </w:rPr>
        <w:t>Staff Q&amp;A - Topic 842 and Topic 840: Accounting For Lease Concessions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the Effects of the COVID-19 Pandemic</w:t>
      </w:r>
      <w:r>
        <w:rPr>
          <w:rFonts w:ascii="Arial" w:cs="Arial" w:eastAsia="Arial" w:hAnsi="Arial"/>
          <w:sz w:val="17"/>
          <w:szCs w:val="17"/>
          <w:color w:val="auto"/>
        </w:rPr>
        <w:t>. This guidance provides entities with the option to elect to account for certain lease concessions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though the enforceable rights and obligations had existed in the original lease. As a result, an entity will not need to reassess each existing contract to determine whether enforceable rights and obligations for concessions exist and an entity can elect to apply or not to apply the lease modification guidance in Accounting Standards Codification Topic 842, </w:t>
      </w:r>
      <w:r>
        <w:rPr>
          <w:rFonts w:ascii="Arial" w:cs="Arial" w:eastAsia="Arial" w:hAnsi="Arial"/>
          <w:sz w:val="17"/>
          <w:szCs w:val="17"/>
          <w:i w:val="1"/>
          <w:iCs w:val="1"/>
          <w:color w:val="auto"/>
        </w:rPr>
        <w:t>Leases</w:t>
      </w:r>
      <w:r>
        <w:rPr>
          <w:rFonts w:ascii="Arial" w:cs="Arial" w:eastAsia="Arial" w:hAnsi="Arial"/>
          <w:sz w:val="17"/>
          <w:szCs w:val="17"/>
          <w:color w:val="auto"/>
        </w:rPr>
        <w:t>, to those contracts. During the thirteen and thirty-nine weeks ended October 31, 2020, the Company received $0.4 million and $2.4 million, respectively, in lease expense credit related to landlord abated rent as a result of the elections made under this guidance. Additionally, during the thirteen and thirty-nine weeks ended October 31, 2020, the Company signed six and 46 lease extensions, respectively, requiring lease modification accounting treatment.</w:t>
      </w:r>
    </w:p>
    <w:p>
      <w:pPr>
        <w:spacing w:after="0" w:line="124"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8"/>
          <w:szCs w:val="18"/>
          <w:color w:val="auto"/>
        </w:rPr>
        <w:t>The components of lease expense and sublease income included in selling, general and administrative ("SG&amp;A") expenses on our statement of income is as follows (amounts in thousands):</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gridSpan w:val="5"/>
          </w:tcPr>
          <w:p>
            <w:pPr>
              <w:ind w:left="74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34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3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November 2, 2019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November 2, 2019</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49,272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147,528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146,039</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1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w:t>
            </w:r>
          </w:p>
        </w:tc>
      </w:tr>
      <w:tr>
        <w:trPr>
          <w:trHeight w:val="230"/>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r>
      <w:tr>
        <w:trPr>
          <w:trHeight w:val="248"/>
        </w:trPr>
        <w:tc>
          <w:tcPr>
            <w:tcW w:w="3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lease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50,866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150,639</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40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093" w:right="339" w:bottom="1440" w:gutter="0" w:footer="0" w:header="0"/>
          <w:type w:val="continuous"/>
        </w:sectPr>
      </w:pPr>
    </w:p>
    <w:bookmarkStart w:id="18" w:name="page19"/>
    <w:bookmarkEnd w:id="18"/>
    <w:p>
      <w:pPr>
        <w:ind w:left="328"/>
        <w:spacing w:after="0"/>
        <w:rPr>
          <w:sz w:val="20"/>
          <w:szCs w:val="20"/>
          <w:color w:val="auto"/>
        </w:rPr>
      </w:pPr>
      <w:r>
        <w:rPr>
          <w:rFonts w:ascii="Arial" w:cs="Arial" w:eastAsia="Arial" w:hAnsi="Arial"/>
          <w:sz w:val="18"/>
          <w:szCs w:val="18"/>
          <w:color w:val="auto"/>
        </w:rPr>
        <w:t>Information about our operating leases is as follows (dollar amounts in thousands):</w:t>
      </w:r>
    </w:p>
    <w:p>
      <w:pPr>
        <w:spacing w:after="0" w:line="289"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80" w:type="dxa"/>
            <w:vAlign w:val="bottom"/>
            <w:gridSpan w:val="6"/>
          </w:tcPr>
          <w:p>
            <w:pPr>
              <w:ind w:left="72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3400" w:type="dxa"/>
            <w:vAlign w:val="bottom"/>
            <w:gridSpan w:val="5"/>
          </w:tcPr>
          <w:p>
            <w:pPr>
              <w:jc w:val="right"/>
              <w:ind w:right="69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1"/>
              </w:rPr>
              <w:t>November 2, 2019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October 31, 2020</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November 2, 2019</w:t>
            </w:r>
          </w:p>
        </w:tc>
        <w:tc>
          <w:tcPr>
            <w:tcW w:w="0" w:type="dxa"/>
            <w:vAlign w:val="bottom"/>
          </w:tcPr>
          <w:p>
            <w:pPr>
              <w:spacing w:after="0"/>
              <w:rPr>
                <w:sz w:val="1"/>
                <w:szCs w:val="1"/>
                <w:color w:val="auto"/>
              </w:rPr>
            </w:pPr>
          </w:p>
        </w:tc>
      </w:tr>
      <w:tr>
        <w:trPr>
          <w:trHeight w:val="156"/>
        </w:trPr>
        <w:tc>
          <w:tcPr>
            <w:tcW w:w="33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Right-of-use assets obtained in exchange for</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13,477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32,520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84,595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55,562</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operating lease liabilities</w:t>
            </w:r>
          </w:p>
        </w:tc>
        <w:tc>
          <w:tcPr>
            <w:tcW w:w="18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Arial" w:cs="Arial" w:eastAsia="Arial" w:hAnsi="Arial"/>
                <w:sz w:val="18"/>
                <w:szCs w:val="18"/>
                <w:color w:val="auto"/>
              </w:rPr>
              <w:t>Cash paid for amounts included in the</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48,092</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48,283</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130,274</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143,848</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measurement of lease liabilities</w:t>
            </w:r>
          </w:p>
        </w:tc>
        <w:tc>
          <w:tcPr>
            <w:tcW w:w="180" w:type="dxa"/>
            <w:vAlign w:val="bottom"/>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4"/>
          </w:tcPr>
          <w:p>
            <w:pPr>
              <w:ind w:left="40"/>
              <w:spacing w:after="0"/>
              <w:rPr>
                <w:sz w:val="20"/>
                <w:szCs w:val="20"/>
                <w:color w:val="auto"/>
              </w:rPr>
            </w:pPr>
            <w:r>
              <w:rPr>
                <w:rFonts w:ascii="Arial" w:cs="Arial" w:eastAsia="Arial" w:hAnsi="Arial"/>
                <w:sz w:val="18"/>
                <w:szCs w:val="18"/>
                <w:b w:val="1"/>
                <w:bCs w:val="1"/>
                <w:color w:val="auto"/>
              </w:rPr>
              <w:t>October 31, 2020</w:t>
            </w:r>
          </w:p>
        </w:tc>
        <w:tc>
          <w:tcPr>
            <w:tcW w:w="120" w:type="dxa"/>
            <w:vAlign w:val="bottom"/>
          </w:tcPr>
          <w:p>
            <w:pPr>
              <w:spacing w:after="0"/>
              <w:rPr>
                <w:sz w:val="24"/>
                <w:szCs w:val="24"/>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November 2, 2019</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89"/>
              </w:rPr>
              <w:t>Weighted-average remaining lease term in years</w:t>
            </w:r>
          </w:p>
        </w:tc>
        <w:tc>
          <w:tcPr>
            <w:tcW w:w="15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4"/>
        </w:trPr>
        <w:tc>
          <w:tcPr>
            <w:tcW w:w="3320" w:type="dxa"/>
            <w:vAlign w:val="bottom"/>
          </w:tcPr>
          <w:p>
            <w:pPr>
              <w:ind w:left="20"/>
              <w:spacing w:after="0"/>
              <w:rPr>
                <w:sz w:val="20"/>
                <w:szCs w:val="20"/>
                <w:color w:val="auto"/>
              </w:rPr>
            </w:pPr>
            <w:r>
              <w:rPr>
                <w:rFonts w:ascii="Arial" w:cs="Arial" w:eastAsia="Arial" w:hAnsi="Arial"/>
                <w:sz w:val="18"/>
                <w:szCs w:val="18"/>
                <w:color w:val="auto"/>
                <w:w w:val="89"/>
              </w:rPr>
              <w:t>Weighted-average incremental borrowing rate</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9.09 %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8.88 %</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8" w:right="20" w:firstLine="324"/>
        <w:spacing w:after="0" w:line="342" w:lineRule="auto"/>
        <w:rPr>
          <w:sz w:val="20"/>
          <w:szCs w:val="20"/>
          <w:color w:val="auto"/>
        </w:rPr>
      </w:pPr>
      <w:r>
        <w:rPr>
          <w:rFonts w:ascii="Arial" w:cs="Arial" w:eastAsia="Arial" w:hAnsi="Arial"/>
          <w:sz w:val="16"/>
          <w:szCs w:val="16"/>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8640" w:type="dxa"/>
            <w:vAlign w:val="bottom"/>
          </w:tcPr>
          <w:p>
            <w:pPr>
              <w:ind w:left="320"/>
              <w:spacing w:after="0"/>
              <w:rPr>
                <w:sz w:val="20"/>
                <w:szCs w:val="20"/>
                <w:color w:val="auto"/>
              </w:rPr>
            </w:pPr>
            <w:r>
              <w:rPr>
                <w:rFonts w:ascii="Arial" w:cs="Arial" w:eastAsia="Arial" w:hAnsi="Arial"/>
                <w:sz w:val="18"/>
                <w:szCs w:val="18"/>
                <w:color w:val="auto"/>
              </w:rPr>
              <w:t>The remaining maturities of lease liabilities by fiscal year are as follows (amounts in thousands):</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18"/>
        </w:trPr>
        <w:tc>
          <w:tcPr>
            <w:tcW w:w="86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October 31, 2020</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48,759</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196,666</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194,316</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186,750</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178,462</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172,512</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2025</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1,051,915</w:t>
            </w:r>
          </w:p>
        </w:tc>
      </w:tr>
      <w:tr>
        <w:trPr>
          <w:trHeight w:val="223"/>
        </w:trPr>
        <w:tc>
          <w:tcPr>
            <w:tcW w:w="8640" w:type="dxa"/>
            <w:vAlign w:val="bottom"/>
          </w:tcPr>
          <w:p>
            <w:pPr>
              <w:ind w:left="220"/>
              <w:spacing w:after="0" w:line="223" w:lineRule="exact"/>
              <w:rPr>
                <w:sz w:val="20"/>
                <w:szCs w:val="20"/>
                <w:color w:val="auto"/>
              </w:rPr>
            </w:pPr>
            <w:r>
              <w:rPr>
                <w:rFonts w:ascii="Arial" w:cs="Arial" w:eastAsia="Arial" w:hAnsi="Arial"/>
                <w:sz w:val="18"/>
                <w:szCs w:val="18"/>
                <w:color w:val="auto"/>
              </w:rPr>
              <w:t xml:space="preserve">Total payments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2,029,380</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(778,599)</w:t>
            </w:r>
          </w:p>
        </w:tc>
      </w:tr>
      <w:tr>
        <w:trPr>
          <w:trHeight w:val="223"/>
        </w:trPr>
        <w:tc>
          <w:tcPr>
            <w:tcW w:w="8640" w:type="dxa"/>
            <w:vAlign w:val="bottom"/>
          </w:tcPr>
          <w:p>
            <w:pPr>
              <w:ind w:left="22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1,250,781</w:t>
            </w:r>
          </w:p>
        </w:tc>
      </w:tr>
      <w:tr>
        <w:trPr>
          <w:trHeight w:val="20"/>
        </w:trPr>
        <w:tc>
          <w:tcPr>
            <w:tcW w:w="8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48" w:hanging="248"/>
        <w:spacing w:after="0" w:line="238" w:lineRule="auto"/>
        <w:tabs>
          <w:tab w:leader="none" w:pos="186"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Minimum lease payments have not been reduced by sublease rentals of $1.9 million as of October 31, 2020 due in the future under non-cancelable subleases.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09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8700" w:type="dxa"/>
            <w:vAlign w:val="bottom"/>
            <w:gridSpan w:val="7"/>
          </w:tcPr>
          <w:p>
            <w:pPr>
              <w:ind w:left="320"/>
              <w:spacing w:after="0"/>
              <w:rPr>
                <w:sz w:val="20"/>
                <w:szCs w:val="20"/>
                <w:color w:val="auto"/>
              </w:rPr>
            </w:pPr>
            <w:r>
              <w:rPr>
                <w:rFonts w:ascii="Arial" w:cs="Arial" w:eastAsia="Arial" w:hAnsi="Arial"/>
                <w:sz w:val="18"/>
                <w:szCs w:val="18"/>
                <w:color w:val="auto"/>
              </w:rPr>
              <w:t>Accrued expenses and other current liabilities consist of the following (amounts in thousands) as of:</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18"/>
        </w:trPr>
        <w:tc>
          <w:tcPr>
            <w:tcW w:w="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1, 2020</w:t>
            </w:r>
          </w:p>
        </w:tc>
        <w:tc>
          <w:tcPr>
            <w:tcW w:w="160" w:type="dxa"/>
            <w:vAlign w:val="bottom"/>
          </w:tcPr>
          <w:p>
            <w:pPr>
              <w:spacing w:after="0"/>
              <w:rPr>
                <w:sz w:val="24"/>
                <w:szCs w:val="24"/>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November 2, 2019</w:t>
            </w:r>
          </w:p>
        </w:tc>
      </w:tr>
      <w:tr>
        <w:trPr>
          <w:trHeight w:val="223"/>
        </w:trPr>
        <w:tc>
          <w:tcPr>
            <w:tcW w:w="260" w:type="dxa"/>
            <w:vAlign w:val="bottom"/>
          </w:tcPr>
          <w:p>
            <w:pPr>
              <w:spacing w:after="0"/>
              <w:rPr>
                <w:sz w:val="19"/>
                <w:szCs w:val="19"/>
                <w:color w:val="auto"/>
              </w:rPr>
            </w:pPr>
          </w:p>
        </w:tc>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r>
      <w:tr>
        <w:trPr>
          <w:trHeight w:val="230"/>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Accrued personnel costs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72,995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54,065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41,237</w:t>
            </w:r>
          </w:p>
        </w:tc>
      </w:tr>
      <w:tr>
        <w:trPr>
          <w:trHeight w:val="229"/>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r>
      <w:tr>
        <w:trPr>
          <w:trHeight w:val="230"/>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Accrued sales and use tax</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18,590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12,651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18,041</w:t>
            </w:r>
          </w:p>
        </w:tc>
      </w:tr>
      <w:tr>
        <w:trPr>
          <w:trHeight w:val="229"/>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self-insurance</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13,912</w:t>
            </w:r>
          </w:p>
        </w:tc>
      </w:tr>
      <w:tr>
        <w:trPr>
          <w:trHeight w:val="229"/>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Deferred revenue - gift cards and other</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54,557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70,220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49,603</w:t>
            </w:r>
          </w:p>
        </w:tc>
      </w:tr>
      <w:tr>
        <w:trPr>
          <w:trHeight w:val="230"/>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r>
      <w:tr>
        <w:trPr>
          <w:trHeight w:val="229"/>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5,746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5,184</w:t>
            </w:r>
          </w:p>
        </w:tc>
      </w:tr>
      <w:tr>
        <w:trPr>
          <w:trHeight w:val="229"/>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taxes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49,679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50,066</w:t>
            </w:r>
          </w:p>
        </w:tc>
      </w:tr>
      <w:tr>
        <w:trPr>
          <w:trHeight w:val="230"/>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Sales return allowance</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29"/>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25,826</w:t>
            </w:r>
          </w:p>
        </w:tc>
      </w:tr>
      <w:tr>
        <w:trPr>
          <w:trHeight w:val="223"/>
        </w:trPr>
        <w:tc>
          <w:tcPr>
            <w:tcW w:w="260" w:type="dxa"/>
            <w:vAlign w:val="bottom"/>
          </w:tcPr>
          <w:p>
            <w:pPr>
              <w:spacing w:after="0"/>
              <w:rPr>
                <w:sz w:val="19"/>
                <w:szCs w:val="19"/>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274,612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219,992</w:t>
            </w:r>
          </w:p>
        </w:tc>
      </w:tr>
      <w:tr>
        <w:trPr>
          <w:trHeight w:val="20"/>
        </w:trPr>
        <w:tc>
          <w:tcPr>
            <w:tcW w:w="2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and Share-Based Compensation</w:t>
      </w:r>
    </w:p>
    <w:p>
      <w:pPr>
        <w:spacing w:after="0" w:line="175" w:lineRule="exact"/>
        <w:rPr>
          <w:sz w:val="20"/>
          <w:szCs w:val="20"/>
          <w:color w:val="auto"/>
        </w:rPr>
      </w:pPr>
    </w:p>
    <w:p>
      <w:pPr>
        <w:jc w:val="both"/>
        <w:ind w:left="260" w:firstLine="324"/>
        <w:spacing w:after="0" w:line="257" w:lineRule="auto"/>
        <w:rPr>
          <w:sz w:val="20"/>
          <w:szCs w:val="20"/>
          <w:color w:val="auto"/>
        </w:rPr>
      </w:pPr>
      <w:r>
        <w:rPr>
          <w:rFonts w:ascii="Arial" w:cs="Arial" w:eastAsia="Arial" w:hAnsi="Arial"/>
          <w:sz w:val="18"/>
          <w:szCs w:val="18"/>
          <w:color w:val="auto"/>
        </w:rPr>
        <w:t>On September 29, 2020, the ASO, Inc. Board of Directors adopted the 2020 Omnibus Incentive Plan (the "2020 Omnibus Incentive Plan"), which became effective on October 1, 2020. The plan reserved a total of 5,150,000 shares of common stock for issuance. Concurrent with the adoption of the 2020 Omnibus Incentive Plan, the NAHC 2011 Unit Incentive Plan (the "2011 Unit Incentive Plan") was frozen and no further issuances will be permitted as part of the 2011 Unit Incentive Plan. As of October 31, 2020, there were 4,996,703 shares that were authorized and available for grant under the 2020 Share Incentive Plan.</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2011 Unit Incentive Plan</w:t>
      </w:r>
    </w:p>
    <w:p>
      <w:pPr>
        <w:spacing w:after="0" w:line="171" w:lineRule="exact"/>
        <w:rPr>
          <w:sz w:val="20"/>
          <w:szCs w:val="20"/>
          <w:color w:val="auto"/>
        </w:rPr>
      </w:pPr>
    </w:p>
    <w:p>
      <w:pPr>
        <w:jc w:val="both"/>
        <w:ind w:left="260" w:right="20" w:firstLine="324"/>
        <w:spacing w:after="0" w:line="263" w:lineRule="auto"/>
        <w:rPr>
          <w:sz w:val="20"/>
          <w:szCs w:val="20"/>
          <w:color w:val="auto"/>
        </w:rPr>
      </w:pPr>
      <w:r>
        <w:rPr>
          <w:rFonts w:ascii="Arial" w:cs="Arial" w:eastAsia="Arial" w:hAnsi="Arial"/>
          <w:sz w:val="18"/>
          <w:szCs w:val="18"/>
          <w:color w:val="auto"/>
        </w:rPr>
        <w:t>The 2011 Unit Incentive Plan provides for the grant of certain equity incentive awards (each, an "Award"), such as options to purchase ASO, Inc. common stock (each, a "Unit Option") and restricted units that may settle in ASO, Inc. common stock (each, a "Restricted Unit") to our directors, executives, and eligible employees of the Company.</w:t>
      </w:r>
    </w:p>
    <w:p>
      <w:pPr>
        <w:spacing w:after="0" w:line="130" w:lineRule="exact"/>
        <w:rPr>
          <w:sz w:val="20"/>
          <w:szCs w:val="20"/>
          <w:color w:val="auto"/>
        </w:rPr>
      </w:pPr>
    </w:p>
    <w:p>
      <w:pPr>
        <w:jc w:val="both"/>
        <w:ind w:left="260" w:right="20" w:firstLine="324"/>
        <w:spacing w:after="0" w:line="263" w:lineRule="auto"/>
        <w:rPr>
          <w:sz w:val="20"/>
          <w:szCs w:val="20"/>
          <w:color w:val="auto"/>
        </w:rPr>
      </w:pPr>
      <w:r>
        <w:rPr>
          <w:rFonts w:ascii="Arial" w:cs="Arial" w:eastAsia="Arial" w:hAnsi="Arial"/>
          <w:sz w:val="18"/>
          <w:szCs w:val="18"/>
          <w:color w:val="auto"/>
        </w:rPr>
        <w:t>Unit Options granted under the 2011 Unit Incentive Plan consist of Unit Options that vest upon the satisfaction of time-based requirements (each, a "Service Unit Option") and Unit Options that vest upon the satisfaction of both time-based requirements and Company performance-based requirements (each, a "Performance Unit Option").</w:t>
      </w:r>
    </w:p>
    <w:p>
      <w:pPr>
        <w:spacing w:after="0" w:line="130" w:lineRule="exact"/>
        <w:rPr>
          <w:sz w:val="20"/>
          <w:szCs w:val="20"/>
          <w:color w:val="auto"/>
        </w:rPr>
      </w:pPr>
    </w:p>
    <w:p>
      <w:pPr>
        <w:jc w:val="both"/>
        <w:ind w:left="260" w:firstLine="324"/>
        <w:spacing w:after="0" w:line="257" w:lineRule="auto"/>
        <w:rPr>
          <w:sz w:val="20"/>
          <w:szCs w:val="20"/>
          <w:color w:val="auto"/>
        </w:rPr>
      </w:pPr>
      <w:r>
        <w:rPr>
          <w:rFonts w:ascii="Arial" w:cs="Arial" w:eastAsia="Arial" w:hAnsi="Arial"/>
          <w:sz w:val="18"/>
          <w:szCs w:val="18"/>
          <w:color w:val="auto"/>
        </w:rPr>
        <w:t>Restricted Units granted under the 2011 Unit Incentive Plan consist of Restricted Units that vest upon the satisfaction of time-based requirements (each, a "Service Restricted Unit") and Restricted Units that vest upon the satisfaction of a liquidity event-based requirement together with a time-based requirement and/or a performance-based requirement (each, a "Liquidity Event Restricted Unit"). In each case, vesting of the Company’s outstanding and unvested Unit Options and Restricted Units is contingent upon the holder’s continued service through the date of each applicable vesting event.</w:t>
      </w:r>
    </w:p>
    <w:p>
      <w:pPr>
        <w:spacing w:after="0" w:line="134"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8"/>
          <w:szCs w:val="18"/>
          <w:color w:val="auto"/>
        </w:rPr>
        <w:t>Concurrent with the adoption of the 2020 Omnibus Incentive Plan on October 1, 2020, no further Awards are authorized to be granted under the 2011 Unit Incentive Plan.</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171"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The 2020 Omnibus Incentive plan provides for the grant of Awards such as options to purchase ASO, Inc. common stock (each, a "Stock Option") and restricted stock units which may settle in ASO, Inc. common stock (each, a "Restricted Stock Unit") to our directors, executives, and eligible employees of the Company.</w:t>
      </w:r>
    </w:p>
    <w:p>
      <w:pPr>
        <w:spacing w:after="0" w:line="130"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8"/>
          <w:szCs w:val="18"/>
          <w:color w:val="auto"/>
        </w:rPr>
        <w:t>Stock Options granted under the 2020 Omnibus Incentive Plan consist of Stock Options that vest upon the satisfaction of time-based requirements (each, a "Service Stock Option" and Service Unit Options and Service Stock Options together are "Service Options").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093" w:right="339" w:bottom="1440" w:gutter="0" w:footer="0" w:header="0"/>
        </w:sectPr>
      </w:pPr>
    </w:p>
    <w:bookmarkStart w:id="20" w:name="page21"/>
    <w:bookmarkEnd w:id="20"/>
    <w:p>
      <w:pPr>
        <w:jc w:val="both"/>
        <w:ind w:firstLine="324"/>
        <w:spacing w:after="0" w:line="301" w:lineRule="auto"/>
        <w:rPr>
          <w:sz w:val="20"/>
          <w:szCs w:val="20"/>
          <w:color w:val="auto"/>
        </w:rPr>
      </w:pPr>
      <w:r>
        <w:rPr>
          <w:rFonts w:ascii="Arial" w:cs="Arial" w:eastAsia="Arial" w:hAnsi="Arial"/>
          <w:sz w:val="16"/>
          <w:szCs w:val="16"/>
          <w:color w:val="auto"/>
        </w:rPr>
        <w:t>Restricted Stock Units granted under the 2020 Omnibus Incentive Plan consist of Restricted Stock Units that vest upon the satisfaction of time-based requirements (each, a "Service Restricted Stock Unit") and Restricted Stock Units that vest upon the satisfaction of a time-based requirement and performance-based requirement (each, a "Performance Restricted Stock Unit"). In each case, vesting of the Company’s outstanding and unvested Stock Options and Restricted Stock Units is contingent upon the holder’s continued service through the date of each applicable vesting event.</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Equity compensation expense was $23.4 million and $27.0 million in the thirteen and thirty-nine weeks ended October 31, 2020, respectively, which includes approximately $19.9 million of stock compensation expense associated with the vesting of certain outstanding restricted stock units as a result of the liquidity condition being achieved upon completion of our IPO. Equity compensation expense was $1.4 million and $5.9 million in the thirteen and thirty-nine weeks ended November 2, 2019, respectively. These costs are included in selling, general and administrative expenses in the statements of income.</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Distribution</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August 28, 2020, NAHC paid a $257.0 million, or $1.1257 per unit (or $3.5460 as converted using the Contribution Ratio), distribution to its members of record as of August 25, 2020. Cash on hand was used to fund $248.0 million of the distribution, with the remainder distributed through an offset of outstanding loans receivable from one member and state income tax withholding made on behalf of NAHC's members. Holders of the outstanding granted equity Awards are entitled to receive value equal to $1.1257 per Award (or $3.5460 as converted using the Contribution Ratio), which was or will be made in the form of cash payments, additional Restricted Unit grants or Unit Option exercise price adjustments. Cash payments due for unvested Awards will be payable upon vesting of such Awards. In accordance with the terms of the 2011 Unit Incentive Plan, the Company made the following adjustments to each outstanding Award (per unit components, shares and exercise prices shown above and below are converted using the Contribution Ratio as described in the Retrospective Presentation of Ownership Exchange in Note 2):</w:t>
      </w:r>
    </w:p>
    <w:p>
      <w:pPr>
        <w:spacing w:after="0" w:line="111" w:lineRule="exact"/>
        <w:rPr>
          <w:sz w:val="20"/>
          <w:szCs w:val="20"/>
          <w:color w:val="auto"/>
        </w:rPr>
      </w:pPr>
    </w:p>
    <w:p>
      <w:pPr>
        <w:ind w:left="960" w:hanging="32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Exercise price reductions of $0.28 for 9,788,000 Unit Options (or $0.89 for 3,107,301 Stock Options, as converted);</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Exercise price reductions of $1.12 for 1,746,594 Unit Options (or $3.53 for 554,474 Stock Options, as converted);</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Restricted Unit grants of 159,362 units (or 50,590 Liquidity Event Restricted Units, as converted); and</w:t>
      </w:r>
    </w:p>
    <w:p>
      <w:pPr>
        <w:spacing w:after="0" w:line="63" w:lineRule="exact"/>
        <w:rPr>
          <w:rFonts w:ascii="Arial" w:cs="Arial" w:eastAsia="Arial" w:hAnsi="Arial"/>
          <w:sz w:val="18"/>
          <w:szCs w:val="18"/>
          <w:color w:val="auto"/>
        </w:rPr>
      </w:pPr>
    </w:p>
    <w:p>
      <w:pPr>
        <w:jc w:val="both"/>
        <w:ind w:left="960" w:hanging="320"/>
        <w:spacing w:after="0" w:line="311" w:lineRule="auto"/>
        <w:tabs>
          <w:tab w:leader="none" w:pos="9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Cash payments for vested Unit Options and vested Restricted Units ("Share-Based Award Payments") of $20.7 million were paid through October 31, 2020. Share-Based Award Payments payable as of October 31, 2020 for unvested awards is $12.1 million, which is reflected within accrued expenses and other current liabilities and other long-term liabilities on the Company's consolidated balance sheets.</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exercise price adjustments did not increase the value of the Unit Options and no related additional equity compensation was or will be incurred.</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Service Option Fair Value Assumptions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for Service Options granted was estimated using a Black-Scholes option-pricing model. The expected lives of the Service Options granted were based on the "SEC simplified" method and a mid-point assumption, respectively. Expected price volatility was determined based on the implied volatilities of comparable companies over a historical period that matches the expected life of the Award. The risk-free interest rate was based on the expected U.S. Treasury rate over the expected life. The dividend yield was based on the expectation that no dividends will be paid. The assumptions used to calculate the fair value of Awards granted are evaluated and modified, as necessary, to reflect current market conditions and experience.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21" w:name="page22"/>
    <w:bookmarkEnd w:id="21"/>
    <w:p>
      <w:pPr>
        <w:ind w:left="260" w:firstLine="324"/>
        <w:spacing w:after="0" w:line="277" w:lineRule="auto"/>
        <w:rPr>
          <w:sz w:val="20"/>
          <w:szCs w:val="20"/>
          <w:color w:val="auto"/>
        </w:rPr>
      </w:pPr>
      <w:r>
        <w:rPr>
          <w:rFonts w:ascii="Arial" w:cs="Arial" w:eastAsia="Arial" w:hAnsi="Arial"/>
          <w:sz w:val="18"/>
          <w:szCs w:val="18"/>
          <w:color w:val="auto"/>
        </w:rPr>
        <w:t>The following table presents the assumptions and grant date fair values for Service Options granted in the thirty-nine weeks ended October 31, 2020:</w:t>
      </w:r>
    </w:p>
    <w:p>
      <w:pPr>
        <w:spacing w:after="0" w:line="158" w:lineRule="exact"/>
        <w:rPr>
          <w:sz w:val="20"/>
          <w:szCs w:val="20"/>
          <w:color w:val="auto"/>
        </w:rPr>
      </w:pPr>
    </w:p>
    <w:tbl>
      <w:tblPr>
        <w:tblLayout w:type="fixed"/>
        <w:tblInd w:w="260" w:type="dxa"/>
        <w:tblCellMar>
          <w:top w:w="0" w:type="dxa"/>
          <w:left w:w="0" w:type="dxa"/>
          <w:bottom w:w="0" w:type="dxa"/>
          <w:right w:w="0" w:type="dxa"/>
        </w:tblCellMar>
      </w:tblP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4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840" w:type="dxa"/>
            <w:vAlign w:val="bottom"/>
          </w:tcPr>
          <w:p>
            <w:pPr>
              <w:jc w:val="right"/>
              <w:spacing w:after="0"/>
              <w:rPr>
                <w:sz w:val="20"/>
                <w:szCs w:val="20"/>
                <w:color w:val="auto"/>
              </w:rPr>
            </w:pPr>
            <w:r>
              <w:rPr>
                <w:rFonts w:ascii="Arial" w:cs="Arial" w:eastAsia="Arial" w:hAnsi="Arial"/>
                <w:sz w:val="18"/>
                <w:szCs w:val="18"/>
                <w:color w:val="auto"/>
              </w:rPr>
              <w:t>53% to 54%</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volatility</w:t>
            </w:r>
          </w:p>
        </w:tc>
        <w:tc>
          <w:tcPr>
            <w:tcW w:w="4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840" w:type="dxa"/>
            <w:vAlign w:val="bottom"/>
          </w:tcPr>
          <w:p>
            <w:pPr>
              <w:jc w:val="right"/>
              <w:spacing w:after="0"/>
              <w:rPr>
                <w:sz w:val="20"/>
                <w:szCs w:val="20"/>
                <w:color w:val="auto"/>
              </w:rPr>
            </w:pPr>
            <w:r>
              <w:rPr>
                <w:rFonts w:ascii="Arial" w:cs="Arial" w:eastAsia="Arial" w:hAnsi="Arial"/>
                <w:sz w:val="18"/>
                <w:szCs w:val="18"/>
                <w:color w:val="auto"/>
              </w:rPr>
              <w:t>0.39% to 0.76%</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4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bl>
    <w:p>
      <w:pPr>
        <w:spacing w:after="0" w:line="3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Award grants during the thirty-nine weeks ended October 31, 2020:</w:t>
      </w:r>
    </w:p>
    <w:p>
      <w:pPr>
        <w:spacing w:after="0" w:line="181"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Service Options</w:t>
            </w:r>
          </w:p>
        </w:tc>
        <w:tc>
          <w:tcPr>
            <w:tcW w:w="160" w:type="dxa"/>
            <w:vAlign w:val="bottom"/>
          </w:tcPr>
          <w:p>
            <w:pPr>
              <w:spacing w:after="0"/>
              <w:rPr>
                <w:sz w:val="17"/>
                <w:szCs w:val="17"/>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Service Restricted</w:t>
            </w:r>
          </w:p>
        </w:tc>
        <w:tc>
          <w:tcPr>
            <w:tcW w:w="14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Liquidity Event</w:t>
            </w:r>
          </w:p>
        </w:tc>
        <w:tc>
          <w:tcPr>
            <w:tcW w:w="120" w:type="dxa"/>
            <w:vAlign w:val="bottom"/>
          </w:tcPr>
          <w:p>
            <w:pPr>
              <w:spacing w:after="0"/>
              <w:rPr>
                <w:sz w:val="17"/>
                <w:szCs w:val="17"/>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Performance Restricted</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Units</w:t>
            </w:r>
          </w:p>
        </w:tc>
        <w:tc>
          <w:tcPr>
            <w:tcW w:w="14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Restricted Units</w:t>
            </w:r>
          </w:p>
        </w:tc>
        <w:tc>
          <w:tcPr>
            <w:tcW w:w="120" w:type="dxa"/>
            <w:vAlign w:val="bottom"/>
          </w:tcPr>
          <w:p>
            <w:pPr>
              <w:spacing w:after="0"/>
              <w:rPr>
                <w:sz w:val="19"/>
                <w:szCs w:val="19"/>
                <w:color w:val="auto"/>
              </w:rPr>
            </w:pPr>
          </w:p>
        </w:tc>
        <w:tc>
          <w:tcPr>
            <w:tcW w:w="1980" w:type="dxa"/>
            <w:vAlign w:val="bottom"/>
          </w:tcPr>
          <w:p>
            <w:pPr>
              <w:jc w:val="right"/>
              <w:ind w:right="750"/>
              <w:spacing w:after="0"/>
              <w:rPr>
                <w:sz w:val="20"/>
                <w:szCs w:val="20"/>
                <w:color w:val="auto"/>
              </w:rPr>
            </w:pPr>
            <w:r>
              <w:rPr>
                <w:rFonts w:ascii="Arial" w:cs="Arial" w:eastAsia="Arial" w:hAnsi="Arial"/>
                <w:sz w:val="18"/>
                <w:szCs w:val="18"/>
                <w:b w:val="1"/>
                <w:bCs w:val="1"/>
                <w:color w:val="auto"/>
              </w:rPr>
              <w:t>Units</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Number of shares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1,417,961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1,185,474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176"/>
        </w:trPr>
        <w:tc>
          <w:tcPr>
            <w:tcW w:w="2980" w:type="dxa"/>
            <w:vAlign w:val="bottom"/>
          </w:tcPr>
          <w:p>
            <w:pPr>
              <w:ind w:left="20"/>
              <w:spacing w:after="0" w:line="176" w:lineRule="exact"/>
              <w:rPr>
                <w:sz w:val="20"/>
                <w:szCs w:val="20"/>
                <w:color w:val="auto"/>
              </w:rPr>
            </w:pPr>
            <w:r>
              <w:rPr>
                <w:rFonts w:ascii="Arial" w:cs="Arial" w:eastAsia="Arial" w:hAnsi="Arial"/>
                <w:sz w:val="18"/>
                <w:szCs w:val="18"/>
                <w:color w:val="auto"/>
                <w:w w:val="94"/>
              </w:rPr>
              <w:t>Weighted average grant date fair value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vMerge w:val="restart"/>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per Award</w:t>
            </w:r>
          </w:p>
        </w:tc>
        <w:tc>
          <w:tcPr>
            <w:tcW w:w="18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 average exercise price per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0" w:type="dxa"/>
            <w:vAlign w:val="bottom"/>
            <w:gridSpan w:val="2"/>
            <w:vMerge w:val="restart"/>
            <w:shd w:val="clear" w:color="auto" w:fill="CCEEFF"/>
          </w:tcPr>
          <w:p>
            <w:pPr>
              <w:ind w:left="13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ind w:left="11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5"/>
                <w:szCs w:val="15"/>
                <w:color w:val="auto"/>
              </w:rPr>
            </w:pP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w:t>
            </w:r>
          </w:p>
        </w:tc>
        <w:tc>
          <w:tcPr>
            <w:tcW w:w="18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80" w:hanging="128"/>
        <w:spacing w:after="0"/>
        <w:tabs>
          <w:tab w:leader="none" w:pos="380" w:val="left"/>
        </w:tabs>
        <w:numPr>
          <w:ilvl w:val="0"/>
          <w:numId w:val="13"/>
        </w:numPr>
        <w:rPr>
          <w:rFonts w:ascii="Arial" w:cs="Arial" w:eastAsia="Arial" w:hAnsi="Arial"/>
          <w:sz w:val="15"/>
          <w:szCs w:val="15"/>
          <w:color w:val="auto"/>
          <w:vertAlign w:val="superscript"/>
        </w:rPr>
      </w:pPr>
      <w:r>
        <w:rPr>
          <w:rFonts w:ascii="Arial" w:cs="Arial" w:eastAsia="Arial" w:hAnsi="Arial"/>
          <w:sz w:val="11"/>
          <w:szCs w:val="11"/>
          <w:color w:val="auto"/>
        </w:rPr>
        <w:t>See Retrospective Presentation of Ownership Exchange in Note 2.</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unrecognized compensation cost as of October 31, 2020:</w:t>
      </w:r>
    </w:p>
    <w:p>
      <w:pPr>
        <w:spacing w:after="0" w:line="181"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Service Options</w:t>
            </w:r>
          </w:p>
        </w:tc>
        <w:tc>
          <w:tcPr>
            <w:tcW w:w="12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Performance Unit</w:t>
            </w:r>
          </w:p>
        </w:tc>
        <w:tc>
          <w:tcPr>
            <w:tcW w:w="16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Service Restricted</w:t>
            </w:r>
          </w:p>
        </w:tc>
        <w:tc>
          <w:tcPr>
            <w:tcW w:w="16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Liquidity Event</w:t>
            </w:r>
          </w:p>
        </w:tc>
        <w:tc>
          <w:tcPr>
            <w:tcW w:w="120" w:type="dxa"/>
            <w:vAlign w:val="bottom"/>
          </w:tcPr>
          <w:p>
            <w:pPr>
              <w:spacing w:after="0"/>
              <w:rPr>
                <w:sz w:val="17"/>
                <w:szCs w:val="17"/>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Performance</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36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Units</w:t>
            </w:r>
          </w:p>
        </w:tc>
        <w:tc>
          <w:tcPr>
            <w:tcW w:w="16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Restricted Units</w:t>
            </w:r>
          </w:p>
        </w:tc>
        <w:tc>
          <w:tcPr>
            <w:tcW w:w="120" w:type="dxa"/>
            <w:vAlign w:val="bottom"/>
          </w:tcPr>
          <w:p>
            <w:pPr>
              <w:spacing w:after="0"/>
              <w:rPr>
                <w:sz w:val="19"/>
                <w:szCs w:val="19"/>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Restricted Units</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18,952,974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883,794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18,037,924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159,999</w:t>
            </w: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life</w:t>
            </w: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remaining in years</w:t>
            </w:r>
          </w:p>
        </w:tc>
        <w:tc>
          <w:tcPr>
            <w:tcW w:w="14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Common Share</w:t>
      </w:r>
    </w:p>
    <w:p>
      <w:pPr>
        <w:spacing w:after="0" w:line="175" w:lineRule="exact"/>
        <w:rPr>
          <w:sz w:val="20"/>
          <w:szCs w:val="20"/>
          <w:color w:val="auto"/>
        </w:rPr>
      </w:pPr>
    </w:p>
    <w:p>
      <w:pPr>
        <w:jc w:val="both"/>
        <w:ind w:left="260" w:firstLine="324"/>
        <w:spacing w:after="0" w:line="255" w:lineRule="auto"/>
        <w:rPr>
          <w:sz w:val="20"/>
          <w:szCs w:val="20"/>
          <w:color w:val="auto"/>
        </w:rPr>
      </w:pPr>
      <w:r>
        <w:rPr>
          <w:rFonts w:ascii="Arial" w:cs="Arial" w:eastAsia="Arial" w:hAnsi="Arial"/>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259" w:right="339" w:bottom="1440" w:gutter="0" w:footer="0" w:header="0"/>
        </w:sectPr>
      </w:pPr>
    </w:p>
    <w:bookmarkStart w:id="22" w:name="page23"/>
    <w:bookmarkEnd w:id="22"/>
    <w:p>
      <w:pPr>
        <w:ind w:left="260" w:firstLine="324"/>
        <w:spacing w:after="0" w:line="271" w:lineRule="auto"/>
        <w:rPr>
          <w:sz w:val="20"/>
          <w:szCs w:val="20"/>
          <w:color w:val="auto"/>
        </w:rPr>
      </w:pPr>
      <w:r>
        <w:rPr>
          <w:rFonts w:ascii="Arial" w:cs="Arial" w:eastAsia="Arial" w:hAnsi="Arial"/>
          <w:sz w:val="18"/>
          <w:szCs w:val="18"/>
          <w:color w:val="auto"/>
        </w:rPr>
        <w:t>Basic and diluted weighted average common shares outstanding and basic and diluted earnings per common share are calculated as follows (dollar and share amounts in thousands except per share amounts):</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60" w:type="dxa"/>
            <w:vAlign w:val="bottom"/>
            <w:gridSpan w:val="5"/>
          </w:tcPr>
          <w:p>
            <w:pPr>
              <w:ind w:left="72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33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November 2, 2019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November 2, 2019</w:t>
            </w: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217,242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102,305</w:t>
            </w:r>
          </w:p>
        </w:tc>
        <w:tc>
          <w:tcPr>
            <w:tcW w:w="0" w:type="dxa"/>
            <w:vAlign w:val="bottom"/>
          </w:tcPr>
          <w:p>
            <w:pPr>
              <w:spacing w:after="0"/>
              <w:rPr>
                <w:sz w:val="1"/>
                <w:szCs w:val="1"/>
                <w:color w:val="auto"/>
              </w:rPr>
            </w:pPr>
          </w:p>
        </w:tc>
      </w:tr>
      <w:tr>
        <w:trPr>
          <w:trHeight w:val="88"/>
        </w:trPr>
        <w:tc>
          <w:tcPr>
            <w:tcW w:w="3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Weighted average common shares outstanding</w:t>
            </w:r>
          </w:p>
        </w:tc>
        <w:tc>
          <w:tcPr>
            <w:tcW w:w="1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76,771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72,484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73,908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72,480</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 basic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20" w:type="dxa"/>
            <w:vAlign w:val="bottom"/>
          </w:tcPr>
          <w:p>
            <w:pPr>
              <w:ind w:left="220"/>
              <w:spacing w:after="0" w:line="176" w:lineRule="exact"/>
              <w:rPr>
                <w:sz w:val="20"/>
                <w:szCs w:val="20"/>
                <w:color w:val="auto"/>
              </w:rPr>
            </w:pPr>
            <w:r>
              <w:rPr>
                <w:rFonts w:ascii="Arial" w:cs="Arial" w:eastAsia="Arial" w:hAnsi="Arial"/>
                <w:sz w:val="18"/>
                <w:szCs w:val="18"/>
                <w:color w:val="auto"/>
                <w:w w:val="97"/>
              </w:rPr>
              <w:t>Dilutive effect of Service Restricted Units</w:t>
            </w:r>
          </w:p>
        </w:tc>
        <w:tc>
          <w:tcPr>
            <w:tcW w:w="1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42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and Service Restricted Stock Units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Dilutive effect of Performance Restricted</w:t>
            </w: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Units, Liquidity Event Restricted Units and</w:t>
            </w:r>
          </w:p>
        </w:tc>
        <w:tc>
          <w:tcPr>
            <w:tcW w:w="1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Performance Restricted Stock Units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Dilutive effect of Service Options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1,081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Dilutive effect of Performance Unit</w:t>
            </w:r>
          </w:p>
        </w:tc>
        <w:tc>
          <w:tcPr>
            <w:tcW w:w="1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w w:val="91"/>
              </w:rPr>
              <w:t xml:space="preserve">Options and Performance Stock Options </w:t>
            </w:r>
            <w:r>
              <w:rPr>
                <w:rFonts w:ascii="Arial" w:cs="Arial" w:eastAsia="Arial" w:hAnsi="Arial"/>
                <w:sz w:val="23"/>
                <w:szCs w:val="23"/>
                <w:color w:val="auto"/>
                <w:w w:val="91"/>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20" w:type="dxa"/>
            <w:vAlign w:val="bottom"/>
          </w:tcPr>
          <w:p>
            <w:pPr>
              <w:ind w:left="20"/>
              <w:spacing w:after="0" w:line="156" w:lineRule="exact"/>
              <w:rPr>
                <w:sz w:val="20"/>
                <w:szCs w:val="20"/>
                <w:color w:val="auto"/>
              </w:rPr>
            </w:pPr>
            <w:r>
              <w:rPr>
                <w:rFonts w:ascii="Arial" w:cs="Arial" w:eastAsia="Arial" w:hAnsi="Arial"/>
                <w:sz w:val="18"/>
                <w:szCs w:val="18"/>
                <w:color w:val="auto"/>
                <w:w w:val="89"/>
              </w:rPr>
              <w:t>Weighted average common shares outstanding</w:t>
            </w:r>
          </w:p>
        </w:tc>
        <w:tc>
          <w:tcPr>
            <w:tcW w:w="16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80,714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75,201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77,171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74,766</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 diluted </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4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Earnings per common share - basic</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0.78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 -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08"/>
        </w:trPr>
        <w:tc>
          <w:tcPr>
            <w:tcW w:w="3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Anti-dilutive stock-based awards excluded</w:t>
            </w:r>
          </w:p>
        </w:tc>
        <w:tc>
          <w:tcPr>
            <w:tcW w:w="1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4,460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from diluted calculation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80" w:hanging="128"/>
        <w:spacing w:after="0"/>
        <w:tabs>
          <w:tab w:leader="none" w:pos="380" w:val="left"/>
        </w:tabs>
        <w:numPr>
          <w:ilvl w:val="1"/>
          <w:numId w:val="14"/>
        </w:numPr>
        <w:rPr>
          <w:rFonts w:ascii="Arial" w:cs="Arial" w:eastAsia="Arial" w:hAnsi="Arial"/>
          <w:sz w:val="15"/>
          <w:szCs w:val="15"/>
          <w:color w:val="auto"/>
          <w:vertAlign w:val="superscript"/>
        </w:rPr>
      </w:pPr>
      <w:r>
        <w:rPr>
          <w:rFonts w:ascii="Arial" w:cs="Arial" w:eastAsia="Arial" w:hAnsi="Arial"/>
          <w:sz w:val="11"/>
          <w:szCs w:val="11"/>
          <w:color w:val="auto"/>
        </w:rPr>
        <w:t>See Retrospective Presentation of Ownership Exchange in Note 2.</w:t>
      </w:r>
    </w:p>
    <w:p>
      <w:pPr>
        <w:spacing w:after="0" w:line="200" w:lineRule="exact"/>
        <w:rPr>
          <w:rFonts w:ascii="Arial" w:cs="Arial" w:eastAsia="Arial" w:hAnsi="Arial"/>
          <w:sz w:val="15"/>
          <w:szCs w:val="15"/>
          <w:color w:val="auto"/>
          <w:vertAlign w:val="superscript"/>
        </w:rPr>
      </w:pPr>
    </w:p>
    <w:p>
      <w:pPr>
        <w:spacing w:after="0" w:line="275" w:lineRule="exact"/>
        <w:rPr>
          <w:rFonts w:ascii="Arial" w:cs="Arial" w:eastAsia="Arial" w:hAnsi="Arial"/>
          <w:sz w:val="15"/>
          <w:szCs w:val="15"/>
          <w:color w:val="auto"/>
          <w:vertAlign w:val="superscript"/>
        </w:rPr>
      </w:pPr>
    </w:p>
    <w:p>
      <w:pPr>
        <w:ind w:left="280" w:hanging="271"/>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left="260" w:firstLine="324"/>
        <w:spacing w:after="0" w:line="273" w:lineRule="auto"/>
        <w:rPr>
          <w:sz w:val="20"/>
          <w:szCs w:val="20"/>
          <w:color w:val="auto"/>
        </w:rPr>
      </w:pPr>
      <w:r>
        <w:rPr>
          <w:rFonts w:ascii="Arial" w:cs="Arial" w:eastAsia="Arial" w:hAnsi="Arial"/>
          <w:sz w:val="17"/>
          <w:szCs w:val="17"/>
          <w:color w:val="auto"/>
        </w:rPr>
        <w:t>Prior to October 1, 2020, the Company, was treated as a flow through entity for U.S. federal income tax purposes and thus no federal income tax expense was recorded in our statements of income for periods prior to October 1, 2020. Our tax rate prior to October 1, 2020 was almost entirely the result of state income taxes. In connection with our IPO, as a result of the Reorganization Transactions (see Note 1) completed on October 1, 2020, as described further in the Prospectus, on and after October 1, 2020, the Company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w:t>
      </w:r>
    </w:p>
    <w:p>
      <w:pPr>
        <w:spacing w:after="0" w:line="124" w:lineRule="exact"/>
        <w:rPr>
          <w:sz w:val="20"/>
          <w:szCs w:val="20"/>
          <w:color w:val="auto"/>
        </w:rPr>
      </w:pPr>
    </w:p>
    <w:p>
      <w:pPr>
        <w:jc w:val="both"/>
        <w:ind w:left="260" w:firstLine="324"/>
        <w:spacing w:after="0" w:line="296" w:lineRule="auto"/>
        <w:rPr>
          <w:sz w:val="20"/>
          <w:szCs w:val="20"/>
          <w:color w:val="auto"/>
        </w:rPr>
      </w:pPr>
      <w:r>
        <w:rPr>
          <w:rFonts w:ascii="Arial" w:cs="Arial" w:eastAsia="Arial" w:hAnsi="Arial"/>
          <w:sz w:val="16"/>
          <w:szCs w:val="16"/>
          <w:color w:val="auto"/>
        </w:rPr>
        <w:t>As a result of the Reorganization Transactions, the Company recorded a net deferred tax liability position of $144.2 million, which consisted of the Company’s difference between the Company's financial statement carrying value and the outside tax basis in its NAHC membership units, immediately following the completion of the Reorganization Transactions, measured at the enacted federal and state income tax rates. Additionally, $4.6 million in current tax liability was assumed by the Company as part of the Reorganization Transaction. The combined entry was recorded as a cumulative adjustment to additional paid-in capital for the year equal to $148.8 million, as reflected in the statement of stockholders' equity.</w:t>
      </w:r>
    </w:p>
    <w:p>
      <w:pPr>
        <w:spacing w:after="0" w:line="107"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8"/>
          <w:szCs w:val="18"/>
          <w:color w:val="auto"/>
        </w:rPr>
        <w:t>The Coronavirus Aid, Relief, and Economic Security Act ("CARES Act") was enacted in the U.S. on March 27, 2020. We do not anticipate that the enactment of this legislation will significantly impact our full year effective tax rate in fiscal 2020.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259" w:right="339" w:bottom="1440" w:gutter="0" w:footer="0" w:header="0"/>
        </w:sectPr>
      </w:pPr>
    </w:p>
    <w:bookmarkStart w:id="23" w:name="page24"/>
    <w:bookmarkEnd w:id="23"/>
    <w:p>
      <w:pPr>
        <w:ind w:left="320"/>
        <w:spacing w:after="0"/>
        <w:rPr>
          <w:sz w:val="20"/>
          <w:szCs w:val="20"/>
          <w:color w:val="auto"/>
        </w:rPr>
      </w:pPr>
      <w:r>
        <w:rPr>
          <w:rFonts w:ascii="Arial" w:cs="Arial" w:eastAsia="Arial" w:hAnsi="Arial"/>
          <w:sz w:val="18"/>
          <w:szCs w:val="18"/>
          <w:color w:val="auto"/>
        </w:rPr>
        <w:t>The components of the income tax expense (benefit) are as follows (amounts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gridSpan w:val="5"/>
          </w:tcPr>
          <w:p>
            <w:pPr>
              <w:ind w:left="74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34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3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November 2, 2019</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November 2, 2019</w:t>
            </w:r>
          </w:p>
        </w:tc>
      </w:tr>
      <w:tr>
        <w:trPr>
          <w:trHeight w:val="209"/>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tax expense:</w:t>
            </w: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3340" w:type="dxa"/>
            <w:vAlign w:val="bottom"/>
          </w:tcPr>
          <w:p>
            <w:pPr>
              <w:ind w:left="22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8,369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8,369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r>
      <w:tr>
        <w:trPr>
          <w:trHeight w:val="229"/>
        </w:trPr>
        <w:tc>
          <w:tcPr>
            <w:tcW w:w="3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12,064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r>
      <w:tr>
        <w:trPr>
          <w:trHeight w:val="209"/>
        </w:trPr>
        <w:tc>
          <w:tcPr>
            <w:tcW w:w="3340" w:type="dxa"/>
            <w:vAlign w:val="bottom"/>
          </w:tcPr>
          <w:p>
            <w:pPr>
              <w:ind w:left="20"/>
              <w:spacing w:after="0"/>
              <w:rPr>
                <w:sz w:val="20"/>
                <w:szCs w:val="20"/>
                <w:color w:val="auto"/>
              </w:rPr>
            </w:pPr>
            <w:r>
              <w:rPr>
                <w:rFonts w:ascii="Arial" w:cs="Arial" w:eastAsia="Arial" w:hAnsi="Arial"/>
                <w:sz w:val="18"/>
                <w:szCs w:val="18"/>
                <w:color w:val="auto"/>
              </w:rPr>
              <w:t>Deferred tax expense:</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(1,715)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(1,715)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3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tax benefit</w:t>
            </w:r>
          </w:p>
        </w:tc>
        <w:tc>
          <w:tcPr>
            <w:tcW w:w="1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(11,739)</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48"/>
        </w:trPr>
        <w:tc>
          <w:tcPr>
            <w:tcW w:w="33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tax expense (benefit)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statutory U.S. federal income tax rate to our effective income tax rate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780" w:type="dxa"/>
            <w:vAlign w:val="bottom"/>
            <w:gridSpan w:val="4"/>
          </w:tcPr>
          <w:p>
            <w:pPr>
              <w:ind w:left="960"/>
              <w:spacing w:after="0"/>
              <w:rPr>
                <w:sz w:val="20"/>
                <w:szCs w:val="20"/>
                <w:color w:val="auto"/>
              </w:rPr>
            </w:pPr>
            <w:r>
              <w:rPr>
                <w:rFonts w:ascii="Arial" w:cs="Arial" w:eastAsia="Arial" w:hAnsi="Arial"/>
                <w:sz w:val="18"/>
                <w:szCs w:val="18"/>
                <w:b w:val="1"/>
                <w:bCs w:val="1"/>
                <w:color w:val="auto"/>
              </w:rPr>
              <w:t>Thirteen Weeks Ended</w:t>
            </w:r>
          </w:p>
        </w:tc>
        <w:tc>
          <w:tcPr>
            <w:tcW w:w="36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190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October 31, 2020</w:t>
            </w:r>
          </w:p>
        </w:tc>
        <w:tc>
          <w:tcPr>
            <w:tcW w:w="17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November 2, 2019</w:t>
            </w:r>
          </w:p>
        </w:tc>
        <w:tc>
          <w:tcPr>
            <w:tcW w:w="100" w:type="dxa"/>
            <w:vAlign w:val="bottom"/>
          </w:tcPr>
          <w:p>
            <w:pPr>
              <w:spacing w:after="0"/>
              <w:rPr>
                <w:sz w:val="19"/>
                <w:szCs w:val="19"/>
                <w:color w:val="auto"/>
              </w:rPr>
            </w:pPr>
          </w:p>
        </w:tc>
        <w:tc>
          <w:tcPr>
            <w:tcW w:w="18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October 31, 2020</w:t>
            </w:r>
          </w:p>
        </w:tc>
        <w:tc>
          <w:tcPr>
            <w:tcW w:w="18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November 2, 2019</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Federal income tax at the statutory rate</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0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w w:val="99"/>
              </w:rPr>
              <w:t>State income tax, net of federal benefit</w:t>
            </w:r>
          </w:p>
        </w:tc>
        <w:tc>
          <w:tcPr>
            <w:tcW w:w="1800" w:type="dxa"/>
            <w:vAlign w:val="bottom"/>
          </w:tcPr>
          <w:p>
            <w:pPr>
              <w:jc w:val="right"/>
              <w:ind w:right="150"/>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19"/>
                <w:szCs w:val="19"/>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780" w:type="dxa"/>
            <w:vAlign w:val="bottom"/>
          </w:tcPr>
          <w:p>
            <w:pPr>
              <w:jc w:val="right"/>
              <w:ind w:right="15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pre-IPO pass-through income</w:t>
            </w:r>
          </w:p>
        </w:tc>
        <w:tc>
          <w:tcPr>
            <w:tcW w:w="18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(23.1)</w:t>
            </w:r>
          </w:p>
        </w:tc>
        <w:tc>
          <w:tcPr>
            <w:tcW w:w="10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(21.6)</w:t>
            </w:r>
          </w:p>
        </w:tc>
        <w:tc>
          <w:tcPr>
            <w:tcW w:w="10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allocated to our members</w:t>
            </w:r>
          </w:p>
        </w:tc>
        <w:tc>
          <w:tcPr>
            <w:tcW w:w="1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Effect of permanent items</w:t>
            </w:r>
          </w:p>
        </w:tc>
        <w:tc>
          <w:tcPr>
            <w:tcW w:w="1800" w:type="dxa"/>
            <w:vAlign w:val="bottom"/>
          </w:tcPr>
          <w:p>
            <w:pPr>
              <w:jc w:val="right"/>
              <w:ind w:right="11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9"/>
                <w:szCs w:val="19"/>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1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including foreign</w:t>
            </w: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0.0</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3120" w:type="dxa"/>
            <w:vAlign w:val="bottom"/>
          </w:tcPr>
          <w:p>
            <w:pPr>
              <w:ind w:left="220"/>
              <w:spacing w:after="0"/>
              <w:rPr>
                <w:sz w:val="20"/>
                <w:szCs w:val="20"/>
                <w:color w:val="auto"/>
              </w:rPr>
            </w:pPr>
            <w:r>
              <w:rPr>
                <w:rFonts w:ascii="Arial" w:cs="Arial" w:eastAsia="Arial" w:hAnsi="Arial"/>
                <w:sz w:val="18"/>
                <w:szCs w:val="18"/>
                <w:b w:val="1"/>
                <w:bCs w:val="1"/>
                <w:color w:val="auto"/>
              </w:rPr>
              <w:t>Effective income tax rate</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0.1 %</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effective tax rate for the periods reflected is less than the U.S. federal tax rate on corporations primarily as a result of the Company’s status as a flow-through entity prior to October 1, 2020. The thirteen weeks and thirty-nine weeks ended October 31, 2020 includes one month of activity subject to U.S. federal and state income tax in addition to the historically reported Texas franchise tax as a result of the Reorganization Transactions. For complete annual periods on and after October 1, 2020, no portion of the Company’s income remains flow-through to the prior members of NAHC and our estimated statutory federal and state income tax rates are between 24% and 25% before adjustments for permanent differences, valuation allowances and uncertain tax positions.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Components of deferred tax assets and liabilities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b w:val="1"/>
                <w:bCs w:val="1"/>
                <w:color w:val="auto"/>
              </w:rPr>
              <w:t>October 31, 2020</w:t>
            </w:r>
          </w:p>
        </w:tc>
        <w:tc>
          <w:tcPr>
            <w:tcW w:w="24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b w:val="1"/>
                <w:bCs w:val="1"/>
                <w:color w:val="auto"/>
              </w:rPr>
              <w:t>February 1, 2020</w:t>
            </w:r>
          </w:p>
        </w:tc>
        <w:tc>
          <w:tcPr>
            <w:tcW w:w="160" w:type="dxa"/>
            <w:vAlign w:val="bottom"/>
          </w:tcPr>
          <w:p>
            <w:pPr>
              <w:spacing w:after="0"/>
              <w:rPr>
                <w:sz w:val="20"/>
                <w:szCs w:val="20"/>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November 2, 2019</w:t>
            </w:r>
          </w:p>
        </w:tc>
      </w:tr>
      <w:tr>
        <w:trPr>
          <w:trHeight w:val="209"/>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30"/>
        </w:trPr>
        <w:tc>
          <w:tcPr>
            <w:tcW w:w="4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r>
      <w:tr>
        <w:trPr>
          <w:trHeight w:val="223"/>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88"/>
        </w:trPr>
        <w:tc>
          <w:tcPr>
            <w:tcW w:w="4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tcPr>
          <w:p>
            <w:pPr>
              <w:spacing w:after="0"/>
              <w:rPr>
                <w:sz w:val="7"/>
                <w:szCs w:val="7"/>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440" w:type="dxa"/>
            <w:vAlign w:val="bottom"/>
          </w:tcPr>
          <w:p>
            <w:pPr>
              <w:ind w:left="220"/>
              <w:spacing w:after="0"/>
              <w:rPr>
                <w:sz w:val="20"/>
                <w:szCs w:val="20"/>
                <w:color w:val="auto"/>
              </w:rPr>
            </w:pPr>
            <w:r>
              <w:rPr>
                <w:rFonts w:ascii="Arial" w:cs="Arial" w:eastAsia="Arial" w:hAnsi="Arial"/>
                <w:sz w:val="18"/>
                <w:szCs w:val="18"/>
                <w:color w:val="auto"/>
              </w:rPr>
              <w:t>Investment in NAHC</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(132,828)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Net deferred tax asset (liability)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(132,701)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r>
      <w:tr>
        <w:trPr>
          <w:trHeight w:val="20"/>
        </w:trPr>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24" w:name="page25"/>
    <w:bookmarkEnd w:id="24"/>
    <w:p>
      <w:pPr>
        <w:spacing w:after="0" w:line="333" w:lineRule="exact"/>
        <w:rPr>
          <w:sz w:val="20"/>
          <w:szCs w:val="20"/>
          <w:color w:val="auto"/>
        </w:rPr>
      </w:pPr>
    </w:p>
    <w:p>
      <w:pPr>
        <w:jc w:val="both"/>
        <w:ind w:left="340" w:firstLine="324"/>
        <w:spacing w:after="0" w:line="301" w:lineRule="auto"/>
        <w:rPr>
          <w:sz w:val="20"/>
          <w:szCs w:val="20"/>
          <w:color w:val="auto"/>
        </w:rPr>
      </w:pPr>
      <w:r>
        <w:rPr>
          <w:rFonts w:ascii="Arial" w:cs="Arial" w:eastAsia="Arial" w:hAnsi="Arial"/>
          <w:sz w:val="16"/>
          <w:szCs w:val="16"/>
          <w:color w:val="auto"/>
        </w:rPr>
        <w:t>The Reorganization Transactions (see Note 1) resulted in our ownership of 100% of NAHC which continues to operate as a tax partnership. The deferred tax liability as of October 31, 2020 reflects the excess of financial statement carrying value over our tax basis in NAHC membership units measured using the federal income tax rate of 21% and our weighted average state income tax rate equal to approximately 3.8% net of federal tax benefit. For the periods ended February 1, 2020 and November 2, 2019, the net deferred tax asset is included in other noncurrent assets.</w:t>
      </w:r>
    </w:p>
    <w:p>
      <w:pPr>
        <w:spacing w:after="0" w:line="103" w:lineRule="exact"/>
        <w:rPr>
          <w:sz w:val="20"/>
          <w:szCs w:val="20"/>
          <w:color w:val="auto"/>
        </w:rPr>
      </w:pPr>
    </w:p>
    <w:p>
      <w:pPr>
        <w:jc w:val="both"/>
        <w:ind w:left="340" w:firstLine="324"/>
        <w:spacing w:after="0" w:line="342" w:lineRule="auto"/>
        <w:rPr>
          <w:sz w:val="20"/>
          <w:szCs w:val="20"/>
          <w:color w:val="auto"/>
        </w:rPr>
      </w:pPr>
      <w:r>
        <w:rPr>
          <w:rFonts w:ascii="Arial" w:cs="Arial" w:eastAsia="Arial" w:hAnsi="Arial"/>
          <w:sz w:val="16"/>
          <w:szCs w:val="16"/>
          <w:color w:val="auto"/>
        </w:rPr>
        <w:t>Management evaluates the realizability of deferred tax assets and the need for valuation allowances annually. As of October 31, 2020, based on current facts and circumstances, management believes that it is more likely than not the Company will realize benefit for its gross deferred tax assets.</w:t>
      </w:r>
    </w:p>
    <w:p>
      <w:pPr>
        <w:spacing w:after="0" w:line="70"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As of October 31, 2020, we had no unrecognized tax benefits and we do not anticipate that unrecognized tax benefits will significantly increase or decrease over the next twelve months. The Company files a consolidated federal income tax return and files tax returns in various state and local jurisdictions. The statute of limitations is open for federal and state tax audits for the tax fiscal years ending 2018 through 2020, and 2017 through 2020, respectively.</w:t>
      </w:r>
    </w:p>
    <w:p>
      <w:pPr>
        <w:spacing w:after="0" w:line="200" w:lineRule="exact"/>
        <w:rPr>
          <w:sz w:val="20"/>
          <w:szCs w:val="20"/>
          <w:color w:val="auto"/>
        </w:rPr>
      </w:pPr>
    </w:p>
    <w:p>
      <w:pPr>
        <w:spacing w:after="0" w:line="253" w:lineRule="exact"/>
        <w:rPr>
          <w:sz w:val="20"/>
          <w:szCs w:val="20"/>
          <w:color w:val="auto"/>
        </w:rPr>
      </w:pPr>
    </w:p>
    <w:p>
      <w:pPr>
        <w:jc w:val="center"/>
        <w:ind w:right="8860"/>
        <w:spacing w:after="0"/>
        <w:rPr>
          <w:sz w:val="20"/>
          <w:szCs w:val="20"/>
          <w:color w:val="auto"/>
        </w:rPr>
      </w:pPr>
      <w:r>
        <w:rPr>
          <w:rFonts w:ascii="Arial" w:cs="Arial" w:eastAsia="Arial" w:hAnsi="Arial"/>
          <w:sz w:val="16"/>
          <w:szCs w:val="16"/>
          <w:b w:val="1"/>
          <w:bCs w:val="1"/>
          <w:color w:val="auto"/>
        </w:rPr>
        <w:t>13. Related Party Transactions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Monitoring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3, 2011 (the "Effective Date"), we entered into a monitoring agreement (the "Monitoring Agreement"), with Kohlberg Kravis Roberts</w:t>
      </w:r>
    </w:p>
    <w:p>
      <w:pPr>
        <w:spacing w:after="0" w:line="46" w:lineRule="exact"/>
        <w:rPr>
          <w:sz w:val="20"/>
          <w:szCs w:val="20"/>
          <w:color w:val="auto"/>
        </w:rPr>
      </w:pPr>
    </w:p>
    <w:p>
      <w:pPr>
        <w:jc w:val="both"/>
        <w:ind w:left="340" w:hanging="8"/>
        <w:spacing w:after="0" w:line="271" w:lineRule="auto"/>
        <w:tabs>
          <w:tab w:leader="none" w:pos="52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 L.P. (the "Adviser") pursuant to which the Adviser provides advisory, consulting and financial services to us. In accordance with the terms of the Monitoring Agreement, we pay an aggregate annual advisory fee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w:t>
      </w:r>
    </w:p>
    <w:p>
      <w:pPr>
        <w:spacing w:after="0" w:line="124"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Upon the completion of the IPO, in the third quarter of 2020 the Monitoring Agreement terminated and we accrued the final termination fee of $12.3 million. The termination fee is equal to the net present value of the advisory fees that would have been paid from the termination date through the twelfth anniversary of the Effective Date of the Monitoring Agreement. We recognized advisory fees related to the Monitoring Agreement, including reimbursement of expenses and the termination fee, of approximately $13.0 million and $14.8 million in each of the thirteen and thirty-nine weeks ended October 31, 2020, respectively, and $0.9 million and $2.7 million in each of the thirteen and thirty-nine weeks ended November 2, 2019, respectively. These expenses are included in selling, general and administrative expenses in the statements of income.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paid $2.7 million to KCM for underwriting services in connection with the IPO.</w:t>
      </w:r>
    </w:p>
    <w:p>
      <w:pPr>
        <w:spacing w:after="0" w:line="171"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KKR has ownership interests in a broad range of portfolio companies and we may enter into commercial transactions for goods or services in the ordinary course of business with these companies. We do not believe such transactions are material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b w:val="1"/>
          <w:bCs w:val="1"/>
          <w:i w:val="1"/>
          <w:iCs w:val="1"/>
          <w:color w:val="auto"/>
        </w:rPr>
        <w:t>Investments in Managers</w:t>
      </w:r>
    </w:p>
    <w:p>
      <w:pPr>
        <w:spacing w:after="0" w:line="171" w:lineRule="exact"/>
        <w:rPr>
          <w:sz w:val="20"/>
          <w:szCs w:val="20"/>
          <w:color w:val="auto"/>
        </w:rPr>
      </w:pPr>
    </w:p>
    <w:p>
      <w:pPr>
        <w:jc w:val="both"/>
        <w:ind w:left="260" w:firstLine="324"/>
        <w:spacing w:after="0" w:line="279" w:lineRule="auto"/>
        <w:rPr>
          <w:sz w:val="20"/>
          <w:szCs w:val="20"/>
          <w:color w:val="auto"/>
        </w:rPr>
      </w:pPr>
      <w:r>
        <w:rPr>
          <w:rFonts w:ascii="Arial" w:cs="Arial" w:eastAsia="Arial" w:hAnsi="Arial"/>
          <w:sz w:val="17"/>
          <w:szCs w:val="17"/>
          <w:color w:val="auto"/>
        </w:rPr>
        <w:t>There were no investments in Managers for the thirteen and thirty-nine weeks ended October 31, 2020. During the thirteen and thirty-nine weeks ended November 2, 2019, an executive of the Company purchased Redeemable Membership Units in Managers for approximately $0.1 million in cash. The cash consideration paid for the Redeemable Membership Units was concurrently contributed to NAHC by Managers in exchange for a number of NAHC Membership Units equal to the number of Redeemable Membership Units purchased.</w:t>
      </w:r>
    </w:p>
    <w:p>
      <w:pPr>
        <w:spacing w:after="0" w:line="117" w:lineRule="exact"/>
        <w:rPr>
          <w:sz w:val="20"/>
          <w:szCs w:val="20"/>
          <w:color w:val="auto"/>
        </w:rPr>
      </w:pPr>
    </w:p>
    <w:p>
      <w:pPr>
        <w:jc w:val="both"/>
        <w:ind w:left="260" w:firstLine="324"/>
        <w:spacing w:after="0" w:line="255" w:lineRule="auto"/>
        <w:rPr>
          <w:sz w:val="20"/>
          <w:szCs w:val="20"/>
          <w:color w:val="auto"/>
        </w:rPr>
      </w:pPr>
      <w:r>
        <w:rPr>
          <w:rFonts w:ascii="Arial" w:cs="Arial" w:eastAsia="Arial" w:hAnsi="Arial"/>
          <w:sz w:val="18"/>
          <w:szCs w:val="18"/>
          <w:color w:val="auto"/>
        </w:rPr>
        <w:t>There were no equity repurchases from Managers for the thirteen weeks ended October 31, 2020. During the thirty-nine weeks ended October 31, 2020, Managers repurchased at fair market value approximately $37.0 thousand of Redeemable Membership Units from a director of the Company for cash. During the thirteen and thirty-nine weeks ended November 2, 2019, Managers repurchased at fair market value approximately $0.5 million of Redeemable Membership Units from a director and an executive of the Company for cash. NAHC concurrently repurchased from Managers for cash, at fair market value, a number of NAHC membership units equal to the number of Redeemable Membership Units repurchased from the director and executive.</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Notes Receivable from Member and Distribution</w:t>
      </w:r>
    </w:p>
    <w:p>
      <w:pPr>
        <w:spacing w:after="0" w:line="171" w:lineRule="exact"/>
        <w:rPr>
          <w:sz w:val="20"/>
          <w:szCs w:val="20"/>
          <w:color w:val="auto"/>
        </w:rPr>
      </w:pPr>
    </w:p>
    <w:p>
      <w:pPr>
        <w:jc w:val="both"/>
        <w:ind w:left="260" w:firstLine="324"/>
        <w:spacing w:after="0" w:line="259" w:lineRule="auto"/>
        <w:rPr>
          <w:sz w:val="20"/>
          <w:szCs w:val="20"/>
          <w:color w:val="auto"/>
        </w:rPr>
      </w:pPr>
      <w:r>
        <w:rPr>
          <w:rFonts w:ascii="Arial" w:cs="Arial" w:eastAsia="Arial" w:hAnsi="Arial"/>
          <w:sz w:val="18"/>
          <w:szCs w:val="18"/>
          <w:color w:val="auto"/>
        </w:rPr>
        <w:t>Under NAHC's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This note receivable was recorded in other non-current assets on the balance sheet.</w:t>
      </w:r>
    </w:p>
    <w:p>
      <w:pPr>
        <w:spacing w:after="0" w:line="133"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On April 5, 2018, the Company loaned $4.1 million with a note receivable issued to a member. The note receivable bears semi-annual compounding interest at 2.1%, with outstanding principal and interest due April 5, 2021. This note receivable was recorded in prepaid expenses and other current assets on the balance sheet.</w:t>
      </w:r>
    </w:p>
    <w:p>
      <w:pPr>
        <w:spacing w:after="0" w:line="130"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On August 28, 2020, the Company made a distribution to its members of record as of August 25, 2020, of $257.0 million (see Note 10). Of the $257.0 million, $8.5 million was used to offset and satisfy the remaining balances of the notes receivable and related interest receivable from a member.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Technology Related Commitments and Other</w:t>
      </w:r>
    </w:p>
    <w:p>
      <w:pPr>
        <w:spacing w:after="0" w:line="171" w:lineRule="exact"/>
        <w:rPr>
          <w:sz w:val="20"/>
          <w:szCs w:val="20"/>
          <w:color w:val="auto"/>
        </w:rPr>
      </w:pPr>
    </w:p>
    <w:p>
      <w:pPr>
        <w:jc w:val="both"/>
        <w:ind w:left="260" w:firstLine="324"/>
        <w:spacing w:after="0" w:line="308" w:lineRule="auto"/>
        <w:rPr>
          <w:sz w:val="20"/>
          <w:szCs w:val="20"/>
          <w:color w:val="auto"/>
        </w:rPr>
      </w:pPr>
      <w:r>
        <w:rPr>
          <w:rFonts w:ascii="Arial" w:cs="Arial" w:eastAsia="Arial" w:hAnsi="Arial"/>
          <w:sz w:val="17"/>
          <w:szCs w:val="17"/>
          <w:color w:val="auto"/>
        </w:rPr>
        <w:t>As of October 31, 2020, we have obligations under technology related contractual commitments as well as other commitments, such as construction commitments, in the amount of $15.2 million. Of such commitments, approximately $12.7 million is payable in the next 12 months.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Commitments Related to Monitoring Agreement</w:t>
      </w:r>
    </w:p>
    <w:p>
      <w:pPr>
        <w:spacing w:after="0" w:line="171"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8"/>
          <w:szCs w:val="18"/>
          <w:color w:val="auto"/>
        </w:rPr>
        <w:t>As of October 31, 2020, we have obligations under the Monitoring Agreement, which include the termination fee upon completion of the IPO, in the amount of $13.3 million, of which $13.3 million is payable in the next 12 months (see Note 13).</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Guarantees</w:t>
      </w:r>
    </w:p>
    <w:p>
      <w:pPr>
        <w:spacing w:after="0" w:line="171"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097" w:right="33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left="260" w:firstLine="324"/>
        <w:spacing w:after="0" w:line="254" w:lineRule="auto"/>
        <w:rPr>
          <w:sz w:val="20"/>
          <w:szCs w:val="20"/>
          <w:color w:val="auto"/>
        </w:rPr>
      </w:pPr>
      <w:r>
        <w:rPr>
          <w:rFonts w:ascii="Arial" w:cs="Arial" w:eastAsia="Arial" w:hAnsi="Arial"/>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Sponsorship Agreement and Intellectual Property Commitments</w:t>
      </w:r>
    </w:p>
    <w:p>
      <w:pPr>
        <w:spacing w:after="0" w:line="171" w:lineRule="exact"/>
        <w:rPr>
          <w:sz w:val="20"/>
          <w:szCs w:val="20"/>
          <w:color w:val="auto"/>
        </w:rPr>
      </w:pPr>
    </w:p>
    <w:p>
      <w:pPr>
        <w:jc w:val="both"/>
        <w:ind w:left="260" w:firstLine="324"/>
        <w:spacing w:after="0" w:line="275" w:lineRule="auto"/>
        <w:rPr>
          <w:sz w:val="20"/>
          <w:szCs w:val="20"/>
          <w:color w:val="auto"/>
        </w:rPr>
      </w:pPr>
      <w:r>
        <w:rPr>
          <w:rFonts w:ascii="Arial" w:cs="Arial" w:eastAsia="Arial" w:hAnsi="Arial"/>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October 31, 2020, we have $12.8 million in related commitments through 2027, of which $7.4 million is payable in the next 12 months.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75"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8"/>
          <w:szCs w:val="18"/>
          <w:color w:val="auto"/>
        </w:rPr>
        <w:t>Our management evaluated events or transactions that occurred after October 31, 2020, through December 10, 2020, the issuance date of the financial statements, and identified the following matters to report:</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IPO Over-Allotment Exercise</w:t>
      </w:r>
    </w:p>
    <w:p>
      <w:pPr>
        <w:spacing w:after="0" w:line="171" w:lineRule="exact"/>
        <w:rPr>
          <w:sz w:val="20"/>
          <w:szCs w:val="20"/>
          <w:color w:val="auto"/>
        </w:rPr>
      </w:pPr>
    </w:p>
    <w:p>
      <w:pPr>
        <w:jc w:val="both"/>
        <w:ind w:left="260" w:firstLine="324"/>
        <w:spacing w:after="0" w:line="255" w:lineRule="auto"/>
        <w:rPr>
          <w:sz w:val="20"/>
          <w:szCs w:val="20"/>
          <w:color w:val="auto"/>
        </w:rPr>
      </w:pPr>
      <w:r>
        <w:rPr>
          <w:rFonts w:ascii="Arial" w:cs="Arial" w:eastAsia="Arial" w:hAnsi="Arial"/>
          <w:sz w:val="18"/>
          <w:szCs w:val="18"/>
          <w:color w:val="auto"/>
        </w:rPr>
        <w:t>On November 3, 2020, the Company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which included $0.3 million paid to KCM for underwriting services, pursuant to the partial exercise by the underwriters of their option to purchase up to 2,343,750 additional shares to cover over-allotments in connection with the IPO. The option has expired with respect to the remaining shares. Upon completion of the over-allotment exercise, affiliates of KKR held a 68.5% ownership interest in the Company.</w:t>
      </w:r>
    </w:p>
    <w:p>
      <w:pPr>
        <w:spacing w:after="0" w:line="13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Debt Refinancing</w:t>
      </w:r>
    </w:p>
    <w:p>
      <w:pPr>
        <w:spacing w:after="0" w:line="171" w:lineRule="exact"/>
        <w:rPr>
          <w:sz w:val="20"/>
          <w:szCs w:val="20"/>
          <w:color w:val="auto"/>
        </w:rPr>
      </w:pPr>
    </w:p>
    <w:p>
      <w:pPr>
        <w:jc w:val="both"/>
        <w:ind w:left="260" w:firstLine="324"/>
        <w:spacing w:after="0" w:line="279" w:lineRule="auto"/>
        <w:rPr>
          <w:sz w:val="20"/>
          <w:szCs w:val="20"/>
          <w:color w:val="auto"/>
        </w:rPr>
      </w:pPr>
      <w:r>
        <w:rPr>
          <w:rFonts w:ascii="Arial" w:cs="Arial" w:eastAsia="Arial" w:hAnsi="Arial"/>
          <w:sz w:val="17"/>
          <w:szCs w:val="17"/>
          <w:color w:val="auto"/>
        </w:rPr>
        <w:t>On November 6, 2020, the Company issued the 2020 Notes (as defined below), entered the 2020 Term Loan Facility (as defined below), and entered into the 2020 ABL Amendment (as defined below). The Company used the net proceeds from the 2020 Notes and the net proceeds from the 2020 Term Loan Facility, together with cash on hand, to repay in full outstanding borrowings under its then-existing term loan, in the amount of $1,431.4 million. We paid KCM approximately $2.5 million with respect to the debt refinancing transactions.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2020 Notes</w:t>
      </w:r>
    </w:p>
    <w:p>
      <w:pPr>
        <w:spacing w:after="0" w:line="171" w:lineRule="exact"/>
        <w:rPr>
          <w:sz w:val="20"/>
          <w:szCs w:val="20"/>
          <w:color w:val="auto"/>
        </w:rPr>
      </w:pPr>
    </w:p>
    <w:p>
      <w:pPr>
        <w:jc w:val="both"/>
        <w:ind w:left="260" w:firstLine="324"/>
        <w:spacing w:after="0" w:line="296" w:lineRule="auto"/>
        <w:rPr>
          <w:sz w:val="20"/>
          <w:szCs w:val="20"/>
          <w:color w:val="auto"/>
        </w:rPr>
      </w:pPr>
      <w:r>
        <w:rPr>
          <w:rFonts w:ascii="Arial" w:cs="Arial" w:eastAsia="Arial" w:hAnsi="Arial"/>
          <w:sz w:val="16"/>
          <w:szCs w:val="16"/>
          <w:color w:val="auto"/>
        </w:rPr>
        <w:t>On November 6, 2020, Academy, Ltd. issued $400.0 million of 6.00% senior secured notes which are due November 15, 2027 (the "2020 Notes"), pursuant to an indenture, dated as of November 6, 2020 (the "Indenture"), by and among Academy, Ltd. the Guarantors (as defined below) and The Bank of New York Mellon Trust Company, N.A., as trustee and collateral agent (in such capacity, the "Notes Collateral Agent"). The 2020 Notes were sold in the United States to persons reasonably believed to be "qualified institutional buyers" pursuant to Rule 144A under the Securities Act of 1933, as amended (the "Securities Act"), and outside the United States to non-U.S. persons pursuant to Regulation S under the Securities Act.</w:t>
      </w:r>
    </w:p>
    <w:p>
      <w:pPr>
        <w:spacing w:after="0" w:line="107" w:lineRule="exact"/>
        <w:rPr>
          <w:sz w:val="20"/>
          <w:szCs w:val="20"/>
          <w:color w:val="auto"/>
        </w:rPr>
      </w:pPr>
    </w:p>
    <w:p>
      <w:pPr>
        <w:jc w:val="both"/>
        <w:ind w:left="260" w:firstLine="324"/>
        <w:spacing w:after="0" w:line="259" w:lineRule="auto"/>
        <w:rPr>
          <w:sz w:val="20"/>
          <w:szCs w:val="20"/>
          <w:color w:val="auto"/>
        </w:rPr>
      </w:pPr>
      <w:r>
        <w:rPr>
          <w:rFonts w:ascii="Arial" w:cs="Arial" w:eastAsia="Arial" w:hAnsi="Arial"/>
          <w:sz w:val="18"/>
          <w:szCs w:val="18"/>
          <w:color w:val="auto"/>
        </w:rPr>
        <w:t>The 2020 Notes will be fully and unconditionally guaranteed on a senior secured basis by each of NAHC, Associated Investors L.L.C. and Academy Managing Co., L.L.C., each a direct or indirect, wholly-owned subsidiary of the Company (collectively, the "Guarantors"), and each of Academy, Ltd.’s future wholly-owned domestic restricted subsidiaries, to the extent such subsidiary guarantees Academy, Ltd.’s senior secured credit facilities or certain capital markets debt.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097" w:right="339" w:bottom="1440" w:gutter="0" w:footer="0" w:header="0"/>
        </w:sectPr>
      </w:pPr>
    </w:p>
    <w:bookmarkStart w:id="27" w:name="page28"/>
    <w:bookmarkEnd w:id="27"/>
    <w:p>
      <w:pPr>
        <w:jc w:val="both"/>
        <w:ind w:firstLine="324"/>
        <w:spacing w:after="0" w:line="268" w:lineRule="auto"/>
        <w:rPr>
          <w:sz w:val="20"/>
          <w:szCs w:val="20"/>
          <w:color w:val="auto"/>
        </w:rPr>
      </w:pPr>
      <w:r>
        <w:rPr>
          <w:rFonts w:ascii="Arial" w:cs="Arial" w:eastAsia="Arial" w:hAnsi="Arial"/>
          <w:sz w:val="17"/>
          <w:szCs w:val="17"/>
          <w:color w:val="auto"/>
        </w:rPr>
        <w:t>In order to secure the 2020 Notes and the guarantees, Academy, Ltd. and the Guarantors entered into certain security documents with the Notes Collateral Agent, including a security agreement and a pledge agreement, each dated as of November 6, 2020. The 2020 Notes and the guarantees will be secured by (i) a first-priority lien on all of Academy, Ltd.’s and the Guarantors’ personal property that secure the 2020 Term Loan Facility on a first-priority basis and (ii) a second-priority lien on Academy, Ltd.’s and the Guarantors’ personal property consisting of accounts and all other rights to payment, inventory, tax refunds, cash, deposit accounts, securities and commodities accounts, and documents and supporting obligations, securing the 2020 ABL Facility (as defined below) on a first-priority basis and the 2020 Term Loan Facility on a second-priority basis (the "ABL Priority Collateral"). On November 6, 2020, (i) Academy Ltd.’s, the Guarantors party thereto, the Notes Collateral Agent, the Term Loan Agent (as defined below) and the several other parties named therein entered into a first lien intercreditor agreement as to the relative priorities of their respective security interests in the assets securing the 2020 Notes and the 2020 Term Loan Facility and certain other matters relating to the administration of security interests and (ii) the Notes Collateral Agent, the Term Loan Agent and the ABL Agent (as defined below) entered into a lien sharing and priority confirmation joinder to the ABL Intercreditor Agreement, dated as of July 2, 2015, as to the relative priorities of their respective security interests in the assets securing the 2020 Notes, the 2020 Term Loan Facility and the 2020 ABL Facility and certain other matters relating to the administration of security interests.</w:t>
      </w:r>
    </w:p>
    <w:p>
      <w:pPr>
        <w:spacing w:after="0" w:line="1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2020 Notes will mature on November 15, 2027. The 2020 Notes will pay interest semi-annually in arrears in cash on May 15 and November 15 of each year at a rate of 6.00% per year, commencing on May 15, 2021.</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or after November 15, 2023, Academy, Ltd. may, at its option and on one or more occasions, redeem all or a part of the 2020 Notes at the redemption prices set forth in the Indenture, plus accrued and unpaid interest, if any, to, but excluding, the applicable redemption date. At any time prior to November 15, 2023, Academy, Ltd. may, at its option and on one or more occasions, redeem all or part of the 2020 Notes at a redemption price equal to 100% of the principal amount of the 2020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2020 Notes at a redemption price equal to 106.00%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spacing w:after="0" w:line="1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occurrence of certain events constituting a Change of Control (as defined in the Indenture), Academy, Ltd. will be required to make an offer to repurchase all of the 2020 Notes at a price equal to 101% of the principal amount thereof, plus accrued and unpaid interest, if any, to, but excluding, the repurchase date.</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Indenture contains certain covenants that limit the ability of Academy, Ltd. and its restricted subsidiaries to, among other things, (i) incur or guarantee additional indebtedness or issue disqualified stock and preferred stock; (ii) incur liens on assets; (iii) pay dividends or make other distributions in respect of, or repurchase or redeem, their capital stock; (iv) prepay, redeem or repurchase certain debt; (v) make certain loans, investments or other restricted payments; (vi) engage in certain transactions with affiliates; (vii) enter into agreements restricting certain subsidiaries’ ability to pay dividends; and (viii) sell or transfer certain assets or merge or consolidate, in each case subject to certain exceptions and qualifications set forth in the Indenture.</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Indenture provides for events of default which include (subject in certain cases to customary grace and cure periods), among others, nonpayment of principal or interest, breach of other agreements in respect of the 2020 Notes, acceleration of certain other indebtedness, failure to pay certain final judgments, failure of certain guarantees to be enforceable, failure to perfect certain collateral securing the 2020 Notes and certain events of bankruptcy or insolvency, which events of default, if any occur, would permit or require the principal, premium, if any, interest and any other monetary obligations on all the then-outstanding 2020 Notes to be due and payable immediately.</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2020 Term Loan Facility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6, 2020, Academy, Ltd., as borrower, and the Guarantors, as guarantors, entered into the Second Amended and Restated Credit Agreement (the "2020 Term Loan Agreement"), with Credit Suisse AG, Cayman Island Branch ("Credit Suisse"), as the administrative agent and collateral agent (the "Term Loan Agent"), the several lenders from time to time parties thereto and the several other parties named therein, which established a new $400.0 million first lien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28" w:name="page29"/>
    <w:bookmarkEnd w:id="28"/>
    <w:p>
      <w:pPr>
        <w:ind w:left="328"/>
        <w:spacing w:after="0"/>
        <w:rPr>
          <w:sz w:val="20"/>
          <w:szCs w:val="20"/>
          <w:color w:val="auto"/>
        </w:rPr>
      </w:pPr>
      <w:r>
        <w:rPr>
          <w:rFonts w:ascii="Arial" w:cs="Arial" w:eastAsia="Arial" w:hAnsi="Arial"/>
          <w:sz w:val="16"/>
          <w:szCs w:val="16"/>
          <w:color w:val="auto"/>
        </w:rPr>
        <w:t>The 2020 Term Loan Facility will mature on November 6, 2027. The 2020 Term Loan Facility bears interest, at Academy, Ltd.’s election, at either</w:t>
      </w:r>
    </w:p>
    <w:p>
      <w:pPr>
        <w:spacing w:after="0" w:line="46" w:lineRule="exact"/>
        <w:rPr>
          <w:sz w:val="20"/>
          <w:szCs w:val="20"/>
          <w:color w:val="auto"/>
        </w:rPr>
      </w:pPr>
    </w:p>
    <w:p>
      <w:pPr>
        <w:jc w:val="both"/>
        <w:ind w:left="8" w:hanging="8"/>
        <w:spacing w:after="0" w:line="253" w:lineRule="auto"/>
        <w:tabs>
          <w:tab w:leader="none" w:pos="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LIBOR rate with a floor of 0.75%, plus a margin of 5.00%, or (2) a base rate equal to the highest of (a) the federal funds rate plus 0.50%, (b) Credit Suisse’s "prime rate", or (c) the one-month LIBOR rate plus 1.00%, plus a margin of 4.00%. Quarterly principal payments of approximately $1.0 million are required through September 30, 2027, with the balance due in full on the maturity date of November 6, 2027. The terms and conditions of the 2020 Term Loan Facility also require that outstanding loans under the 2020 Term Loan Facility are prepaid under certain circumstances.</w:t>
      </w:r>
    </w:p>
    <w:p>
      <w:pPr>
        <w:spacing w:after="0" w:line="137" w:lineRule="exact"/>
        <w:rPr>
          <w:sz w:val="20"/>
          <w:szCs w:val="20"/>
          <w:color w:val="auto"/>
        </w:rPr>
      </w:pPr>
    </w:p>
    <w:p>
      <w:pPr>
        <w:jc w:val="both"/>
        <w:ind w:left="8" w:firstLine="324"/>
        <w:spacing w:after="0" w:line="275" w:lineRule="auto"/>
        <w:rPr>
          <w:sz w:val="20"/>
          <w:szCs w:val="20"/>
          <w:color w:val="auto"/>
        </w:rPr>
      </w:pPr>
      <w:r>
        <w:rPr>
          <w:rFonts w:ascii="Arial" w:cs="Arial" w:eastAsia="Arial" w:hAnsi="Arial"/>
          <w:sz w:val="17"/>
          <w:szCs w:val="17"/>
          <w:color w:val="auto"/>
        </w:rPr>
        <w:t>The 2020 Term Loan Facility will be guaranteed by the Guarantors on a senior secured basis. All obligations under the 2020 Term Loan Facility and the guarantees of those obligations will be secured by (i) a second-priority security interest in the ABL Priority Collateral and (ii) a first-priority security interest in, and mortgages on, substantially all present and after acquired tangible and intangible assets of Academy, Ltd. and the Guarantors and a first-priority pledge of 100% of the capital stock of Academy, Ltd. and its domestic subsidiaries and 66% of the voting capital stock of each of Academy, Ltd.’s foreign subsidiaries, if any, that are directly owned by Academy, Ltd. or a future U.S. guarantor, if any.</w:t>
      </w:r>
    </w:p>
    <w:p>
      <w:pPr>
        <w:spacing w:after="0" w:line="122" w:lineRule="exact"/>
        <w:rPr>
          <w:sz w:val="20"/>
          <w:szCs w:val="20"/>
          <w:color w:val="auto"/>
        </w:rPr>
      </w:pPr>
    </w:p>
    <w:p>
      <w:pPr>
        <w:jc w:val="both"/>
        <w:ind w:left="8" w:firstLine="324"/>
        <w:spacing w:after="0" w:line="273" w:lineRule="auto"/>
        <w:rPr>
          <w:sz w:val="20"/>
          <w:szCs w:val="20"/>
          <w:color w:val="auto"/>
        </w:rPr>
      </w:pPr>
      <w:r>
        <w:rPr>
          <w:rFonts w:ascii="Arial" w:cs="Arial" w:eastAsia="Arial" w:hAnsi="Arial"/>
          <w:sz w:val="17"/>
          <w:szCs w:val="17"/>
          <w:color w:val="auto"/>
        </w:rPr>
        <w:t>The 2020 Term Loan Agreement contains certain covenants that limit the ability of Academy, Ltd. and its restricted subsidiaries to, among other things, (i) incur or guarantee additional indebtedness or issue disqualified stock and preferred stock; (ii) incur liens on assets; (iii) pay dividends or make other distributions in respect of, or repurchase or redeem, their capital stock; (iv) prepay, redeem or repurchase certain debt; (v) make certain loans, investments or other restricted payments; (vi) engage in certain transactions with affiliates; (vii) enter into agreements restricting certain subsidiaries’ ability to pay dividends; (viii) sell or transfer certain assets or merge or consolidate and (ix) amend material documents, in each case subject to certain exceptions and qualifications set forth in the 2020 Term Loan Agreement.</w:t>
      </w:r>
    </w:p>
    <w:p>
      <w:pPr>
        <w:spacing w:after="0" w:line="124" w:lineRule="exact"/>
        <w:rPr>
          <w:sz w:val="20"/>
          <w:szCs w:val="20"/>
          <w:color w:val="auto"/>
        </w:rPr>
      </w:pPr>
    </w:p>
    <w:p>
      <w:pPr>
        <w:jc w:val="both"/>
        <w:ind w:left="8" w:firstLine="324"/>
        <w:spacing w:after="0" w:line="286" w:lineRule="auto"/>
        <w:rPr>
          <w:sz w:val="20"/>
          <w:szCs w:val="20"/>
          <w:color w:val="auto"/>
        </w:rPr>
      </w:pPr>
      <w:r>
        <w:rPr>
          <w:rFonts w:ascii="Arial" w:cs="Arial" w:eastAsia="Arial" w:hAnsi="Arial"/>
          <w:sz w:val="17"/>
          <w:szCs w:val="17"/>
          <w:color w:val="auto"/>
        </w:rPr>
        <w:t>The 2020 Term Loan Agreement contains customary events of default including, but not limited to, failure to pay principal or interest, breaches of representations and warranties, violations of affirmative or negative covenants, cross-defaults to other material indebtedness, a bankruptcy or similar proceeding, rendering of certain monetary judgments, invalidity of collateral documents and changes of control.</w:t>
      </w:r>
    </w:p>
    <w:p>
      <w:pPr>
        <w:spacing w:after="0" w:line="111" w:lineRule="exact"/>
        <w:rPr>
          <w:sz w:val="20"/>
          <w:szCs w:val="20"/>
          <w:color w:val="auto"/>
        </w:rPr>
      </w:pPr>
    </w:p>
    <w:p>
      <w:pPr>
        <w:ind w:left="328"/>
        <w:spacing w:after="0"/>
        <w:rPr>
          <w:sz w:val="20"/>
          <w:szCs w:val="20"/>
          <w:color w:val="auto"/>
        </w:rPr>
      </w:pPr>
      <w:r>
        <w:rPr>
          <w:rFonts w:ascii="Arial" w:cs="Arial" w:eastAsia="Arial" w:hAnsi="Arial"/>
          <w:sz w:val="18"/>
          <w:szCs w:val="18"/>
          <w:b w:val="1"/>
          <w:bCs w:val="1"/>
          <w:i w:val="1"/>
          <w:iCs w:val="1"/>
          <w:color w:val="auto"/>
        </w:rPr>
        <w:t>2020 ABL Facility</w:t>
      </w:r>
    </w:p>
    <w:p>
      <w:pPr>
        <w:spacing w:after="0" w:line="171" w:lineRule="exact"/>
        <w:rPr>
          <w:sz w:val="20"/>
          <w:szCs w:val="20"/>
          <w:color w:val="auto"/>
        </w:rPr>
      </w:pPr>
    </w:p>
    <w:p>
      <w:pPr>
        <w:jc w:val="both"/>
        <w:ind w:left="8" w:firstLine="324"/>
        <w:spacing w:after="0" w:line="257" w:lineRule="auto"/>
        <w:rPr>
          <w:sz w:val="20"/>
          <w:szCs w:val="20"/>
          <w:color w:val="auto"/>
        </w:rPr>
      </w:pPr>
      <w:r>
        <w:rPr>
          <w:rFonts w:ascii="Arial" w:cs="Arial" w:eastAsia="Arial" w:hAnsi="Arial"/>
          <w:sz w:val="18"/>
          <w:szCs w:val="18"/>
          <w:color w:val="auto"/>
        </w:rPr>
        <w:t>On November 6, 2020, Academy, Ltd., as borrower, and the Guarantors, as guarantors, entered into an amendment (the "2020 ABL Amendment") to the First Amended and Restated ABL Credit Agreement, dated as of July 2, 2015, with JPMorgan Chase Bank, N.A. as the administrative agent and collateral agent, letter of credit issuer and swingline lender (the "ABL Agent") and the several lenders party thereto, which ABL Amendment, among other things, extended the maturity of Academy, Ltd.’s asset-based revolving credit facility thereunder (the "2020 ABL Facility") to November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5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this "Management’s Discussion and Analysis of Financial Condition and Results of Operations" and in the section entitled "Risk Factors,"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spacing w:after="0" w:line="14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the Company's final prospectus dated October 1, 2020 (the "Prospectus"), as filed with the Securities and Exchange Commission (the "SEC") on October 2, 2020 pursuant to Rule 424(b)(4) under the Securities Act, and in this Quarterly Report, as such risk factors may be updated from time to time in our periodic filings with the SEC, and are accessible on the SEC's website at www.sec.gov, and also include the following:</w:t>
      </w:r>
    </w:p>
    <w:p>
      <w:pPr>
        <w:spacing w:after="0" w:line="12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disruptions in our supply chain and losses of merchandise purchasing incentives;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failure of our third-party vendors of outsourced business services and solutions;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continue our store growth plans or manage our growth effectively, or any failure of our new stores to generate sales and/or achieve profitability;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our owned brand merchandise;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disruption in the operation of our distribution centers;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quarterly and seasonal fluctuations in our operating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occurrence of severe weather events, catastrophic health events, natural or man-made disasters, social and political conditions or civil unrest;</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avoid the infringement of third-party intellectual property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dependence on our ability to meet our labor needs;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30" w:name="page31"/>
    <w:bookmarkEnd w:id="30"/>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geographic concentration of our stores;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merchandise costs and availability;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manage the growth of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retain key executives;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pursue strategic acquisitions and integrate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payment-related risks;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programs;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substantial indebtedness;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sponsor (affiliates of Kohlberg Kravis Roberts &amp; Co. L.P. ("KKR")) controls us and their interests may conflict with ours or yours in the future.</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references to "Academy," "Academy Sports + Outdoors," "we," "us," "our" or the "Company" in this Quarterly Report refer to (1) prior to October 1, 2020, New Academy Holding Company, LLC, a Delaware limited liability company and the prior parent holding company for our operations, and its consolidated subsidiaries; and (2) on and after October 1, 2020, Academy Sports and Outdoors, Inc., a Delaware corporation and the current parent holding company of our operations,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 w:name="page32"/>
    <w:bookmarkEnd w:id="31"/>
    <w:p>
      <w:pPr>
        <w:jc w:val="both"/>
        <w:ind w:firstLine="324"/>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financial statements and related notes included elsewhere in this Quarterly Report for the thirteen and thirty-nine weeks ended October 31, 2020 and our audited financial statements for the fiscal year ended February 1, 2020 and the section entitled "Management's Discussion and Analysis of Financial Condition and Results of Operations" included in the Prospectus.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This discussion contains forward-looking statements that involve risks and uncertainties. See the section of this Quarterly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"Risk Factors" sections of the Prospectus and this Quarterly Report.</w:t>
      </w:r>
    </w:p>
    <w:p>
      <w:pPr>
        <w:spacing w:after="0" w:line="1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Any reference in this Quarterly Report to "year" or any year in particular refers to our fiscal year, which represents the fifty-two or fifty-three week period ending on the Saturday closest to January 31. Any reference in this Quarterly Report to the "current quarter", "2020 third quarter" or similar reference refers to the thirteen week period ended October 31, 2020, and any reference in this Quarterly Report to the "prior year quarter", "2019 third quarter" or similar reference refers to the thirteen week period ended November 2, 2019. Any reference in this Quarterly Report to "current year-to-date", "year-to-date 2020" or similar reference represents the thirty-nine week period ended October 31, 2020, and any reference in this Quarterly Report to "prior year-to-date", "year-to-date 2019" or similar reference represents the thirty-nine week period ended November 2, 2019. Unless otherwise specified, all comparisons regarding the current quarter 2020 are made to the corresponding quarter of 2019.</w:t>
      </w:r>
    </w:p>
    <w:p>
      <w:pPr>
        <w:spacing w:after="0" w:line="204"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i w:val="1"/>
          <w:iCs w:val="1"/>
          <w:color w:val="auto"/>
        </w:rPr>
        <w:t>All statements in this Quarterly Report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one of the leading full-line sporting goods and outdoor recreation retailers in the United States.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w:t>
      </w:r>
    </w:p>
    <w:p>
      <w:pPr>
        <w:spacing w:after="0" w:line="12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October 31,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 We are deepening our customer relationships, further integrating our e-commerce platform with our stores and driving operating efficiencies by developing our omnichannel capabilities, such as our buy-online-pickup-in-store ("BOPIS") program, which we launched in 2019.</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7140" w:type="dxa"/>
            <w:vAlign w:val="bottom"/>
          </w:tcPr>
          <w:p>
            <w:pPr>
              <w:ind w:left="340"/>
              <w:spacing w:after="0"/>
              <w:rPr>
                <w:sz w:val="20"/>
                <w:szCs w:val="20"/>
                <w:color w:val="auto"/>
              </w:rPr>
            </w:pPr>
            <w:r>
              <w:rPr>
                <w:rFonts w:ascii="Arial" w:cs="Arial" w:eastAsia="Arial" w:hAnsi="Arial"/>
                <w:sz w:val="18"/>
                <w:szCs w:val="18"/>
                <w:color w:val="auto"/>
              </w:rPr>
              <w:t>The following table summarizes store activity for the periods indicated:</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8"/>
        </w:trPr>
        <w:tc>
          <w:tcPr>
            <w:tcW w:w="7140" w:type="dxa"/>
            <w:vAlign w:val="bottom"/>
          </w:tcPr>
          <w:p>
            <w:pPr>
              <w:spacing w:after="0"/>
              <w:rPr>
                <w:sz w:val="24"/>
                <w:szCs w:val="24"/>
                <w:color w:val="auto"/>
              </w:rPr>
            </w:pPr>
          </w:p>
        </w:tc>
        <w:tc>
          <w:tcPr>
            <w:tcW w:w="410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7140" w:type="dxa"/>
            <w:vAlign w:val="bottom"/>
          </w:tcPr>
          <w:p>
            <w:pPr>
              <w:spacing w:after="0"/>
              <w:rPr>
                <w:sz w:val="19"/>
                <w:szCs w:val="19"/>
                <w:color w:val="auto"/>
              </w:rPr>
            </w:pPr>
          </w:p>
        </w:tc>
        <w:tc>
          <w:tcPr>
            <w:tcW w:w="2080" w:type="dxa"/>
            <w:vAlign w:val="bottom"/>
            <w:gridSpan w:val="2"/>
          </w:tcPr>
          <w:p>
            <w:pPr>
              <w:ind w:left="340"/>
              <w:spacing w:after="0"/>
              <w:rPr>
                <w:sz w:val="20"/>
                <w:szCs w:val="20"/>
                <w:color w:val="auto"/>
              </w:rPr>
            </w:pPr>
            <w:r>
              <w:rPr>
                <w:rFonts w:ascii="Arial" w:cs="Arial" w:eastAsia="Arial" w:hAnsi="Arial"/>
                <w:sz w:val="18"/>
                <w:szCs w:val="18"/>
                <w:b w:val="1"/>
                <w:bCs w:val="1"/>
                <w:color w:val="auto"/>
              </w:rPr>
              <w:t>October 31, 2020</w:t>
            </w:r>
          </w:p>
        </w:tc>
        <w:tc>
          <w:tcPr>
            <w:tcW w:w="2020" w:type="dxa"/>
            <w:vAlign w:val="bottom"/>
          </w:tcPr>
          <w:p>
            <w:pPr>
              <w:jc w:val="right"/>
              <w:ind w:right="230"/>
              <w:spacing w:after="0"/>
              <w:rPr>
                <w:sz w:val="20"/>
                <w:szCs w:val="20"/>
                <w:color w:val="auto"/>
              </w:rPr>
            </w:pPr>
            <w:r>
              <w:rPr>
                <w:rFonts w:ascii="Arial" w:cs="Arial" w:eastAsia="Arial" w:hAnsi="Arial"/>
                <w:sz w:val="18"/>
                <w:szCs w:val="18"/>
                <w:b w:val="1"/>
                <w:bCs w:val="1"/>
                <w:color w:val="auto"/>
              </w:rPr>
              <w:t>November 2, 2019</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stores</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1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Q1 new stores</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Q2 new stores</w:t>
            </w: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Q3 new stores</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Closed</w:t>
            </w: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Ending stores</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w:t>
            </w:r>
          </w:p>
        </w:tc>
        <w:tc>
          <w:tcPr>
            <w:tcW w:w="120" w:type="dxa"/>
            <w:vAlign w:val="bottom"/>
          </w:tcPr>
          <w:p>
            <w:pPr>
              <w:spacing w:after="0"/>
              <w:rPr>
                <w:sz w:val="19"/>
                <w:szCs w:val="19"/>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37"/>
        </w:trPr>
        <w:tc>
          <w:tcPr>
            <w:tcW w:w="71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234"/>
        </w:trPr>
        <w:tc>
          <w:tcPr>
            <w:tcW w:w="7140" w:type="dxa"/>
            <w:vAlign w:val="bottom"/>
          </w:tcPr>
          <w:p>
            <w:pPr>
              <w:ind w:left="20"/>
              <w:spacing w:after="0"/>
              <w:rPr>
                <w:sz w:val="20"/>
                <w:szCs w:val="20"/>
                <w:color w:val="auto"/>
              </w:rPr>
            </w:pPr>
            <w:r>
              <w:rPr>
                <w:rFonts w:ascii="Arial" w:cs="Arial" w:eastAsia="Arial" w:hAnsi="Arial"/>
                <w:sz w:val="18"/>
                <w:szCs w:val="18"/>
                <w:color w:val="auto"/>
              </w:rPr>
              <w:t>Relocated stores</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Trends and Other Factors Affecting Our Business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Various trends and other factors affect or have affected our operating results, including:</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Overall Economic Trends. </w:t>
      </w:r>
      <w:r>
        <w:rPr>
          <w:rFonts w:ascii="Arial" w:cs="Arial" w:eastAsia="Arial" w:hAnsi="Arial"/>
          <w:sz w:val="17"/>
          <w:szCs w:val="17"/>
          <w:color w:val="auto"/>
        </w:rPr>
        <w:t>All of our sales are generated within the United States, making our results of operations highly dependent on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economy and U.S. consumer discretionary spending. Macroeconomic factors that may affect customer spending patterns, and thereby our results of operations, include, but are not limited to: health of the economy; consumer confidence in the economy; financial market volatility; wages, jobs and unemployment trends; the housing market, including real estate prices and mortgage rates; consumer credit availability; consumer debt levels; gasoline and fuel prices; interest rates and inflation; tax rates and tax policy; immigration policy; import and customs duties/tariffs and policy; impact of natural or man-made disasters; legislation and regulations; international unrest, trade disputes, labor shortages, and other disruptions to the supply chain; changes to raw material and commodity prices; national and international security and safety concerns; and impact any of public health pandemics. Factors that impact consumer discretionary spending, which remains volatile globally, continue to create a complex and challenging retail environment for us. See the section of this Quarterly Report entitled "Impact of COVID-19 on Our Business."</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Consumer Preferences and Demands. </w:t>
      </w:r>
      <w:r>
        <w:rPr>
          <w:rFonts w:ascii="Arial" w:cs="Arial" w:eastAsia="Arial" w:hAnsi="Arial"/>
          <w:sz w:val="16"/>
          <w:szCs w:val="16"/>
          <w:color w:val="auto"/>
        </w:rPr>
        <w:t>The level of success we achieve is dependent on, among other factors, how accurately and timely we predict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tastes and preferences regarding sporting goods and outdoor recreation merchandise, the level of consumer demand, the availability of merchandise, and the competitive environment. Our products must appeal to a broad range of customers whose preferences cannot be predicted with certainty and are subject to change. We must identify, obtain supplies of, and offer to our customers, attractive and high-quality merchandise on a continuous basis. It is difficult to predict consistently and successfully the products and services our customers will demand as we often purchase products from our vendors several months in advance of the proposed delivery. If we misjudge the market for our products, we may be faced with excess inventories for some products. We utilize a variety of measures to help us identify products that are relevant to our customer base and to better understand changing customer trends, such as social media analysis, internet search analytics, internal customer insights and vendor intelligence.</w:t>
      </w:r>
    </w:p>
    <w:p>
      <w:pPr>
        <w:spacing w:after="0" w:line="1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Strategic Inventory Management. </w:t>
      </w:r>
      <w:r>
        <w:rPr>
          <w:rFonts w:ascii="Arial" w:cs="Arial" w:eastAsia="Arial" w:hAnsi="Arial"/>
          <w:sz w:val="17"/>
          <w:szCs w:val="17"/>
          <w:color w:val="auto"/>
        </w:rPr>
        <w:t>We must maintain sufficient inventory levels of merchandise that our customers desire to successfully operate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increasing our average inventory turns from 1.96x in the year-to-date 2019 to 2.79x in the year-to-date 2020.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 During the year-to-date 2020, we experienced significant inventory reductions from high sell-through during the period. We expect to use cash to replenish such inventory throughout the rest of the current fiscal year, which we expect will impact our net cash provided by operating activities for the fourth quarter of 2020.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3" w:name="page34"/>
    <w:bookmarkEnd w:id="33"/>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Value Strategy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offer a broad assortment of products at competitive prices that offer extraordinary value. Our in-store experience includes value-added customer service delivered by our highly trained and passionate staff, such as free assembly of certain products (such as bicycles, grills, and bows), fitness equipment demonstrations, issuances and renewals of hunting and fishing licenses, fishing line spooling and assisting customers with carrying bulk items to the car, among others. Our goal is to consistently offer better value than our peer retailers. Our value-based pricing gives us an advantage over the specialty retailers and other large format retailers, who typically offer their more limited assortment at premium prices.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2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E-commerce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BOPIS. </w:t>
      </w:r>
      <w:r>
        <w:rPr>
          <w:rFonts w:ascii="Arial" w:cs="Arial" w:eastAsia="Arial" w:hAnsi="Arial"/>
          <w:sz w:val="16"/>
          <w:szCs w:val="16"/>
          <w:color w:val="auto"/>
        </w:rPr>
        <w:t>We expect that the expansion and enhancement of our omnichannel capabilities will be a key driver of growth in our net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gross margin. We continue to invest in initiatives that will increase traffic to our e-commerce website and drive increased online sales conversion. Our improved website also supports our stores with digital marketing and our BOPIS program. In the thirty-nine weeks ended October 31, 2020 and November 2, 2019, BOPIS accounted for approximately 50% and 15%, respectively, of our e-commerce sales and approximately 5% and 1%, respectively, of total merchandise sales for such periods. Our website also allows us to reach customers outside of our current store footprint and introduces new customers to the Academy brand. Our website is also a platform for marketing and product education, allowing us to connect further with our customers. We believe it is important that we continue to grow our omnichannel capabilities, especially in light of changing consumer preferences as a result of the COVID-19 pandemic, which, together with recent enhancements made to our website and omnichannel capabilities, contributed to the substantial increase in e-commerce sales during the year-to-date 2020. It is, however, difficult to ascertain with precision what portion of our increased e-commerce sales during the year-to-date 2020 was attributable to the COVID-19 pandemic as compared to such recent enhancements. We expect to continue to invest in expanding and enhancing our omnichannel capabilities, including BOPIS, will continue to require significant investments by us.</w:t>
      </w:r>
    </w:p>
    <w:p>
      <w:pPr>
        <w:spacing w:after="0" w:line="1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Competition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U.S. sporting goods and outdoor recreation retail industries are highly competitive and fragmented. We compete with specialty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footwear and outdoor retailers, traditional sporting goods stores, large format sporting goods stores, mass general merchants and catalogue and internet retailers. This competition takes place both in physical retail locations and online. Some of our competitors may be significantly larger and have substantially greater resources than us. 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We may require significant capital in the future to sustain or grow our business, including our store and e-commerce activities, due to increased competition.</w:t>
      </w:r>
    </w:p>
    <w:p>
      <w:pPr>
        <w:spacing w:after="0" w:line="12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i w:val="1"/>
          <w:iCs w:val="1"/>
          <w:color w:val="auto"/>
        </w:rPr>
        <w:t xml:space="preserve">Sourcing and Supply Chain Management. </w:t>
      </w:r>
      <w:r>
        <w:rPr>
          <w:rFonts w:ascii="Arial" w:cs="Arial" w:eastAsia="Arial" w:hAnsi="Arial"/>
          <w:sz w:val="16"/>
          <w:szCs w:val="16"/>
          <w:color w:val="auto"/>
        </w:rPr>
        <w:t>For our business to be successful, our suppliers must provide us with quality products in substantial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quantities, in compliance with regulatory requirements, at acceptable costs and on a timely basis. Competition for resources throughout the supply chain, such as production and transportation capacities, has increased. Trends affecting the supply chain include the impact of fluctuating prices of labor and raw materials on our suppliers, as well as the impact of the COVID-19 pandemic.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Changes in our relationships with our suppliers (which can occur for various reasons in or out of our control) also have the potential to increase our expenses and adversely affect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 In addition, the announcement or imposition of any new or increased tariffs, duties or taxes as a result of trade or political tensions between the United States and other countries or otherwise could adversely affect our supply chain. In recent years, the Trump administration imposed multiple rounds of tariffs on exports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net sales and/or gross margin. On January 15, 2020, President Trump signed Phase I of a new trade agreement with China, signaling potential resolution between the two countries to the ongoing trade war in 2020. However, no significant modifications have been enacted to date, relative to the escalated tariffs which impact our business.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4" w:name="page35"/>
    <w:bookmarkEnd w:id="34"/>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New Store Openings. </w:t>
      </w:r>
      <w:r>
        <w:rPr>
          <w:rFonts w:ascii="Arial" w:cs="Arial" w:eastAsia="Arial" w:hAnsi="Arial"/>
          <w:sz w:val="16"/>
          <w:szCs w:val="16"/>
          <w:color w:val="auto"/>
        </w:rPr>
        <w:t>We expect that new stores will be a key driver of growth in our net sales and gross margin in the future. Our results of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and will continue to be materially affected by the timing and number of new store openings. We are continually assessing the number of locations available that could accommodate our preferred size of stores in markets we would consider and we expect to open eight to 10 new stores per year, starting in 2022, similar to our growth rates from 2018 through 2019.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team member costs at the time of a new store opening associated with set-up and other opening costs. Most of our stores achieve profitability within the first twelve months of opening a store. We believe our real estate strategy has positioned us well for further expansion. However, our planned store expansion will place increased demands on our operational, managerial, administrative and other resources. New stores in new markets, where we are less familiar with the target customer and less well-known by the target customer, may face different or additional risks and increased costs compared to new stores in existing markets. We may have to broaden our assortment to merchandise more locally as we grow into newer markets.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income and net income.</w:t>
      </w:r>
    </w:p>
    <w:p>
      <w:pPr>
        <w:spacing w:after="0" w:line="12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Interim Results and Seasonality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business is subject to seasonal fluctuations. A significant portion of our net sales and profits is driven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9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b w:val="1"/>
          <w:bCs w:val="1"/>
          <w:i w:val="1"/>
          <w:iCs w:val="1"/>
          <w:color w:val="auto"/>
        </w:rPr>
        <w:t>53rd Week</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operate on the retail industry’s 4-5-4 calendar. The 4-5-4 calendar is a guide for retailers that ensures sales comparability between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dividing the year into months based on a 4 weeks – 5 weeks – 4 weeks format. Every five to six years a week is added to the 4-5-4 fiscal calendar.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outbreak of COVID-19, which has been declared a global pandemic by the World Health Organization, continues to affect our business, as well as our customers, team members and suppliers, and has resulted in federal, state and local governmental authority safety recommendations and requirements aimed at mitigating the spread of the virus, such as stay-at-home orders, prohibitions of large group gatherings, travel restrictions and closures of certain businesses. The scope and nature of these impacts continue to evolve on a daily basis, including with a potential resurgence in COVID-19 cases in the 2020 fourth quarter and beyond.</w:t>
      </w:r>
    </w:p>
    <w:p>
      <w:pPr>
        <w:spacing w:after="0" w:line="13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response to these restrictions, and in order to serve our customers while also providing for the safety of our customers, team members and service providers, we have taken many actions, including cleaning each store professionally on a regular basis, equipping each store with hand sanitizer stations and signage illustrating how to socially distance within the store, wearing face coverings, limiting the number of customers admitted at one time, and having protective shields installed at cash registers and other countertops. We have incurred increased costs related to the implementation of these measures. We also incurred temporary wage premiums and additional sick time for our active store and distribution center team members. To mitigate the cost of these measures, during the thirteen weeks ended May 2, 2020, we temporarily furloughed a significant number of corporate, store and distribution center team members and enforced temporary pay cuts for executives and remaining active team members as well as other strategic actions to significantly reduce operating expenses during the period. We also drew down $500 million on our 2018 ABL Facility (as defined below) in March 2020 as a precautionary measure to ensure financial flexibility and maximize liquidity. We shortened the operating hours of our stores and fully closed six stores at some point during the thirteen weeks ended May 2, 2020, only one of which was closed for more than a week. We have also reduced, deferred or cancelled planned capital expenditures, primarily related to store remodels, have worked with our business partners to modify vendor and landlord payments and terms, and reduced near term marketing. Our temporary furlough period ended by June 8, 2020 for all of our store, distribution center and corporate team members, and on June 25, 2020, we completed repaying the $500 million draw on the 2018 ABL Facility. All three of our distribution centers remained open during the year-to-date 2020, all of our 259 stores have been fully operational since May 20, 2020, and our corporate office has been fully open since June 8, 2020. We continue to monitor the rapidly evolving situation and expect to continue to adapt our operations to address federal, state, and local requirements as well as to implement standards or processes that we determine to be in the best interest of our team members, customers, and communities.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5" w:name="page36"/>
    <w:bookmarkEnd w:id="35"/>
    <w:p>
      <w:pPr>
        <w:jc w:val="both"/>
        <w:ind w:firstLine="324"/>
        <w:spacing w:after="0" w:line="289" w:lineRule="auto"/>
        <w:rPr>
          <w:sz w:val="20"/>
          <w:szCs w:val="20"/>
          <w:color w:val="auto"/>
        </w:rPr>
      </w:pPr>
      <w:r>
        <w:rPr>
          <w:rFonts w:ascii="Arial" w:cs="Arial" w:eastAsia="Arial" w:hAnsi="Arial"/>
          <w:sz w:val="16"/>
          <w:szCs w:val="16"/>
          <w:color w:val="auto"/>
        </w:rPr>
        <w:t>The impact of the pandemic and actions taken in response to it had varying effects on our results of operations, as further discussed below, and our business has been especially unpredictable during the year-to-date 2020. However, as an essential retailer, we have been able to serve our customers as their needs evolved during the pandemic. In early March 2020, we saw the acceleration of sales in specific categories, such as outdoor cooking, camping, shooting sports and hunting. Later in the first quarter, customers realized they needed to find ways to entertain their families and stay fit while schools and gyms closed, so they turned to us for isolated recreation, outdoor and leisure activities that we support, and as a result, we saw increased sales of weights, yoga mats, treadmills, indoor bicycles, fishing, hunting and camping gear, backyard and driveway games, trampolines, patio seating and grills. We anticipate that the increased popularity of isolated recreation, outdoor and leisure activity products will continue for the duration of the pandemic and will result in a long-term increase to our customer base. At the same time, during the first quarter 2020 we experienced decreased sales of certain of our offerings, primarily for apparel and footwear, and had to from time to time cancel certain of our purchase orders for these products.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our consumers feel comfortable visiting our stores due to the fact that we have big-box stores and curbside pick-up availability for online orders, making it easier to socially distance, and that we are not in, or tethered to, malls, as customers seek to avoid crowded spaces. We also saw a significant increase in customers purchasing our products through omnichannel platforms, specifically as customers increasingly take advantage of our curbside pickup service, which we launched during the first quarter 2020.</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extent to which our operations and business trends will be impacted by, and any unforeseen costs will result from, the pandemic will depend largely on future developments, which are highly uncertain and cannot be accurately predicted. These developments include, among other things, new information that may emerge concerning the severity of the outbreak and health implications, the development of vaccines to mitigate the risk of COVID-19, actions by government authorities to contain the outbreak or treat its impact, and changes in consumer behavior resulting from the outbreak and such government actions. We continue to monitor the evolving situation as there remain many uncertainties regarding the pandemic and its resurgence, including the anticipated duration. See the section of the Prospectus entitled "Risk Factors—Risks Related to Our Business—The impact of COVID-19 may adversely affect our business and financial results."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Assess the Performance of Our Business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Comparable Sales. </w:t>
      </w:r>
      <w:r>
        <w:rPr>
          <w:rFonts w:ascii="Arial" w:cs="Arial" w:eastAsia="Arial" w:hAnsi="Arial"/>
          <w:sz w:val="16"/>
          <w:szCs w:val="16"/>
          <w:color w:val="auto"/>
        </w:rPr>
        <w:t>We define comparable sales as the percentage of period-over-period net sales increase or decrease, in the aggregate, for stores open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thirteen full fiscal months, as well as for all e-commerce sales.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are allocated to e-commerce sales for the purpose of measuring comparable sales, regardless of how those sales are fulfilled, whether shipped to home or picked up in-store or curbside through BOPIS. For example, all BOPIS transactions, which are originated by our website, are allocated to e-commerce sales for the purpose of comparable sales, despite the fact that our customers pick-up these purchases from a specific store. 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6" w:name="page37"/>
    <w:bookmarkEnd w:id="36"/>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Adjusted EBITDA, Adjusted Net Income, Pro Forma Adjusted Net Income, Pro Forma Adjusted Earnings per Share and Adjusted Free Cash Flow. </w:t>
      </w:r>
      <w:r>
        <w:rPr>
          <w:rFonts w:ascii="Arial" w:cs="Arial" w:eastAsia="Arial" w:hAnsi="Arial"/>
          <w:sz w:val="16"/>
          <w:szCs w:val="16"/>
          <w:color w:val="auto"/>
        </w:rPr>
        <w:t>Management uses Adjusted EBITDA, Adjusted Net Income, Pro Forma Adjusted Net Income, Pro Forma Adjusted Earnings per Share and Adjusted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 See "Non-GAAP Measures" below.</w:t>
      </w:r>
    </w:p>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E-commerce Penetration. </w:t>
      </w:r>
      <w:r>
        <w:rPr>
          <w:rFonts w:ascii="Arial" w:cs="Arial" w:eastAsia="Arial" w:hAnsi="Arial"/>
          <w:sz w:val="18"/>
          <w:szCs w:val="18"/>
          <w:color w:val="auto"/>
        </w:rPr>
        <w:t>E-commerce penetration is defined as total e-commerce merchandise sales (which includes BOPIS) divided by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merchandise sales.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Components of Our Results of Operations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profitability is primarily influenced by fluctuations in net sales, gross margin and our ability to leverage selling, general and administrative expenses.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Net Sales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sales are derived from in-store and e-commerce merchandise sales, net of sales tax and an allowance for merchandise returns.</w:t>
      </w:r>
    </w:p>
    <w:p>
      <w:pPr>
        <w:spacing w:after="0" w:line="18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is our net sales less cost of goods sold. Our cost of goods sold includes the direct cost of merchandise and costs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warehousing and distribution. These costs consist primarily of payroll and benefits, occupancy costs and freight and are generally variable in nature relative to our sales volume.</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("SG&amp;A") expenses include store and corporate administrative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payroll and payroll benefits, store and corporate headquarters occupancy costs, advertising, credit card processing, information technology, pre-opening costs and other store and administrative expenses. These expenses are both variable and fixed in nature.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 We expect that our SG&amp;A expenses will increase in future periods due to our continuing growth and in part to additional legal, accounting, insurance and other expenses we expect to incur as a result of being a newly public company.</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Income Tax Expense (Benefit). </w:t>
      </w:r>
      <w:r>
        <w:rPr>
          <w:rFonts w:ascii="Arial" w:cs="Arial" w:eastAsia="Arial" w:hAnsi="Arial"/>
          <w:sz w:val="17"/>
          <w:szCs w:val="17"/>
          <w:color w:val="auto"/>
        </w:rPr>
        <w:t>Prior to October 1, 2020, New Academy Holding Company, LLC, our prior ultimate parent company, was treated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flow through entity for U.S. federal income tax purposes and thus no federal income tax expense was recorded in our consolidated statements of income for periods prior to October 1, 2020. Our tax rate prior to October 1, 2020 was almost entirely the result of state income taxes. In connection with our initial public offering ("IPO"), as a result of the Reorganization Transactions (see Note 1 to the financial statements included in this Quarterly Report) completed on October 1, 2020, as described further in the Prospectus, Academy Sports and Outdoors, Inc. ("ASO, Inc.")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October 31, 2020 Compared to Thirteen Weeks Ended November 2, 2019</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amounts and information derived from our unaudited statements of income for the periods indicated as follows (dollar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Thirteen Weeks Ended</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4"/>
          </w:tcPr>
          <w:p>
            <w:pPr>
              <w:ind w:left="400"/>
              <w:spacing w:after="0"/>
              <w:rPr>
                <w:sz w:val="20"/>
                <w:szCs w:val="20"/>
                <w:color w:val="auto"/>
              </w:rPr>
            </w:pPr>
            <w:r>
              <w:rPr>
                <w:rFonts w:ascii="Arial" w:cs="Arial" w:eastAsia="Arial" w:hAnsi="Arial"/>
                <w:sz w:val="18"/>
                <w:szCs w:val="18"/>
                <w:b w:val="1"/>
                <w:bCs w:val="1"/>
                <w:color w:val="auto"/>
              </w:rPr>
              <w:t>October 31, 2020</w:t>
            </w:r>
          </w:p>
        </w:tc>
        <w:tc>
          <w:tcPr>
            <w:tcW w:w="220" w:type="dxa"/>
            <w:vAlign w:val="bottom"/>
          </w:tcPr>
          <w:p>
            <w:pPr>
              <w:spacing w:after="0"/>
              <w:rPr>
                <w:sz w:val="19"/>
                <w:szCs w:val="19"/>
                <w:color w:val="auto"/>
              </w:rPr>
            </w:pPr>
          </w:p>
        </w:tc>
        <w:tc>
          <w:tcPr>
            <w:tcW w:w="230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November 2, 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Dollars</w:t>
            </w:r>
          </w:p>
        </w:tc>
        <w:tc>
          <w:tcPr>
            <w:tcW w:w="1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Percent</w:t>
            </w: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1,349,076</w:t>
            </w: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1,145,203</w:t>
            </w: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203,873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908,565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782,781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125,784</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16.1 %</w:t>
            </w:r>
          </w:p>
        </w:tc>
      </w:tr>
      <w:tr>
        <w:trPr>
          <w:trHeight w:val="223"/>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440,511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21.5 %</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358,955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309,246</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49,709</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16.1 %</w:t>
            </w:r>
          </w:p>
        </w:tc>
      </w:tr>
      <w:tr>
        <w:trPr>
          <w:trHeight w:val="223"/>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81,556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53.4 %</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22,399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24,585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374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58,393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29,058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29,335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101.0 %</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37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59,586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28,552</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108.7 %</w:t>
            </w:r>
          </w:p>
        </w:tc>
      </w:tr>
      <w:tr>
        <w:trPr>
          <w:trHeight w:val="20"/>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*Percentages in table may not sum properly due to rounding.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26"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i w:val="1"/>
          <w:iCs w:val="1"/>
          <w:color w:val="auto"/>
        </w:rPr>
        <w:t>Net Sales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sales increased $203.9 million, or 17.8%, in the 2020 third quarter over the prior year third quarter due to an increase in comparable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of 16.5%, as well as additional net sales generated by new locations. As of the end of the 2020 third quarter, we had the full benefit of five stores opened during the prior year quarter. Collectively, these stores accounted for a net $13.6 million increase in net sales for the 2020 third quarter.</w:t>
      </w:r>
    </w:p>
    <w:p>
      <w:pPr>
        <w:spacing w:after="0" w:line="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16.5% increase in comparable sales resulted from favorable results across most of our merchandise divisions. The sports and recreation division sales increased as a result of various products such as fitness equipment and accessories, bikes, barbecues and grills, golf and outdoor games. The increase in the outdoors division was primarily driven by strong sales in firearms, ammunition, fishing, hunting and shooting sports products. The footwear division sales increased due to increases in the athletic and work footwear categories which were partially offset by declines in team sports footwear sales. The apparel division decreased as a result of declines in sales of licensed apparel resulting from the Astros World Series appearance in the prior year which were partially offset by increases in athletic, outdoor and seasonal, and youth apparel. We believe our merchandise division sales continue to be impacted by the COVID-19 pandemic which has caused increases in popularity in our outdoors and sports and recreation merchandise divisions as demand has increased in the merchandise categories that provide customers with isolated recreation, outdoor and leisure activities. Additionally we believe that the substantial increase in e-commerce sales described below and ongoing improvements to our business, such as enhancements to our merchandise planning and allocation capabilities that began in February 2019 and the launch of the Academy Credit Card in May 2019, together with our big-box store format and the implementation of a number of safety measures within our stores in response to COVID-19 that helped facilitate our customers' ability to obtain the products they sought in a safe manner, contributed to the increase in comparable sales during this period.</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E-commerce net sales increased $49.5 million, or 95.9%, in the 2020 third quarter compared to the prior year third quarter and represented 7.5% of merchandise sales for the 2020 third quarter compared to 4.5% in the prior year. This increase was driven by a change in consumer shopping preferences resulting from the COVID-19 pandemic. Additionally, enhancements to our e-commerce platform, including the introduction of buy-online-pickup-in-store ("BOPIS") at the end of the 2019 second quarter and rapid development of curbside fulfillment to further support BOPIS in the 2020 first quarter contributed to the increase in e-commerce sales.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increased $78.1 million, or 21.5%, to $440.5 million in the 2020 third quarter from $362.4 million in the 2019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As a percentage of net sales, gross margin increased 1.1% from 31.6% in the 2019 third quarter to 32.7% in the 2020 third quarter. The increase of 110 basis points in gross margin is primarily attributable to:</w:t>
      </w:r>
    </w:p>
    <w:p>
      <w:pPr>
        <w:spacing w:after="0" w:line="13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106 basis points of favorability in merchandise margins from less clearance activity and lower markdowns.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SG&amp;A expenses increased $49.7 million to $359.0 million in the 2020 third quarter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$309.2 million in the 2019 third quarter. As a percentage of net sales, SG&amp;A expenses were down 0.4% to 26.6% in the 2020 third quarter compared to 27.0% in the 2019 third quarter. The decrease of 40 basis points in SG&amp;A is primarily attributable to:</w:t>
      </w:r>
    </w:p>
    <w:p>
      <w:pPr>
        <w:spacing w:after="0" w:line="13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165 basis point decrease in property and facility fees as a result of leveraging costs on increased sales;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58 basis point decrease in advertising as a result of favorable leveraging of costs on increased sales and reduced marketing and promotional activities; partially offset by</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94 basis point increase in employee costs, primarily driven by increased incentive compensation expense and incremental expenses resulting from the expensing of certain share-based awards in connection with the completion of the IPO; and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87 basis point increase in professional fees driven by the expensing of fees related to the termination of our monitoring agreement which occurred upon completion of the IPO.</w:t>
      </w:r>
    </w:p>
    <w:p>
      <w:pPr>
        <w:spacing w:after="0" w:line="19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decreased $2.2 million, or 8.9%, in the 2020 third quarter when compared with the 2019 third quarter, primarily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result of lower interest rates and a reduction in outstanding principal balance on our term loan from current year principal repurchases.</w:t>
      </w:r>
    </w:p>
    <w:p>
      <w:pPr>
        <w:spacing w:after="0" w:line="1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decreased $1.2 million in the 2020 third quarter when compared with the 2019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caused by a portion of the underlying cash flows related to $100.0 million of swap notional principal amount which were no longer probable of occurring and resulted in the immediate recognition of $1.3 million of expense.</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 xml:space="preserve">Income Tax Expense (Benefit). </w:t>
      </w:r>
      <w:r>
        <w:rPr>
          <w:rFonts w:ascii="Arial" w:cs="Arial" w:eastAsia="Arial" w:hAnsi="Arial"/>
          <w:sz w:val="17"/>
          <w:szCs w:val="17"/>
          <w:color w:val="auto"/>
        </w:rPr>
        <w:t>Income tax expense decreased $1.7 million to an income tax benefit of $1.2 million in the 2020 third quarter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an income tax expense of $0.5 million in the 2019 third quarter. As a result of the Reorganization Transactions, which occurred on October 1, 2020, ASO, Inc. became subject to U.S. federal income taxes and is being taxed at the prevailing corporate rates. For periods subsequent to the Reorganization Transactions, we incurred a pre-tax loss as a result of incremental equity compensation expense in connection with the IPO and the termination of the Monitoring Agreement, which resulted in a net tax benefit for the thirteen weeks ended October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Thirty-Nine Weeks Ended October 31, 2020 Compared to Thirty-Nine Weeks Ended November 2, 2019</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amounts and information derived from our unaudited statements of income for the periods indicated as follows (dollar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Thirty-Nine Weeks Ended</w:t>
            </w: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4"/>
          </w:tcPr>
          <w:p>
            <w:pPr>
              <w:ind w:left="400"/>
              <w:spacing w:after="0"/>
              <w:rPr>
                <w:sz w:val="20"/>
                <w:szCs w:val="20"/>
                <w:color w:val="auto"/>
              </w:rPr>
            </w:pPr>
            <w:r>
              <w:rPr>
                <w:rFonts w:ascii="Arial" w:cs="Arial" w:eastAsia="Arial" w:hAnsi="Arial"/>
                <w:sz w:val="18"/>
                <w:szCs w:val="18"/>
                <w:b w:val="1"/>
                <w:bCs w:val="1"/>
                <w:color w:val="auto"/>
              </w:rPr>
              <w:t>October 31, 2020</w:t>
            </w:r>
          </w:p>
        </w:tc>
        <w:tc>
          <w:tcPr>
            <w:tcW w:w="240" w:type="dxa"/>
            <w:vAlign w:val="bottom"/>
          </w:tcPr>
          <w:p>
            <w:pPr>
              <w:spacing w:after="0"/>
              <w:rPr>
                <w:sz w:val="19"/>
                <w:szCs w:val="19"/>
                <w:color w:val="auto"/>
              </w:rPr>
            </w:pPr>
          </w:p>
        </w:tc>
        <w:tc>
          <w:tcPr>
            <w:tcW w:w="23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November 2, 2019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Dollars</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w w:val="87"/>
              </w:rPr>
              <w:t>Percent</w:t>
            </w: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4,091,797</w:t>
            </w: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3,459,405</w:t>
            </w: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632,392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2,856,840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69.8 %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2,398,783</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458,057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19.1 %</w:t>
            </w:r>
          </w:p>
        </w:tc>
      </w:tr>
      <w:tr>
        <w:trPr>
          <w:trHeight w:val="223"/>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1,234,957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955,591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923,418</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3.5 %</w:t>
            </w:r>
          </w:p>
        </w:tc>
      </w:tr>
      <w:tr>
        <w:trPr>
          <w:trHeight w:val="223"/>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279,366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103.6 %</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70,487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77,171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early retirement of debt, net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(7,831)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(857)</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(55.4)%</w:t>
            </w:r>
          </w:p>
        </w:tc>
      </w:tr>
      <w:tr>
        <w:trPr>
          <w:trHeight w:val="223"/>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217,567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104,219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108.8 %</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(83.0)%</w:t>
            </w:r>
          </w:p>
        </w:tc>
      </w:tr>
      <w:tr>
        <w:trPr>
          <w:trHeight w:val="248"/>
        </w:trPr>
        <w:tc>
          <w:tcPr>
            <w:tcW w:w="3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217,242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112.3 %</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*Percentages in table may not sum properly due to rounding.</w:t>
      </w:r>
    </w:p>
    <w:p>
      <w:pPr>
        <w:spacing w:after="0" w:line="240"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i w:val="1"/>
          <w:iCs w:val="1"/>
          <w:color w:val="auto"/>
        </w:rPr>
        <w:t>Net Sales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sales increased $632.4 million, or 18.3%, for the year-to-date 2020 compared to the year-to-date 2019 as a result of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sales of 16.1% and additional net sales generated by new locations. As of the end of the 2020 third quarter, we had a full benefit of a net six stores opened during the prior year-to-date. Collectively, these stores accounted for a net $73.6 million increase in net sales for the year-to-date 2020.</w:t>
      </w:r>
    </w:p>
    <w:p>
      <w:pPr>
        <w:spacing w:after="0" w:line="9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16.1% increase in comparable sales resulted from strong performances in the outdoors merchandise division and the sports and recreation merchandise division, partially offset by declines the apparel and footwear merchandise divisions, respectively. The effects of the COVID-19 pandemic during the year-to-date 2020 have caused significant increases in popularity of isolated recreation, outdoor and leisure activities that we believe have driven the increases in our outdoors and sports and recreation merchandise divisions. Likewise, we believe the decreases in our apparel and footwear merchandise divisions were predominately driven by a temporary but significant shift in customer behavior at the substantial beginning of the COVID-19 pandemic, which saw customers purchasing primarily isolated recreation, outdoor and leisure activity products in addition to "essential items." The outdoors division increase was driven primarily by strong sales in firearms, ammunition, fishing, hunting and shooting sports products. The sports and recreation division sales increased as a result of various products such as fitness equipment and accessories, bikes, barbecues and grills, patio and watersports, trampolines, outdoor games and play sets. These increases were partially offset by declining sales in the team sports category. The apparel division decreased as a result of declines in licensed apparel resulting from the Astros World Series appearance in the prior year, outdoor apparel and seasonal apparel products, partially offset by increases in the athletic apparel products. The footwear division sales decreased due to declines in the team sports category and the work, casual and youth category, which were partially offset by an increase in athletic footwear. We believe that the substantial increase to e-commerce sales described below and the ongoing improvements to our business, such as enhancements to our merchandising planning and allocation capabilities that began in February 2019 and the launch of the Academy Credit Card in May 2019, together with our big-box store format and the implementation of a number of safety measures within our stores in response to the COVID-19 pandemic that helped facilitate our customers' ability to obtain the products they sought in a safe manner, contributed to the increase in comparable sales this year-to-date.</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E-commerce net sales increased $270.1 million, or 208.6%, for the current year-to-date compared to the prior year-to-date and represented 9.8% of merchandise sales for the current year-to-date compared to 3.8% in the prior year-to-date. This increase was driven by a change in consumer shopping preferences and sales restrictions resulting from the COVID-19 pandemic. Additionally, enhancements to our e-commerce platform, including the introduction of BOPIS at the end of the 2019 second quarter and rapid development of curbside fulfillment to further support BOPIS in the year-to-date 2020 contributed to the increase in e-commerce sales.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40" w:name="page41"/>
    <w:bookmarkEnd w:id="40"/>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increased $174.3 million, or 16.4%, to $1,235.0 million for the year-to-date 2020 from $1,060.6 million for the year-to-date 2019. As a percentage of net sales, gross margin decreased 0.5% from 30.7% for the year-to-date 2019 to 30.2% in the year-to-date 2020. The decrease of 50 basis points in gross margin is primarily attributable to:</w:t>
      </w:r>
    </w:p>
    <w:p>
      <w:pPr>
        <w:spacing w:after="0" w:line="13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43 basis points of unfavorability related to import freight as a result of increased duties on products sold;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37 basis points of unfavorability as a result of decreased vendor allowances, including new store allowances; partially offset by</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30 basis points of favorability related to inventory overhead expenditures as a result of less expenses capitalized during the first half of 2020, which are primarily wage related, due to temporary workforce furloughs and wage cuts during the first half of 2020.</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SG&amp;A expenses increased $32.2 million, or 3.5%, to $955.6 million in the year-to-date 2020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$923.4 million in the year-to-date 2019. As a percentage of net sales, SG&amp;A expenses were down 3.3% to 23.4% in the year-to-date 2020 compared to 26.7% in the year-to-date 2019. The decrease of 330 basis points in SG&amp;A is primarily attributable to:</w:t>
      </w:r>
    </w:p>
    <w:p>
      <w:pPr>
        <w:spacing w:after="0" w:line="13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171 basis point decrease in property and facility fees as a result of leveraging costs on increased sales and decreased depreciation costs;</w:t>
      </w:r>
    </w:p>
    <w:p>
      <w:pPr>
        <w:spacing w:after="0" w:line="7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96 basis point decrease in advertising due to favorable leveraging of costs on increased sales and reduced marketing and promotional activities; and</w:t>
      </w:r>
    </w:p>
    <w:p>
      <w:pPr>
        <w:spacing w:after="0" w:line="8"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78 basis point decrease in employee costs from leveraging costs on increased sales, partially offset by increased incentive compensation expense and incremental expenses resulting from the expensing of certain share-based awards in connection with the completion of the IPO.</w:t>
      </w:r>
    </w:p>
    <w:p>
      <w:pPr>
        <w:spacing w:after="0" w:line="15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Gain on early retirement of debt, net. </w:t>
      </w:r>
      <w:r>
        <w:rPr>
          <w:rFonts w:ascii="Arial" w:cs="Arial" w:eastAsia="Arial" w:hAnsi="Arial"/>
          <w:sz w:val="18"/>
          <w:szCs w:val="18"/>
          <w:color w:val="auto"/>
        </w:rPr>
        <w:t>Gain on early retirement of debt, net decreased $34.4 million, or 81.5%, to $7.8 million from $42.3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year-to-date. During the year-to-date 2020, we repurchased $23.9 million in principal on the 2015 Term Loan Facility, which was trading at a discount, in open market transactions for $16.0 million and recognized a net gain of $7.8 million. During the year-to-date 2019, we repurchased $147.7 million in principal on the 2015 Term Loan Facility, which was trading at a discount in open market transactions for $104.6 million and recognized a net gain of $42.3 million.</w:t>
      </w:r>
    </w:p>
    <w:p>
      <w:pPr>
        <w:spacing w:after="0" w:line="2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decreased $6.7 million, or 8.7%, in the year-to-date 2020 when compared to the year-to-date 2019, primarily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 of a lower outstanding principal balance and interest rates on our term loan from prior year and current year principal repurchases of $147.7 million and $23.9 million, respectively, partially offset by higher interest on our ABL facility due to a higher average outstanding balance.</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decreased $1.1 million in the year-to-date 2020 when compared to the year-to-date 2019 caused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 underlying cash flows related to $100.0 million of swap notional principal amount which were no longer probable of occurring and resulted in the immediate recognition of $1.3 million of expense.</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decreased $1.6 million to $0.3 million in the year-to-date 2020 as compared to $1.9 million in the year-to-date 2019. As a result of the Reorganization Transactions, which occurred on October 1, 2020, ASO, Inc. became subject to U.S. federal income taxes and is being taxed at the prevailing corporate rates. The increase in our federal income tax effective rate upon completion of the Reorganization Transactions was largely offset by a net tax benefit for the third quarter of 2020, which resulted from a pre-tax loss subsequent to the Reorganization Transactions caused by incremental costs, including equity compensation expense, in connection with the IPO and the termination of the Monitoring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Net Income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as Adjusted Net Income less the retrospective tax effect of Adjusted Net Income at our estimated effective tax rate of approximately 25% for periods prior to October 1, 2020, the effective date of our conversion to a C-Corporation. We define basic Pro Forma Adjusted Earnings per Share as Pro Forma Adjusted Net Income divided by the basic weighted average common shares outstanding during the period and diluted Pro Forma Adjusted Earnings per Share as Pro Forma Adjusted Net Income divided by the diluted weighted average common shares outstanding during the period. We define these adjustments reconciling net income (loss) to Adjusted Net Income, Pro Forma Adjusted Net Income and Pro Forma Adjusted Earnings per Share in the applicable table below. We define Adjusted Free Cash Flow as net cash provided by (used in) operating activities less net cash used in investing activities. We describe these adjustments by reconciling net cash provided by operating activities to Adjusted Free Cash Flow in the applicable table below.</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Adjusted EBITDA, Adjusted Net Income, Pro-Forma Adjusted Net Income, Pro Forma Adjusted Earnings per Share and Adjusted Free Cash Flow, as shown below, have been presented in this Quarterly Report as supplemental measures of financial performance that are not required by, or presented in accordance with, GAAP. We believe Adjusted EBITDA, Adjusted Net Income, Pro Forma Adjusted Net Income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Net Income, Pro Forma Adjusted Net Income and Pro Forma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Pro Forma Adjusted Net Income,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12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Management supplements GAAP results with non-GAAP financial measures to provide a more complete understanding of the factors and trends affecting the business than GAAP results alone. Adjusted EBITDA, Adjusted Net Income, Pro Forma Adjusted Net Income, Pro Forma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Pro Forma Adjusted Net Income and Pro Forma Adjusted Earnings per Share should not be construed to imply that our future results will be unaffected by unusual or non-recurring items. In evaluating Adjusted EBITDA, Adjusted Net Income, Pro Forma Adjusted Net Income, Pro Forma Adjusted Earnings per Share and Adjusted Free Cash Flow, you should be aware that in the future we may incur expenses that are the same as or similar to some of the adjustments in this presentation. Our presentation of Adjusted EBITDA, Adjusted Net Income, Pro Forma Adjusted Net Income, Pro Forma Adjusted Earnings per Share and Adjusted Free Cash Flow should not be construed to imply that our future results will be unaffected by any such adjustments. Management compensates for these limitations by primarily relying on our GAAP results in addition to using Adjusted EBITDA, Adjusted Net Income, Pro Forma Adjusted Net Income, Pro Forma Adjusted Earnings per Share and Adjusted Free Cash Flow supplementally.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Adjusted EBITDA, Adjusted Net Income, Pro Forma Adjusted Net Income, Pro Forma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30" w:lineRule="exact"/>
        <w:rPr>
          <w:sz w:val="20"/>
          <w:szCs w:val="20"/>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Adjusted Net Income, Pro Forma Adjusted Net Income and Pro Forma Adjusted Earnings per Share do not reflect costs or cash outlays for capital expenditures or contractual commitments;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Adjusted Net Income, Pro Forma Adjusted Net Income and Pro Forma Adjusted Earnings per Share do not reflect changes in, or cash requirements for, our working capital needs;</w:t>
      </w:r>
    </w:p>
    <w:p>
      <w:pPr>
        <w:spacing w:after="0" w:line="8"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Adjusted EBITDA does not reflect period to period changes in taxes, income tax expense or the cash necessary to pay income taxes;</w:t>
      </w:r>
    </w:p>
    <w:p>
      <w:pPr>
        <w:spacing w:after="0" w:line="7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Adjusted Net Income, Pro Forma Adjusted Net Income and Pro Forma Adjusted Earnings per Share do not reflect the impact of earnings or charges resulting from matters we consider not to be indicative of our ongoing operations;</w:t>
      </w:r>
    </w:p>
    <w:p>
      <w:pPr>
        <w:spacing w:after="0" w:line="8"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8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Because of these limitations, Adjusted EBITDA, Adjusted Net Income, Pro Forma Adjusted Net Income, Pro Forma Adjusted Earnings per Share and Adjusted Free Cash Flow should not be considered as measures of discretionary cash available to invest in business growth or to reduce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reconciliations of net income (loss) to Adjusted EBITDA for the periods presented (amounts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60" w:type="dxa"/>
            <w:vAlign w:val="bottom"/>
            <w:gridSpan w:val="5"/>
          </w:tcPr>
          <w:p>
            <w:pPr>
              <w:ind w:left="760"/>
              <w:spacing w:after="0"/>
              <w:rPr>
                <w:sz w:val="20"/>
                <w:szCs w:val="20"/>
                <w:color w:val="auto"/>
              </w:rPr>
            </w:pPr>
            <w:r>
              <w:rPr>
                <w:rFonts w:ascii="Arial" w:cs="Arial" w:eastAsia="Arial" w:hAnsi="Arial"/>
                <w:sz w:val="18"/>
                <w:szCs w:val="18"/>
                <w:b w:val="1"/>
                <w:bCs w:val="1"/>
                <w:color w:val="auto"/>
              </w:rPr>
              <w:t>Thirteen Weeks Ended</w:t>
            </w:r>
          </w:p>
        </w:tc>
        <w:tc>
          <w:tcPr>
            <w:tcW w:w="180" w:type="dxa"/>
            <w:vAlign w:val="bottom"/>
          </w:tcPr>
          <w:p>
            <w:pPr>
              <w:spacing w:after="0"/>
              <w:rPr>
                <w:sz w:val="20"/>
                <w:szCs w:val="20"/>
                <w:color w:val="auto"/>
              </w:rPr>
            </w:pPr>
          </w:p>
        </w:tc>
        <w:tc>
          <w:tcPr>
            <w:tcW w:w="34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38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November 2, 2019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November 2, 2019</w:t>
            </w: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59,586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217,242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102,305</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22,399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24,585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70,487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77,171</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25,567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29,596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79,718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88,693</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 fees (a)</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Adviser monitoring fee (b)</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12,953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14,793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2,697</w:t>
            </w: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(c)</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Gain on early extinguishment of debt, net</w:t>
            </w:r>
          </w:p>
        </w:tc>
        <w:tc>
          <w:tcPr>
            <w:tcW w:w="18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(7,831)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(42,265)</w:t>
            </w: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executive transition costs (d)</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Costs related to the COVID-19 pandemic (e)</w:t>
            </w:r>
          </w:p>
        </w:tc>
        <w:tc>
          <w:tcPr>
            <w:tcW w:w="18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17,632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w:t>
            </w:r>
          </w:p>
        </w:tc>
      </w:tr>
      <w:tr>
        <w:trPr>
          <w:trHeight w:val="196"/>
        </w:trPr>
        <w:tc>
          <w:tcPr>
            <w:tcW w:w="3840" w:type="dxa"/>
            <w:vAlign w:val="bottom"/>
          </w:tcPr>
          <w:p>
            <w:pPr>
              <w:ind w:left="240"/>
              <w:spacing w:after="0" w:line="196" w:lineRule="exact"/>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145,738</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88,759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428,640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245,596</w:t>
            </w:r>
          </w:p>
        </w:tc>
      </w:tr>
      <w:tr>
        <w:trPr>
          <w:trHeight w:val="21"/>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420" w:hanging="394"/>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w:t>
      </w:r>
    </w:p>
    <w:p>
      <w:pPr>
        <w:spacing w:after="0" w:line="23" w:lineRule="exact"/>
        <w:rPr>
          <w:rFonts w:ascii="Arial" w:cs="Arial" w:eastAsia="Arial" w:hAnsi="Arial"/>
          <w:sz w:val="18"/>
          <w:szCs w:val="18"/>
          <w:color w:val="auto"/>
        </w:rPr>
      </w:pPr>
    </w:p>
    <w:p>
      <w:pPr>
        <w:ind w:left="420" w:hanging="394"/>
        <w:spacing w:after="0"/>
        <w:tabs>
          <w:tab w:leader="none" w:pos="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our contractual payments under the Monitoring Agreement. See Note 13 to the financial statements included in this Quarterly Report).</w:t>
      </w:r>
    </w:p>
    <w:p>
      <w:pPr>
        <w:spacing w:after="0" w:line="45" w:lineRule="exact"/>
        <w:rPr>
          <w:rFonts w:ascii="Arial" w:cs="Arial" w:eastAsia="Arial" w:hAnsi="Arial"/>
          <w:sz w:val="16"/>
          <w:szCs w:val="16"/>
          <w:color w:val="auto"/>
        </w:rPr>
      </w:pPr>
    </w:p>
    <w:p>
      <w:pPr>
        <w:ind w:left="420" w:right="20" w:hanging="394"/>
        <w:spacing w:after="0" w:line="234"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1" w:lineRule="exact"/>
        <w:rPr>
          <w:rFonts w:ascii="Arial" w:cs="Arial" w:eastAsia="Arial" w:hAnsi="Arial"/>
          <w:sz w:val="18"/>
          <w:szCs w:val="18"/>
          <w:color w:val="auto"/>
        </w:rPr>
      </w:pPr>
    </w:p>
    <w:p>
      <w:pPr>
        <w:ind w:left="420" w:hanging="394"/>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22" w:lineRule="exact"/>
        <w:rPr>
          <w:rFonts w:ascii="Arial" w:cs="Arial" w:eastAsia="Arial" w:hAnsi="Arial"/>
          <w:sz w:val="18"/>
          <w:szCs w:val="18"/>
          <w:color w:val="auto"/>
        </w:rPr>
      </w:pPr>
    </w:p>
    <w:p>
      <w:pPr>
        <w:jc w:val="both"/>
        <w:ind w:left="420" w:right="20" w:hanging="394"/>
        <w:spacing w:after="0" w:line="237" w:lineRule="auto"/>
        <w:tabs>
          <w:tab w:leader="none" w:pos="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Arial" w:cs="Arial" w:eastAsia="Arial" w:hAnsi="Arial"/>
          <w:sz w:val="17"/>
          <w:szCs w:val="17"/>
          <w:color w:val="auto"/>
        </w:rPr>
      </w:pPr>
    </w:p>
    <w:p>
      <w:pPr>
        <w:jc w:val="both"/>
        <w:ind w:left="420" w:right="20" w:hanging="394"/>
        <w:spacing w:after="0" w:line="219"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adjustments include (representing deductions or additions to Adjusted EBITDA)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Adjusted Net Income, Pro Forma Adjusted Net Income and Pro Forma Adjusted Earnings per Share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net income to Adjusted Net Income, Pro Forma Adjusted Net Income and Pro Forma Adjusted Earnings per Share for the periods presented (amounts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60" w:type="dxa"/>
            <w:vAlign w:val="bottom"/>
            <w:gridSpan w:val="5"/>
          </w:tcPr>
          <w:p>
            <w:pPr>
              <w:ind w:left="760"/>
              <w:spacing w:after="0"/>
              <w:rPr>
                <w:sz w:val="20"/>
                <w:szCs w:val="20"/>
                <w:color w:val="auto"/>
              </w:rPr>
            </w:pPr>
            <w:r>
              <w:rPr>
                <w:rFonts w:ascii="Arial" w:cs="Arial" w:eastAsia="Arial" w:hAnsi="Arial"/>
                <w:sz w:val="18"/>
                <w:szCs w:val="18"/>
                <w:b w:val="1"/>
                <w:bCs w:val="1"/>
                <w:color w:val="auto"/>
              </w:rPr>
              <w:t>Thirteen Weeks Ended</w:t>
            </w:r>
          </w:p>
        </w:tc>
        <w:tc>
          <w:tcPr>
            <w:tcW w:w="180" w:type="dxa"/>
            <w:vAlign w:val="bottom"/>
          </w:tcPr>
          <w:p>
            <w:pPr>
              <w:spacing w:after="0"/>
              <w:rPr>
                <w:sz w:val="20"/>
                <w:szCs w:val="20"/>
                <w:color w:val="auto"/>
              </w:rPr>
            </w:pPr>
          </w:p>
        </w:tc>
        <w:tc>
          <w:tcPr>
            <w:tcW w:w="34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November 2, 2019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November 2, 2019</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59,586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217,242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102,305</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Consulting fees (a)</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Adviser monitoring fee (b)</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Equity compensation (c)</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23,359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27,049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early extinguishment of debt, net</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Severance and executive transition costs (d)</w:t>
            </w:r>
          </w:p>
        </w:tc>
        <w:tc>
          <w:tcPr>
            <w:tcW w:w="18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the COVID-19 pandemic (e)</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Other (f)</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2,965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effects of these adjustments (g)</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3840" w:type="dxa"/>
            <w:vAlign w:val="bottom"/>
          </w:tcPr>
          <w:p>
            <w:pPr>
              <w:ind w:left="240"/>
              <w:spacing w:after="0"/>
              <w:rPr>
                <w:sz w:val="20"/>
                <w:szCs w:val="20"/>
                <w:color w:val="auto"/>
              </w:rPr>
            </w:pPr>
            <w:r>
              <w:rPr>
                <w:rFonts w:ascii="Arial" w:cs="Arial" w:eastAsia="Arial" w:hAnsi="Arial"/>
                <w:sz w:val="18"/>
                <w:szCs w:val="18"/>
                <w:color w:val="auto"/>
              </w:rPr>
              <w:t>Adjusted Net Income</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98,894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34,062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278,001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77,862</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Estimated tax effect of change to C-Corporation</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(25,147)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(69,410)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(19,535)</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status (h)</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40"/>
              <w:spacing w:after="0"/>
              <w:rPr>
                <w:sz w:val="20"/>
                <w:szCs w:val="20"/>
                <w:color w:val="auto"/>
              </w:rPr>
            </w:pPr>
            <w:r>
              <w:rPr>
                <w:rFonts w:ascii="Arial" w:cs="Arial" w:eastAsia="Arial" w:hAnsi="Arial"/>
                <w:sz w:val="18"/>
                <w:szCs w:val="18"/>
                <w:color w:val="auto"/>
              </w:rPr>
              <w:t>Pro Forma Adjusted 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73,747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208,591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58,327</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Pro Forma Adjusted Earnings per Share</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0.91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40"/>
              <w:spacing w:after="0" w:line="223"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76,771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72,484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73,908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72,480</w:t>
            </w:r>
          </w:p>
        </w:tc>
        <w:tc>
          <w:tcPr>
            <w:tcW w:w="0" w:type="dxa"/>
            <w:vAlign w:val="bottom"/>
          </w:tcPr>
          <w:p>
            <w:pPr>
              <w:spacing w:after="0"/>
              <w:rPr>
                <w:sz w:val="1"/>
                <w:szCs w:val="1"/>
                <w:color w:val="auto"/>
              </w:rPr>
            </w:pPr>
          </w:p>
        </w:tc>
      </w:tr>
      <w:tr>
        <w:trPr>
          <w:trHeight w:val="233"/>
        </w:trPr>
        <w:tc>
          <w:tcPr>
            <w:tcW w:w="3840" w:type="dxa"/>
            <w:vAlign w:val="bottom"/>
          </w:tcPr>
          <w:p>
            <w:pPr>
              <w:ind w:left="240"/>
              <w:spacing w:after="0" w:line="233"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80,714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75,201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77,171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74,766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60" w:hanging="134"/>
        <w:spacing w:after="0" w:line="233" w:lineRule="auto"/>
        <w:tabs>
          <w:tab w:leader="none" w:pos="16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See Retrospective Presentation of Ownership Exchange in Note 2 to the financial statements.</w:t>
      </w:r>
    </w:p>
    <w:p>
      <w:pPr>
        <w:spacing w:after="0" w:line="120" w:lineRule="exact"/>
        <w:rPr>
          <w:sz w:val="20"/>
          <w:szCs w:val="20"/>
          <w:color w:val="auto"/>
        </w:rPr>
      </w:pPr>
    </w:p>
    <w:p>
      <w:pPr>
        <w:ind w:left="420" w:hanging="394"/>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w:t>
      </w:r>
    </w:p>
    <w:p>
      <w:pPr>
        <w:spacing w:after="0" w:line="23" w:lineRule="exact"/>
        <w:rPr>
          <w:rFonts w:ascii="Arial" w:cs="Arial" w:eastAsia="Arial" w:hAnsi="Arial"/>
          <w:sz w:val="18"/>
          <w:szCs w:val="18"/>
          <w:color w:val="auto"/>
        </w:rPr>
      </w:pPr>
    </w:p>
    <w:p>
      <w:pPr>
        <w:ind w:left="420" w:hanging="394"/>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our contractual payments under the Monitoring Agreement. See Note 13 to the financial statements included in this Quarterly Report.</w:t>
      </w:r>
    </w:p>
    <w:p>
      <w:pPr>
        <w:spacing w:after="0" w:line="45" w:lineRule="exact"/>
        <w:rPr>
          <w:rFonts w:ascii="Arial" w:cs="Arial" w:eastAsia="Arial" w:hAnsi="Arial"/>
          <w:sz w:val="16"/>
          <w:szCs w:val="16"/>
          <w:color w:val="auto"/>
        </w:rPr>
      </w:pPr>
    </w:p>
    <w:p>
      <w:pPr>
        <w:ind w:left="420" w:right="20" w:hanging="394"/>
        <w:spacing w:after="0" w:line="234"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1" w:lineRule="exact"/>
        <w:rPr>
          <w:rFonts w:ascii="Arial" w:cs="Arial" w:eastAsia="Arial" w:hAnsi="Arial"/>
          <w:sz w:val="18"/>
          <w:szCs w:val="18"/>
          <w:color w:val="auto"/>
        </w:rPr>
      </w:pPr>
    </w:p>
    <w:p>
      <w:pPr>
        <w:ind w:left="420" w:hanging="394"/>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22" w:lineRule="exact"/>
        <w:rPr>
          <w:rFonts w:ascii="Arial" w:cs="Arial" w:eastAsia="Arial" w:hAnsi="Arial"/>
          <w:sz w:val="18"/>
          <w:szCs w:val="18"/>
          <w:color w:val="auto"/>
        </w:rPr>
      </w:pPr>
    </w:p>
    <w:p>
      <w:pPr>
        <w:jc w:val="both"/>
        <w:ind w:left="420" w:right="20" w:hanging="394"/>
        <w:spacing w:after="0" w:line="237" w:lineRule="auto"/>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Arial" w:cs="Arial" w:eastAsia="Arial" w:hAnsi="Arial"/>
          <w:sz w:val="17"/>
          <w:szCs w:val="17"/>
          <w:color w:val="auto"/>
        </w:rPr>
      </w:pPr>
    </w:p>
    <w:p>
      <w:pPr>
        <w:jc w:val="both"/>
        <w:ind w:left="420" w:right="20" w:hanging="394"/>
        <w:spacing w:after="0" w:line="219"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adjustments include (representing deductions or additions to Adjusted Net Income)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ind w:left="420" w:hanging="394"/>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tax effect of the total adjustments made to arrive at Adjusted Net Income at our historical tax rate.</w:t>
      </w:r>
    </w:p>
    <w:p>
      <w:pPr>
        <w:spacing w:after="0" w:line="22" w:lineRule="exact"/>
        <w:rPr>
          <w:rFonts w:ascii="Arial" w:cs="Arial" w:eastAsia="Arial" w:hAnsi="Arial"/>
          <w:sz w:val="18"/>
          <w:szCs w:val="18"/>
          <w:color w:val="auto"/>
        </w:rPr>
      </w:pPr>
    </w:p>
    <w:p>
      <w:pPr>
        <w:ind w:left="420" w:right="20" w:hanging="394"/>
        <w:spacing w:after="0" w:line="257" w:lineRule="auto"/>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the retrospective tax effect of Adjusted Net Income at our estimated effective tax rate of approximately 25% for periods prior to October 1, 2020, the effective date of our conversion to a C-Corporation, upon which we became subject to federal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net cash provided by operating activities to Adjusted Free Cash Flow for the periods presented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gridSpan w:val="5"/>
          </w:tcPr>
          <w:p>
            <w:pPr>
              <w:ind w:left="780"/>
              <w:spacing w:after="0"/>
              <w:rPr>
                <w:sz w:val="20"/>
                <w:szCs w:val="20"/>
                <w:color w:val="auto"/>
              </w:rPr>
            </w:pPr>
            <w:r>
              <w:rPr>
                <w:rFonts w:ascii="Arial" w:cs="Arial" w:eastAsia="Arial" w:hAnsi="Arial"/>
                <w:sz w:val="18"/>
                <w:szCs w:val="18"/>
                <w:b w:val="1"/>
                <w:bCs w:val="1"/>
                <w:color w:val="auto"/>
              </w:rPr>
              <w:t>Thirteen Weeks Ended</w:t>
            </w:r>
          </w:p>
        </w:tc>
        <w:tc>
          <w:tcPr>
            <w:tcW w:w="180" w:type="dxa"/>
            <w:vAlign w:val="bottom"/>
          </w:tcPr>
          <w:p>
            <w:pPr>
              <w:spacing w:after="0"/>
              <w:rPr>
                <w:sz w:val="20"/>
                <w:szCs w:val="20"/>
                <w:color w:val="auto"/>
              </w:rPr>
            </w:pPr>
          </w:p>
        </w:tc>
        <w:tc>
          <w:tcPr>
            <w:tcW w:w="3480" w:type="dxa"/>
            <w:vAlign w:val="bottom"/>
            <w:gridSpan w:val="4"/>
          </w:tcPr>
          <w:p>
            <w:pPr>
              <w:ind w:left="64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3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November 2, 2019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November 2, 2019</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Net cash provided by (used in)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83,597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w w:val="98"/>
              </w:rPr>
              <w:t>857,218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87"/>
              </w:rPr>
              <w:t>94,756</w:t>
            </w: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5"/>
              </w:rPr>
              <w:t>Net cash provided by (used in) investing activities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w w:val="92"/>
              </w:rPr>
              <w:t>(13,790)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92"/>
              </w:rPr>
              <w:t>(52,579)</w:t>
            </w:r>
          </w:p>
        </w:tc>
      </w:tr>
      <w:tr>
        <w:trPr>
          <w:trHeight w:val="248"/>
        </w:trPr>
        <w:tc>
          <w:tcPr>
            <w:tcW w:w="3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Free Cash Flow</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83,657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w w:val="98"/>
              </w:rPr>
              <w:t>843,428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87"/>
              </w:rPr>
              <w:t>42,177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Historically, our principal sources of cash have included:</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generated from operating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issuances of debt securities;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borrowings under term loan and ABL credit facilities.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historical uses of cash have been associated primarily with:</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operating activities such as the purchase and growth of inventory, expansion of our sales and marketing activities and other working capital needs;</w:t>
      </w:r>
    </w:p>
    <w:p>
      <w:pPr>
        <w:spacing w:after="0" w:line="86" w:lineRule="exact"/>
        <w:rPr>
          <w:rFonts w:ascii="Arial" w:cs="Arial" w:eastAsia="Arial" w:hAnsi="Arial"/>
          <w:sz w:val="16"/>
          <w:szCs w:val="16"/>
          <w:color w:val="auto"/>
        </w:rPr>
      </w:pPr>
    </w:p>
    <w:p>
      <w:pPr>
        <w:ind w:left="660" w:right="100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 improvements and support of expansion plans, as well as various investments in store remodeling, store fixtures and on-going infrastructure improvements;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paying debt obligations and related interest expense;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paying partnership distributions to our members;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working capital due to timing differences of cash receipts and cash disbursements.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October 31, 2020, our cash and cash equivalents totaled $869.7 million.</w:t>
      </w:r>
    </w:p>
    <w:p>
      <w:pPr>
        <w:spacing w:after="0" w:line="1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focused on navigating the recent challenges presented by COVID-19 through the preservation of our long-term liquidity and management of cash flow through preemptive actions to enhance our ability to meet our short-term liquidity needs. During the year-to-date 2020, we have taken various cost cutting measures to maximize operational cash flows (see "Impact of COVID-19 on Our Business" in the MD&amp;A). Such actions include, but are not limited to, reduction of discretionary spending, deferring or cancelling our planned expenses, revisiting and reprioritizing our strategic investments, and reducing our payroll costs, including temporary team member furloughs, workforce reductions and pay cuts.</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August 28, 2020, we paid a $257.0 million one-time special distribution to our members of record as of August 25, 2020, $248.0 million of which was paid with cash on hand and the remainder of which was distributed through an offset of outstanding loans receivable from a member as well as state income tax withholdings made on behalf of NAHC's members. Related cash payments of $20.7 million to vested share-based award holders was paid through October 31, 2020 and an additional $12.1 million of payments will be made to unvested share-based award holders as the related awards vest (see "Distribution" in Note 10 to the financial statements included in this Quarterly Report).</w:t>
      </w:r>
    </w:p>
    <w:p>
      <w:pPr>
        <w:spacing w:after="0" w:line="12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October 6, 2020, we completed our IPO in which we issued and sold 15,625,000 shares of common stock, $0.01 par value, to the IPO underwriters for cash consideration of $12.22 per share (representing an initial public offering price of $13.00 per share, net of underwriting discounts) that resulted in net proceeds of approximately $184.9 million after deducting underwriting discounts, which included approximately $2.7 million paid to KKR Capital Markets LLC ("KCM"), an affiliate of KKR, for underwriting services in connection with the IPO, and $6.1 million in costs directly associated with the IPO, such as legal and accounting fees (see "Initial Public Offering and Reorganization Transactions" in Note 1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6" w:name="page47"/>
    <w:bookmarkEnd w:id="46"/>
    <w:p>
      <w:pPr>
        <w:jc w:val="both"/>
        <w:spacing w:after="0" w:line="342" w:lineRule="auto"/>
        <w:rPr>
          <w:sz w:val="20"/>
          <w:szCs w:val="20"/>
          <w:color w:val="auto"/>
        </w:rPr>
      </w:pPr>
      <w:r>
        <w:rPr>
          <w:rFonts w:ascii="Arial" w:cs="Arial" w:eastAsia="Arial" w:hAnsi="Arial"/>
          <w:sz w:val="16"/>
          <w:szCs w:val="16"/>
          <w:color w:val="auto"/>
        </w:rPr>
        <w:t>included in this Quarterly Report). The shares sold in the offering were registered under the Securities Act of 1933, as amended, pursuant to our registration statement on Form S-1 (File No. 333-248683, which was declared effective by the Securities and Exchange Commission on October 1, 2020).</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Subsequent to the third quarter, on November 3, 2020, the Company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(see "Initial Public Offering and Reorganization Transactions" in Note 1 to the financial statements included in this Quarterly Report), which included $0.3 million paid to KCM, for underwriting services, pursuant to the partial exercise by the underwriters of their option to purchase up to 2,343,750 additional shares to cover over-allotments in connection with our IPO. The option has expired with respect to the remaining shares (see Note 15 to the financial statements included in this Quarterly Report).</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Subsequent to the third quarter, on November 6, 2020, the Company (1) issued $400.0 million of 6.00% senior secured notes (the "2020 Notes"), which are due November 15, 2027, (2) entered into a $400.0 million first lien term loan facility (the "2020 Term Loan Facility"), which is due November 6, 2027 and (3) extended the maturity of Academy, Ltd.’s asset-based revolving credit facility thereunder to November 6, 2025 (as extended, the "2020 ABL Facility") (see Note 15 to the financial statements included in this Quarterly Report). We used the net proceeds from the 2020 Notes and the net proceeds from the 2020 Term Loan Facility, together with cash on hand, to repay in full our existing term loan, in the amount of $1,431.4 million (see Note 15 to the financial statements included in this Quarterly Report).</w:t>
      </w:r>
    </w:p>
    <w:p>
      <w:pPr>
        <w:spacing w:after="0" w:line="13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expect to use existing cash balances, internally generated cash flows, and available borrowings under the 2020 ABL Facility to fund anticipated capital expenditures, working capital needs and scheduled debt service costs and maturities over at least the next twelve months. The 2020 ABL Facility provides for these financing needs and other general corporate purposes, as well as to support certain letter of credit requirements. We may continue to use the 2020 ABL Facility to repay debt under the 2020 Term Loan Facility. Availability under the 2020 ABL Facility is subject to customary asset-backed loan borrowing base and availability provisions. Amounts outstanding under the 2020 ABL Facility may fluctuate materially during each quarter mainly due to cash flow from operations, normal changes in working capital, capital expenditures and debt service costs. Our availability under the 2020 ABL Facility during the peak borrowing days of the year-to-date 2020 was ample to support our operations and service our requirements.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Liquidity information related to our ABL facility is as follows for the periods shown (dollar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Pr>
          <w:p>
            <w:pPr>
              <w:spacing w:after="0"/>
              <w:rPr>
                <w:sz w:val="19"/>
                <w:szCs w:val="19"/>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November 2, 2019</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funds drawn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168,864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34,891</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Number of days with outstanding balance</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daily amount outstanding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147,100</w:t>
            </w:r>
          </w:p>
        </w:tc>
      </w:tr>
      <w:tr>
        <w:trPr>
          <w:trHeight w:val="234"/>
        </w:trPr>
        <w:tc>
          <w:tcPr>
            <w:tcW w:w="7560" w:type="dxa"/>
            <w:vAlign w:val="bottom"/>
          </w:tcPr>
          <w:p>
            <w:pPr>
              <w:ind w:left="20"/>
              <w:spacing w:after="0"/>
              <w:rPr>
                <w:sz w:val="20"/>
                <w:szCs w:val="20"/>
                <w:color w:val="auto"/>
              </w:rPr>
            </w:pPr>
            <w:r>
              <w:rPr>
                <w:rFonts w:ascii="Arial" w:cs="Arial" w:eastAsia="Arial" w:hAnsi="Arial"/>
                <w:sz w:val="18"/>
                <w:szCs w:val="18"/>
                <w:color w:val="auto"/>
              </w:rPr>
              <w:t>Minimum available borrowing capacity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161,089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771,750</w:t>
            </w:r>
          </w:p>
        </w:tc>
      </w:tr>
    </w:tbl>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Liquidity information related to our ABL facility (amounts in thousands) as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31, 2020</w:t>
            </w: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 2020</w:t>
            </w:r>
          </w:p>
        </w:tc>
        <w:tc>
          <w:tcPr>
            <w:tcW w:w="180" w:type="dxa"/>
            <w:vAlign w:val="bottom"/>
          </w:tcPr>
          <w:p>
            <w:pPr>
              <w:spacing w:after="0"/>
              <w:rPr>
                <w:sz w:val="20"/>
                <w:szCs w:val="20"/>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November 2, 2019</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borrowings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44,300</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Issued letters of credit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21,112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15,927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14,427</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borrowing capacity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844,712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941,273</w:t>
            </w:r>
          </w:p>
        </w:tc>
      </w:tr>
    </w:tbl>
    <w:p>
      <w:pPr>
        <w:spacing w:after="0" w:line="33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We expect capital expenditures for fiscal year 2020 to be approximately $46.6 million. Approximately 65% of our planned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outflow relate to investments in our corporate, e-commerce and information technology programs. Investments in existing stores and distribution centers is expected to account for approximately 30% of the planned cash outflow and the remaining 5% is expected to be utilized through investments in store remodels. We review forecasted capital expenditures throughout the year and will adjust or modify projects based on business conditions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r>
              <w:rPr>
                <w:rFonts w:ascii="Arial" w:cs="Arial" w:eastAsia="Arial" w:hAnsi="Arial"/>
                <w:sz w:val="18"/>
                <w:szCs w:val="18"/>
                <w:b w:val="1"/>
                <w:bCs w:val="1"/>
                <w:i w:val="1"/>
                <w:iCs w:val="1"/>
                <w:color w:val="auto"/>
                <w:w w:val="97"/>
              </w:rPr>
              <w:t>Cash Flows for the Thirty-Nine Weeks Ended October 31, 2020 and November 2, 2019</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9"/>
        </w:trPr>
        <w:tc>
          <w:tcPr>
            <w:tcW w:w="7120" w:type="dxa"/>
            <w:vAlign w:val="bottom"/>
          </w:tcPr>
          <w:p>
            <w:pPr>
              <w:ind w:left="340"/>
              <w:spacing w:after="0"/>
              <w:rPr>
                <w:sz w:val="20"/>
                <w:szCs w:val="20"/>
                <w:color w:val="auto"/>
              </w:rPr>
            </w:pPr>
            <w:r>
              <w:rPr>
                <w:rFonts w:ascii="Arial" w:cs="Arial" w:eastAsia="Arial" w:hAnsi="Arial"/>
                <w:sz w:val="18"/>
                <w:szCs w:val="18"/>
                <w:color w:val="auto"/>
              </w:rPr>
              <w:t>Our unaudited statements of cash flows are summarized as follows (in thousands):</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18"/>
        </w:trPr>
        <w:tc>
          <w:tcPr>
            <w:tcW w:w="7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4"/>
          </w:tcPr>
          <w:p>
            <w:pPr>
              <w:ind w:left="840"/>
              <w:spacing w:after="0"/>
              <w:rPr>
                <w:sz w:val="20"/>
                <w:szCs w:val="20"/>
                <w:color w:val="auto"/>
              </w:rPr>
            </w:pPr>
            <w:r>
              <w:rPr>
                <w:rFonts w:ascii="Arial" w:cs="Arial" w:eastAsia="Arial" w:hAnsi="Arial"/>
                <w:sz w:val="18"/>
                <w:szCs w:val="18"/>
                <w:b w:val="1"/>
                <w:bCs w:val="1"/>
                <w:color w:val="auto"/>
              </w:rPr>
              <w:t>Thirty-Nine Weeks Ended</w:t>
            </w:r>
          </w:p>
        </w:tc>
      </w:tr>
      <w:tr>
        <w:trPr>
          <w:trHeight w:val="223"/>
        </w:trPr>
        <w:tc>
          <w:tcPr>
            <w:tcW w:w="7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2"/>
          </w:tcPr>
          <w:p>
            <w:pPr>
              <w:ind w:left="120"/>
              <w:spacing w:after="0"/>
              <w:rPr>
                <w:sz w:val="20"/>
                <w:szCs w:val="20"/>
                <w:color w:val="auto"/>
              </w:rPr>
            </w:pPr>
            <w:r>
              <w:rPr>
                <w:rFonts w:ascii="Arial" w:cs="Arial" w:eastAsia="Arial" w:hAnsi="Arial"/>
                <w:sz w:val="18"/>
                <w:szCs w:val="18"/>
                <w:b w:val="1"/>
                <w:bCs w:val="1"/>
                <w:color w:val="auto"/>
              </w:rPr>
              <w:t>October 31, 2020</w:t>
            </w:r>
          </w:p>
        </w:tc>
        <w:tc>
          <w:tcPr>
            <w:tcW w:w="200" w:type="dxa"/>
            <w:vAlign w:val="bottom"/>
          </w:tcPr>
          <w:p>
            <w:pPr>
              <w:spacing w:after="0"/>
              <w:rPr>
                <w:sz w:val="19"/>
                <w:szCs w:val="19"/>
                <w:color w:val="auto"/>
              </w:rPr>
            </w:pPr>
          </w:p>
        </w:tc>
        <w:tc>
          <w:tcPr>
            <w:tcW w:w="1820" w:type="dxa"/>
            <w:vAlign w:val="bottom"/>
          </w:tcPr>
          <w:p>
            <w:pPr>
              <w:ind w:left="120"/>
              <w:spacing w:after="0"/>
              <w:rPr>
                <w:sz w:val="20"/>
                <w:szCs w:val="20"/>
                <w:color w:val="auto"/>
              </w:rPr>
            </w:pPr>
            <w:r>
              <w:rPr>
                <w:rFonts w:ascii="Arial" w:cs="Arial" w:eastAsia="Arial" w:hAnsi="Arial"/>
                <w:sz w:val="18"/>
                <w:szCs w:val="18"/>
                <w:b w:val="1"/>
                <w:bCs w:val="1"/>
                <w:color w:val="auto"/>
              </w:rPr>
              <w:t>November 2, 2019</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857,218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87"/>
              </w:rPr>
              <w:t>94,756</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(13,790)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center"/>
              <w:ind w:left="1070"/>
              <w:spacing w:after="0"/>
              <w:rPr>
                <w:sz w:val="20"/>
                <w:szCs w:val="20"/>
                <w:color w:val="auto"/>
              </w:rPr>
            </w:pPr>
            <w:r>
              <w:rPr>
                <w:rFonts w:ascii="Arial" w:cs="Arial" w:eastAsia="Arial" w:hAnsi="Arial"/>
                <w:sz w:val="18"/>
                <w:szCs w:val="18"/>
                <w:color w:val="auto"/>
                <w:w w:val="92"/>
              </w:rPr>
              <w:t>(52,579)</w:t>
            </w: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(123,088)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center"/>
              <w:ind w:left="1070"/>
              <w:spacing w:after="0"/>
              <w:rPr>
                <w:sz w:val="20"/>
                <w:szCs w:val="20"/>
                <w:color w:val="auto"/>
              </w:rPr>
            </w:pPr>
            <w:r>
              <w:rPr>
                <w:rFonts w:ascii="Arial" w:cs="Arial" w:eastAsia="Arial" w:hAnsi="Arial"/>
                <w:sz w:val="18"/>
                <w:szCs w:val="18"/>
                <w:color w:val="auto"/>
                <w:w w:val="92"/>
              </w:rPr>
              <w:t>(74,330)</w:t>
            </w:r>
          </w:p>
        </w:tc>
      </w:tr>
      <w:tr>
        <w:trPr>
          <w:trHeight w:val="223"/>
        </w:trPr>
        <w:tc>
          <w:tcPr>
            <w:tcW w:w="7120" w:type="dxa"/>
            <w:vAlign w:val="bottom"/>
          </w:tcPr>
          <w:p>
            <w:pPr>
              <w:ind w:left="24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720,340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color w:val="auto"/>
                <w:w w:val="92"/>
              </w:rPr>
              <w:t>(32,153)</w:t>
            </w:r>
          </w:p>
        </w:tc>
      </w:tr>
      <w:tr>
        <w:trPr>
          <w:trHeight w:val="20"/>
        </w:trPr>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consists primarily of net income adjusted for non-cash items, including depreciation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amortization, non-cash lease expense, equity compensation, amortization of deferred loan and other costs, non-cash gain on early retirement of debt, net, and changes in assets and liabilities, loss on swaps from debt refinancing and deferred income taxes. Cash flows from operating activities are seasonal in our business. Typically, cash flows from operations are used to build inventory in advance of peak selling seasons, with the fourth quarter pre-holiday season inventory increase being the most significant.</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provided by operating activities in the year-to-date 2020 increased $762.5 million, compared to the year-to-date 2019. This increase in cash was attributable to:</w:t>
      </w:r>
    </w:p>
    <w:p>
      <w:pPr>
        <w:spacing w:after="0" w:line="11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$599.1 million net increase in cash flows provided by operating assets and liabilities;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$114.9 million increase in net income;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$48.4 million increase in non-cash charges.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cash flows from operating assets and liabilities for the year-to-date 2020 compared to the year-to-date 2019 was primarily attributable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57" w:lineRule="exact"/>
        <w:rPr>
          <w:sz w:val="20"/>
          <w:szCs w:val="20"/>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$214.5 million decrease in merchandise inventories, net due to inventory reductions from high sell through in the current year-to-date, coupled with an increase in inventory during the prior year;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$340.1 million increase in accounts payable related to increased inventory receipts in recent months and extensions of vendor payment terms.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from non-cash charges for the year-to-date 2020 compared to the year-to-date 2019 was primarily caused by:</w:t>
      </w:r>
    </w:p>
    <w:p>
      <w:pPr>
        <w:spacing w:after="0" w:line="171" w:lineRule="exact"/>
        <w:rPr>
          <w:sz w:val="20"/>
          <w:szCs w:val="20"/>
          <w:color w:val="auto"/>
        </w:rPr>
      </w:pPr>
    </w:p>
    <w:p>
      <w:pPr>
        <w:ind w:left="660" w:right="34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$34.4 million decrease in non-cash gains on the early retirement of debt, net resulting from lower current year-to-date principal repurchases of portions of our 2015 Term Loan Facility;</w:t>
      </w:r>
    </w:p>
    <w:p>
      <w:pPr>
        <w:spacing w:after="0" w:line="8" w:lineRule="exact"/>
        <w:rPr>
          <w:rFonts w:ascii="Arial" w:cs="Arial" w:eastAsia="Arial" w:hAnsi="Arial"/>
          <w:sz w:val="18"/>
          <w:szCs w:val="18"/>
          <w:color w:val="auto"/>
        </w:rPr>
      </w:pPr>
    </w:p>
    <w:p>
      <w:pPr>
        <w:ind w:left="660" w:right="360" w:hanging="328"/>
        <w:spacing w:after="0" w:line="316"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$21.2 million increase in stock compensation expense, which includes approximately $19.9 million of stock compensation associated with the expensing of certain outstanding restricted stock units as a result of the liquidity condition being achieved upon completion of our IPO;</w:t>
      </w:r>
    </w:p>
    <w:p>
      <w:pPr>
        <w:spacing w:after="0" w:line="1" w:lineRule="exact"/>
        <w:rPr>
          <w:rFonts w:ascii="Arial" w:cs="Arial" w:eastAsia="Arial" w:hAnsi="Arial"/>
          <w:sz w:val="16"/>
          <w:szCs w:val="16"/>
          <w:color w:val="auto"/>
        </w:rPr>
      </w:pPr>
    </w:p>
    <w:p>
      <w:pPr>
        <w:ind w:left="660" w:right="24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$12.4 million increase in non-cash lease expense due to timing of rent payments and 46 lease extensions executed during the year-to-date 2020; partially offset by</w:t>
      </w:r>
    </w:p>
    <w:p>
      <w:pPr>
        <w:spacing w:after="0" w:line="8"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$11.5 million decrease related to increased deferred income tax accruals as a result of the Company becoming subject to federal income taxes in connection with the Reorganization Transactions;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$9.0 million decrease in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b w:val="1"/>
          <w:bCs w:val="1"/>
          <w:i w:val="1"/>
          <w:iCs w:val="1"/>
          <w:color w:val="auto"/>
        </w:rPr>
        <w:t>Investing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details the amounts of capital expenditures for each period indicated (amounts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5"/>
          </w:tcPr>
          <w:p>
            <w:pPr>
              <w:ind w:left="780"/>
              <w:spacing w:after="0"/>
              <w:rPr>
                <w:sz w:val="20"/>
                <w:szCs w:val="20"/>
                <w:color w:val="auto"/>
              </w:rPr>
            </w:pPr>
            <w:r>
              <w:rPr>
                <w:rFonts w:ascii="Arial" w:cs="Arial" w:eastAsia="Arial" w:hAnsi="Arial"/>
                <w:sz w:val="18"/>
                <w:szCs w:val="18"/>
                <w:b w:val="1"/>
                <w:bCs w:val="1"/>
                <w:color w:val="auto"/>
              </w:rPr>
              <w:t>Thirty-Nine Weeks Ended</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October 31, 2020</w:t>
            </w: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November 2, 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248"/>
        </w:trPr>
        <w:tc>
          <w:tcPr>
            <w:tcW w:w="55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(26,699)</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decreased $38.8 million in the current year-to-date compared to the same period last year. The decrease in cash used in investing activities is primarily due to:</w:t>
      </w:r>
    </w:p>
    <w:p>
      <w:pPr>
        <w:spacing w:after="0" w:line="116" w:lineRule="exact"/>
        <w:rPr>
          <w:sz w:val="20"/>
          <w:szCs w:val="20"/>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$26.7 million less capital expenditures due to a planned overall reduction in the year-to-date 2020 led by a reduction in new stores and store remodeling; and</w:t>
      </w:r>
    </w:p>
    <w:p>
      <w:pPr>
        <w:spacing w:after="0" w:line="8"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$12.1 million increase related to cash proceeds as a result of repayment of notes receivable from a one NAHC member during the year-to-date 2020 compared to cash outflow related to the issuance of a note receivable to one NAHC member in 2019.</w:t>
      </w:r>
    </w:p>
    <w:p>
      <w:pPr>
        <w:spacing w:after="0" w:line="193"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b w:val="1"/>
          <w:bCs w:val="1"/>
          <w:i w:val="1"/>
          <w:iCs w:val="1"/>
          <w:color w:val="auto"/>
        </w:rPr>
        <w:t>Financing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in financing activities increased $48.8 million in the year-to-date 2020, compared to the same period last year.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primary drivers of the increase were:</w:t>
      </w:r>
    </w:p>
    <w:p>
      <w:pPr>
        <w:spacing w:after="0" w:line="112" w:lineRule="exact"/>
        <w:rPr>
          <w:sz w:val="20"/>
          <w:szCs w:val="20"/>
          <w:color w:val="auto"/>
        </w:rPr>
      </w:pPr>
    </w:p>
    <w:p>
      <w:pPr>
        <w:ind w:left="660" w:right="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$277.7 million increase in cash outflow resulting from a distribution to NAHC's members and related share-based award payments which occurred in the year-to-date 2020;</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$44.3 million increase in cash outflow due to decreased net proceeds from the ABL facility;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$184.9 million of net proceeds from the issuance of common stock during the third quarter of 2020, net of offering costs;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$88.6 million decrease in cash outflows related to lower current year-to-date principal repurchases of portions of our term loan facility.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upon our unaudited financial statements, which have been prepared in accordance with accounting principles generally accepted in the United States of America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2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Management evaluated the development and selection or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additional unforeseen effects from the COVID-19 pandemic, these estimates are becoming more challenging, and actual results could differ materially from our estimates. More information on all of our significant accounting policies can be found in Note 2, "Summary of Significant Critical Accounting Policies and Estimates" to our audited consolidated financial statements included in the Prospectus and the section of the Prospectus entitled "Management's Discussion and Analysis of Financial Condition and Results of Operations." There have been no material changes to our critical accounting policies as compared to the critical accounting policies described in the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set forth in Note 2 to our unaudited consolidated financial statements under Part I, Item 1 of this Quarterly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set forth in Note 13 to our unaudited consolidated financial statements under Part I, Item 1 under the heading of this Quarterly Report entitled "Related Party Transactions"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October 31, 2020, our off-balance sheet contractual obligations and commercial commitments relate to future minimum guaranteed contractual payments and letters of credit. There have been no other material changes in our off-balance sheet arrangements as discussed in the section of the Prospectus entitled "Management's Discussion and Analysis of Financial Condition and Results of Operations" or our audited financial statements for the fiscal year ended February 1, 2020 included in the "Off-Balance Sheet Arrangements" section of the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contractual obligations and commercial commitments primarily relate to our debt facilities and senior secured notes, operating leases for stores, distribution centers, and office buildings, technology related commitments, the Monitoring Agreement, and sponsorship and intellectual property agreements. Other than fluctuations from transactions in the ordinary course of business, there were no material changes during the quarter ended October 31, 2020 to the contractual obligations and commercial commitments disclosed in "Contractual Obligations and Commercial Commitments" in the section of the Prospectus entitled "Management's Discussion and Analysis of Financial Condition and Results of Operations", other than the termination of the Monitoring Agreement as described in Note 13 to the financial statements included in this Quarterly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300" w:firstLine="324"/>
        <w:spacing w:after="0" w:line="248" w:lineRule="auto"/>
        <w:rPr>
          <w:sz w:val="20"/>
          <w:szCs w:val="20"/>
          <w:color w:val="auto"/>
        </w:rPr>
      </w:pPr>
      <w:r>
        <w:rPr>
          <w:rFonts w:ascii="Arial" w:cs="Arial" w:eastAsia="Arial" w:hAnsi="Arial"/>
          <w:sz w:val="18"/>
          <w:szCs w:val="18"/>
          <w:color w:val="auto"/>
        </w:rPr>
        <w:t>Except as disclosed in Note 15 to our consolidated financial statements included in Part I, there have been no material changes in our primary risk exposures or management of market risks from those disclosed in the Prospectus under "Management’s Discussion and Analysis of Financial Condition and Results of Operations – Quantitative and Qualitative Disclosures About Market Risk."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material developments during the 2020 third quarter with respect to any of the matters discussed under the heading "Business– Legal Proceedings" in the Prospectus. We are not currently party to any other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You should carefully consider the risk factors discussed in the section of the Prospectus entitled "Risk Factors", which could materially affect our business, financial condition or future results. The risks described in the Prospectus are not the only risks facing the Company. Additional risks and uncertainties not currently known to us or that we currently deem to be immaterial also may materially adversely affect our business, financial condition or future results. In addition to the effects of the COVID-19 pandemic and resulting global disruptions on our business and operations discussed in the MD&amp;A in this Quarterly Report and in the Risk Factors section of the Prospectus, additional or unforeseen effects from the COVID-19 pandemic and the global economic climate may give rise to or amplify many of these risks. Except as set forth below, there have been no material changes to the risk factors discussed in the section of the Prospectus entitled "Risk Factors".</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Refinancing Transactions, we are updating the following risk factors discussed under the heading "Risks Related to Our Indebtedness" in the section of the Prospectus entitled "Risk Factors".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Our high level of indebtedness requires that we dedicate a substantial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133"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As of October 31, 2020, after giving effect to the Refinancing Transactions, we would have had approximately $800.0 million of outstanding indebtedness, all of which would be secured, with $844.7 million of unused availability under the ABL Facility (which is subject to customary borrowing conditions, including a borrowing base), and outstanding letters of credit of $30.8 million, $21.1 million of which were issued under the ABL Facility.</w:t>
      </w:r>
    </w:p>
    <w:p>
      <w:pPr>
        <w:spacing w:after="0" w:line="9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overall level of indebtedness requires that we dedicate a substantial portion of our cash flows to debt service payments. Our substantial indebtedness reduces the funds that would otherwise be available for operations, future business opportunities and payments of our debt obligations and limits our ability to:</w:t>
      </w:r>
    </w:p>
    <w:p>
      <w:pPr>
        <w:spacing w:after="0" w:line="130" w:lineRule="exact"/>
        <w:rPr>
          <w:sz w:val="20"/>
          <w:szCs w:val="20"/>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additional financing, if necessary, for working capital and operations, or such financing may not be available on favorable terms;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joint ventures;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react to changes or withstand a future downturn in our business, the industry or the economy in general;</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meet store growth, distribution center expansion, e-commerce growth, budget targets and forecasts of future results;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react to competitive pressures or compete with competitors with less debt.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both"/>
        <w:ind w:firstLine="324"/>
        <w:spacing w:after="0" w:line="277" w:lineRule="auto"/>
        <w:rPr>
          <w:sz w:val="20"/>
          <w:szCs w:val="20"/>
          <w:color w:val="auto"/>
        </w:rPr>
      </w:pPr>
      <w:r>
        <w:rPr>
          <w:rFonts w:ascii="Arial" w:cs="Arial" w:eastAsia="Arial" w:hAnsi="Arial"/>
          <w:sz w:val="18"/>
          <w:szCs w:val="18"/>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10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we are unable to generate sufficient cash flow to permit us to make scheduled service payments on our debt, including the notes, then we will be in default and holders of that debt could declare all outstanding principal and interest to be due and payable. If our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Senior Secured Credit Facilities and/or holders of the notes could foreclose against the assets securing their borrowings, and we could be forced into bankruptcy or liquidation.</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Despite our high level of indebtedness, we may still be able to incur substantially more debt, which could further increase the risks to our financial condition described above.</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Despite our high level of indebtedness, we may be able to incur significant additional indebtedness in the future, including off-balance sheet financings, trade credit, contractual obligations and general and commercial liabilities. Although the credit agreements governing the Senior Secured Credit Facilities and the indenture governing the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and additionally we have further borrowing capacity under the ABL Facility. As of October 31, 2020, after giving effect to the Refinancing Transactions, we would have had no borrowings outstanding under the ABL Facility, and an available borrowing capacity under the ABL Facility of approximately $844.7 million (which is subject to customary borrowing conditions, including a borrowing base). We may be able to increase the commitments under the ABL Facility by $250.0 million, subject to certain conditions. We may also be able to increase the capacity under the Term Loan Facility by up to the greater of (x) $480.0 million and (y) 100% of Consolidated EBITDA (as defined in the Term Loan Facility), plus an additional amount, subject to certain conditions, which borrowings would be secured indebtedness. The addition of new debt to our current debt levels could further exacerbate the related risks to our financial condition that we now face.</w:t>
      </w:r>
    </w:p>
    <w:p>
      <w:pPr>
        <w:spacing w:after="0" w:line="1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If we are unable to generate sufficient cash to service all of our indebtedness, including the notes, we may be forced to take other actions to fund the satisfaction of our obligations under our indebtedness, which may not be successful.</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including on the notes. Even if new financing were available, it may be on terms that are less attractive to us than our then existing indebtedness or it may not be on terms that are acceptable to us. In addition, the credit agreements governing the Senior Secured Credit Facilities and the indenture governing the notes will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1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we cannot generate sufficient cash flow to permit us to make scheduled payments on our debt, including the notes, then we will be in default and holders of that debt could declare all outstanding principal and interest to be due and payable. If our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Senior Secured Credit Facilities and/or holders of the notes could foreclose against the assets securing their borrowings and we could be forced into bankruptcy or liquidation.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2" w:name="page53"/>
    <w:bookmarkEnd w:id="52"/>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The terms of our outstanding indebtedness may restrict our current and future operations, particularly our ability to respond to changes or to take certain actions.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agreements governing the Senior Secured Credit Facilities and the indenture governing the notes contain restrictive covenants that impose significant operating and financial restrictions on us and may limit our ability to engage in acts that may be in our best interest, including restrictions on our ability to:</w:t>
      </w:r>
    </w:p>
    <w:p>
      <w:pPr>
        <w:spacing w:after="0" w:line="130" w:lineRule="exact"/>
        <w:rPr>
          <w:sz w:val="20"/>
          <w:szCs w:val="20"/>
          <w:color w:val="auto"/>
        </w:rPr>
      </w:pPr>
    </w:p>
    <w:p>
      <w:pPr>
        <w:ind w:left="440" w:hanging="108"/>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dividends or make other distributions in respect of, or repurchase or redeem, capital stock;</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loans, investments and other restricted payments;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at certain times, the ABL Facility requires maintenance of a certain minimum adjusted fixed charge coverage ratio. Our ability to comply with the covenants and restrictions contained in the credit agreements and the indenture may be affected by events beyond our control. If market or other economic conditions deteriorate, our ability to comply with these covenants and restrictions may be impaired.</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indebtedness were to be accelerated, there can be no assurance that we would have, or be able to obtain, sufficient funds to repay such indebtedness in full. In addition, an event of default under the credit agreement governing the ABL Facility would permit the lenders under our ABL Facility to terminate all commitments to extend further credit under that facility. Furthermore, if we were unable to repay the amounts due and payable under our secured indebtedness, the lenders/holders of such indebtedness could proceed against the collateral granted to them to secure that indebtedness, and we could be forced into bankruptcy or liquidation.</w:t>
      </w:r>
    </w:p>
    <w:p>
      <w:pPr>
        <w:spacing w:after="0" w:line="12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a result of the IPO Over-Allotment Exercise, as discussed in Part II, Item 2 "Use of Proceeds", we are updating the following risk factors discussed under the heading "Risks Related to this Offering and Ownership of Our Common Stock" in the section of the Prospectus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6"/>
          <w:szCs w:val="16"/>
          <w:color w:val="auto"/>
        </w:rPr>
        <w:t>On October 6, 2020, the Company completed its initial public offering of 15,625,000 shares of its common stock, $0.01 par value per share ("Common Stock"), for cash consideration of $13.00 per share ($12.22 per share, net of underwriting discounts), resulting in approximately $184.9 million in net proceeds. On November 3, 2020, the Company issued and sold an additional 1,807,495 shares of the Company's Common Stock for cash consideration of $13.00 per share ($12.22 per share, net of underwriting discounts) pursuant to the partial exercise of the underwriters over-allotment option, resulting in approximately $22.1 million in further net proceeds. The Common Stock is listed on the NASDAQ Global Select Market under the symbol "ASO". The offering was registered under the Securities Act of 1933, as amended (the "Securities Act"), on a registration statement on Form S-1 (Registration No. 333-248683), as amended (the "Registration Statement"), which was declared effective by the SEC on October 1, 2020.</w:t>
      </w:r>
    </w:p>
    <w:p>
      <w:pPr>
        <w:spacing w:after="0" w:line="10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As detailed in the Company's Current Report on Form 8-K filed on November 6, 2020, the Company utilized the net proceeds from the initial public offering, together with the net proceeds from the 2020 Notes, the net proceeds from the Term Loan Facility, and cash on hand, to repay in full borrowings outstanding under our existing term loan, in the amount of $1,431.4 million.</w:t>
      </w:r>
    </w:p>
    <w:p>
      <w:pPr>
        <w:spacing w:after="0" w:line="12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Credit Suisse Securities (USA) LLC, J.P. Morgan Securities LLC, KKR Capital Markets LLC, BofA Securities, Inc. acted as joint book-running managers and as representatives of the underwriters in the offering. Evercore Group L.L.C., Guggenheim Securities, LLC, UBS Securities LLC, and Wells Fargo Securities LLC acted as bookrunners in the offering. Stephens Inc., Capital One Securities, Inc., Loop Capital Markets LLC, CastleOak Securities, L.P., Blaylock Van, LLC, Cabrera Capital Markets, LLC, Samuel A. Ramirez &amp; Company, Inc., and R. Seelaus &amp; Co., LLC acted as co-managers in the offering. Other than a total of approximately $3.0 million paid to KKR Capital Markets ("KCM") for underwriting services in connection with the offering, no other payments were made by us to directors, officers or persons owning 10% or more of our Common Stock or to their associates, or to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Exhibit Number</w:t>
            </w:r>
          </w:p>
        </w:tc>
        <w:tc>
          <w:tcPr>
            <w:tcW w:w="9740" w:type="dxa"/>
            <w:vAlign w:val="bottom"/>
            <w:tcBorders>
              <w:bottom w:val="single" w:sz="8" w:color="auto"/>
            </w:tcBorders>
          </w:tcPr>
          <w:p>
            <w:pPr>
              <w:ind w:left="4060"/>
              <w:spacing w:after="0"/>
              <w:rPr>
                <w:sz w:val="20"/>
                <w:szCs w:val="20"/>
                <w:color w:val="auto"/>
              </w:rPr>
            </w:pPr>
            <w:r>
              <w:rPr>
                <w:rFonts w:ascii="Arial" w:cs="Arial" w:eastAsia="Arial" w:hAnsi="Arial"/>
                <w:sz w:val="18"/>
                <w:szCs w:val="18"/>
                <w:b w:val="1"/>
                <w:bCs w:val="1"/>
                <w:color w:val="auto"/>
              </w:rPr>
              <w:t>Description of Exhibit</w:t>
            </w:r>
          </w:p>
        </w:tc>
      </w:tr>
      <w:tr>
        <w:trPr>
          <w:trHeight w:val="169"/>
        </w:trPr>
        <w:tc>
          <w:tcPr>
            <w:tcW w:w="1500" w:type="dxa"/>
            <w:vAlign w:val="bottom"/>
            <w:shd w:val="clear" w:color="auto" w:fill="CCEEFF"/>
          </w:tcPr>
          <w:p>
            <w:pPr>
              <w:ind w:left="20"/>
              <w:spacing w:after="0" w:line="169" w:lineRule="exact"/>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3.1</w:t>
              </w:r>
            </w:hyperlink>
          </w:p>
        </w:tc>
        <w:tc>
          <w:tcPr>
            <w:tcW w:w="974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w w:val="95"/>
              </w:rPr>
              <w:t>Amended and Restated Certificate of Incorporation of Academy Sports and Outdoors, Inc. (incorporated herein by reference to</w:t>
            </w:r>
          </w:p>
        </w:tc>
      </w:tr>
      <w:tr>
        <w:trPr>
          <w:trHeight w:val="229"/>
        </w:trPr>
        <w:tc>
          <w:tcPr>
            <w:tcW w:w="150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Exhibit 3.1 to the Registrant’s Current Report on Form 8-K filed with the Commission on October 6, 2020).</w:t>
            </w:r>
          </w:p>
        </w:tc>
      </w:tr>
      <w:tr>
        <w:trPr>
          <w:trHeight w:val="176"/>
        </w:trPr>
        <w:tc>
          <w:tcPr>
            <w:tcW w:w="1500" w:type="dxa"/>
            <w:vAlign w:val="bottom"/>
          </w:tcPr>
          <w:p>
            <w:pPr>
              <w:ind w:left="20"/>
              <w:spacing w:after="0" w:line="176" w:lineRule="exact"/>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3.2</w:t>
              </w:r>
            </w:hyperlink>
          </w:p>
        </w:tc>
        <w:tc>
          <w:tcPr>
            <w:tcW w:w="9740" w:type="dxa"/>
            <w:vAlign w:val="bottom"/>
          </w:tcPr>
          <w:p>
            <w:pPr>
              <w:ind w:left="80"/>
              <w:spacing w:after="0" w:line="176" w:lineRule="exact"/>
              <w:rPr>
                <w:sz w:val="20"/>
                <w:szCs w:val="20"/>
                <w:color w:val="auto"/>
              </w:rPr>
            </w:pPr>
            <w:r>
              <w:rPr>
                <w:rFonts w:ascii="Arial" w:cs="Arial" w:eastAsia="Arial" w:hAnsi="Arial"/>
                <w:sz w:val="18"/>
                <w:szCs w:val="18"/>
                <w:color w:val="auto"/>
                <w:w w:val="97"/>
              </w:rPr>
              <w:t>Amended and Restated Bylaws of Academy Sports and Outdoors, Inc. (incorporated herein by reference to Exhibit 3.2 to the</w:t>
            </w:r>
          </w:p>
        </w:tc>
      </w:tr>
      <w:tr>
        <w:trPr>
          <w:trHeight w:val="229"/>
        </w:trPr>
        <w:tc>
          <w:tcPr>
            <w:tcW w:w="150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Registrant’s Current Report on Form 8-K filed with the Commission on October 6, 2020).</w:t>
            </w:r>
          </w:p>
        </w:tc>
      </w:tr>
      <w:tr>
        <w:trPr>
          <w:trHeight w:val="176"/>
        </w:trPr>
        <w:tc>
          <w:tcPr>
            <w:tcW w:w="1500" w:type="dxa"/>
            <w:vAlign w:val="bottom"/>
            <w:shd w:val="clear" w:color="auto" w:fill="CCEEFF"/>
          </w:tcPr>
          <w:p>
            <w:pPr>
              <w:ind w:left="20"/>
              <w:spacing w:after="0" w:line="176" w:lineRule="exact"/>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4.1</w:t>
              </w:r>
            </w:hyperlink>
          </w:p>
        </w:tc>
        <w:tc>
          <w:tcPr>
            <w:tcW w:w="97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1"/>
              </w:rPr>
              <w:t>Amendment to the Registration Rights Agreement, dated as of October 6, 2020, by and among Academy Sports and Outdoors, Inc.,</w:t>
            </w:r>
          </w:p>
        </w:tc>
      </w:tr>
      <w:tr>
        <w:trPr>
          <w:trHeight w:val="175"/>
        </w:trPr>
        <w:tc>
          <w:tcPr>
            <w:tcW w:w="1500" w:type="dxa"/>
            <w:vAlign w:val="bottom"/>
            <w:shd w:val="clear" w:color="auto" w:fill="CCEEFF"/>
          </w:tcPr>
          <w:p>
            <w:pPr>
              <w:spacing w:after="0"/>
              <w:rPr>
                <w:sz w:val="15"/>
                <w:szCs w:val="15"/>
                <w:color w:val="auto"/>
              </w:rPr>
            </w:pPr>
          </w:p>
        </w:tc>
        <w:tc>
          <w:tcPr>
            <w:tcW w:w="97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3"/>
              </w:rPr>
              <w:t>Allstar LLC and New Academy Holding Company, LLC (incorporated herein by reference to Exhibit 4.1 to the Registrant’s Current</w:t>
            </w:r>
          </w:p>
        </w:tc>
      </w:tr>
      <w:tr>
        <w:trPr>
          <w:trHeight w:val="230"/>
        </w:trPr>
        <w:tc>
          <w:tcPr>
            <w:tcW w:w="150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Report on Form 8-K filed with the Commission on October 6, 2020).</w:t>
            </w:r>
          </w:p>
        </w:tc>
      </w:tr>
      <w:tr>
        <w:trPr>
          <w:trHeight w:val="175"/>
        </w:trPr>
        <w:tc>
          <w:tcPr>
            <w:tcW w:w="1500" w:type="dxa"/>
            <w:vAlign w:val="bottom"/>
          </w:tcPr>
          <w:p>
            <w:pPr>
              <w:ind w:left="20"/>
              <w:spacing w:after="0" w:line="176" w:lineRule="exact"/>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10.1</w:t>
              </w:r>
            </w:hyperlink>
          </w:p>
        </w:tc>
        <w:tc>
          <w:tcPr>
            <w:tcW w:w="9740" w:type="dxa"/>
            <w:vAlign w:val="bottom"/>
          </w:tcPr>
          <w:p>
            <w:pPr>
              <w:ind w:left="80"/>
              <w:spacing w:after="0" w:line="176" w:lineRule="exact"/>
              <w:rPr>
                <w:sz w:val="20"/>
                <w:szCs w:val="20"/>
                <w:color w:val="auto"/>
              </w:rPr>
            </w:pPr>
            <w:r>
              <w:rPr>
                <w:rFonts w:ascii="Arial" w:cs="Arial" w:eastAsia="Arial" w:hAnsi="Arial"/>
                <w:sz w:val="18"/>
                <w:szCs w:val="18"/>
                <w:color w:val="auto"/>
                <w:w w:val="92"/>
              </w:rPr>
              <w:t>Stockholders’ Agreement, dated as of October 6, 2020, by and among Academy Sports and Outdoors, Inc., Allstar LLC, KKR 2006</w:t>
            </w:r>
          </w:p>
        </w:tc>
      </w:tr>
      <w:tr>
        <w:trPr>
          <w:trHeight w:val="176"/>
        </w:trPr>
        <w:tc>
          <w:tcPr>
            <w:tcW w:w="1500" w:type="dxa"/>
            <w:vAlign w:val="bottom"/>
          </w:tcPr>
          <w:p>
            <w:pPr>
              <w:spacing w:after="0"/>
              <w:rPr>
                <w:sz w:val="15"/>
                <w:szCs w:val="15"/>
                <w:color w:val="auto"/>
              </w:rPr>
            </w:pPr>
          </w:p>
        </w:tc>
        <w:tc>
          <w:tcPr>
            <w:tcW w:w="9740" w:type="dxa"/>
            <w:vAlign w:val="bottom"/>
          </w:tcPr>
          <w:p>
            <w:pPr>
              <w:ind w:left="80"/>
              <w:spacing w:after="0" w:line="176" w:lineRule="exact"/>
              <w:rPr>
                <w:sz w:val="20"/>
                <w:szCs w:val="20"/>
                <w:color w:val="auto"/>
              </w:rPr>
            </w:pPr>
            <w:r>
              <w:rPr>
                <w:rFonts w:ascii="Arial" w:cs="Arial" w:eastAsia="Arial" w:hAnsi="Arial"/>
                <w:sz w:val="18"/>
                <w:szCs w:val="18"/>
                <w:color w:val="auto"/>
                <w:w w:val="93"/>
              </w:rPr>
              <w:t>Allstar Blocker L.P. and Allstar Co-Invest Blocker L.P. (incorporated herein by reference to Exhibit 10.1 to the Registrant’s Current</w:t>
            </w:r>
          </w:p>
        </w:tc>
      </w:tr>
      <w:tr>
        <w:trPr>
          <w:trHeight w:val="229"/>
        </w:trPr>
        <w:tc>
          <w:tcPr>
            <w:tcW w:w="150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Report on Form 8-K filed with the Commission on October 6, 2020).</w:t>
            </w:r>
          </w:p>
        </w:tc>
      </w:tr>
      <w:tr>
        <w:trPr>
          <w:trHeight w:val="229"/>
        </w:trPr>
        <w:tc>
          <w:tcPr>
            <w:tcW w:w="1500" w:type="dxa"/>
            <w:vAlign w:val="bottom"/>
            <w:shd w:val="clear" w:color="auto" w:fill="CCEEFF"/>
          </w:tcPr>
          <w:p>
            <w:pPr>
              <w:ind w:left="2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10.2*</w:t>
              </w:r>
            </w:hyperlink>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2020 Omnibus Incentive Plan</w:t>
            </w:r>
          </w:p>
        </w:tc>
      </w:tr>
      <w:tr>
        <w:trPr>
          <w:trHeight w:val="176"/>
        </w:trPr>
        <w:tc>
          <w:tcPr>
            <w:tcW w:w="1500" w:type="dxa"/>
            <w:vAlign w:val="bottom"/>
          </w:tcPr>
          <w:p>
            <w:pPr>
              <w:ind w:left="20"/>
              <w:spacing w:after="0" w:line="176" w:lineRule="exact"/>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10.3</w:t>
              </w:r>
            </w:hyperlink>
          </w:p>
        </w:tc>
        <w:tc>
          <w:tcPr>
            <w:tcW w:w="9740" w:type="dxa"/>
            <w:vAlign w:val="bottom"/>
          </w:tcPr>
          <w:p>
            <w:pPr>
              <w:ind w:left="80"/>
              <w:spacing w:after="0" w:line="176" w:lineRule="exact"/>
              <w:rPr>
                <w:sz w:val="20"/>
                <w:szCs w:val="20"/>
                <w:color w:val="auto"/>
              </w:rPr>
            </w:pPr>
            <w:r>
              <w:rPr>
                <w:rFonts w:ascii="Arial" w:cs="Arial" w:eastAsia="Arial" w:hAnsi="Arial"/>
                <w:sz w:val="18"/>
                <w:szCs w:val="18"/>
                <w:color w:val="auto"/>
                <w:w w:val="93"/>
              </w:rPr>
              <w:t>Form of Time-Based Option Agreement under 2020 Omnibus Incentive Plan (incorporated herein by reference to Exhibit 10.10 to</w:t>
            </w:r>
          </w:p>
        </w:tc>
      </w:tr>
      <w:tr>
        <w:trPr>
          <w:trHeight w:val="229"/>
        </w:trPr>
        <w:tc>
          <w:tcPr>
            <w:tcW w:w="150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w w:val="96"/>
              </w:rPr>
              <w:t>Amendment No. 1 to the Registrant’s Registration Statement on Form S-1 filed with the Commission on September 23, 2020).</w:t>
            </w:r>
          </w:p>
        </w:tc>
      </w:tr>
      <w:tr>
        <w:trPr>
          <w:trHeight w:val="176"/>
        </w:trPr>
        <w:tc>
          <w:tcPr>
            <w:tcW w:w="1500" w:type="dxa"/>
            <w:vAlign w:val="bottom"/>
            <w:shd w:val="clear" w:color="auto" w:fill="CCEEFF"/>
          </w:tcPr>
          <w:p>
            <w:pPr>
              <w:ind w:left="20"/>
              <w:spacing w:after="0" w:line="176" w:lineRule="exact"/>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10.4</w:t>
              </w:r>
            </w:hyperlink>
          </w:p>
        </w:tc>
        <w:tc>
          <w:tcPr>
            <w:tcW w:w="97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6"/>
              </w:rPr>
              <w:t>Form of Non-Employee Director Restricted Stock Unit Agreement under 2020 Omnibus Incentive Plan (incorporated herein by</w:t>
            </w:r>
          </w:p>
        </w:tc>
      </w:tr>
      <w:tr>
        <w:trPr>
          <w:trHeight w:val="176"/>
        </w:trPr>
        <w:tc>
          <w:tcPr>
            <w:tcW w:w="1500" w:type="dxa"/>
            <w:vAlign w:val="bottom"/>
            <w:shd w:val="clear" w:color="auto" w:fill="CCEEFF"/>
          </w:tcPr>
          <w:p>
            <w:pPr>
              <w:spacing w:after="0"/>
              <w:rPr>
                <w:sz w:val="15"/>
                <w:szCs w:val="15"/>
                <w:color w:val="auto"/>
              </w:rPr>
            </w:pPr>
          </w:p>
        </w:tc>
        <w:tc>
          <w:tcPr>
            <w:tcW w:w="97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1"/>
              </w:rPr>
              <w:t>reference to Exhibit 10.11 to Amendment No. 1 to the Registrant’s Registration Statement on Form S-1 filed with the Commission on</w:t>
            </w:r>
          </w:p>
        </w:tc>
      </w:tr>
      <w:tr>
        <w:trPr>
          <w:trHeight w:val="229"/>
        </w:trPr>
        <w:tc>
          <w:tcPr>
            <w:tcW w:w="150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September 23, 2020).</w:t>
            </w:r>
          </w:p>
        </w:tc>
      </w:tr>
      <w:tr>
        <w:trPr>
          <w:trHeight w:val="176"/>
        </w:trPr>
        <w:tc>
          <w:tcPr>
            <w:tcW w:w="1500" w:type="dxa"/>
            <w:vAlign w:val="bottom"/>
          </w:tcPr>
          <w:p>
            <w:pPr>
              <w:ind w:left="20"/>
              <w:spacing w:after="0" w:line="176" w:lineRule="exact"/>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10.5</w:t>
              </w:r>
            </w:hyperlink>
          </w:p>
        </w:tc>
        <w:tc>
          <w:tcPr>
            <w:tcW w:w="9740" w:type="dxa"/>
            <w:vAlign w:val="bottom"/>
          </w:tcPr>
          <w:p>
            <w:pPr>
              <w:ind w:left="80"/>
              <w:spacing w:after="0" w:line="176" w:lineRule="exact"/>
              <w:rPr>
                <w:sz w:val="20"/>
                <w:szCs w:val="20"/>
                <w:color w:val="auto"/>
              </w:rPr>
            </w:pPr>
            <w:r>
              <w:rPr>
                <w:rFonts w:ascii="Arial" w:cs="Arial" w:eastAsia="Arial" w:hAnsi="Arial"/>
                <w:sz w:val="18"/>
                <w:szCs w:val="18"/>
                <w:color w:val="auto"/>
                <w:w w:val="91"/>
              </w:rPr>
              <w:t>Form of Performance-Based Restricted Stock Unit Agreement under 2020 Omnibus Incentive Plan (incorporated herein by reference</w:t>
            </w:r>
          </w:p>
        </w:tc>
      </w:tr>
      <w:tr>
        <w:trPr>
          <w:trHeight w:val="175"/>
        </w:trPr>
        <w:tc>
          <w:tcPr>
            <w:tcW w:w="1500" w:type="dxa"/>
            <w:vAlign w:val="bottom"/>
          </w:tcPr>
          <w:p>
            <w:pPr>
              <w:spacing w:after="0"/>
              <w:rPr>
                <w:sz w:val="15"/>
                <w:szCs w:val="15"/>
                <w:color w:val="auto"/>
              </w:rPr>
            </w:pPr>
          </w:p>
        </w:tc>
        <w:tc>
          <w:tcPr>
            <w:tcW w:w="9740" w:type="dxa"/>
            <w:vAlign w:val="bottom"/>
          </w:tcPr>
          <w:p>
            <w:pPr>
              <w:ind w:left="80"/>
              <w:spacing w:after="0" w:line="176" w:lineRule="exact"/>
              <w:rPr>
                <w:sz w:val="20"/>
                <w:szCs w:val="20"/>
                <w:color w:val="auto"/>
              </w:rPr>
            </w:pPr>
            <w:r>
              <w:rPr>
                <w:rFonts w:ascii="Arial" w:cs="Arial" w:eastAsia="Arial" w:hAnsi="Arial"/>
                <w:sz w:val="18"/>
                <w:szCs w:val="18"/>
                <w:color w:val="auto"/>
                <w:w w:val="99"/>
              </w:rPr>
              <w:t>to Exhibit 10.12 to Amendment No. 1 to the Registrant’s Registration Statement on Form S-1 filed with the Commission on</w:t>
            </w:r>
          </w:p>
        </w:tc>
      </w:tr>
      <w:tr>
        <w:trPr>
          <w:trHeight w:val="230"/>
        </w:trPr>
        <w:tc>
          <w:tcPr>
            <w:tcW w:w="150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September 23, 2020).</w:t>
            </w:r>
          </w:p>
        </w:tc>
      </w:tr>
      <w:tr>
        <w:trPr>
          <w:trHeight w:val="175"/>
        </w:trPr>
        <w:tc>
          <w:tcPr>
            <w:tcW w:w="1500" w:type="dxa"/>
            <w:vAlign w:val="bottom"/>
            <w:shd w:val="clear" w:color="auto" w:fill="CCEEFF"/>
          </w:tcPr>
          <w:p>
            <w:pPr>
              <w:ind w:left="20"/>
              <w:spacing w:after="0" w:line="176" w:lineRule="exact"/>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10.6</w:t>
              </w:r>
            </w:hyperlink>
          </w:p>
        </w:tc>
        <w:tc>
          <w:tcPr>
            <w:tcW w:w="97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9"/>
              </w:rPr>
              <w:t>Form of 2020 CEO Option Agreement under 2011 Unit Incentive Plan (incorporated herein by reference to Exhibit 10.14 to</w:t>
            </w:r>
          </w:p>
        </w:tc>
      </w:tr>
      <w:tr>
        <w:trPr>
          <w:trHeight w:val="229"/>
        </w:trPr>
        <w:tc>
          <w:tcPr>
            <w:tcW w:w="150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Amendment No. 1 to the Registrant’s Registration Statement on Form S-1 filed with the Commission on September 23, 2020).</w:t>
            </w:r>
          </w:p>
        </w:tc>
      </w:tr>
      <w:tr>
        <w:trPr>
          <w:trHeight w:val="176"/>
        </w:trPr>
        <w:tc>
          <w:tcPr>
            <w:tcW w:w="1500" w:type="dxa"/>
            <w:vAlign w:val="bottom"/>
          </w:tcPr>
          <w:p>
            <w:pPr>
              <w:ind w:left="20"/>
              <w:spacing w:after="0" w:line="176" w:lineRule="exact"/>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10.7</w:t>
              </w:r>
            </w:hyperlink>
          </w:p>
        </w:tc>
        <w:tc>
          <w:tcPr>
            <w:tcW w:w="9740" w:type="dxa"/>
            <w:vAlign w:val="bottom"/>
          </w:tcPr>
          <w:p>
            <w:pPr>
              <w:ind w:left="80"/>
              <w:spacing w:after="0" w:line="176" w:lineRule="exact"/>
              <w:rPr>
                <w:sz w:val="20"/>
                <w:szCs w:val="20"/>
                <w:color w:val="auto"/>
              </w:rPr>
            </w:pPr>
            <w:r>
              <w:rPr>
                <w:rFonts w:ascii="Arial" w:cs="Arial" w:eastAsia="Arial" w:hAnsi="Arial"/>
                <w:sz w:val="18"/>
                <w:szCs w:val="18"/>
                <w:color w:val="auto"/>
                <w:w w:val="95"/>
              </w:rPr>
              <w:t>Form of 2020 Executive Option Agreement under 2011 Unit Incentive Plan (incorporated herein by reference to Exhibit 10.15 to</w:t>
            </w:r>
          </w:p>
        </w:tc>
      </w:tr>
      <w:tr>
        <w:trPr>
          <w:trHeight w:val="229"/>
        </w:trPr>
        <w:tc>
          <w:tcPr>
            <w:tcW w:w="150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w w:val="96"/>
              </w:rPr>
              <w:t>Amendment No. 1 to the Registrant’s Registration Statement on Form S-1 filed with the Commission on September 23, 2020).</w:t>
            </w:r>
          </w:p>
        </w:tc>
      </w:tr>
      <w:tr>
        <w:trPr>
          <w:trHeight w:val="176"/>
        </w:trPr>
        <w:tc>
          <w:tcPr>
            <w:tcW w:w="1500" w:type="dxa"/>
            <w:vAlign w:val="bottom"/>
            <w:shd w:val="clear" w:color="auto" w:fill="CCEEFF"/>
          </w:tcPr>
          <w:p>
            <w:pPr>
              <w:ind w:left="20"/>
              <w:spacing w:after="0" w:line="176" w:lineRule="exact"/>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10.8</w:t>
              </w:r>
            </w:hyperlink>
          </w:p>
        </w:tc>
        <w:tc>
          <w:tcPr>
            <w:tcW w:w="97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3"/>
              </w:rPr>
              <w:t>Form of August 2020 Restricted Unit Agreement under 2011 Unit Incentive Plan (incorporated herein by reference to Exhibit 10.22</w:t>
            </w:r>
          </w:p>
        </w:tc>
      </w:tr>
      <w:tr>
        <w:trPr>
          <w:trHeight w:val="230"/>
        </w:trPr>
        <w:tc>
          <w:tcPr>
            <w:tcW w:w="150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to Amendment No. 1 to the Registrant’s Registration Statement on Form S-1 filed with the Commission on September 23, 2020).</w:t>
            </w:r>
          </w:p>
        </w:tc>
      </w:tr>
      <w:tr>
        <w:trPr>
          <w:trHeight w:val="175"/>
        </w:trPr>
        <w:tc>
          <w:tcPr>
            <w:tcW w:w="1500" w:type="dxa"/>
            <w:vAlign w:val="bottom"/>
          </w:tcPr>
          <w:p>
            <w:pPr>
              <w:ind w:left="20"/>
              <w:spacing w:after="0" w:line="176" w:lineRule="exact"/>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10.9</w:t>
              </w:r>
            </w:hyperlink>
          </w:p>
        </w:tc>
        <w:tc>
          <w:tcPr>
            <w:tcW w:w="9740" w:type="dxa"/>
            <w:vAlign w:val="bottom"/>
          </w:tcPr>
          <w:p>
            <w:pPr>
              <w:ind w:left="80"/>
              <w:spacing w:after="0" w:line="176" w:lineRule="exact"/>
              <w:rPr>
                <w:sz w:val="20"/>
                <w:szCs w:val="20"/>
                <w:color w:val="auto"/>
              </w:rPr>
            </w:pPr>
            <w:r>
              <w:rPr>
                <w:rFonts w:ascii="Arial" w:cs="Arial" w:eastAsia="Arial" w:hAnsi="Arial"/>
                <w:sz w:val="18"/>
                <w:szCs w:val="18"/>
                <w:color w:val="auto"/>
                <w:w w:val="92"/>
              </w:rPr>
              <w:t>Form of 2020 CEO Restricted Unit Agreement under 2011 Unit Incentive Plan (incorporated herein by reference to Exhibit 10.23 to</w:t>
            </w:r>
          </w:p>
        </w:tc>
      </w:tr>
      <w:tr>
        <w:trPr>
          <w:trHeight w:val="230"/>
        </w:trPr>
        <w:tc>
          <w:tcPr>
            <w:tcW w:w="150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w w:val="96"/>
              </w:rPr>
              <w:t>Amendment No. 1 to the Registrant’s Registration Statement on Form S-1 filed with the Commission on September 23, 2020).</w:t>
            </w:r>
          </w:p>
        </w:tc>
      </w:tr>
      <w:tr>
        <w:trPr>
          <w:trHeight w:val="175"/>
        </w:trPr>
        <w:tc>
          <w:tcPr>
            <w:tcW w:w="1500" w:type="dxa"/>
            <w:vAlign w:val="bottom"/>
            <w:shd w:val="clear" w:color="auto" w:fill="CCEEFF"/>
          </w:tcPr>
          <w:p>
            <w:pPr>
              <w:ind w:left="20"/>
              <w:spacing w:after="0" w:line="176" w:lineRule="exact"/>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10.10</w:t>
              </w:r>
            </w:hyperlink>
          </w:p>
        </w:tc>
        <w:tc>
          <w:tcPr>
            <w:tcW w:w="97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5"/>
              </w:rPr>
              <w:t>Form of 2020 Executive Restricted Unit Agreement under 2011 Unit Incentive Plan (incorporated herein by reference to Exhibit</w:t>
            </w:r>
          </w:p>
        </w:tc>
      </w:tr>
      <w:tr>
        <w:trPr>
          <w:trHeight w:val="175"/>
        </w:trPr>
        <w:tc>
          <w:tcPr>
            <w:tcW w:w="1500" w:type="dxa"/>
            <w:vAlign w:val="bottom"/>
            <w:shd w:val="clear" w:color="auto" w:fill="CCEEFF"/>
          </w:tcPr>
          <w:p>
            <w:pPr>
              <w:spacing w:after="0"/>
              <w:rPr>
                <w:sz w:val="15"/>
                <w:szCs w:val="15"/>
                <w:color w:val="auto"/>
              </w:rPr>
            </w:pPr>
          </w:p>
        </w:tc>
        <w:tc>
          <w:tcPr>
            <w:tcW w:w="97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4"/>
              </w:rPr>
              <w:t>10.24 to Amendment No. 1 to the Registrant’s Registration Statement on Form S-1 filed with the Commission on September 23,</w:t>
            </w:r>
          </w:p>
        </w:tc>
      </w:tr>
      <w:tr>
        <w:trPr>
          <w:trHeight w:val="230"/>
        </w:trPr>
        <w:tc>
          <w:tcPr>
            <w:tcW w:w="150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2020).</w:t>
            </w:r>
          </w:p>
        </w:tc>
      </w:tr>
      <w:tr>
        <w:trPr>
          <w:trHeight w:val="175"/>
        </w:trPr>
        <w:tc>
          <w:tcPr>
            <w:tcW w:w="1500" w:type="dxa"/>
            <w:vAlign w:val="bottom"/>
          </w:tcPr>
          <w:p>
            <w:pPr>
              <w:ind w:left="20"/>
              <w:spacing w:after="0" w:line="176" w:lineRule="exact"/>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10.11</w:t>
              </w:r>
            </w:hyperlink>
          </w:p>
        </w:tc>
        <w:tc>
          <w:tcPr>
            <w:tcW w:w="9740" w:type="dxa"/>
            <w:vAlign w:val="bottom"/>
          </w:tcPr>
          <w:p>
            <w:pPr>
              <w:ind w:left="80"/>
              <w:spacing w:after="0" w:line="176" w:lineRule="exact"/>
              <w:rPr>
                <w:sz w:val="20"/>
                <w:szCs w:val="20"/>
                <w:color w:val="auto"/>
              </w:rPr>
            </w:pPr>
            <w:r>
              <w:rPr>
                <w:rFonts w:ascii="Arial" w:cs="Arial" w:eastAsia="Arial" w:hAnsi="Arial"/>
                <w:sz w:val="18"/>
                <w:szCs w:val="18"/>
                <w:color w:val="auto"/>
                <w:w w:val="92"/>
              </w:rPr>
              <w:t>2020 Employee Stock Purchase Plan (incorporated herein by reference to Exhibit 4.5 to the Registrant’s Registration Statement on</w:t>
            </w:r>
          </w:p>
        </w:tc>
      </w:tr>
      <w:tr>
        <w:trPr>
          <w:trHeight w:val="230"/>
        </w:trPr>
        <w:tc>
          <w:tcPr>
            <w:tcW w:w="150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Form S-8 filed with the Commission on October 1, 2020).</w:t>
            </w:r>
          </w:p>
        </w:tc>
      </w:tr>
      <w:tr>
        <w:trPr>
          <w:trHeight w:val="175"/>
        </w:trPr>
        <w:tc>
          <w:tcPr>
            <w:tcW w:w="1500" w:type="dxa"/>
            <w:vAlign w:val="bottom"/>
            <w:shd w:val="clear" w:color="auto" w:fill="CCEEFF"/>
          </w:tcPr>
          <w:p>
            <w:pPr>
              <w:ind w:left="20"/>
              <w:spacing w:after="0" w:line="176" w:lineRule="exact"/>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10.12</w:t>
              </w:r>
            </w:hyperlink>
          </w:p>
        </w:tc>
        <w:tc>
          <w:tcPr>
            <w:tcW w:w="97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3"/>
              </w:rPr>
              <w:t>Form of Director and Officer Indemnification Agreement incorporated herein by reference to Exhibit 10.37 to Amendment No. 1 to</w:t>
            </w:r>
          </w:p>
        </w:tc>
      </w:tr>
      <w:tr>
        <w:trPr>
          <w:trHeight w:val="230"/>
        </w:trPr>
        <w:tc>
          <w:tcPr>
            <w:tcW w:w="150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the Registrant’s Registration Statement on Form S-1 filed with the Commission on September 23, 2020).</w:t>
            </w:r>
          </w:p>
        </w:tc>
      </w:tr>
      <w:tr>
        <w:trPr>
          <w:trHeight w:val="229"/>
        </w:trPr>
        <w:tc>
          <w:tcPr>
            <w:tcW w:w="1500" w:type="dxa"/>
            <w:vAlign w:val="bottom"/>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31.1*</w:t>
              </w:r>
            </w:hyperlink>
          </w:p>
        </w:tc>
        <w:tc>
          <w:tcPr>
            <w:tcW w:w="9740" w:type="dxa"/>
            <w:vAlign w:val="bottom"/>
          </w:tcPr>
          <w:p>
            <w:pPr>
              <w:ind w:left="80"/>
              <w:spacing w:after="0"/>
              <w:rPr>
                <w:sz w:val="20"/>
                <w:szCs w:val="20"/>
                <w:color w:val="auto"/>
              </w:rPr>
            </w:pPr>
            <w:r>
              <w:rPr>
                <w:rFonts w:ascii="Arial" w:cs="Arial" w:eastAsia="Arial" w:hAnsi="Arial"/>
                <w:sz w:val="18"/>
                <w:szCs w:val="18"/>
                <w:color w:val="auto"/>
              </w:rPr>
              <w:t>Certification of Periodic Report by Chief Executive Officer under Section 302 of the Sarbanes-Oxley Act of 2002.</w:t>
            </w:r>
          </w:p>
        </w:tc>
      </w:tr>
      <w:tr>
        <w:trPr>
          <w:trHeight w:val="230"/>
        </w:trPr>
        <w:tc>
          <w:tcPr>
            <w:tcW w:w="1500" w:type="dxa"/>
            <w:vAlign w:val="bottom"/>
            <w:shd w:val="clear" w:color="auto" w:fill="CCEEFF"/>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31.2*</w:t>
              </w:r>
            </w:hyperlink>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Certification of Periodic Report by Chief Financial Officer under Section 302 of the Sarbanes-Oxley Act of 2002.</w:t>
            </w:r>
          </w:p>
        </w:tc>
      </w:tr>
      <w:tr>
        <w:trPr>
          <w:trHeight w:val="175"/>
        </w:trPr>
        <w:tc>
          <w:tcPr>
            <w:tcW w:w="1500" w:type="dxa"/>
            <w:vAlign w:val="bottom"/>
          </w:tcPr>
          <w:p>
            <w:pPr>
              <w:ind w:left="20"/>
              <w:spacing w:after="0" w:line="176" w:lineRule="exact"/>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32.1**</w:t>
              </w:r>
            </w:hyperlink>
          </w:p>
        </w:tc>
        <w:tc>
          <w:tcPr>
            <w:tcW w:w="9740" w:type="dxa"/>
            <w:vAlign w:val="bottom"/>
          </w:tcPr>
          <w:p>
            <w:pPr>
              <w:ind w:left="80"/>
              <w:spacing w:after="0" w:line="176" w:lineRule="exact"/>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906 of the Sarbanes-</w:t>
            </w:r>
          </w:p>
        </w:tc>
      </w:tr>
      <w:tr>
        <w:trPr>
          <w:trHeight w:val="230"/>
        </w:trPr>
        <w:tc>
          <w:tcPr>
            <w:tcW w:w="150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Oxley Act of 2002.</w:t>
            </w:r>
          </w:p>
        </w:tc>
      </w:tr>
      <w:tr>
        <w:trPr>
          <w:trHeight w:val="175"/>
        </w:trPr>
        <w:tc>
          <w:tcPr>
            <w:tcW w:w="1500" w:type="dxa"/>
            <w:vAlign w:val="bottom"/>
            <w:shd w:val="clear" w:color="auto" w:fill="CCEEFF"/>
          </w:tcPr>
          <w:p>
            <w:pPr>
              <w:ind w:left="20"/>
              <w:spacing w:after="0" w:line="176" w:lineRule="exact"/>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32.2**</w:t>
              </w:r>
            </w:hyperlink>
          </w:p>
        </w:tc>
        <w:tc>
          <w:tcPr>
            <w:tcW w:w="97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4"/>
              </w:rPr>
              <w:t>Certification of Chief Financial Officer Pursuant to 18 U.S.C. Section 1350 as Adopted Pursuant to Section 906 of the Sarbanes-</w:t>
            </w:r>
          </w:p>
        </w:tc>
      </w:tr>
      <w:tr>
        <w:trPr>
          <w:trHeight w:val="230"/>
        </w:trPr>
        <w:tc>
          <w:tcPr>
            <w:tcW w:w="150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Oxley Act of 2002.</w:t>
            </w:r>
          </w:p>
        </w:tc>
      </w:tr>
      <w:tr>
        <w:trPr>
          <w:trHeight w:val="175"/>
        </w:trPr>
        <w:tc>
          <w:tcPr>
            <w:tcW w:w="150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9740" w:type="dxa"/>
            <w:vAlign w:val="bottom"/>
          </w:tcPr>
          <w:p>
            <w:pPr>
              <w:ind w:left="80"/>
              <w:spacing w:after="0" w:line="176" w:lineRule="exact"/>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r>
      <w:tr>
        <w:trPr>
          <w:trHeight w:val="230"/>
        </w:trPr>
        <w:tc>
          <w:tcPr>
            <w:tcW w:w="150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500" w:type="dxa"/>
            <w:vAlign w:val="bottom"/>
          </w:tcPr>
          <w:p>
            <w:pPr>
              <w:ind w:left="20"/>
              <w:spacing w:after="0"/>
              <w:rPr>
                <w:sz w:val="20"/>
                <w:szCs w:val="20"/>
                <w:color w:val="auto"/>
              </w:rPr>
            </w:pPr>
            <w:r>
              <w:rPr>
                <w:rFonts w:ascii="Arial" w:cs="Arial" w:eastAsia="Arial" w:hAnsi="Arial"/>
                <w:sz w:val="18"/>
                <w:szCs w:val="18"/>
                <w:color w:val="auto"/>
              </w:rPr>
              <w:t>101.CAL</w:t>
            </w:r>
          </w:p>
        </w:tc>
        <w:tc>
          <w:tcPr>
            <w:tcW w:w="9740" w:type="dxa"/>
            <w:vAlign w:val="bottom"/>
          </w:tcPr>
          <w:p>
            <w:pPr>
              <w:ind w:left="80"/>
              <w:spacing w:after="0"/>
              <w:rPr>
                <w:sz w:val="20"/>
                <w:szCs w:val="20"/>
                <w:color w:val="auto"/>
              </w:rPr>
            </w:pPr>
            <w:r>
              <w:rPr>
                <w:rFonts w:ascii="Arial" w:cs="Arial" w:eastAsia="Arial" w:hAnsi="Arial"/>
                <w:sz w:val="18"/>
                <w:szCs w:val="18"/>
                <w:color w:val="auto"/>
              </w:rPr>
              <w:t>XBRL Taxonomy Calculation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Exhibit Number</w:t>
            </w:r>
          </w:p>
        </w:tc>
        <w:tc>
          <w:tcPr>
            <w:tcW w:w="9740" w:type="dxa"/>
            <w:vAlign w:val="bottom"/>
            <w:tcBorders>
              <w:bottom w:val="single" w:sz="8" w:color="auto"/>
            </w:tcBorders>
          </w:tcPr>
          <w:p>
            <w:pPr>
              <w:ind w:left="4060"/>
              <w:spacing w:after="0"/>
              <w:rPr>
                <w:sz w:val="20"/>
                <w:szCs w:val="20"/>
                <w:color w:val="auto"/>
              </w:rPr>
            </w:pPr>
            <w:r>
              <w:rPr>
                <w:rFonts w:ascii="Arial" w:cs="Arial" w:eastAsia="Arial" w:hAnsi="Arial"/>
                <w:sz w:val="18"/>
                <w:szCs w:val="18"/>
                <w:b w:val="1"/>
                <w:bCs w:val="1"/>
                <w:color w:val="auto"/>
              </w:rPr>
              <w:t>Description of Exhibit</w:t>
            </w:r>
          </w:p>
        </w:tc>
      </w:tr>
      <w:tr>
        <w:trPr>
          <w:trHeight w:val="223"/>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Definition Linkbase Document</w:t>
            </w:r>
          </w:p>
        </w:tc>
      </w:tr>
      <w:tr>
        <w:trPr>
          <w:trHeight w:val="229"/>
        </w:trPr>
        <w:tc>
          <w:tcPr>
            <w:tcW w:w="1500" w:type="dxa"/>
            <w:vAlign w:val="bottom"/>
          </w:tcPr>
          <w:p>
            <w:pPr>
              <w:ind w:left="20"/>
              <w:spacing w:after="0"/>
              <w:rPr>
                <w:sz w:val="20"/>
                <w:szCs w:val="20"/>
                <w:color w:val="auto"/>
              </w:rPr>
            </w:pPr>
            <w:r>
              <w:rPr>
                <w:rFonts w:ascii="Arial" w:cs="Arial" w:eastAsia="Arial" w:hAnsi="Arial"/>
                <w:sz w:val="18"/>
                <w:szCs w:val="18"/>
                <w:color w:val="auto"/>
              </w:rPr>
              <w:t>101.LAB</w:t>
            </w:r>
          </w:p>
        </w:tc>
        <w:tc>
          <w:tcPr>
            <w:tcW w:w="9740" w:type="dxa"/>
            <w:vAlign w:val="bottom"/>
          </w:tcPr>
          <w:p>
            <w:pPr>
              <w:ind w:left="80"/>
              <w:spacing w:after="0"/>
              <w:rPr>
                <w:sz w:val="20"/>
                <w:szCs w:val="20"/>
                <w:color w:val="auto"/>
              </w:rPr>
            </w:pPr>
            <w:r>
              <w:rPr>
                <w:rFonts w:ascii="Arial" w:cs="Arial" w:eastAsia="Arial" w:hAnsi="Arial"/>
                <w:sz w:val="18"/>
                <w:szCs w:val="18"/>
                <w:color w:val="auto"/>
              </w:rPr>
              <w:t>XBRL Taxonomy Label Linkbase Document</w:t>
            </w:r>
          </w:p>
        </w:tc>
      </w:tr>
      <w:tr>
        <w:trPr>
          <w:trHeight w:val="229"/>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Presentation Linkbase Document</w:t>
            </w:r>
          </w:p>
        </w:tc>
      </w:tr>
      <w:tr>
        <w:trPr>
          <w:trHeight w:val="270"/>
        </w:trPr>
        <w:tc>
          <w:tcPr>
            <w:tcW w:w="1500" w:type="dxa"/>
            <w:vAlign w:val="bottom"/>
          </w:tcPr>
          <w:p>
            <w:pPr>
              <w:spacing w:after="0"/>
              <w:rPr>
                <w:sz w:val="23"/>
                <w:szCs w:val="23"/>
                <w:color w:val="auto"/>
              </w:rPr>
            </w:pPr>
          </w:p>
        </w:tc>
        <w:tc>
          <w:tcPr>
            <w:tcW w:w="9740" w:type="dxa"/>
            <w:vAlign w:val="bottom"/>
          </w:tcPr>
          <w:p>
            <w:pPr>
              <w:spacing w:after="0"/>
              <w:rPr>
                <w:sz w:val="23"/>
                <w:szCs w:val="23"/>
                <w:color w:val="auto"/>
              </w:rPr>
            </w:pPr>
          </w:p>
        </w:tc>
      </w:tr>
      <w:tr>
        <w:trPr>
          <w:trHeight w:val="230"/>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1500" w:type="dxa"/>
            <w:vAlign w:val="bottom"/>
          </w:tcPr>
          <w:p>
            <w:pPr>
              <w:ind w:left="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Furnished herewith</w:t>
            </w:r>
          </w:p>
        </w:tc>
      </w:tr>
    </w:tbl>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December 10, 2020 on its behalf by the undersigned, thereto duly authorized.</w:t>
      </w:r>
    </w:p>
    <w:p>
      <w:pPr>
        <w:spacing w:after="0" w:line="200" w:lineRule="exact"/>
        <w:rPr>
          <w:sz w:val="20"/>
          <w:szCs w:val="20"/>
          <w:color w:val="auto"/>
        </w:rPr>
      </w:pPr>
    </w:p>
    <w:p>
      <w:pPr>
        <w:spacing w:after="0" w:line="28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C. HICKS</w:t>
            </w:r>
          </w:p>
        </w:tc>
      </w:tr>
      <w:tr>
        <w:trPr>
          <w:trHeight w:val="222"/>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Ken C. Hicks</w:t>
            </w:r>
          </w:p>
        </w:tc>
      </w:tr>
      <w:tr>
        <w:trPr>
          <w:trHeight w:val="229"/>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7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MULLICAN</w:t>
            </w:r>
          </w:p>
        </w:tc>
      </w:tr>
      <w:tr>
        <w:trPr>
          <w:trHeight w:val="222"/>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Michael P. Mullican</w:t>
            </w:r>
          </w:p>
        </w:tc>
      </w:tr>
      <w:tr>
        <w:trPr>
          <w:trHeight w:val="230"/>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09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and Outdoors, Inc.</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OMNIBUS INCENTIVE PLAN</w:t>
      </w:r>
    </w:p>
    <w:p>
      <w:pPr>
        <w:spacing w:after="0" w:line="252" w:lineRule="exact"/>
        <w:rPr>
          <w:sz w:val="20"/>
          <w:szCs w:val="20"/>
          <w:color w:val="auto"/>
        </w:rPr>
      </w:pPr>
    </w:p>
    <w:p>
      <w:pPr>
        <w:jc w:val="both"/>
        <w:ind w:firstLine="656"/>
        <w:spacing w:after="0" w:line="277" w:lineRule="auto"/>
        <w:tabs>
          <w:tab w:leader="none" w:pos="1273"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Purpose</w:t>
      </w:r>
      <w:r>
        <w:rPr>
          <w:rFonts w:ascii="Arial" w:cs="Arial" w:eastAsia="Arial" w:hAnsi="Arial"/>
          <w:sz w:val="17"/>
          <w:szCs w:val="17"/>
          <w:color w:val="auto"/>
        </w:rPr>
        <w:t>. The purpose of the Academy Sports and Outdoors, Inc. 2020 Omnibus Incentive Plan is to provide a means through which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the other members of the Company Group may attract and retain key personnel and to provide a means whereby directors, officers, employees, consultants and advisors of the Company and the other members of the Company Group can acquire and maintain an equity interest in the Company, or be paid incentive compensation, including incentive compensation measured by reference to the value of Common Stock, thereby strengthening their commitment to the welfare of the Company Group and aligning their interests with those of the Company’s stockholders.</w:t>
      </w:r>
    </w:p>
    <w:p>
      <w:pPr>
        <w:spacing w:after="0" w:line="194" w:lineRule="exact"/>
        <w:rPr>
          <w:rFonts w:ascii="Arial" w:cs="Arial" w:eastAsia="Arial" w:hAnsi="Arial"/>
          <w:sz w:val="17"/>
          <w:szCs w:val="17"/>
          <w:b w:val="1"/>
          <w:bCs w:val="1"/>
          <w:color w:val="auto"/>
        </w:rPr>
      </w:pPr>
    </w:p>
    <w:p>
      <w:pPr>
        <w:ind w:left="1240" w:hanging="584"/>
        <w:spacing w:after="0"/>
        <w:tabs>
          <w:tab w:leader="none" w:pos="12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definitions shall be applicable throughout the Plan.</w:t>
      </w:r>
    </w:p>
    <w:p>
      <w:pPr>
        <w:spacing w:after="0" w:line="256" w:lineRule="exact"/>
        <w:rPr>
          <w:rFonts w:ascii="Arial" w:cs="Arial" w:eastAsia="Arial" w:hAnsi="Arial"/>
          <w:sz w:val="18"/>
          <w:szCs w:val="18"/>
          <w:b w:val="1"/>
          <w:bCs w:val="1"/>
          <w:color w:val="auto"/>
        </w:rPr>
      </w:pPr>
    </w:p>
    <w:p>
      <w:pPr>
        <w:ind w:left="1380" w:hanging="643"/>
        <w:spacing w:after="0"/>
        <w:tabs>
          <w:tab w:leader="none" w:pos="13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Absolute Share Limit</w:t>
      </w:r>
      <w:r>
        <w:rPr>
          <w:rFonts w:ascii="Arial" w:cs="Arial" w:eastAsia="Arial" w:hAnsi="Arial"/>
          <w:sz w:val="18"/>
          <w:szCs w:val="18"/>
          <w:color w:val="auto"/>
        </w:rPr>
        <w:t>” has the meaning given to such term in Section 5(b) of the Plan.</w:t>
      </w:r>
    </w:p>
    <w:p>
      <w:pPr>
        <w:spacing w:after="0" w:line="252" w:lineRule="exact"/>
        <w:rPr>
          <w:rFonts w:ascii="Arial" w:cs="Arial" w:eastAsia="Arial" w:hAnsi="Arial"/>
          <w:sz w:val="18"/>
          <w:szCs w:val="18"/>
          <w:color w:val="auto"/>
        </w:rPr>
      </w:pPr>
    </w:p>
    <w:p>
      <w:pPr>
        <w:ind w:left="1400" w:hanging="663"/>
        <w:spacing w:after="0"/>
        <w:tabs>
          <w:tab w:leader="none" w:pos="14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Event</w:t>
      </w:r>
      <w:r>
        <w:rPr>
          <w:rFonts w:ascii="Arial" w:cs="Arial" w:eastAsia="Arial" w:hAnsi="Arial"/>
          <w:sz w:val="18"/>
          <w:szCs w:val="18"/>
          <w:color w:val="auto"/>
        </w:rPr>
        <w:t>” has the meaning given to such term in Section 12(a) of the Plan.</w:t>
      </w:r>
    </w:p>
    <w:p>
      <w:pPr>
        <w:spacing w:after="0" w:line="252" w:lineRule="exact"/>
        <w:rPr>
          <w:rFonts w:ascii="Arial" w:cs="Arial" w:eastAsia="Arial" w:hAnsi="Arial"/>
          <w:sz w:val="18"/>
          <w:szCs w:val="18"/>
          <w:color w:val="auto"/>
        </w:rPr>
      </w:pPr>
    </w:p>
    <w:p>
      <w:pPr>
        <w:jc w:val="both"/>
        <w:ind w:left="80" w:firstLine="657"/>
        <w:spacing w:after="0" w:line="259" w:lineRule="auto"/>
        <w:tabs>
          <w:tab w:leader="none" w:pos="1445"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213" w:lineRule="exact"/>
        <w:rPr>
          <w:rFonts w:ascii="Arial" w:cs="Arial" w:eastAsia="Arial" w:hAnsi="Arial"/>
          <w:sz w:val="18"/>
          <w:szCs w:val="18"/>
          <w:color w:val="auto"/>
        </w:rPr>
      </w:pPr>
    </w:p>
    <w:p>
      <w:pPr>
        <w:ind w:left="80" w:firstLine="657"/>
        <w:spacing w:after="0" w:line="277" w:lineRule="auto"/>
        <w:tabs>
          <w:tab w:leader="none" w:pos="1631"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any Incentive Stock Option, Nonqualified Stock Option, Stock Appreciation Right, Restricted Stock, Restricted Stock Unit, Other Equity-Based Award and Cash-Based Incentive Award granted under the Plan.</w:t>
      </w:r>
    </w:p>
    <w:p>
      <w:pPr>
        <w:spacing w:after="0" w:line="197" w:lineRule="exact"/>
        <w:rPr>
          <w:rFonts w:ascii="Arial" w:cs="Arial" w:eastAsia="Arial" w:hAnsi="Arial"/>
          <w:sz w:val="18"/>
          <w:szCs w:val="18"/>
          <w:color w:val="auto"/>
        </w:rPr>
      </w:pPr>
    </w:p>
    <w:p>
      <w:pPr>
        <w:ind w:left="1380" w:hanging="643"/>
        <w:spacing w:after="0"/>
        <w:tabs>
          <w:tab w:leader="none" w:pos="13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the document or documents by which each Award (other than a Cash-Based Incentive Award) is evidenced.</w:t>
      </w:r>
    </w:p>
    <w:p>
      <w:pPr>
        <w:spacing w:after="0" w:line="275" w:lineRule="exact"/>
        <w:rPr>
          <w:rFonts w:ascii="Arial" w:cs="Arial" w:eastAsia="Arial" w:hAnsi="Arial"/>
          <w:sz w:val="16"/>
          <w:szCs w:val="16"/>
          <w:color w:val="auto"/>
        </w:rPr>
      </w:pPr>
    </w:p>
    <w:p>
      <w:pPr>
        <w:ind w:left="1360" w:hanging="623"/>
        <w:spacing w:after="0"/>
        <w:tabs>
          <w:tab w:leader="none" w:pos="1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52" w:lineRule="exact"/>
        <w:rPr>
          <w:rFonts w:ascii="Arial" w:cs="Arial" w:eastAsia="Arial" w:hAnsi="Arial"/>
          <w:sz w:val="18"/>
          <w:szCs w:val="18"/>
          <w:color w:val="auto"/>
        </w:rPr>
      </w:pPr>
    </w:p>
    <w:p>
      <w:pPr>
        <w:ind w:left="1400" w:hanging="663"/>
        <w:spacing w:after="0"/>
        <w:tabs>
          <w:tab w:leader="none" w:pos="14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Cash-Based Incentive Award</w:t>
      </w:r>
      <w:r>
        <w:rPr>
          <w:rFonts w:ascii="Arial" w:cs="Arial" w:eastAsia="Arial" w:hAnsi="Arial"/>
          <w:sz w:val="18"/>
          <w:szCs w:val="18"/>
          <w:color w:val="auto"/>
        </w:rPr>
        <w:t>” means an Award denominated in cash that is granted under Section 11 of the Plan.</w:t>
      </w:r>
    </w:p>
    <w:p>
      <w:pPr>
        <w:spacing w:after="0" w:line="252" w:lineRule="exact"/>
        <w:rPr>
          <w:rFonts w:ascii="Arial" w:cs="Arial" w:eastAsia="Arial" w:hAnsi="Arial"/>
          <w:sz w:val="18"/>
          <w:szCs w:val="18"/>
          <w:color w:val="auto"/>
        </w:rPr>
      </w:pPr>
    </w:p>
    <w:p>
      <w:pPr>
        <w:jc w:val="both"/>
        <w:ind w:left="80" w:firstLine="657"/>
        <w:spacing w:after="0" w:line="269" w:lineRule="auto"/>
        <w:tabs>
          <w:tab w:leader="none" w:pos="1671" w:val="left"/>
        </w:tabs>
        <w:numPr>
          <w:ilvl w:val="1"/>
          <w:numId w:val="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as to any Participant, unless the applicable Award Agreement states otherwise, (i) “Cause,” as defined in any employment or consulting agreement between the Participant and the Service Recipient in effect at the time of the Participant’s Termination; or (ii) in the absence of any such employment or consulting agreement (or the absence of any definition of “Cause” contained therein), the Participant’s (A) willful neglect in the performance of the Participant’s duties for the Service Recipient or willful or repeated failure or refusal to perform such duties; (B) engagement in conduct in connection with the Participant’s employment or service with the Service Recipient, which results in, or could reasonably be expected to result in, material harm to the business or reputation of the Company or any other member of the Company Group; (C) conviction of, or plea of guilty or no contest to, (I) any felony; or (II) any other crime that results in, or could reasonably be expected to result in, material harm to the business or reputation of the Company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other member of the Company Group; or (F) act of personal dishonesty that involves personal profit in connection with the Participant’s employment or service to the Service Recipient.</w:t>
      </w:r>
    </w:p>
    <w:p>
      <w:pPr>
        <w:sectPr>
          <w:pgSz w:w="11900" w:h="16838" w:orient="portrait"/>
          <w:cols w:equalWidth="0" w:num="1">
            <w:col w:w="11240"/>
          </w:cols>
          <w:pgMar w:left="320" w:top="1417" w:right="339" w:bottom="1440" w:gutter="0" w:footer="0" w:header="0"/>
        </w:sectPr>
      </w:pPr>
    </w:p>
    <w:bookmarkStart w:id="58" w:name="page59"/>
    <w:bookmarkEnd w:id="58"/>
    <w:p>
      <w:pPr>
        <w:spacing w:after="0" w:line="225" w:lineRule="exact"/>
        <w:rPr>
          <w:sz w:val="20"/>
          <w:szCs w:val="20"/>
          <w:color w:val="auto"/>
        </w:rPr>
      </w:pPr>
    </w:p>
    <w:p>
      <w:pPr>
        <w:ind w:left="1280" w:hanging="623"/>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52" w:lineRule="exact"/>
        <w:rPr>
          <w:rFonts w:ascii="Arial" w:cs="Arial" w:eastAsia="Arial" w:hAnsi="Arial"/>
          <w:sz w:val="18"/>
          <w:szCs w:val="18"/>
          <w:color w:val="auto"/>
        </w:rPr>
      </w:pPr>
    </w:p>
    <w:p>
      <w:pPr>
        <w:jc w:val="both"/>
        <w:ind w:left="580" w:firstLine="644"/>
        <w:spacing w:after="0" w:line="270" w:lineRule="auto"/>
        <w:tabs>
          <w:tab w:leader="none" w:pos="2134"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the acquisition (whether by purchase, merger, consolidation, combination or other similar transaction) by any Person of beneficial ownership (within the meaning of Rule 13d-3 promulgated under the Exchange Act) of more than fifty percent (50%) of either (A) the then outstanding shares of common stock, taking into account as outstanding for this purpose such common stock issuable upon the exercise of options or warrants, the conversion of convertible stock or debt, and the exercise of any similar right to acquire such common stock; or (B) the combined voting power of the then outstanding voting securities of the Company entitled to vote generally in the election of directors; </w:t>
      </w:r>
      <w:r>
        <w:rPr>
          <w:rFonts w:ascii="Arial" w:cs="Arial" w:eastAsia="Arial" w:hAnsi="Arial"/>
          <w:sz w:val="17"/>
          <w:szCs w:val="17"/>
          <w:i w:val="1"/>
          <w:iCs w:val="1"/>
          <w:color w:val="auto"/>
        </w:rPr>
        <w:t>provided</w:t>
      </w:r>
      <w:r>
        <w:rPr>
          <w:rFonts w:ascii="Arial" w:cs="Arial" w:eastAsia="Arial" w:hAnsi="Arial"/>
          <w:sz w:val="17"/>
          <w:szCs w:val="17"/>
          <w:color w:val="auto"/>
        </w:rPr>
        <w:t>, that, for purposes of the Plan, the following acquisitions shall not constitute a Change in Control: (I) any acquisition by the Company or any Affiliate; (II) any acquisition by any employee benefit plan sponsored or maintained by the Company or any Affiliate; or (III) in respect of an Award held by a particular Participant, any acquisition by the Participant or any group of Persons including the Participant (or any entity controlled by the Participant or any group of Persons including the Participant);</w:t>
      </w:r>
    </w:p>
    <w:p>
      <w:pPr>
        <w:spacing w:after="0" w:line="207" w:lineRule="exact"/>
        <w:rPr>
          <w:rFonts w:ascii="Arial" w:cs="Arial" w:eastAsia="Arial" w:hAnsi="Arial"/>
          <w:sz w:val="17"/>
          <w:szCs w:val="17"/>
          <w:color w:val="auto"/>
        </w:rPr>
      </w:pPr>
    </w:p>
    <w:p>
      <w:pPr>
        <w:jc w:val="both"/>
        <w:ind w:left="580" w:firstLine="644"/>
        <w:spacing w:after="0" w:line="280" w:lineRule="auto"/>
        <w:tabs>
          <w:tab w:leader="none" w:pos="1902" w:val="left"/>
        </w:tabs>
        <w:numPr>
          <w:ilvl w:val="1"/>
          <w:numId w:val="38"/>
        </w:numPr>
        <w:rPr>
          <w:rFonts w:ascii="Arial" w:cs="Arial" w:eastAsia="Arial" w:hAnsi="Arial"/>
          <w:sz w:val="16"/>
          <w:szCs w:val="16"/>
          <w:color w:val="auto"/>
        </w:rPr>
      </w:pPr>
      <w:r>
        <w:rPr>
          <w:rFonts w:ascii="Arial" w:cs="Arial" w:eastAsia="Arial" w:hAnsi="Arial"/>
          <w:sz w:val="16"/>
          <w:szCs w:val="16"/>
          <w:color w:val="auto"/>
        </w:rPr>
        <w:t>during any period of twelve (12) months, individuals who, at the beginning of such period, constitute the Board (the “</w:t>
      </w:r>
      <w:r>
        <w:rPr>
          <w:rFonts w:ascii="Arial" w:cs="Arial" w:eastAsia="Arial" w:hAnsi="Arial"/>
          <w:sz w:val="16"/>
          <w:szCs w:val="16"/>
          <w:u w:val="single" w:color="auto"/>
          <w:color w:val="auto"/>
        </w:rPr>
        <w:t>Incumbent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cease for any reason to constitute at least a majority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person becoming a director subsequent to the Effective Date, whose election or nomination for election was approved by a vote of at least two-thirds (2/3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Arial" w:cs="Arial" w:eastAsia="Arial" w:hAnsi="Arial"/>
          <w:sz w:val="16"/>
          <w:szCs w:val="16"/>
          <w:i w:val="1"/>
          <w:iCs w:val="1"/>
          <w:color w:val="auto"/>
        </w:rPr>
        <w:t>provided</w:t>
      </w:r>
      <w:r>
        <w:rPr>
          <w:rFonts w:ascii="Arial" w:cs="Arial" w:eastAsia="Arial" w:hAnsi="Arial"/>
          <w:sz w:val="16"/>
          <w:szCs w:val="16"/>
          <w:color w:val="auto"/>
        </w:rPr>
        <w:t>,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 or</w:t>
      </w:r>
    </w:p>
    <w:p>
      <w:pPr>
        <w:spacing w:after="0" w:line="200" w:lineRule="exact"/>
        <w:rPr>
          <w:rFonts w:ascii="Arial" w:cs="Arial" w:eastAsia="Arial" w:hAnsi="Arial"/>
          <w:sz w:val="16"/>
          <w:szCs w:val="16"/>
          <w:color w:val="auto"/>
        </w:rPr>
      </w:pPr>
    </w:p>
    <w:p>
      <w:pPr>
        <w:ind w:left="580" w:firstLine="644"/>
        <w:spacing w:after="0" w:line="277" w:lineRule="auto"/>
        <w:tabs>
          <w:tab w:leader="none" w:pos="204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assets of the Company Group (taken as a whole) to any Person that is not an Affiliate of the Company.</w:t>
      </w:r>
    </w:p>
    <w:p>
      <w:pPr>
        <w:spacing w:after="0" w:line="197" w:lineRule="exact"/>
        <w:rPr>
          <w:sz w:val="20"/>
          <w:szCs w:val="20"/>
          <w:color w:val="auto"/>
        </w:rPr>
      </w:pPr>
    </w:p>
    <w:p>
      <w:pPr>
        <w:jc w:val="both"/>
        <w:ind w:firstLine="657"/>
        <w:spacing w:after="0" w:line="263" w:lineRule="auto"/>
        <w:tabs>
          <w:tab w:leader="none" w:pos="1322"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210" w:lineRule="exact"/>
        <w:rPr>
          <w:rFonts w:ascii="Arial" w:cs="Arial" w:eastAsia="Arial" w:hAnsi="Arial"/>
          <w:sz w:val="18"/>
          <w:szCs w:val="18"/>
          <w:color w:val="auto"/>
        </w:rPr>
      </w:pPr>
    </w:p>
    <w:p>
      <w:pPr>
        <w:ind w:firstLine="657"/>
        <w:spacing w:after="0" w:line="277" w:lineRule="auto"/>
        <w:tabs>
          <w:tab w:leader="none" w:pos="157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any properly delegated subcommittee thereof or, if no such Compensation Committee or subcommittee thereof exists, the Board.</w:t>
      </w:r>
    </w:p>
    <w:p>
      <w:pPr>
        <w:spacing w:after="0" w:line="197" w:lineRule="exact"/>
        <w:rPr>
          <w:rFonts w:ascii="Arial" w:cs="Arial" w:eastAsia="Arial" w:hAnsi="Arial"/>
          <w:sz w:val="18"/>
          <w:szCs w:val="18"/>
          <w:color w:val="auto"/>
        </w:rPr>
      </w:pPr>
    </w:p>
    <w:p>
      <w:pPr>
        <w:ind w:firstLine="657"/>
        <w:spacing w:after="0" w:line="277" w:lineRule="auto"/>
        <w:tabs>
          <w:tab w:leader="none" w:pos="12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stock or other securities into which such Common Stock may be converted or into which it may be exchanged).</w:t>
      </w:r>
    </w:p>
    <w:p>
      <w:pPr>
        <w:spacing w:after="0" w:line="197" w:lineRule="exact"/>
        <w:rPr>
          <w:rFonts w:ascii="Arial" w:cs="Arial" w:eastAsia="Arial" w:hAnsi="Arial"/>
          <w:sz w:val="18"/>
          <w:szCs w:val="18"/>
          <w:color w:val="auto"/>
        </w:rPr>
      </w:pPr>
    </w:p>
    <w:p>
      <w:pPr>
        <w:ind w:left="1360" w:hanging="703"/>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Academy Sports and Outdoors, Inc., a Delaware corporation, and any successor thereto.</w:t>
      </w:r>
    </w:p>
    <w:p>
      <w:pPr>
        <w:spacing w:after="0" w:line="252" w:lineRule="exact"/>
        <w:rPr>
          <w:rFonts w:ascii="Arial" w:cs="Arial" w:eastAsia="Arial" w:hAnsi="Arial"/>
          <w:sz w:val="18"/>
          <w:szCs w:val="18"/>
          <w:color w:val="auto"/>
        </w:rPr>
      </w:pPr>
    </w:p>
    <w:p>
      <w:pPr>
        <w:ind w:left="1320" w:hanging="663"/>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w:t>
      </w:r>
      <w:r>
        <w:rPr>
          <w:rFonts w:ascii="Arial" w:cs="Arial" w:eastAsia="Arial" w:hAnsi="Arial"/>
          <w:sz w:val="18"/>
          <w:szCs w:val="18"/>
          <w:color w:val="auto"/>
        </w:rPr>
        <w:t>” means, collectively, the Company and its Subsidiaries.</w:t>
      </w:r>
    </w:p>
    <w:p>
      <w:pPr>
        <w:spacing w:after="0" w:line="252" w:lineRule="exact"/>
        <w:rPr>
          <w:rFonts w:ascii="Arial" w:cs="Arial" w:eastAsia="Arial" w:hAnsi="Arial"/>
          <w:sz w:val="18"/>
          <w:szCs w:val="18"/>
          <w:color w:val="auto"/>
        </w:rPr>
      </w:pPr>
    </w:p>
    <w:p>
      <w:pPr>
        <w:ind w:left="1500" w:hanging="843"/>
        <w:spacing w:after="0"/>
        <w:tabs>
          <w:tab w:leader="none" w:pos="1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Date of Grant</w:t>
      </w:r>
      <w:r>
        <w:rPr>
          <w:rFonts w:ascii="Arial" w:cs="Arial" w:eastAsia="Arial" w:hAnsi="Arial"/>
          <w:sz w:val="17"/>
          <w:szCs w:val="17"/>
          <w:color w:val="auto"/>
        </w:rPr>
        <w:t>” means the date on which the granting of an Award is authorized, or such other date as may be specified in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authorization.</w:t>
      </w:r>
    </w:p>
    <w:p>
      <w:pPr>
        <w:spacing w:after="0" w:line="237" w:lineRule="exact"/>
        <w:rPr>
          <w:rFonts w:ascii="Arial" w:cs="Arial" w:eastAsia="Arial" w:hAnsi="Arial"/>
          <w:sz w:val="17"/>
          <w:szCs w:val="17"/>
          <w:color w:val="auto"/>
        </w:rPr>
      </w:pPr>
    </w:p>
    <w:p>
      <w:pPr>
        <w:ind w:firstLine="657"/>
        <w:spacing w:after="0" w:line="277" w:lineRule="auto"/>
        <w:tabs>
          <w:tab w:leader="none" w:pos="13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Foreign Subsidiaries</w:t>
      </w:r>
      <w:r>
        <w:rPr>
          <w:rFonts w:ascii="Arial" w:cs="Arial" w:eastAsia="Arial" w:hAnsi="Arial"/>
          <w:sz w:val="18"/>
          <w:szCs w:val="18"/>
          <w:color w:val="auto"/>
        </w:rPr>
        <w:t>” means all members of the Company Group that are organized under the laws of any jurisdiction or country other than the United States of America that may be designated by the Board or the Committee from time to time.</w:t>
      </w:r>
    </w:p>
    <w:p>
      <w:pPr>
        <w:sectPr>
          <w:pgSz w:w="11900" w:h="16838" w:orient="portrait"/>
          <w:cols w:equalWidth="0" w:num="1">
            <w:col w:w="11160"/>
          </w:cols>
          <w:pgMar w:left="400" w:top="1440" w:right="339" w:bottom="1440" w:gutter="0" w:footer="0" w:header="0"/>
        </w:sectPr>
      </w:pPr>
    </w:p>
    <w:bookmarkStart w:id="59" w:name="page60"/>
    <w:bookmarkEnd w:id="59"/>
    <w:p>
      <w:pPr>
        <w:jc w:val="both"/>
        <w:ind w:left="-657" w:firstLine="657"/>
        <w:spacing w:after="0" w:line="291" w:lineRule="auto"/>
        <w:tabs>
          <w:tab w:leader="none" w:pos="745"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as to any Participant, unless the applicable Award Agreement states otherwise, (i) “Disability,” as defined in any employment or consulting agreement between the Participant and the Service Recipient in effect at the time of the Participant’s Termination; or (ii) in the absence of any such employment or consulting agreement (or the absence of any definition of “Disability” contained therein), a condition entitling the Participant to receive benefits under a long-term disability plan of the Service Recipient or other member of the Company Group in which such Participant is eligible to participate, or, in the absence of such a plan, the complete and permanent inability of the Participant by reason of illness or accident to perform the duties of the position at which the Participant was employed or served when such disability commenced. Any determination of whether Disability exists in the absence of a long-term disability plan shall be made by the Company (or its designee) in its sole and absolute discretion.</w:t>
      </w:r>
    </w:p>
    <w:p>
      <w:pPr>
        <w:spacing w:after="0" w:line="193" w:lineRule="exact"/>
        <w:rPr>
          <w:rFonts w:ascii="Arial" w:cs="Arial" w:eastAsia="Arial" w:hAnsi="Arial"/>
          <w:sz w:val="16"/>
          <w:szCs w:val="16"/>
          <w:color w:val="auto"/>
        </w:rPr>
      </w:pPr>
    </w:p>
    <w:p>
      <w:pPr>
        <w:ind w:left="623" w:hanging="623"/>
        <w:spacing w:after="0"/>
        <w:tabs>
          <w:tab w:leader="none" w:pos="6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October 1, 2020.</w:t>
      </w:r>
    </w:p>
    <w:p>
      <w:pPr>
        <w:spacing w:after="0" w:line="252" w:lineRule="exact"/>
        <w:rPr>
          <w:rFonts w:ascii="Arial" w:cs="Arial" w:eastAsia="Arial" w:hAnsi="Arial"/>
          <w:sz w:val="18"/>
          <w:szCs w:val="18"/>
          <w:color w:val="auto"/>
        </w:rPr>
      </w:pPr>
    </w:p>
    <w:p>
      <w:pPr>
        <w:jc w:val="both"/>
        <w:ind w:left="-657" w:firstLine="657"/>
        <w:spacing w:after="0" w:line="301" w:lineRule="auto"/>
        <w:tabs>
          <w:tab w:leader="none" w:pos="671"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Person</w:t>
      </w:r>
      <w:r>
        <w:rPr>
          <w:rFonts w:ascii="Arial" w:cs="Arial" w:eastAsia="Arial" w:hAnsi="Arial"/>
          <w:sz w:val="16"/>
          <w:szCs w:val="16"/>
          <w:color w:val="auto"/>
        </w:rPr>
        <w:t xml:space="preserve">” means any (i) individual employed by any member of the Company Group; </w:t>
      </w:r>
      <w:r>
        <w:rPr>
          <w:rFonts w:ascii="Arial" w:cs="Arial" w:eastAsia="Arial" w:hAnsi="Arial"/>
          <w:sz w:val="16"/>
          <w:szCs w:val="16"/>
          <w:i w:val="1"/>
          <w:iCs w:val="1"/>
          <w:color w:val="auto"/>
        </w:rPr>
        <w:t>provided</w:t>
      </w:r>
      <w:r>
        <w:rPr>
          <w:rFonts w:ascii="Arial" w:cs="Arial" w:eastAsia="Arial" w:hAnsi="Arial"/>
          <w:sz w:val="16"/>
          <w:szCs w:val="16"/>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or officer of any member of the Company Group; or (iii) consultant or advisor to any member of the Company Group who may be offered securities registrable pursuant to a registration statement on Form S-8 under the Securities Act.</w:t>
      </w:r>
    </w:p>
    <w:p>
      <w:pPr>
        <w:spacing w:after="0" w:line="184" w:lineRule="exact"/>
        <w:rPr>
          <w:rFonts w:ascii="Arial" w:cs="Arial" w:eastAsia="Arial" w:hAnsi="Arial"/>
          <w:sz w:val="16"/>
          <w:szCs w:val="16"/>
          <w:color w:val="auto"/>
        </w:rPr>
      </w:pPr>
    </w:p>
    <w:p>
      <w:pPr>
        <w:jc w:val="both"/>
        <w:ind w:left="-657" w:firstLine="657"/>
        <w:spacing w:after="0" w:line="263" w:lineRule="auto"/>
        <w:tabs>
          <w:tab w:leader="none" w:pos="7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210" w:lineRule="exact"/>
        <w:rPr>
          <w:rFonts w:ascii="Arial" w:cs="Arial" w:eastAsia="Arial" w:hAnsi="Arial"/>
          <w:sz w:val="18"/>
          <w:szCs w:val="18"/>
          <w:color w:val="auto"/>
        </w:rPr>
      </w:pPr>
    </w:p>
    <w:p>
      <w:pPr>
        <w:ind w:left="663" w:hanging="663"/>
        <w:spacing w:after="0"/>
        <w:tabs>
          <w:tab w:leader="none" w:pos="6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has the meaning given to such term in Section 7(b) of the Plan.</w:t>
      </w:r>
    </w:p>
    <w:p>
      <w:pPr>
        <w:spacing w:after="0" w:line="252" w:lineRule="exact"/>
        <w:rPr>
          <w:rFonts w:ascii="Arial" w:cs="Arial" w:eastAsia="Arial" w:hAnsi="Arial"/>
          <w:sz w:val="18"/>
          <w:szCs w:val="18"/>
          <w:color w:val="auto"/>
        </w:rPr>
      </w:pPr>
    </w:p>
    <w:p>
      <w:pPr>
        <w:jc w:val="both"/>
        <w:ind w:left="-657" w:firstLine="657"/>
        <w:spacing w:after="0" w:line="253" w:lineRule="auto"/>
        <w:tabs>
          <w:tab w:leader="none" w:pos="691"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means, on a given date, (i) if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 sale basis, the average between the closing bid price and ask price reported on such date, or, if there is no such sale on that date, then on the last preceding date on which a sale was reported; or (iii) if the Common Stock is not listed on a national securities exchange or quoted in an inter-dealer quotation system on a last sale basis, the amount determined by the Committee in good faith to be the fair market value of the Common Stock; </w:t>
      </w:r>
      <w:r>
        <w:rPr>
          <w:rFonts w:ascii="Arial" w:cs="Arial" w:eastAsia="Arial" w:hAnsi="Arial"/>
          <w:sz w:val="18"/>
          <w:szCs w:val="18"/>
          <w:i w:val="1"/>
          <w:iCs w:val="1"/>
          <w:color w:val="auto"/>
        </w:rPr>
        <w:t>provided</w:t>
      </w:r>
      <w:r>
        <w:rPr>
          <w:rFonts w:ascii="Arial" w:cs="Arial" w:eastAsia="Arial" w:hAnsi="Arial"/>
          <w:sz w:val="18"/>
          <w:szCs w:val="18"/>
          <w:color w:val="auto"/>
        </w:rPr>
        <w:t>, that, as to any Awards granted on or with a Date of Grant of the date of the pricing of the Company’s initial public offering, “Fair Market Value” shall be equal to the per share price at which the Common Stock is offered to the public in connection with such initial public offering.</w:t>
      </w:r>
    </w:p>
    <w:p>
      <w:pPr>
        <w:spacing w:after="0" w:line="223" w:lineRule="exact"/>
        <w:rPr>
          <w:rFonts w:ascii="Arial" w:cs="Arial" w:eastAsia="Arial" w:hAnsi="Arial"/>
          <w:sz w:val="18"/>
          <w:szCs w:val="18"/>
          <w:color w:val="auto"/>
        </w:rPr>
      </w:pPr>
    </w:p>
    <w:p>
      <w:pPr>
        <w:ind w:left="703" w:hanging="703"/>
        <w:spacing w:after="0"/>
        <w:tabs>
          <w:tab w:leader="none" w:pos="7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given to such term in Section 7(d) of the Plan.</w:t>
      </w:r>
    </w:p>
    <w:p>
      <w:pPr>
        <w:spacing w:after="0" w:line="252" w:lineRule="exact"/>
        <w:rPr>
          <w:rFonts w:ascii="Arial" w:cs="Arial" w:eastAsia="Arial" w:hAnsi="Arial"/>
          <w:sz w:val="18"/>
          <w:szCs w:val="18"/>
          <w:color w:val="auto"/>
        </w:rPr>
      </w:pPr>
    </w:p>
    <w:p>
      <w:pPr>
        <w:ind w:left="663" w:hanging="663"/>
        <w:spacing w:after="0"/>
        <w:tabs>
          <w:tab w:leader="none" w:pos="6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has the meaning given to such term in Section 14(b) of the Plan.</w:t>
      </w:r>
    </w:p>
    <w:p>
      <w:pPr>
        <w:spacing w:after="0" w:line="252" w:lineRule="exact"/>
        <w:rPr>
          <w:rFonts w:ascii="Arial" w:cs="Arial" w:eastAsia="Arial" w:hAnsi="Arial"/>
          <w:sz w:val="18"/>
          <w:szCs w:val="18"/>
          <w:color w:val="auto"/>
        </w:rPr>
      </w:pPr>
    </w:p>
    <w:p>
      <w:pPr>
        <w:ind w:left="-657" w:firstLine="657"/>
        <w:spacing w:after="0" w:line="277" w:lineRule="auto"/>
        <w:tabs>
          <w:tab w:leader="none" w:pos="7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which is designated by the Committee as an incentive stock option as described in Section 422 of the Code and otherwise meets the requirements set forth in the Plan.</w:t>
      </w:r>
    </w:p>
    <w:p>
      <w:pPr>
        <w:spacing w:after="0" w:line="197" w:lineRule="exact"/>
        <w:rPr>
          <w:rFonts w:ascii="Arial" w:cs="Arial" w:eastAsia="Arial" w:hAnsi="Arial"/>
          <w:sz w:val="18"/>
          <w:szCs w:val="18"/>
          <w:color w:val="auto"/>
        </w:rPr>
      </w:pPr>
    </w:p>
    <w:p>
      <w:pPr>
        <w:ind w:left="643" w:hanging="643"/>
        <w:spacing w:after="0"/>
        <w:tabs>
          <w:tab w:leader="none" w:pos="6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Indemnifiable Person</w:t>
      </w:r>
      <w:r>
        <w:rPr>
          <w:rFonts w:ascii="Arial" w:cs="Arial" w:eastAsia="Arial" w:hAnsi="Arial"/>
          <w:sz w:val="18"/>
          <w:szCs w:val="18"/>
          <w:color w:val="auto"/>
        </w:rPr>
        <w:t>” has the meaning given to such term in Section 4(e) of the Plan.</w:t>
      </w:r>
    </w:p>
    <w:p>
      <w:pPr>
        <w:spacing w:after="0" w:line="252" w:lineRule="exact"/>
        <w:rPr>
          <w:sz w:val="20"/>
          <w:szCs w:val="20"/>
          <w:color w:val="auto"/>
        </w:rPr>
      </w:pPr>
    </w:p>
    <w:p>
      <w:pPr>
        <w:ind w:left="723" w:hanging="723"/>
        <w:spacing w:after="0"/>
        <w:tabs>
          <w:tab w:leader="none" w:pos="7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which is not designated by the Committee as an Incentive Stock Option.</w:t>
      </w:r>
    </w:p>
    <w:p>
      <w:pPr>
        <w:spacing w:after="0" w:line="252" w:lineRule="exact"/>
        <w:rPr>
          <w:rFonts w:ascii="Arial" w:cs="Arial" w:eastAsia="Arial" w:hAnsi="Arial"/>
          <w:sz w:val="18"/>
          <w:szCs w:val="18"/>
          <w:color w:val="auto"/>
        </w:rPr>
      </w:pPr>
    </w:p>
    <w:p>
      <w:pPr>
        <w:ind w:left="743" w:hanging="743"/>
        <w:spacing w:after="0"/>
        <w:tabs>
          <w:tab w:leader="none" w:pos="7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is not an employee of any member of the Company Group.</w:t>
      </w:r>
    </w:p>
    <w:p>
      <w:pPr>
        <w:sectPr>
          <w:pgSz w:w="11900" w:h="16838" w:orient="portrait"/>
          <w:cols w:equalWidth="0" w:num="1">
            <w:col w:w="10503"/>
          </w:cols>
          <w:pgMar w:left="1057" w:top="1421" w:right="339" w:bottom="1440" w:gutter="0" w:footer="0" w:header="0"/>
        </w:sectPr>
      </w:pPr>
    </w:p>
    <w:bookmarkStart w:id="60" w:name="page61"/>
    <w:bookmarkEnd w:id="60"/>
    <w:p>
      <w:pPr>
        <w:ind w:left="1380" w:hanging="723"/>
        <w:spacing w:after="0"/>
        <w:tabs>
          <w:tab w:leader="none" w:pos="13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Award granted under Section 7 of the Plan.</w:t>
      </w:r>
    </w:p>
    <w:p>
      <w:pPr>
        <w:spacing w:after="0" w:line="252" w:lineRule="exact"/>
        <w:rPr>
          <w:rFonts w:ascii="Arial" w:cs="Arial" w:eastAsia="Arial" w:hAnsi="Arial"/>
          <w:sz w:val="18"/>
          <w:szCs w:val="18"/>
          <w:color w:val="auto"/>
        </w:rPr>
      </w:pPr>
    </w:p>
    <w:p>
      <w:pPr>
        <w:ind w:left="1400" w:hanging="743"/>
        <w:spacing w:after="0"/>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has the meaning given to such term in Section 7(c) of the Plan.</w:t>
      </w:r>
    </w:p>
    <w:p>
      <w:pPr>
        <w:spacing w:after="0" w:line="252" w:lineRule="exact"/>
        <w:rPr>
          <w:rFonts w:ascii="Arial" w:cs="Arial" w:eastAsia="Arial" w:hAnsi="Arial"/>
          <w:sz w:val="18"/>
          <w:szCs w:val="18"/>
          <w:color w:val="auto"/>
        </w:rPr>
      </w:pPr>
    </w:p>
    <w:p>
      <w:pPr>
        <w:jc w:val="both"/>
        <w:ind w:right="20" w:firstLine="657"/>
        <w:spacing w:after="0" w:line="263" w:lineRule="auto"/>
        <w:tabs>
          <w:tab w:leader="none" w:pos="1472"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Equity-Based Award</w:t>
      </w:r>
      <w:r>
        <w:rPr>
          <w:rFonts w:ascii="Arial" w:cs="Arial" w:eastAsia="Arial" w:hAnsi="Arial"/>
          <w:sz w:val="18"/>
          <w:szCs w:val="18"/>
          <w:color w:val="auto"/>
        </w:rPr>
        <w:t>” means an Award that is not an Option, Stock Appreciation Right, Restricted Stock or Restricted Stock Unit, that is granted under Section 10 of the Plan and is (i) payable by delivery of Common Stock, and/or (ii) measured by reference to the value of Common Stock.</w:t>
      </w:r>
    </w:p>
    <w:p>
      <w:pPr>
        <w:spacing w:after="0" w:line="210" w:lineRule="exact"/>
        <w:rPr>
          <w:rFonts w:ascii="Arial" w:cs="Arial" w:eastAsia="Arial" w:hAnsi="Arial"/>
          <w:sz w:val="18"/>
          <w:szCs w:val="18"/>
          <w:color w:val="auto"/>
        </w:rPr>
      </w:pPr>
    </w:p>
    <w:p>
      <w:pPr>
        <w:ind w:firstLine="657"/>
        <w:spacing w:after="0" w:line="277" w:lineRule="auto"/>
        <w:tabs>
          <w:tab w:leader="none" w:pos="1469"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Person who has been selected by the Committee to participate in the Plan and to receive an Award pursuant to the Plan.</w:t>
      </w:r>
    </w:p>
    <w:p>
      <w:pPr>
        <w:spacing w:after="0" w:line="197" w:lineRule="exact"/>
        <w:rPr>
          <w:rFonts w:ascii="Arial" w:cs="Arial" w:eastAsia="Arial" w:hAnsi="Arial"/>
          <w:sz w:val="18"/>
          <w:szCs w:val="18"/>
          <w:color w:val="auto"/>
        </w:rPr>
      </w:pPr>
    </w:p>
    <w:p>
      <w:pPr>
        <w:jc w:val="both"/>
        <w:ind w:firstLine="657"/>
        <w:spacing w:after="0" w:line="284" w:lineRule="auto"/>
        <w:tabs>
          <w:tab w:leader="none" w:pos="1569" w:val="left"/>
        </w:tabs>
        <w:numPr>
          <w:ilvl w:val="1"/>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Criteria</w:t>
      </w:r>
      <w:r>
        <w:rPr>
          <w:rFonts w:ascii="Arial" w:cs="Arial" w:eastAsia="Arial" w:hAnsi="Arial"/>
          <w:sz w:val="16"/>
          <w:szCs w:val="16"/>
          <w:color w:val="auto"/>
        </w:rPr>
        <w:t>” means specific levels of performance of the Company (and/or one or more of the Company’s Affiliates, divisions or operational and/or business units, business segments, administrative departments, or any combination of the foregoing) or any Participant, which may be determined in accordance with GAAP or on a non-GAAP basis including, but not limited to, one or more of the following measures: (i) terms relative to a peer group or index; (ii) basic, diluted, or adjusted earnings per share; (iii) sales or revenue; (iv) earnings before interest, taxes, and other adjustments (in total or on a per share basis); (v) cash available for distribution; (vi) basic or adjusted net income; (vii) returns on equity, assets, capital, revenue or similar measure; (viii) level and growth of dividends; (ix) the price or increase in price of Common Stock; (x) total shareholder return;</w:t>
      </w:r>
    </w:p>
    <w:p>
      <w:pPr>
        <w:spacing w:after="0" w:line="4" w:lineRule="exact"/>
        <w:rPr>
          <w:rFonts w:ascii="Arial" w:cs="Arial" w:eastAsia="Arial" w:hAnsi="Arial"/>
          <w:sz w:val="16"/>
          <w:szCs w:val="16"/>
          <w:color w:val="auto"/>
        </w:rPr>
      </w:pPr>
    </w:p>
    <w:p>
      <w:pPr>
        <w:jc w:val="both"/>
        <w:ind w:firstLine="9"/>
        <w:spacing w:after="0" w:line="287" w:lineRule="auto"/>
        <w:tabs>
          <w:tab w:leader="none" w:pos="331"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total assets; (xii) growth in assets, new originations of assets, or financing of assets; (xiii) equity market capitalization; (xiv) reduction or other quantifiable goal with respect to general and/or specific expenses; (xv) equity capital raised; (xvi) mergers, acquisitions, increase in enterprise value of Affiliates, Subsidiaries, divisions or business units or sales of assets of Affiliates, Subsidiaries, divisions or business units or sales of assets; and (xvii) any combination of the foregoing. Any one or more of the Performance Criteria may be stated as a percentage of another Performance Criteria, or used on an absolute or relative basis to measure the performance of the Company and/or one or more Affiliates as a whole or any divisions or operational and/or business units, business segments, administrative departments of the Company and/or one or more Affiliates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w:t>
      </w:r>
    </w:p>
    <w:p>
      <w:pPr>
        <w:spacing w:after="0" w:line="196" w:lineRule="exact"/>
        <w:rPr>
          <w:rFonts w:ascii="Arial" w:cs="Arial" w:eastAsia="Arial" w:hAnsi="Arial"/>
          <w:sz w:val="16"/>
          <w:szCs w:val="16"/>
          <w:color w:val="auto"/>
        </w:rPr>
      </w:pPr>
    </w:p>
    <w:p>
      <w:pPr>
        <w:ind w:left="1180" w:hanging="523"/>
        <w:spacing w:after="0"/>
        <w:tabs>
          <w:tab w:leader="none" w:pos="11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has the meaning given to such term in Section 14(b) of the Plan.</w:t>
      </w:r>
    </w:p>
    <w:p>
      <w:pPr>
        <w:spacing w:after="0" w:line="252" w:lineRule="exact"/>
        <w:rPr>
          <w:rFonts w:ascii="Arial" w:cs="Arial" w:eastAsia="Arial" w:hAnsi="Arial"/>
          <w:sz w:val="18"/>
          <w:szCs w:val="18"/>
          <w:color w:val="auto"/>
        </w:rPr>
      </w:pPr>
    </w:p>
    <w:p>
      <w:pPr>
        <w:ind w:left="1320" w:hanging="663"/>
        <w:spacing w:after="0"/>
        <w:tabs>
          <w:tab w:leader="none" w:pos="13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entity or group (within the meaning of Section 13(d)(3) or 14(d)(2) of the Exchange Act).</w:t>
      </w:r>
    </w:p>
    <w:p>
      <w:pPr>
        <w:spacing w:after="0" w:line="252" w:lineRule="exact"/>
        <w:rPr>
          <w:rFonts w:ascii="Arial" w:cs="Arial" w:eastAsia="Arial" w:hAnsi="Arial"/>
          <w:sz w:val="18"/>
          <w:szCs w:val="18"/>
          <w:color w:val="auto"/>
        </w:rPr>
      </w:pPr>
    </w:p>
    <w:p>
      <w:pPr>
        <w:ind w:left="1320" w:hanging="663"/>
        <w:spacing w:after="0"/>
        <w:tabs>
          <w:tab w:leader="none" w:pos="13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Academy Sports and Outdoors, Inc. 2020 Omnibus Incentive Plan, as it may be amended and/or restated from time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237" w:lineRule="exact"/>
        <w:rPr>
          <w:rFonts w:ascii="Arial" w:cs="Arial" w:eastAsia="Arial" w:hAnsi="Arial"/>
          <w:sz w:val="16"/>
          <w:szCs w:val="16"/>
          <w:color w:val="auto"/>
        </w:rPr>
      </w:pPr>
    </w:p>
    <w:p>
      <w:pPr>
        <w:ind w:firstLine="657"/>
        <w:spacing w:after="0" w:line="342" w:lineRule="auto"/>
        <w:tabs>
          <w:tab w:leader="none" w:pos="1573" w:val="left"/>
        </w:tabs>
        <w:numPr>
          <w:ilvl w:val="1"/>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Qualifying Director</w:t>
      </w:r>
      <w:r>
        <w:rPr>
          <w:rFonts w:ascii="Arial" w:cs="Arial" w:eastAsia="Arial" w:hAnsi="Arial"/>
          <w:sz w:val="16"/>
          <w:szCs w:val="16"/>
          <w:color w:val="auto"/>
        </w:rPr>
        <w:t>” means a person who is, with respect to actions intended to obtain an exemption from Section 16(b) of the Exchange Act pursuant to Rule 16b-3 under the Exchange Act, a “non-employee director” within the meaning of Rule 16b-3 under the Exchange Act.</w:t>
      </w:r>
    </w:p>
    <w:p>
      <w:pPr>
        <w:spacing w:after="0" w:line="150" w:lineRule="exact"/>
        <w:rPr>
          <w:rFonts w:ascii="Arial" w:cs="Arial" w:eastAsia="Arial" w:hAnsi="Arial"/>
          <w:sz w:val="16"/>
          <w:szCs w:val="16"/>
          <w:color w:val="auto"/>
        </w:rPr>
      </w:pPr>
    </w:p>
    <w:p>
      <w:pPr>
        <w:ind w:firstLine="657"/>
        <w:spacing w:after="0" w:line="277" w:lineRule="auto"/>
        <w:tabs>
          <w:tab w:leader="none" w:pos="13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period of time determined by the Committee during which an Award is subject to restrictions, including vesting conditions.</w:t>
      </w:r>
    </w:p>
    <w:p>
      <w:pPr>
        <w:spacing w:after="0" w:line="197" w:lineRule="exact"/>
        <w:rPr>
          <w:rFonts w:ascii="Arial" w:cs="Arial" w:eastAsia="Arial" w:hAnsi="Arial"/>
          <w:sz w:val="18"/>
          <w:szCs w:val="18"/>
          <w:color w:val="auto"/>
        </w:rPr>
      </w:pPr>
    </w:p>
    <w:p>
      <w:pPr>
        <w:jc w:val="both"/>
        <w:ind w:firstLine="657"/>
        <w:spacing w:after="0" w:line="263" w:lineRule="auto"/>
        <w:tabs>
          <w:tab w:leader="none" w:pos="1795"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Common Stock, subject to certain specified restrictions (which may include, without limitation, a requirement that the Participant remain continuously employed or provide continuous services for a specified period of time), granted under Section 9 of the Plan.</w:t>
      </w:r>
    </w:p>
    <w:p>
      <w:pPr>
        <w:spacing w:after="0" w:line="210" w:lineRule="exact"/>
        <w:rPr>
          <w:rFonts w:ascii="Arial" w:cs="Arial" w:eastAsia="Arial" w:hAnsi="Arial"/>
          <w:sz w:val="18"/>
          <w:szCs w:val="18"/>
          <w:color w:val="auto"/>
        </w:rPr>
      </w:pPr>
    </w:p>
    <w:p>
      <w:pPr>
        <w:jc w:val="both"/>
        <w:ind w:firstLine="657"/>
        <w:spacing w:after="0" w:line="263" w:lineRule="auto"/>
        <w:tabs>
          <w:tab w:leader="none" w:pos="1425"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unfunded and unsecured promise to deliver shares of Common Stock, cash, other securities or other property, subject to certain restrictions (which may include, without limitation, a requirement that the Participant remain continuously employed or provide continuous services for a specified period of time), granted under Section 9 of the Plan.</w:t>
      </w:r>
    </w:p>
    <w:p>
      <w:pPr>
        <w:sectPr>
          <w:pgSz w:w="11900" w:h="16838" w:orient="portrait"/>
          <w:cols w:equalWidth="0" w:num="1">
            <w:col w:w="11160"/>
          </w:cols>
          <w:pgMar w:left="400" w:top="1421" w:right="339" w:bottom="1440" w:gutter="0" w:footer="0" w:header="0"/>
        </w:sectPr>
      </w:pPr>
    </w:p>
    <w:bookmarkStart w:id="61" w:name="page62"/>
    <w:bookmarkEnd w:id="61"/>
    <w:p>
      <w:pPr>
        <w:spacing w:after="0" w:line="225" w:lineRule="exact"/>
        <w:rPr>
          <w:sz w:val="20"/>
          <w:szCs w:val="20"/>
          <w:color w:val="auto"/>
        </w:rPr>
      </w:pPr>
    </w:p>
    <w:p>
      <w:pPr>
        <w:ind w:left="824" w:hanging="743"/>
        <w:spacing w:after="0"/>
        <w:tabs>
          <w:tab w:leader="none" w:pos="8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 Period</w:t>
      </w:r>
      <w:r>
        <w:rPr>
          <w:rFonts w:ascii="Arial" w:cs="Arial" w:eastAsia="Arial" w:hAnsi="Arial"/>
          <w:sz w:val="18"/>
          <w:szCs w:val="18"/>
          <w:color w:val="auto"/>
        </w:rPr>
        <w:t>” has the meaning given to such term in Section 8(c) of the Plan.</w:t>
      </w:r>
    </w:p>
    <w:p>
      <w:pPr>
        <w:spacing w:after="0" w:line="252" w:lineRule="exact"/>
        <w:rPr>
          <w:rFonts w:ascii="Arial" w:cs="Arial" w:eastAsia="Arial" w:hAnsi="Arial"/>
          <w:sz w:val="18"/>
          <w:szCs w:val="18"/>
          <w:color w:val="auto"/>
        </w:rPr>
      </w:pPr>
    </w:p>
    <w:p>
      <w:pPr>
        <w:jc w:val="both"/>
        <w:ind w:left="-576" w:firstLine="657"/>
        <w:spacing w:after="0" w:line="263" w:lineRule="auto"/>
        <w:tabs>
          <w:tab w:leader="none" w:pos="849"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210" w:lineRule="exact"/>
        <w:rPr>
          <w:rFonts w:ascii="Arial" w:cs="Arial" w:eastAsia="Arial" w:hAnsi="Arial"/>
          <w:sz w:val="18"/>
          <w:szCs w:val="18"/>
          <w:color w:val="auto"/>
        </w:rPr>
      </w:pPr>
    </w:p>
    <w:p>
      <w:pPr>
        <w:jc w:val="both"/>
        <w:ind w:left="-576" w:firstLine="657"/>
        <w:spacing w:after="0" w:line="263" w:lineRule="auto"/>
        <w:tabs>
          <w:tab w:leader="none" w:pos="957"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Recipient</w:t>
      </w:r>
      <w:r>
        <w:rPr>
          <w:rFonts w:ascii="Arial" w:cs="Arial" w:eastAsia="Arial" w:hAnsi="Arial"/>
          <w:sz w:val="18"/>
          <w:szCs w:val="18"/>
          <w:color w:val="auto"/>
        </w:rPr>
        <w:t>” means, with respect to a Participant holding a given Award, the member of the Company Group by which the original recipient of such Award is, or following a Termination was most recently, principally employed or to which such original recipient provides, or following a Termination was most recently providing, services, as applicable.</w:t>
      </w:r>
    </w:p>
    <w:p>
      <w:pPr>
        <w:spacing w:after="0" w:line="210" w:lineRule="exact"/>
        <w:rPr>
          <w:rFonts w:ascii="Arial" w:cs="Arial" w:eastAsia="Arial" w:hAnsi="Arial"/>
          <w:sz w:val="18"/>
          <w:szCs w:val="18"/>
          <w:color w:val="auto"/>
        </w:rPr>
      </w:pPr>
    </w:p>
    <w:p>
      <w:pPr>
        <w:ind w:left="764" w:hanging="683"/>
        <w:spacing w:after="0"/>
        <w:tabs>
          <w:tab w:leader="none" w:pos="7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under Section 8 of the Plan.</w:t>
      </w:r>
    </w:p>
    <w:p>
      <w:pPr>
        <w:spacing w:after="0" w:line="252" w:lineRule="exact"/>
        <w:rPr>
          <w:rFonts w:ascii="Arial" w:cs="Arial" w:eastAsia="Arial" w:hAnsi="Arial"/>
          <w:sz w:val="18"/>
          <w:szCs w:val="18"/>
          <w:color w:val="auto"/>
        </w:rPr>
      </w:pPr>
    </w:p>
    <w:p>
      <w:pPr>
        <w:ind w:left="784" w:hanging="703"/>
        <w:spacing w:after="0"/>
        <w:tabs>
          <w:tab w:leader="none" w:pos="7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Strike Price</w:t>
      </w:r>
      <w:r>
        <w:rPr>
          <w:rFonts w:ascii="Arial" w:cs="Arial" w:eastAsia="Arial" w:hAnsi="Arial"/>
          <w:sz w:val="18"/>
          <w:szCs w:val="18"/>
          <w:color w:val="auto"/>
        </w:rPr>
        <w:t>” has the meaning given to such term in Section 8(b) of the Plan.</w:t>
      </w:r>
    </w:p>
    <w:p>
      <w:pPr>
        <w:spacing w:after="0" w:line="252" w:lineRule="exact"/>
        <w:rPr>
          <w:rFonts w:ascii="Arial" w:cs="Arial" w:eastAsia="Arial" w:hAnsi="Arial"/>
          <w:sz w:val="18"/>
          <w:szCs w:val="18"/>
          <w:color w:val="auto"/>
        </w:rPr>
      </w:pPr>
    </w:p>
    <w:p>
      <w:pPr>
        <w:ind w:left="744" w:hanging="663"/>
        <w:spacing w:after="0"/>
        <w:tabs>
          <w:tab w:leader="none" w:pos="744"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specified Person:</w:t>
      </w:r>
    </w:p>
    <w:p>
      <w:pPr>
        <w:spacing w:after="0" w:line="252" w:lineRule="exact"/>
        <w:rPr>
          <w:rFonts w:ascii="Arial" w:cs="Arial" w:eastAsia="Arial" w:hAnsi="Arial"/>
          <w:sz w:val="18"/>
          <w:szCs w:val="18"/>
          <w:color w:val="auto"/>
        </w:rPr>
      </w:pPr>
    </w:p>
    <w:p>
      <w:pPr>
        <w:jc w:val="both"/>
        <w:ind w:left="4" w:firstLine="644"/>
        <w:spacing w:after="0" w:line="259" w:lineRule="auto"/>
        <w:tabs>
          <w:tab w:leader="none" w:pos="1330"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fifty percent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spacing w:after="0" w:line="213" w:lineRule="exact"/>
        <w:rPr>
          <w:rFonts w:ascii="Arial" w:cs="Arial" w:eastAsia="Arial" w:hAnsi="Arial"/>
          <w:sz w:val="18"/>
          <w:szCs w:val="18"/>
          <w:color w:val="auto"/>
        </w:rPr>
      </w:pPr>
    </w:p>
    <w:p>
      <w:pPr>
        <w:jc w:val="both"/>
        <w:ind w:left="4" w:firstLine="644"/>
        <w:spacing w:after="0" w:line="263" w:lineRule="auto"/>
        <w:tabs>
          <w:tab w:leader="none" w:pos="1582"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spacing w:after="0" w:line="210" w:lineRule="exact"/>
        <w:rPr>
          <w:rFonts w:ascii="Arial" w:cs="Arial" w:eastAsia="Arial" w:hAnsi="Arial"/>
          <w:sz w:val="18"/>
          <w:szCs w:val="18"/>
          <w:color w:val="auto"/>
        </w:rPr>
      </w:pPr>
    </w:p>
    <w:p>
      <w:pPr>
        <w:ind w:left="824" w:hanging="743"/>
        <w:spacing w:after="0"/>
        <w:tabs>
          <w:tab w:leader="none" w:pos="8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w:t>
      </w:r>
      <w:r>
        <w:rPr>
          <w:rFonts w:ascii="Arial" w:cs="Arial" w:eastAsia="Arial" w:hAnsi="Arial"/>
          <w:sz w:val="18"/>
          <w:szCs w:val="18"/>
          <w:color w:val="auto"/>
        </w:rPr>
        <w:t>” has the meaning given to such term in Section 5(e) of the Plan.</w:t>
      </w:r>
    </w:p>
    <w:p>
      <w:pPr>
        <w:spacing w:after="0" w:line="252" w:lineRule="exact"/>
        <w:rPr>
          <w:rFonts w:ascii="Arial" w:cs="Arial" w:eastAsia="Arial" w:hAnsi="Arial"/>
          <w:sz w:val="18"/>
          <w:szCs w:val="18"/>
          <w:color w:val="auto"/>
        </w:rPr>
      </w:pPr>
    </w:p>
    <w:p>
      <w:pPr>
        <w:jc w:val="both"/>
        <w:ind w:left="-576" w:firstLine="657"/>
        <w:spacing w:after="0" w:line="257" w:lineRule="auto"/>
        <w:tabs>
          <w:tab w:leader="none" w:pos="916"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Sub-Plans</w:t>
      </w:r>
      <w:r>
        <w:rPr>
          <w:rFonts w:ascii="Arial" w:cs="Arial" w:eastAsia="Arial" w:hAnsi="Arial"/>
          <w:sz w:val="18"/>
          <w:szCs w:val="18"/>
          <w:color w:val="auto"/>
        </w:rPr>
        <w:t>” means any sub-plan to the Plan that has been adopted by the Board or the Committee for the purpose of permitting the offering of Awards to employees of certain Designated Foreign Subsidiaries or otherwise outside the United States of America, with each such sub-plan designed to comply with local laws applicable to offerings in such foreign jurisdictions. Although any Sub-Plan may be designated a separate and independent plan from the Plan in order to comply with applicable local laws, the Absolute Share Limit and the other limits specified in Section 5(b) shall apply in the aggregate to the Plan and any Sub-Plan adopted hereunder.</w:t>
      </w:r>
    </w:p>
    <w:p>
      <w:pPr>
        <w:spacing w:after="0" w:line="214" w:lineRule="exact"/>
        <w:rPr>
          <w:rFonts w:ascii="Arial" w:cs="Arial" w:eastAsia="Arial" w:hAnsi="Arial"/>
          <w:sz w:val="18"/>
          <w:szCs w:val="18"/>
          <w:color w:val="auto"/>
        </w:rPr>
      </w:pPr>
    </w:p>
    <w:p>
      <w:pPr>
        <w:ind w:left="-576" w:right="20" w:firstLine="657"/>
        <w:spacing w:after="0" w:line="277" w:lineRule="auto"/>
        <w:tabs>
          <w:tab w:leader="none" w:pos="10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w:t>
      </w:r>
      <w:r>
        <w:rPr>
          <w:rFonts w:ascii="Arial" w:cs="Arial" w:eastAsia="Arial" w:hAnsi="Arial"/>
          <w:sz w:val="18"/>
          <w:szCs w:val="18"/>
          <w:color w:val="auto"/>
        </w:rPr>
        <w:t>” means the termination of a Participant’s employment or service, as applicable, with the Service Recipient for any reason (including death).</w:t>
      </w:r>
    </w:p>
    <w:p>
      <w:pPr>
        <w:spacing w:after="0" w:line="193" w:lineRule="exact"/>
        <w:rPr>
          <w:rFonts w:ascii="Arial" w:cs="Arial" w:eastAsia="Arial" w:hAnsi="Arial"/>
          <w:sz w:val="18"/>
          <w:szCs w:val="18"/>
          <w:color w:val="auto"/>
        </w:rPr>
      </w:pPr>
    </w:p>
    <w:p>
      <w:pPr>
        <w:jc w:val="both"/>
        <w:ind w:left="-656" w:firstLine="656"/>
        <w:spacing w:after="0" w:line="266" w:lineRule="auto"/>
        <w:tabs>
          <w:tab w:leader="none" w:pos="617"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Duration</w:t>
      </w:r>
      <w:r>
        <w:rPr>
          <w:rFonts w:ascii="Arial" w:cs="Arial" w:eastAsia="Arial" w:hAnsi="Arial"/>
          <w:sz w:val="18"/>
          <w:szCs w:val="18"/>
          <w:color w:val="auto"/>
        </w:rPr>
        <w:t>. The Plan shall be effective as of the Effective Date. The expiration date of the Plan, on and after which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 Awards may be granted hereunder, shall be the tenth (10th) anniversary of the Effective Date; </w:t>
      </w:r>
      <w:r>
        <w:rPr>
          <w:rFonts w:ascii="Arial" w:cs="Arial" w:eastAsia="Arial" w:hAnsi="Arial"/>
          <w:sz w:val="18"/>
          <w:szCs w:val="18"/>
          <w:i w:val="1"/>
          <w:iCs w:val="1"/>
          <w:color w:val="auto"/>
        </w:rPr>
        <w:t>provided</w:t>
      </w:r>
      <w:r>
        <w:rPr>
          <w:rFonts w:ascii="Arial" w:cs="Arial" w:eastAsia="Arial" w:hAnsi="Arial"/>
          <w:sz w:val="18"/>
          <w:szCs w:val="18"/>
          <w:color w:val="auto"/>
        </w:rPr>
        <w:t>, that such expiration shall not affect Awards then outstanding, and the terms and conditions of the Plan shall continue to apply to such Awards.</w:t>
      </w:r>
    </w:p>
    <w:p>
      <w:pPr>
        <w:spacing w:after="0" w:line="202" w:lineRule="exact"/>
        <w:rPr>
          <w:rFonts w:ascii="Arial" w:cs="Arial" w:eastAsia="Arial" w:hAnsi="Arial"/>
          <w:sz w:val="18"/>
          <w:szCs w:val="18"/>
          <w:b w:val="1"/>
          <w:bCs w:val="1"/>
          <w:color w:val="auto"/>
        </w:rPr>
      </w:pPr>
    </w:p>
    <w:p>
      <w:pPr>
        <w:ind w:left="584" w:hanging="584"/>
        <w:spacing w:after="0"/>
        <w:tabs>
          <w:tab w:leader="none" w:pos="58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jc w:val="both"/>
        <w:ind w:left="-576" w:firstLine="657"/>
        <w:spacing w:after="0" w:line="311" w:lineRule="auto"/>
        <w:tabs>
          <w:tab w:leader="none" w:pos="816"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Committee shall administer the Plan. To the extent required to comply with the provisions of Rule 16b-3 promulgated under the Exchange Act (if the Board is not acting as the Committee under the Plan), it is intended that each member of the Committee shall, at the time such member takes any action with respect to an Award under the Plan that is intended to qualify for the exemptions provided by Rule 16b-3</w:t>
      </w:r>
    </w:p>
    <w:p>
      <w:pPr>
        <w:sectPr>
          <w:pgSz w:w="11900" w:h="16838" w:orient="portrait"/>
          <w:cols w:equalWidth="0" w:num="1">
            <w:col w:w="10584"/>
          </w:cols>
          <w:pgMar w:left="976" w:top="1440" w:right="339" w:bottom="1440" w:gutter="0" w:footer="0" w:header="0"/>
        </w:sectPr>
      </w:pPr>
    </w:p>
    <w:bookmarkStart w:id="62" w:name="page63"/>
    <w:bookmarkEnd w:id="62"/>
    <w:p>
      <w:pPr>
        <w:ind w:right="20"/>
        <w:spacing w:after="0" w:line="277" w:lineRule="auto"/>
        <w:rPr>
          <w:sz w:val="20"/>
          <w:szCs w:val="20"/>
          <w:color w:val="auto"/>
        </w:rPr>
      </w:pPr>
      <w:r>
        <w:rPr>
          <w:rFonts w:ascii="Arial" w:cs="Arial" w:eastAsia="Arial" w:hAnsi="Arial"/>
          <w:sz w:val="18"/>
          <w:szCs w:val="18"/>
          <w:color w:val="auto"/>
        </w:rPr>
        <w:t>promulgated under the Exchange Act, be a Qualifying Director. However, the fact that a Committee member shall fail to qualify as a Qualifying Director shall not invalidate any Award granted by the Committee that is otherwise validly granted under the Plan.</w:t>
      </w:r>
    </w:p>
    <w:p>
      <w:pPr>
        <w:spacing w:after="0" w:line="197" w:lineRule="exact"/>
        <w:rPr>
          <w:sz w:val="20"/>
          <w:szCs w:val="20"/>
          <w:color w:val="auto"/>
        </w:rPr>
      </w:pPr>
    </w:p>
    <w:p>
      <w:pPr>
        <w:jc w:val="both"/>
        <w:ind w:firstLine="657"/>
        <w:spacing w:after="0" w:line="268" w:lineRule="auto"/>
        <w:tabs>
          <w:tab w:leader="none" w:pos="1308"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Committee Authority</w:t>
      </w:r>
      <w:r>
        <w:rPr>
          <w:rFonts w:ascii="Arial" w:cs="Arial" w:eastAsia="Arial" w:hAnsi="Arial"/>
          <w:sz w:val="17"/>
          <w:szCs w:val="17"/>
          <w:color w:val="auto"/>
        </w:rPr>
        <w:t>.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of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Common Stock, other securities, other Awards or other property, or canceled, forfeited, or suspended and the method or methods by which Awards may be settled, exercised, canceled, forfeited, or suspended; (vi) to accelerate the vesting of any Award at any time and for any reason; (vii) determine whether, to what extent, and under what circumstances the delivery of cash, shares of Common Stock, other securities, other Awards or other property and other amounts payable with respect to an Award shall be deferred either automatically or at the election of the Participant or of the Committee; (viii) interpret, administer, reconcile any inconsistency in, correct any defect in and/or supply any omission in the Plan and any instrument or agreement relating to, or Award granted under, the Plan; (ix) establish, amend, suspend, or waive any rules and regulations and appoint such agents as the Committee shall deem appropriate for the proper administration of the Plan; (x) adopt Sub-Plans; and (xi) make any other determination and take any other action that the Committee deems necessary or desirable for the administration of the Plan.</w:t>
      </w:r>
    </w:p>
    <w:p>
      <w:pPr>
        <w:spacing w:after="0" w:line="213" w:lineRule="exact"/>
        <w:rPr>
          <w:rFonts w:ascii="Arial" w:cs="Arial" w:eastAsia="Arial" w:hAnsi="Arial"/>
          <w:sz w:val="17"/>
          <w:szCs w:val="17"/>
          <w:color w:val="auto"/>
        </w:rPr>
      </w:pPr>
    </w:p>
    <w:p>
      <w:pPr>
        <w:jc w:val="both"/>
        <w:ind w:firstLine="657"/>
        <w:spacing w:after="0" w:line="291" w:lineRule="auto"/>
        <w:tabs>
          <w:tab w:leader="none" w:pos="1297"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Delegation</w:t>
      </w:r>
      <w:r>
        <w:rPr>
          <w:rFonts w:ascii="Arial" w:cs="Arial" w:eastAsia="Arial" w:hAnsi="Arial"/>
          <w:sz w:val="16"/>
          <w:szCs w:val="16"/>
          <w:color w:val="auto"/>
        </w:rPr>
        <w:t>. Except to the extent prohibited by applicable law or the applicable rules and regulations of any securities exchange or inter-dealer quotation system on which the securities of the Company are listed or traded,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any member of the Company Group, the authority to act on behalf of the Committee with respect to any matter, right, obligation, or election which is the responsibility of, or which is allocated to, the Committee herein, and which may be so delegated as a matter of law, except with respect to grants of Awards to persons (i) who are Non-Employee Directors, or (ii) who are subject to Section 16 of the Exchange Act.</w:t>
      </w:r>
    </w:p>
    <w:p>
      <w:pPr>
        <w:spacing w:after="0" w:line="193" w:lineRule="exact"/>
        <w:rPr>
          <w:rFonts w:ascii="Arial" w:cs="Arial" w:eastAsia="Arial" w:hAnsi="Arial"/>
          <w:sz w:val="16"/>
          <w:szCs w:val="16"/>
          <w:color w:val="auto"/>
        </w:rPr>
      </w:pPr>
    </w:p>
    <w:p>
      <w:pPr>
        <w:jc w:val="both"/>
        <w:ind w:firstLine="657"/>
        <w:spacing w:after="0" w:line="259" w:lineRule="auto"/>
        <w:tabs>
          <w:tab w:leader="none" w:pos="148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Finality of Decisions</w:t>
      </w:r>
      <w:r>
        <w:rPr>
          <w:rFonts w:ascii="Arial" w:cs="Arial" w:eastAsia="Arial" w:hAnsi="Arial"/>
          <w:sz w:val="18"/>
          <w:szCs w:val="18"/>
          <w:color w:val="auto"/>
        </w:rPr>
        <w:t>. Unless otherwise expressly provided in the Plan, all designations, determinations, interpretations, and other decisions under or with respect to the Plan, any Award or any Award Agreement shall be within the sole discretion of the Committee, may be made at any time and shall be final, conclusive and binding upon all Persons, including, without limitation, any member of the Company Group, any Participant, any holder or beneficiary of any Award, and any stockholder of the Company.</w:t>
      </w:r>
    </w:p>
    <w:p>
      <w:pPr>
        <w:spacing w:after="0" w:line="213" w:lineRule="exact"/>
        <w:rPr>
          <w:rFonts w:ascii="Arial" w:cs="Arial" w:eastAsia="Arial" w:hAnsi="Arial"/>
          <w:sz w:val="18"/>
          <w:szCs w:val="18"/>
          <w:color w:val="auto"/>
        </w:rPr>
      </w:pPr>
    </w:p>
    <w:p>
      <w:pPr>
        <w:jc w:val="both"/>
        <w:ind w:firstLine="657"/>
        <w:spacing w:after="0" w:line="269" w:lineRule="auto"/>
        <w:tabs>
          <w:tab w:leader="none" w:pos="1324"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No member of the Board, the Committee or any employee or agent of any member of the Company Group (each such Person, an “</w:t>
      </w:r>
      <w:r>
        <w:rPr>
          <w:rFonts w:ascii="Arial" w:cs="Arial" w:eastAsia="Arial" w:hAnsi="Arial"/>
          <w:sz w:val="17"/>
          <w:szCs w:val="17"/>
          <w:u w:val="single" w:color="auto"/>
          <w:color w:val="auto"/>
        </w:rPr>
        <w:t>Indemnifiable Person</w:t>
      </w:r>
      <w:r>
        <w:rPr>
          <w:rFonts w:ascii="Arial" w:cs="Arial" w:eastAsia="Arial" w:hAnsi="Arial"/>
          <w:sz w:val="17"/>
          <w:szCs w:val="17"/>
          <w:color w:val="auto"/>
        </w:rPr>
        <w:t xml:space="preserve">”)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with respect to the Plan or any Award hereunder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have the right, at its own expense, to assume and defend any such action, suit or proceeding and once the Company gives</w:t>
      </w:r>
    </w:p>
    <w:p>
      <w:pPr>
        <w:sectPr>
          <w:pgSz w:w="11900" w:h="16838" w:orient="portrait"/>
          <w:cols w:equalWidth="0" w:num="1">
            <w:col w:w="11160"/>
          </w:cols>
          <w:pgMar w:left="400" w:top="1421" w:right="339" w:bottom="1440" w:gutter="0" w:footer="0" w:header="0"/>
        </w:sectPr>
      </w:pPr>
    </w:p>
    <w:bookmarkStart w:id="63" w:name="page64"/>
    <w:bookmarkEnd w:id="63"/>
    <w:p>
      <w:pPr>
        <w:jc w:val="both"/>
        <w:spacing w:after="0" w:line="290" w:lineRule="auto"/>
        <w:rPr>
          <w:sz w:val="20"/>
          <w:szCs w:val="20"/>
          <w:color w:val="auto"/>
        </w:rPr>
      </w:pPr>
      <w:r>
        <w:rPr>
          <w:rFonts w:ascii="Arial" w:cs="Arial" w:eastAsia="Arial" w:hAnsi="Arial"/>
          <w:sz w:val="16"/>
          <w:szCs w:val="16"/>
          <w:color w:val="auto"/>
        </w:rPr>
        <w:t>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law or by the organizational documents of any member of the Company Group. The foregoing right of indemnification shall not be exclusive of or otherwise supersede any other rights of indemnification to which such Indemnifiable Persons may be entitled under the organizational documents of any member of the Company Group, as a matter of law, under an individual indemnification agreement or contract or otherwise, or any other power that the Company may have to indemnify such Indemnifiable Persons or hold such Indemnifiable Persons harmless.</w:t>
      </w:r>
    </w:p>
    <w:p>
      <w:pPr>
        <w:spacing w:after="0" w:line="192" w:lineRule="exact"/>
        <w:rPr>
          <w:sz w:val="20"/>
          <w:szCs w:val="20"/>
          <w:color w:val="auto"/>
        </w:rPr>
      </w:pPr>
    </w:p>
    <w:p>
      <w:pPr>
        <w:jc w:val="both"/>
        <w:ind w:firstLine="657"/>
        <w:spacing w:after="0" w:line="259" w:lineRule="auto"/>
        <w:tabs>
          <w:tab w:leader="none" w:pos="1318"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Board Authority</w:t>
      </w:r>
      <w:r>
        <w:rPr>
          <w:rFonts w:ascii="Arial" w:cs="Arial" w:eastAsia="Arial" w:hAnsi="Arial"/>
          <w:sz w:val="18"/>
          <w:szCs w:val="18"/>
          <w:color w:val="auto"/>
        </w:rPr>
        <w:t>. Notwithstanding anything to the contrary contained in the Plan, the Board may, in its sole discretion, at any time and from time to time, grant Awards and administer the Plan with respect to any Awards. Any such actions by the Board shall be subject to the applicable rules of the securities exchange or inter-dealer quotation system on which the Common Stock is listed or quoted. In any such case, the Board shall have all the authority granted to the Committee under the Plan.</w:t>
      </w:r>
    </w:p>
    <w:p>
      <w:pPr>
        <w:spacing w:after="0" w:line="209" w:lineRule="exact"/>
        <w:rPr>
          <w:rFonts w:ascii="Arial" w:cs="Arial" w:eastAsia="Arial" w:hAnsi="Arial"/>
          <w:sz w:val="18"/>
          <w:szCs w:val="18"/>
          <w:color w:val="auto"/>
        </w:rPr>
      </w:pPr>
    </w:p>
    <w:p>
      <w:pPr>
        <w:ind w:left="1160" w:hanging="584"/>
        <w:spacing w:after="0"/>
        <w:tabs>
          <w:tab w:leader="none" w:pos="11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Grant of Awards; Shares Subject to the Plan; Limitations</w:t>
      </w:r>
      <w:r>
        <w:rPr>
          <w:rFonts w:ascii="Arial" w:cs="Arial" w:eastAsia="Arial" w:hAnsi="Arial"/>
          <w:sz w:val="18"/>
          <w:szCs w:val="18"/>
          <w:color w:val="auto"/>
        </w:rPr>
        <w:t>.</w:t>
      </w:r>
    </w:p>
    <w:p>
      <w:pPr>
        <w:spacing w:after="0" w:line="256" w:lineRule="exact"/>
        <w:rPr>
          <w:sz w:val="20"/>
          <w:szCs w:val="20"/>
          <w:color w:val="auto"/>
        </w:rPr>
      </w:pPr>
    </w:p>
    <w:p>
      <w:pPr>
        <w:jc w:val="both"/>
        <w:ind w:left="-80" w:firstLine="656"/>
        <w:spacing w:after="0" w:line="259" w:lineRule="auto"/>
        <w:tabs>
          <w:tab w:leader="none" w:pos="1258"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Committee may, from time to time, grant Awards to one or more Eligible Persons. All Awards granted under the Plan shall vest and become exercisable in such manner and on such date or dates or upon such event or events as determined by the Committee, including, without limitation, attainment of Performance Criteria. Notwithstanding any vesting dates or events, the Committee may, in its sole discretion, accelerate the vesting of any Award at any time and for any reason.</w:t>
      </w:r>
    </w:p>
    <w:p>
      <w:pPr>
        <w:spacing w:after="0" w:line="213" w:lineRule="exact"/>
        <w:rPr>
          <w:rFonts w:ascii="Arial" w:cs="Arial" w:eastAsia="Arial" w:hAnsi="Arial"/>
          <w:sz w:val="18"/>
          <w:szCs w:val="18"/>
          <w:color w:val="auto"/>
        </w:rPr>
      </w:pPr>
    </w:p>
    <w:p>
      <w:pPr>
        <w:jc w:val="both"/>
        <w:ind w:firstLine="657"/>
        <w:spacing w:after="0" w:line="254" w:lineRule="auto"/>
        <w:tabs>
          <w:tab w:leader="none" w:pos="1348"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Share Reserve and Limits</w:t>
      </w:r>
      <w:r>
        <w:rPr>
          <w:rFonts w:ascii="Arial" w:cs="Arial" w:eastAsia="Arial" w:hAnsi="Arial"/>
          <w:sz w:val="18"/>
          <w:szCs w:val="18"/>
          <w:color w:val="auto"/>
        </w:rPr>
        <w:t>. Awards granted under the Plan shall be subject to the following limitations: (i) subject to Section 12 of the Plan, no more than 5,150,000 shares of Common Stock (the “</w:t>
      </w:r>
      <w:r>
        <w:rPr>
          <w:rFonts w:ascii="Arial" w:cs="Arial" w:eastAsia="Arial" w:hAnsi="Arial"/>
          <w:sz w:val="18"/>
          <w:szCs w:val="18"/>
          <w:u w:val="single" w:color="auto"/>
          <w:color w:val="auto"/>
        </w:rPr>
        <w:t>Absolute Share Limit</w:t>
      </w:r>
      <w:r>
        <w:rPr>
          <w:rFonts w:ascii="Arial" w:cs="Arial" w:eastAsia="Arial" w:hAnsi="Arial"/>
          <w:sz w:val="18"/>
          <w:szCs w:val="18"/>
          <w:color w:val="auto"/>
        </w:rPr>
        <w:t>”) shall be available for Awards under the Plan; (ii) subject to Section 12 of the Plan, no more than the number of shares of Common Stock equal to the Absolute Share Limit may be issued in the aggregate pursuant to the exercise of Incentive Stock Options granted under the Plan; and (iii) the maximum number of shares of Common Stock subject to Awards granted during a single fiscal year to any Non-Employee Director, taken together with any cash fees paid to such Non-Employee Director during the fiscal year, shall not exceed $500,000 in total value (calculating the value of any such Awards based on the grant date fair value of such Awards for financial reporting purposes).</w:t>
      </w:r>
    </w:p>
    <w:p>
      <w:pPr>
        <w:spacing w:after="0" w:line="221" w:lineRule="exact"/>
        <w:rPr>
          <w:rFonts w:ascii="Arial" w:cs="Arial" w:eastAsia="Arial" w:hAnsi="Arial"/>
          <w:sz w:val="18"/>
          <w:szCs w:val="18"/>
          <w:color w:val="auto"/>
        </w:rPr>
      </w:pPr>
    </w:p>
    <w:p>
      <w:pPr>
        <w:jc w:val="both"/>
        <w:ind w:firstLine="657"/>
        <w:spacing w:after="0" w:line="284" w:lineRule="auto"/>
        <w:tabs>
          <w:tab w:leader="none" w:pos="1554" w:val="left"/>
        </w:tabs>
        <w:numPr>
          <w:ilvl w:val="2"/>
          <w:numId w:val="49"/>
        </w:numPr>
        <w:rPr>
          <w:rFonts w:ascii="Arial" w:cs="Arial" w:eastAsia="Arial" w:hAnsi="Arial"/>
          <w:sz w:val="16"/>
          <w:szCs w:val="16"/>
          <w:color w:val="auto"/>
        </w:rPr>
      </w:pPr>
      <w:r>
        <w:rPr>
          <w:rFonts w:ascii="Arial" w:cs="Arial" w:eastAsia="Arial" w:hAnsi="Arial"/>
          <w:sz w:val="16"/>
          <w:szCs w:val="16"/>
          <w:u w:val="single" w:color="auto"/>
          <w:color w:val="auto"/>
        </w:rPr>
        <w:t>Share Counting</w:t>
      </w:r>
      <w:r>
        <w:rPr>
          <w:rFonts w:ascii="Arial" w:cs="Arial" w:eastAsia="Arial" w:hAnsi="Arial"/>
          <w:sz w:val="16"/>
          <w:szCs w:val="16"/>
          <w:color w:val="auto"/>
        </w:rPr>
        <w:t xml:space="preserve">. Other than with respect to Substitute Awards, to the extent that an Award expires or is canceled, forfeited, or terminated without issuance to the Participant of the full number of shares of Common Stock to which the Award related, the unissued shares will again be available for grant under the Plan. Shares of Common Stock shall be deemed to have been issued in settlement of Awards if the Fair Market Value equivalent of such shares is paid in cash in connection with such settlement; </w:t>
      </w:r>
      <w:r>
        <w:rPr>
          <w:rFonts w:ascii="Arial" w:cs="Arial" w:eastAsia="Arial" w:hAnsi="Arial"/>
          <w:sz w:val="16"/>
          <w:szCs w:val="16"/>
          <w:i w:val="1"/>
          <w:iCs w:val="1"/>
          <w:color w:val="auto"/>
        </w:rPr>
        <w:t>provided</w:t>
      </w:r>
      <w:r>
        <w:rPr>
          <w:rFonts w:ascii="Arial" w:cs="Arial" w:eastAsia="Arial" w:hAnsi="Arial"/>
          <w:sz w:val="16"/>
          <w:szCs w:val="16"/>
          <w:color w:val="auto"/>
        </w:rPr>
        <w:t>, that no shares shall be deemed to have been issued in settlement of a SAR or Restricted Stock Unit that provides for settlement only in cash and settles only in cash or in respect of any Cash-Based Incentive Award. In no event shall shares (i) tendered or withheld on exercise of Options or other Awards for the payment of the exercise or purchase price or withholding taxes,</w:t>
      </w:r>
    </w:p>
    <w:p>
      <w:pPr>
        <w:spacing w:after="0" w:line="4" w:lineRule="exact"/>
        <w:rPr>
          <w:rFonts w:ascii="Arial" w:cs="Arial" w:eastAsia="Arial" w:hAnsi="Arial"/>
          <w:sz w:val="16"/>
          <w:szCs w:val="16"/>
          <w:color w:val="auto"/>
        </w:rPr>
      </w:pPr>
    </w:p>
    <w:p>
      <w:pPr>
        <w:jc w:val="both"/>
        <w:ind w:firstLine="9"/>
        <w:spacing w:after="0" w:line="255" w:lineRule="auto"/>
        <w:tabs>
          <w:tab w:leader="none" w:pos="2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 issued upon the settlement of a SAR that by the terms of the Award Agreement would settle in shares of Common Stock (or could settle in shares of Common Stock), or (iii) purchased on the open market with cash proceeds from the exercise of Options, again become available for other Awards under the Plan.</w:t>
      </w:r>
    </w:p>
    <w:p>
      <w:pPr>
        <w:spacing w:after="0" w:line="216" w:lineRule="exact"/>
        <w:rPr>
          <w:rFonts w:ascii="Arial" w:cs="Arial" w:eastAsia="Arial" w:hAnsi="Arial"/>
          <w:sz w:val="18"/>
          <w:szCs w:val="18"/>
          <w:color w:val="auto"/>
        </w:rPr>
      </w:pPr>
    </w:p>
    <w:p>
      <w:pPr>
        <w:ind w:firstLine="657"/>
        <w:spacing w:after="0" w:line="308" w:lineRule="auto"/>
        <w:tabs>
          <w:tab w:leader="none" w:pos="1389" w:val="left"/>
        </w:tabs>
        <w:numPr>
          <w:ilvl w:val="2"/>
          <w:numId w:val="50"/>
        </w:numPr>
        <w:rPr>
          <w:rFonts w:ascii="Arial" w:cs="Arial" w:eastAsia="Arial" w:hAnsi="Arial"/>
          <w:sz w:val="17"/>
          <w:szCs w:val="17"/>
          <w:color w:val="auto"/>
        </w:rPr>
      </w:pPr>
      <w:r>
        <w:rPr>
          <w:rFonts w:ascii="Arial" w:cs="Arial" w:eastAsia="Arial" w:hAnsi="Arial"/>
          <w:sz w:val="17"/>
          <w:szCs w:val="17"/>
          <w:u w:val="single" w:color="auto"/>
          <w:color w:val="auto"/>
        </w:rPr>
        <w:t>Source of Shares</w:t>
      </w:r>
      <w:r>
        <w:rPr>
          <w:rFonts w:ascii="Arial" w:cs="Arial" w:eastAsia="Arial" w:hAnsi="Arial"/>
          <w:sz w:val="17"/>
          <w:szCs w:val="17"/>
          <w:color w:val="auto"/>
        </w:rPr>
        <w:t>. Shares of Common Stock issued by the Company in settlement of Awards may be authorized and unissued shares, shares held in the treasury of the Company, shares purchased on the open market or by private purchase or a combination of the foregoing.</w:t>
      </w:r>
    </w:p>
    <w:p>
      <w:pPr>
        <w:spacing w:after="0" w:line="173" w:lineRule="exact"/>
        <w:rPr>
          <w:rFonts w:ascii="Arial" w:cs="Arial" w:eastAsia="Arial" w:hAnsi="Arial"/>
          <w:sz w:val="17"/>
          <w:szCs w:val="17"/>
          <w:color w:val="auto"/>
        </w:rPr>
      </w:pPr>
    </w:p>
    <w:p>
      <w:pPr>
        <w:ind w:firstLine="657"/>
        <w:spacing w:after="0" w:line="277" w:lineRule="auto"/>
        <w:tabs>
          <w:tab w:leader="none" w:pos="1338" w:val="left"/>
        </w:tabs>
        <w:numPr>
          <w:ilvl w:val="2"/>
          <w:numId w:val="50"/>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Awards may, in the sole discretion of the Committee, be granted under the Plan in assumption of, or in substitution for, outstanding awards previously granted by an entity directly or</w:t>
      </w:r>
    </w:p>
    <w:p>
      <w:pPr>
        <w:sectPr>
          <w:pgSz w:w="11900" w:h="16838" w:orient="portrait"/>
          <w:cols w:equalWidth="0" w:num="1">
            <w:col w:w="11160"/>
          </w:cols>
          <w:pgMar w:left="400" w:top="1421" w:right="339" w:bottom="1440" w:gutter="0" w:footer="0" w:header="0"/>
        </w:sectPr>
      </w:pPr>
    </w:p>
    <w:bookmarkStart w:id="64" w:name="page65"/>
    <w:bookmarkEnd w:id="64"/>
    <w:p>
      <w:pPr>
        <w:jc w:val="both"/>
        <w:spacing w:after="0" w:line="254" w:lineRule="auto"/>
        <w:rPr>
          <w:sz w:val="20"/>
          <w:szCs w:val="20"/>
          <w:color w:val="auto"/>
        </w:rPr>
      </w:pPr>
      <w:r>
        <w:rPr>
          <w:rFonts w:ascii="Arial" w:cs="Arial" w:eastAsia="Arial" w:hAnsi="Arial"/>
          <w:sz w:val="18"/>
          <w:szCs w:val="18"/>
          <w:color w:val="auto"/>
        </w:rPr>
        <w:t>indirectly acquired by the Company or with which the Company combines (“</w:t>
      </w:r>
      <w:r>
        <w:rPr>
          <w:rFonts w:ascii="Arial" w:cs="Arial" w:eastAsia="Arial" w:hAnsi="Arial"/>
          <w:sz w:val="18"/>
          <w:szCs w:val="18"/>
          <w:u w:val="single" w:color="auto"/>
          <w:color w:val="auto"/>
        </w:rPr>
        <w:t>Substitute Awards</w:t>
      </w:r>
      <w:r>
        <w:rPr>
          <w:rFonts w:ascii="Arial" w:cs="Arial" w:eastAsia="Arial" w:hAnsi="Arial"/>
          <w:sz w:val="18"/>
          <w:szCs w:val="18"/>
          <w:color w:val="auto"/>
        </w:rPr>
        <w:t xml:space="preserve">”). Substitute Awards shall not be counted against the Absolute Share Limit; </w:t>
      </w:r>
      <w:r>
        <w:rPr>
          <w:rFonts w:ascii="Arial" w:cs="Arial" w:eastAsia="Arial" w:hAnsi="Arial"/>
          <w:sz w:val="18"/>
          <w:szCs w:val="18"/>
          <w:i w:val="1"/>
          <w:iCs w:val="1"/>
          <w:color w:val="auto"/>
        </w:rPr>
        <w:t>provided</w:t>
      </w:r>
      <w:r>
        <w:rPr>
          <w:rFonts w:ascii="Arial" w:cs="Arial" w:eastAsia="Arial" w:hAnsi="Arial"/>
          <w:sz w:val="18"/>
          <w:szCs w:val="18"/>
          <w:color w:val="auto"/>
        </w:rPr>
        <w:t>, that Substitute Awards issued in connection with the assumption of, or in substitution for, outstanding options intended to qualify as “incentive stock options” within the meaning of Section 422 of the Code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or with which the Company combines (as appropriately adjusted to reflect the acquisition or combination transaction) may be used for Awards under the Plan and shall not reduce the number of shares of Common Stock available for issuance under the Plan.</w:t>
      </w:r>
    </w:p>
    <w:p>
      <w:pPr>
        <w:spacing w:after="0" w:line="218" w:lineRule="exact"/>
        <w:rPr>
          <w:sz w:val="20"/>
          <w:szCs w:val="20"/>
          <w:color w:val="auto"/>
        </w:rPr>
      </w:pPr>
    </w:p>
    <w:p>
      <w:pPr>
        <w:ind w:left="1160" w:hanging="584"/>
        <w:spacing w:after="0"/>
        <w:tabs>
          <w:tab w:leader="none" w:pos="11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Participation in the Plan shall be limited to Eligible Persons.</w:t>
      </w:r>
    </w:p>
    <w:p>
      <w:pPr>
        <w:spacing w:after="0" w:line="252" w:lineRule="exact"/>
        <w:rPr>
          <w:rFonts w:ascii="Arial" w:cs="Arial" w:eastAsia="Arial" w:hAnsi="Arial"/>
          <w:sz w:val="18"/>
          <w:szCs w:val="18"/>
          <w:b w:val="1"/>
          <w:bCs w:val="1"/>
          <w:color w:val="auto"/>
        </w:rPr>
      </w:pPr>
    </w:p>
    <w:p>
      <w:pPr>
        <w:ind w:left="1160" w:hanging="584"/>
        <w:spacing w:after="0"/>
        <w:tabs>
          <w:tab w:leader="none" w:pos="11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jc w:val="both"/>
        <w:ind w:firstLine="657"/>
        <w:spacing w:after="0" w:line="287" w:lineRule="auto"/>
        <w:tabs>
          <w:tab w:leader="none" w:pos="1378"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Each Option granted under the Plan shall be evidenced by an Award Agreement, which agreement need not be the same for each Participant.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a member of the Company Group,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Arial" w:cs="Arial" w:eastAsia="Arial" w:hAnsi="Arial"/>
          <w:sz w:val="16"/>
          <w:szCs w:val="16"/>
          <w:i w:val="1"/>
          <w:iCs w:val="1"/>
          <w:color w:val="auto"/>
        </w:rPr>
        <w:t>provided</w:t>
      </w:r>
      <w:r>
        <w:rPr>
          <w:rFonts w:ascii="Arial" w:cs="Arial" w:eastAsia="Arial" w:hAnsi="Arial"/>
          <w:sz w:val="16"/>
          <w:szCs w:val="16"/>
          <w:color w:val="auto"/>
        </w:rPr>
        <w:t>,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194" w:lineRule="exact"/>
        <w:rPr>
          <w:rFonts w:ascii="Arial" w:cs="Arial" w:eastAsia="Arial" w:hAnsi="Arial"/>
          <w:sz w:val="16"/>
          <w:szCs w:val="16"/>
          <w:color w:val="auto"/>
        </w:rPr>
      </w:pPr>
    </w:p>
    <w:p>
      <w:pPr>
        <w:jc w:val="both"/>
        <w:ind w:firstLine="657"/>
        <w:spacing w:after="0" w:line="275" w:lineRule="auto"/>
        <w:tabs>
          <w:tab w:leader="none" w:pos="1348"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Except as otherwise provided by the Committee in the case of Substitute Awards, the exercise price (“</w:t>
      </w:r>
      <w:r>
        <w:rPr>
          <w:rFonts w:ascii="Arial" w:cs="Arial" w:eastAsia="Arial" w:hAnsi="Arial"/>
          <w:sz w:val="17"/>
          <w:szCs w:val="17"/>
          <w:u w:val="single" w:color="auto"/>
          <w:color w:val="auto"/>
        </w:rPr>
        <w:t>Exercise Price</w:t>
      </w:r>
      <w:r>
        <w:rPr>
          <w:rFonts w:ascii="Arial" w:cs="Arial" w:eastAsia="Arial" w:hAnsi="Arial"/>
          <w:sz w:val="17"/>
          <w:szCs w:val="17"/>
          <w:color w:val="auto"/>
        </w:rPr>
        <w:t xml:space="preserve">”) per share of Common Stock for each Option shall not be less than one hundred percent (100%) of the Fair Market Value of such share (determined as of the Date of Grant); </w:t>
      </w:r>
      <w:r>
        <w:rPr>
          <w:rFonts w:ascii="Arial" w:cs="Arial" w:eastAsia="Arial" w:hAnsi="Arial"/>
          <w:sz w:val="17"/>
          <w:szCs w:val="17"/>
          <w:i w:val="1"/>
          <w:iCs w:val="1"/>
          <w:color w:val="auto"/>
        </w:rPr>
        <w:t>provided</w:t>
      </w:r>
      <w:r>
        <w:rPr>
          <w:rFonts w:ascii="Arial" w:cs="Arial" w:eastAsia="Arial" w:hAnsi="Arial"/>
          <w:sz w:val="17"/>
          <w:szCs w:val="17"/>
          <w:color w:val="auto"/>
        </w:rPr>
        <w:t>, that, in the case of an Incentive Stock Option granted to an employee who, at the time of the grant of such Option, owns stock representing more than ten percent (10%) of the voting power of all classes of stock of any member of the Company Group, the Exercise Price per share shall be no less than one hundred ten percent (110%) of the Fair Market Value per share on the Date of Grant.</w:t>
      </w:r>
    </w:p>
    <w:p>
      <w:pPr>
        <w:spacing w:after="0" w:line="203" w:lineRule="exact"/>
        <w:rPr>
          <w:rFonts w:ascii="Arial" w:cs="Arial" w:eastAsia="Arial" w:hAnsi="Arial"/>
          <w:sz w:val="17"/>
          <w:szCs w:val="17"/>
          <w:color w:val="auto"/>
        </w:rPr>
      </w:pPr>
    </w:p>
    <w:p>
      <w:pPr>
        <w:ind w:left="1300" w:hanging="643"/>
        <w:spacing w:after="0"/>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Vesting and Expiration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80" w:firstLine="644"/>
        <w:spacing w:after="0" w:line="277" w:lineRule="auto"/>
        <w:tabs>
          <w:tab w:leader="none" w:pos="1877" w:val="left"/>
        </w:tabs>
        <w:numPr>
          <w:ilvl w:val="2"/>
          <w:numId w:val="51"/>
        </w:numPr>
        <w:rPr>
          <w:rFonts w:ascii="Arial" w:cs="Arial" w:eastAsia="Arial" w:hAnsi="Arial"/>
          <w:sz w:val="18"/>
          <w:szCs w:val="18"/>
          <w:color w:val="auto"/>
        </w:rPr>
      </w:pPr>
      <w:r>
        <w:rPr>
          <w:rFonts w:ascii="Arial" w:cs="Arial" w:eastAsia="Arial" w:hAnsi="Arial"/>
          <w:sz w:val="18"/>
          <w:szCs w:val="18"/>
          <w:color w:val="auto"/>
        </w:rPr>
        <w:t>Options shall vest and become exercisable in such manner and on such date or dates or upon such event or events as determined by the Committee.</w:t>
      </w:r>
    </w:p>
    <w:p>
      <w:pPr>
        <w:spacing w:after="0" w:line="197" w:lineRule="exact"/>
        <w:rPr>
          <w:rFonts w:ascii="Arial" w:cs="Arial" w:eastAsia="Arial" w:hAnsi="Arial"/>
          <w:sz w:val="18"/>
          <w:szCs w:val="18"/>
          <w:color w:val="auto"/>
        </w:rPr>
      </w:pPr>
    </w:p>
    <w:p>
      <w:pPr>
        <w:jc w:val="both"/>
        <w:ind w:left="580" w:firstLine="644"/>
        <w:spacing w:after="0" w:line="254" w:lineRule="auto"/>
        <w:tabs>
          <w:tab w:leader="none" w:pos="1906" w:val="left"/>
        </w:tabs>
        <w:numPr>
          <w:ilvl w:val="2"/>
          <w:numId w:val="51"/>
        </w:numPr>
        <w:rPr>
          <w:rFonts w:ascii="Arial" w:cs="Arial" w:eastAsia="Arial" w:hAnsi="Arial"/>
          <w:sz w:val="18"/>
          <w:szCs w:val="18"/>
          <w:color w:val="auto"/>
        </w:rPr>
      </w:pPr>
      <w:r>
        <w:rPr>
          <w:rFonts w:ascii="Arial" w:cs="Arial" w:eastAsia="Arial" w:hAnsi="Arial"/>
          <w:sz w:val="18"/>
          <w:szCs w:val="18"/>
          <w:color w:val="auto"/>
        </w:rPr>
        <w:t>Options shall expire upon a date determined by the Committee, not to exceed ten (10) years from the Date of Grant (the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if the Option Period (other than in the case of an Incentive Stock Option) would expire at a time when trading in the shares of Common Stock is prohibited by the Company’s insider trading policy (or Company-imposed “blackout period”), then the Option Period shall be automatically extended until the thirtieth (30th) day following the expiration of such prohibition. Notwithstanding the foregoing, in no event shall the Option Period exceed five (5) years from the Date of Grant in the case of an Incentive Stock Option granted to a Participant who on the Date of Grant owns stock representing more than ten percent (10%) of the voting power of all classes of stock of any member of the Company Group.</w:t>
      </w:r>
    </w:p>
    <w:p>
      <w:pPr>
        <w:sectPr>
          <w:pgSz w:w="11900" w:h="16838" w:orient="portrait"/>
          <w:cols w:equalWidth="0" w:num="1">
            <w:col w:w="11160"/>
          </w:cols>
          <w:pgMar w:left="400" w:top="1421" w:right="339" w:bottom="1440" w:gutter="0" w:footer="0" w:header="0"/>
        </w:sectPr>
      </w:pPr>
    </w:p>
    <w:bookmarkStart w:id="65" w:name="page66"/>
    <w:bookmarkEnd w:id="65"/>
    <w:p>
      <w:pPr>
        <w:spacing w:after="0" w:line="225" w:lineRule="exact"/>
        <w:rPr>
          <w:sz w:val="20"/>
          <w:szCs w:val="20"/>
          <w:color w:val="auto"/>
        </w:rPr>
      </w:pPr>
    </w:p>
    <w:p>
      <w:pPr>
        <w:jc w:val="both"/>
        <w:ind w:left="-576" w:firstLine="657"/>
        <w:spacing w:after="0" w:line="285" w:lineRule="auto"/>
        <w:tabs>
          <w:tab w:leader="none" w:pos="840"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Method of Exercise and Form of Payment</w:t>
      </w:r>
      <w:r>
        <w:rPr>
          <w:rFonts w:ascii="Arial" w:cs="Arial" w:eastAsia="Arial" w:hAnsi="Arial"/>
          <w:sz w:val="16"/>
          <w:szCs w:val="16"/>
          <w:color w:val="auto"/>
        </w:rPr>
        <w:t xml:space="preserve">. No shares of Common Stock shall be issued pursuant to any exercise of an Option until payment in full of the Exercise Price therefor is received by the Company and the Participant has paid to the Company an amount equal to any Federal, state, local and non-U.S. income, employment and any other applicable taxes required to be withheld. Options which have become exercisable may be exercised by delivery of written or electronic notice of exercise to the Company (or telephonic instructions to the extent provided by the Committee) in accordance with the terms of the Option accompanied by payment of the Exercise Price. The Exercise Price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issuance of such shares to the Company); </w:t>
      </w:r>
      <w:r>
        <w:rPr>
          <w:rFonts w:ascii="Arial" w:cs="Arial" w:eastAsia="Arial" w:hAnsi="Arial"/>
          <w:sz w:val="16"/>
          <w:szCs w:val="16"/>
          <w:i w:val="1"/>
          <w:iCs w:val="1"/>
          <w:color w:val="auto"/>
        </w:rPr>
        <w:t>provided</w:t>
      </w:r>
      <w:r>
        <w:rPr>
          <w:rFonts w:ascii="Arial" w:cs="Arial" w:eastAsia="Arial" w:hAnsi="Arial"/>
          <w:sz w:val="16"/>
          <w:szCs w:val="16"/>
          <w:color w:val="auto"/>
        </w:rPr>
        <w:t>, that such shares of Common Stock are not subject to any pledge or other security interest and have been held by the Participant for at least six (6) months (or such other period as established from time to time by the Committee in order to avoid adverse accounting treatment applying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or (ii) by such other method as the Committee may permit, in its sole discretion, including, without limitation (A) in other property having a fair market value on the date of exercise equal to the Exercise Price; (B) if there is a public market for the shares of Common Stock at such time, by means of a broker-assisted “cashless exercise” pursuant to which the Company is delivered (including telephonically to the extent permitted by the Committee) a copy of irrevocable instructions to a stockbroker to sell the shares of Common Stock otherwise issuable upon the exercise of the Option and to deliver promptly to the Company an amount equal to the Exercise Price; or (C) a “net exercise” procedure effected by withholding the minimum number of shares of Common Stock otherwise issuable in respect of an Option that are needed to pay the Exercise Price. Any fractional shares of Common Stock shall be settled in cash.</w:t>
      </w:r>
    </w:p>
    <w:p>
      <w:pPr>
        <w:spacing w:after="0" w:line="203" w:lineRule="exact"/>
        <w:rPr>
          <w:rFonts w:ascii="Arial" w:cs="Arial" w:eastAsia="Arial" w:hAnsi="Arial"/>
          <w:sz w:val="16"/>
          <w:szCs w:val="16"/>
          <w:color w:val="auto"/>
        </w:rPr>
      </w:pPr>
    </w:p>
    <w:p>
      <w:pPr>
        <w:jc w:val="both"/>
        <w:ind w:left="-576" w:firstLine="657"/>
        <w:spacing w:after="0" w:line="254" w:lineRule="auto"/>
        <w:tabs>
          <w:tab w:leader="none" w:pos="789"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Notification upon Disqualifying Disposition of an Incentive Stock Option</w:t>
      </w:r>
      <w:r>
        <w:rPr>
          <w:rFonts w:ascii="Arial" w:cs="Arial" w:eastAsia="Arial" w:hAnsi="Arial"/>
          <w:sz w:val="18"/>
          <w:szCs w:val="18"/>
          <w:color w:val="auto"/>
        </w:rPr>
        <w:t>. Each Participant awarded an Incentive Stock Option under the Plan shall notify the Company in writing immediately after the date the Participant makes a disqualifying disposition of any Common Stock acquired pursuant to the exercise of such Incentive Stock Option. A disqualifying disposition is any disposition (including, without limitation, any sale) of such Common Stock before the later of (i) the date that is two (2) years after the Date of Grant of the Incentive Stock Option, or (ii) the date that is one (1)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instructions from such Participant as to the sale of such Common Stock.</w:t>
      </w:r>
    </w:p>
    <w:p>
      <w:pPr>
        <w:spacing w:after="0" w:line="218" w:lineRule="exact"/>
        <w:rPr>
          <w:rFonts w:ascii="Arial" w:cs="Arial" w:eastAsia="Arial" w:hAnsi="Arial"/>
          <w:sz w:val="18"/>
          <w:szCs w:val="18"/>
          <w:color w:val="auto"/>
        </w:rPr>
      </w:pPr>
    </w:p>
    <w:p>
      <w:pPr>
        <w:jc w:val="both"/>
        <w:ind w:left="-576" w:firstLine="657"/>
        <w:spacing w:after="0" w:line="259" w:lineRule="auto"/>
        <w:tabs>
          <w:tab w:leader="none" w:pos="85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Notwithstanding the foregoing, in no event shall a Participant be permitted to exercise an Option in a manner which the Committee determines would violate the Sarbanes-Oxley Act of 2002, as it may be amended from time to time,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spacing w:after="0" w:line="209" w:lineRule="exact"/>
        <w:rPr>
          <w:rFonts w:ascii="Arial" w:cs="Arial" w:eastAsia="Arial" w:hAnsi="Arial"/>
          <w:sz w:val="18"/>
          <w:szCs w:val="18"/>
          <w:color w:val="auto"/>
        </w:rPr>
      </w:pPr>
    </w:p>
    <w:p>
      <w:pPr>
        <w:ind w:left="584" w:hanging="584"/>
        <w:spacing w:after="0"/>
        <w:tabs>
          <w:tab w:leader="none" w:pos="58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jc w:val="both"/>
        <w:ind w:left="-576" w:right="20" w:firstLine="657"/>
        <w:spacing w:after="0" w:line="311" w:lineRule="auto"/>
        <w:tabs>
          <w:tab w:leader="none" w:pos="789"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Each SAR granted under the Plan shall be evidenced by an Award Agreement.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w:t>
      </w:r>
    </w:p>
    <w:p>
      <w:pPr>
        <w:spacing w:after="0" w:line="175" w:lineRule="exact"/>
        <w:rPr>
          <w:rFonts w:ascii="Arial" w:cs="Arial" w:eastAsia="Arial" w:hAnsi="Arial"/>
          <w:sz w:val="16"/>
          <w:szCs w:val="16"/>
          <w:color w:val="auto"/>
        </w:rPr>
      </w:pPr>
    </w:p>
    <w:p>
      <w:pPr>
        <w:jc w:val="both"/>
        <w:ind w:left="-576" w:firstLine="657"/>
        <w:spacing w:after="0" w:line="259" w:lineRule="auto"/>
        <w:tabs>
          <w:tab w:leader="none" w:pos="732"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Strike Price</w:t>
      </w:r>
      <w:r>
        <w:rPr>
          <w:rFonts w:ascii="Arial" w:cs="Arial" w:eastAsia="Arial" w:hAnsi="Arial"/>
          <w:sz w:val="18"/>
          <w:szCs w:val="18"/>
          <w:color w:val="auto"/>
        </w:rPr>
        <w:t>. Except as otherwise provided by the Committee in the case of Substitute Awards, the strike price (“</w:t>
      </w:r>
      <w:r>
        <w:rPr>
          <w:rFonts w:ascii="Arial" w:cs="Arial" w:eastAsia="Arial" w:hAnsi="Arial"/>
          <w:sz w:val="18"/>
          <w:szCs w:val="18"/>
          <w:u w:val="single" w:color="auto"/>
          <w:color w:val="auto"/>
        </w:rPr>
        <w:t>Strike Price</w:t>
      </w:r>
      <w:r>
        <w:rPr>
          <w:rFonts w:ascii="Arial" w:cs="Arial" w:eastAsia="Arial" w:hAnsi="Arial"/>
          <w:sz w:val="18"/>
          <w:szCs w:val="18"/>
          <w:color w:val="auto"/>
        </w:rPr>
        <w:t>”) per share of Common Stock for each SAR shall not be less than one hundred percent (100%) of the Fair Market Value of such share (determined as of the Date of Grant). Notwithstanding the foregoing, a SAR granted in tandem with (or in substitution for) an Option previously granted shall have a Strike Price equal to the Exercise Price of the corresponding Option.</w:t>
      </w:r>
    </w:p>
    <w:p>
      <w:pPr>
        <w:sectPr>
          <w:pgSz w:w="11900" w:h="16838" w:orient="portrait"/>
          <w:cols w:equalWidth="0" w:num="1">
            <w:col w:w="10584"/>
          </w:cols>
          <w:pgMar w:left="976" w:top="1440" w:right="339" w:bottom="1440" w:gutter="0" w:footer="0" w:header="0"/>
        </w:sectPr>
      </w:pPr>
    </w:p>
    <w:bookmarkStart w:id="66" w:name="page67"/>
    <w:bookmarkEnd w:id="66"/>
    <w:p>
      <w:pPr>
        <w:ind w:left="724" w:hanging="643"/>
        <w:spacing w:after="0"/>
        <w:tabs>
          <w:tab w:leader="none" w:pos="724"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Vesting and Expiration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4" w:right="20" w:firstLine="644"/>
        <w:spacing w:after="0" w:line="263" w:lineRule="auto"/>
        <w:tabs>
          <w:tab w:leader="none" w:pos="1322" w:val="left"/>
        </w:tabs>
        <w:numPr>
          <w:ilvl w:val="2"/>
          <w:numId w:val="54"/>
        </w:numPr>
        <w:rPr>
          <w:rFonts w:ascii="Arial" w:cs="Arial" w:eastAsia="Arial" w:hAnsi="Arial"/>
          <w:sz w:val="18"/>
          <w:szCs w:val="18"/>
          <w:color w:val="auto"/>
        </w:rPr>
      </w:pPr>
      <w:r>
        <w:rPr>
          <w:rFonts w:ascii="Arial" w:cs="Arial" w:eastAsia="Arial" w:hAnsi="Arial"/>
          <w:sz w:val="18"/>
          <w:szCs w:val="18"/>
          <w:color w:val="auto"/>
        </w:rPr>
        <w:t>A SAR granted in connection with an Option shall become exercisable and shall expire according to the same vesting schedule and expiration provisions as the corresponding Option. A SAR granted independent of an Option shall vest and become exercisable in such manner and on such date or dates or upon such event or events as determined by the Committee.</w:t>
      </w:r>
    </w:p>
    <w:p>
      <w:pPr>
        <w:spacing w:after="0" w:line="210" w:lineRule="exact"/>
        <w:rPr>
          <w:rFonts w:ascii="Arial" w:cs="Arial" w:eastAsia="Arial" w:hAnsi="Arial"/>
          <w:sz w:val="18"/>
          <w:szCs w:val="18"/>
          <w:color w:val="auto"/>
        </w:rPr>
      </w:pPr>
    </w:p>
    <w:p>
      <w:pPr>
        <w:jc w:val="both"/>
        <w:ind w:left="4" w:firstLine="644"/>
        <w:spacing w:after="0" w:line="259" w:lineRule="auto"/>
        <w:tabs>
          <w:tab w:leader="none" w:pos="1423" w:val="left"/>
        </w:tabs>
        <w:numPr>
          <w:ilvl w:val="2"/>
          <w:numId w:val="54"/>
        </w:numPr>
        <w:rPr>
          <w:rFonts w:ascii="Arial" w:cs="Arial" w:eastAsia="Arial" w:hAnsi="Arial"/>
          <w:sz w:val="18"/>
          <w:szCs w:val="18"/>
          <w:color w:val="auto"/>
        </w:rPr>
      </w:pPr>
      <w:r>
        <w:rPr>
          <w:rFonts w:ascii="Arial" w:cs="Arial" w:eastAsia="Arial" w:hAnsi="Arial"/>
          <w:sz w:val="18"/>
          <w:szCs w:val="18"/>
          <w:color w:val="auto"/>
        </w:rPr>
        <w:t>SARs shall expire upon a date determined by the Committee, not to exceed ten (10) years from the Date of Grant (the “</w:t>
      </w:r>
      <w:r>
        <w:rPr>
          <w:rFonts w:ascii="Arial" w:cs="Arial" w:eastAsia="Arial" w:hAnsi="Arial"/>
          <w:sz w:val="18"/>
          <w:szCs w:val="18"/>
          <w:u w:val="single" w:color="auto"/>
          <w:color w:val="auto"/>
        </w:rPr>
        <w:t>SAR</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if the SAR Period would expire at a time when trading in the shares of Common Stock is prohibited by the Company’s insider trading policy (or Company-imposed “blackout period”), then the SAR Period shall be automatically extended until the thirtieth (30th) day following the expiration of such prohibition.</w:t>
      </w:r>
    </w:p>
    <w:p>
      <w:pPr>
        <w:spacing w:after="0" w:line="213" w:lineRule="exact"/>
        <w:rPr>
          <w:rFonts w:ascii="Arial" w:cs="Arial" w:eastAsia="Arial" w:hAnsi="Arial"/>
          <w:sz w:val="18"/>
          <w:szCs w:val="18"/>
          <w:color w:val="auto"/>
        </w:rPr>
      </w:pPr>
    </w:p>
    <w:p>
      <w:pPr>
        <w:jc w:val="both"/>
        <w:ind w:left="-576" w:firstLine="657"/>
        <w:spacing w:after="0" w:line="342" w:lineRule="auto"/>
        <w:tabs>
          <w:tab w:leader="none" w:pos="786"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SARs which have become exercisable may be exercised by delivery of written or electronic notice of exercise to the Company in accordance with the terms of the Award, specifying the number of SARs to be exercised and the date on which such SARs were awarded.</w:t>
      </w:r>
    </w:p>
    <w:p>
      <w:pPr>
        <w:spacing w:after="0" w:line="150" w:lineRule="exact"/>
        <w:rPr>
          <w:rFonts w:ascii="Arial" w:cs="Arial" w:eastAsia="Arial" w:hAnsi="Arial"/>
          <w:sz w:val="16"/>
          <w:szCs w:val="16"/>
          <w:color w:val="auto"/>
        </w:rPr>
      </w:pPr>
    </w:p>
    <w:p>
      <w:pPr>
        <w:jc w:val="both"/>
        <w:ind w:left="-576" w:firstLine="657"/>
        <w:spacing w:after="0" w:line="257" w:lineRule="auto"/>
        <w:tabs>
          <w:tab w:leader="none" w:pos="735"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Upon the exercise of a SAR, the Company shall pay to the Participant an amount equal to the number of shares subject to the SAR that is being exercised multiplied by the excess of the Fair Market Value of one (1) share of Common Stock on the exercise date over the Strike Price, less an amount equal to any Federal, state, local and non-U.S. income, employment and any other applicable taxes required to be withheld. The Company shall pay such amount in cash, in shares of Common Stock valued at Fair Market Value, or any combination thereof, as determined by the Committee. Any fractional shares of Common Stock shall be settled in cash.</w:t>
      </w:r>
    </w:p>
    <w:p>
      <w:pPr>
        <w:spacing w:after="0" w:line="210" w:lineRule="exact"/>
        <w:rPr>
          <w:rFonts w:ascii="Arial" w:cs="Arial" w:eastAsia="Arial" w:hAnsi="Arial"/>
          <w:sz w:val="18"/>
          <w:szCs w:val="18"/>
          <w:color w:val="auto"/>
        </w:rPr>
      </w:pPr>
    </w:p>
    <w:p>
      <w:pPr>
        <w:ind w:left="584" w:hanging="584"/>
        <w:spacing w:after="0"/>
        <w:tabs>
          <w:tab w:leader="none" w:pos="58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Units</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jc w:val="both"/>
        <w:ind w:left="-576" w:firstLine="657"/>
        <w:spacing w:after="0" w:line="263" w:lineRule="auto"/>
        <w:tabs>
          <w:tab w:leader="none" w:pos="735"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Each grant of Restricted Stock and Restricted Stock Units shall be evidenced by an Award Agreement. Each Restricted Stock and Restricted Stock Unit so granted shall be subject to the conditions set forth in this Section 9, and to such other conditions not inconsistent with the Plan as may be reflected in the applicable Award Agreement.</w:t>
      </w:r>
    </w:p>
    <w:p>
      <w:pPr>
        <w:spacing w:after="0" w:line="210" w:lineRule="exact"/>
        <w:rPr>
          <w:rFonts w:ascii="Arial" w:cs="Arial" w:eastAsia="Arial" w:hAnsi="Arial"/>
          <w:sz w:val="18"/>
          <w:szCs w:val="18"/>
          <w:color w:val="auto"/>
        </w:rPr>
      </w:pPr>
    </w:p>
    <w:p>
      <w:pPr>
        <w:jc w:val="both"/>
        <w:ind w:left="-576" w:firstLine="657"/>
        <w:spacing w:after="0" w:line="268" w:lineRule="auto"/>
        <w:tabs>
          <w:tab w:leader="none" w:pos="799"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Stock Certificates and Book-Entry; Escrow or Similar Arrangement</w:t>
      </w:r>
      <w:r>
        <w:rPr>
          <w:rFonts w:ascii="Arial" w:cs="Arial" w:eastAsia="Arial" w:hAnsi="Arial"/>
          <w:sz w:val="17"/>
          <w:szCs w:val="17"/>
          <w:color w:val="auto"/>
        </w:rPr>
        <w:t>. Upon the grant of Restricted Stock, the Committee shall cause a stock certificate registered in the name of the Participant to be issued or shall cause share(s) of Common Stock to be registered in the name of the Participant and held in book-entry form subject to the Company’s directions and, if the Committee determines that the Restricted Stock shall be held by the Company or in escrow rather than issued to the Participant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If a Participant shall fail to execute and deliver (in a manner permitted under Section 14(a) of the Plan or as otherwise determined by the Committee) an agreement evidencing an Award of Restricted Stock and, if applicable, an escrow agreement and blank stock power within the amount of time specified by the Committee, the Award shall be null and void. Subject to the restrictions set forth in this Section 9, Section 14(c) of the Plan and the applicable Award Agreement, a Participant generally shall have the rights and privileges of a stockholder as to shares of Restricted Stock, including, without limitation, the right to vote such Restricted Stock. To the extent shares of Restricted Stock are forfeited, any stock certificates issued to the Participant evidencing such shares shall be returned to the Company, and all rights of the Participant to such shares and as a stockholder with respect thereto shall terminate without further obligation on the part of the Company. A Participant shall have no rights or privileges as a stockholder as to Restricted Stock Units.</w:t>
      </w:r>
    </w:p>
    <w:p>
      <w:pPr>
        <w:spacing w:after="0" w:line="213" w:lineRule="exact"/>
        <w:rPr>
          <w:rFonts w:ascii="Arial" w:cs="Arial" w:eastAsia="Arial" w:hAnsi="Arial"/>
          <w:sz w:val="17"/>
          <w:szCs w:val="17"/>
          <w:color w:val="auto"/>
        </w:rPr>
      </w:pPr>
    </w:p>
    <w:p>
      <w:pPr>
        <w:ind w:left="-576" w:firstLine="657"/>
        <w:spacing w:after="0" w:line="277" w:lineRule="auto"/>
        <w:tabs>
          <w:tab w:leader="none" w:pos="735"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Restricted Stock and Restricted Stock Units shall vest, and any applicable Restricted Period shall lapse, in such manner and on such date or dates or upon such event or events as determined by the Committee.</w:t>
      </w:r>
    </w:p>
    <w:p>
      <w:pPr>
        <w:sectPr>
          <w:pgSz w:w="11900" w:h="16838" w:orient="portrait"/>
          <w:cols w:equalWidth="0" w:num="1">
            <w:col w:w="10584"/>
          </w:cols>
          <w:pgMar w:left="976" w:top="1421" w:right="339" w:bottom="1440" w:gutter="0" w:footer="0" w:header="0"/>
        </w:sectPr>
      </w:pPr>
    </w:p>
    <w:bookmarkStart w:id="67" w:name="page68"/>
    <w:bookmarkEnd w:id="67"/>
    <w:p>
      <w:pPr>
        <w:ind w:left="744" w:hanging="663"/>
        <w:spacing w:after="0"/>
        <w:tabs>
          <w:tab w:leader="none" w:pos="74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Issuance of Restricted Stock and Settlement of Restricted Stock Units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4" w:firstLine="644"/>
        <w:spacing w:after="0" w:line="253" w:lineRule="auto"/>
        <w:tabs>
          <w:tab w:leader="none" w:pos="1456" w:val="left"/>
        </w:tabs>
        <w:numPr>
          <w:ilvl w:val="1"/>
          <w:numId w:val="56"/>
        </w:numPr>
        <w:rPr>
          <w:rFonts w:ascii="Arial" w:cs="Arial" w:eastAsia="Arial" w:hAnsi="Arial"/>
          <w:sz w:val="18"/>
          <w:szCs w:val="18"/>
          <w:color w:val="auto"/>
        </w:rPr>
      </w:pPr>
      <w:r>
        <w:rPr>
          <w:rFonts w:ascii="Arial" w:cs="Arial" w:eastAsia="Arial" w:hAnsi="Arial"/>
          <w:sz w:val="18"/>
          <w:szCs w:val="18"/>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the Participant’s beneficiary, without charge, the stock certificate (or, if applicable, a notice evidencing a book-entry notation) evidencing the shares of Restricted Stock which have not then been forfeited and with respect to which the Restricted Period has expired (rounded down to the nearest full share). Dividends, if any, that may have been withheld by the Committee and attributable to any particular share of Restricted Stock shall be distributed to the Participant in cash or, in the sole discretion of the Committee, in shares of Common Stock having a Fair Market Value (on the date of distribution) equal to the amount of such dividends, upon the release of restrictions on such share and, if such share is forfeited, the Participant shall have no right to such dividends.</w:t>
      </w:r>
    </w:p>
    <w:p>
      <w:pPr>
        <w:spacing w:after="0" w:line="223" w:lineRule="exact"/>
        <w:rPr>
          <w:rFonts w:ascii="Arial" w:cs="Arial" w:eastAsia="Arial" w:hAnsi="Arial"/>
          <w:sz w:val="18"/>
          <w:szCs w:val="18"/>
          <w:color w:val="auto"/>
        </w:rPr>
      </w:pPr>
    </w:p>
    <w:p>
      <w:pPr>
        <w:jc w:val="both"/>
        <w:ind w:left="4" w:firstLine="644"/>
        <w:spacing w:after="0" w:line="270" w:lineRule="auto"/>
        <w:tabs>
          <w:tab w:leader="none" w:pos="1346"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Unless otherwise provided by the Committee in an Award Agreement or otherwise, upon the expiration of the Restricted Period with respect to any outstanding Restricted Stock Units, the Company shall issue to the Participant or the Participant’s beneficiary, without charge, one (1) share of Common Stock (or other securities or other property, as applicable) for each such outstanding Restricted Stock Unit;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Committee may, in its sole discretion, elect to (A) pay cash or part cash and part shares of Common Stock in lieu of issuing only shares of Common Stock in respect of such Restricted Stock Units; or (B) defer the issuance of shares of Common Stock (or cash or part cash and part shares of Common Stock, as the case may be) beyond the expiration of the Restricted Period if such extension would not cause adverse tax consequences under Section 409A of the Code. If a cash payment is made in lieu of issuing shares of Common Stock in respect of such Restricted Stock Units, the amount of such payment shall be equal to the Fair Market Value per share of the Common Stock as of the date on which the Restricted Period lapsed with respect to such Restricted Stock Units.</w:t>
      </w:r>
    </w:p>
    <w:p>
      <w:pPr>
        <w:spacing w:after="0" w:line="207" w:lineRule="exact"/>
        <w:rPr>
          <w:rFonts w:ascii="Arial" w:cs="Arial" w:eastAsia="Arial" w:hAnsi="Arial"/>
          <w:sz w:val="17"/>
          <w:szCs w:val="17"/>
          <w:color w:val="auto"/>
        </w:rPr>
      </w:pPr>
    </w:p>
    <w:p>
      <w:pPr>
        <w:jc w:val="both"/>
        <w:ind w:left="-576" w:firstLine="657"/>
        <w:spacing w:after="0" w:line="263" w:lineRule="auto"/>
        <w:tabs>
          <w:tab w:leader="none" w:pos="76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Legends on Restricted Stock</w:t>
      </w:r>
      <w:r>
        <w:rPr>
          <w:rFonts w:ascii="Arial" w:cs="Arial" w:eastAsia="Arial" w:hAnsi="Arial"/>
          <w:sz w:val="18"/>
          <w:szCs w:val="18"/>
          <w:color w:val="auto"/>
        </w:rPr>
        <w:t>. Each certificate, if any, or book entry representing Restricted Stock awarded under the Plan, if any, shall bear a legend or book entry notation substantially in the form of the following, in addition to any other information the Company deems appropriate, until the lapse of all restrictions with respect to such shares of Common Stock:</w:t>
      </w:r>
    </w:p>
    <w:p>
      <w:pPr>
        <w:spacing w:after="0" w:line="211"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TRANSFER OF THIS CERTIFICATE AND THE SHARES REPRESENTED HEREBY IS RESTRICTED PURSUANT TO THE TERMS OF THE Academy Sports and Outdoors, Inc. 2020 OMNIBUS INCENTIVE PLAN AND A RESTRICTED STOCK AWARD AGREEMENT BETWEEN Academy Sports and Outdoors, Inc. AND PARTICIPANT. A COPY OF SUCH PLAN AND AWARD AGREEMENT IS ON FILE AT THE PRINCIPAL EXECUTIVE OFFICES OF Academy Sports and Outdoors, Inc.</w:t>
      </w:r>
    </w:p>
    <w:p>
      <w:pPr>
        <w:spacing w:after="0" w:line="210" w:lineRule="exact"/>
        <w:rPr>
          <w:sz w:val="20"/>
          <w:szCs w:val="20"/>
          <w:color w:val="auto"/>
        </w:rPr>
      </w:pPr>
    </w:p>
    <w:p>
      <w:pPr>
        <w:jc w:val="both"/>
        <w:ind w:left="-656" w:firstLine="656"/>
        <w:spacing w:after="0" w:line="261" w:lineRule="auto"/>
        <w:tabs>
          <w:tab w:leader="none" w:pos="761"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Other Equity-Based Awards</w:t>
      </w:r>
      <w:r>
        <w:rPr>
          <w:rFonts w:ascii="Arial" w:cs="Arial" w:eastAsia="Arial" w:hAnsi="Arial"/>
          <w:sz w:val="18"/>
          <w:szCs w:val="18"/>
          <w:color w:val="auto"/>
        </w:rPr>
        <w:t>. The Committee may grant Other Equity-Based Awards under the Plan to Eligible Persons, alone or in</w:t>
      </w:r>
      <w:r>
        <w:rPr>
          <w:rFonts w:ascii="Arial" w:cs="Arial" w:eastAsia="Arial" w:hAnsi="Arial"/>
          <w:sz w:val="18"/>
          <w:szCs w:val="18"/>
          <w:b w:val="1"/>
          <w:bCs w:val="1"/>
          <w:color w:val="auto"/>
        </w:rPr>
        <w:t xml:space="preserve"> </w:t>
      </w:r>
      <w:r>
        <w:rPr>
          <w:rFonts w:ascii="Arial" w:cs="Arial" w:eastAsia="Arial" w:hAnsi="Arial"/>
          <w:sz w:val="18"/>
          <w:szCs w:val="18"/>
          <w:color w:val="auto"/>
        </w:rPr>
        <w:t>tandem with other Awards, in such amounts and dependent on such conditions as the Committee shall from time to time in its sole discretion determine. Each Other Equity-Based Award granted under the Plan shall be evidenced by an Award Agreement and shall be subject to such conditions not inconsistent with the Plan as may be reflected in the applicable Award Agreement.</w:t>
      </w:r>
    </w:p>
    <w:p>
      <w:pPr>
        <w:spacing w:after="0" w:line="206" w:lineRule="exact"/>
        <w:rPr>
          <w:rFonts w:ascii="Arial" w:cs="Arial" w:eastAsia="Arial" w:hAnsi="Arial"/>
          <w:sz w:val="18"/>
          <w:szCs w:val="18"/>
          <w:b w:val="1"/>
          <w:bCs w:val="1"/>
          <w:color w:val="auto"/>
        </w:rPr>
      </w:pPr>
    </w:p>
    <w:p>
      <w:pPr>
        <w:ind w:left="-656" w:firstLine="656"/>
        <w:spacing w:after="0" w:line="312" w:lineRule="auto"/>
        <w:tabs>
          <w:tab w:leader="none" w:pos="711"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Cash-Based Incentive Awards. </w:t>
      </w:r>
      <w:r>
        <w:rPr>
          <w:rFonts w:ascii="Arial" w:cs="Arial" w:eastAsia="Arial" w:hAnsi="Arial"/>
          <w:sz w:val="17"/>
          <w:szCs w:val="17"/>
          <w:color w:val="auto"/>
        </w:rPr>
        <w:t>The Committee may grant Cash-Based Incentive Awards under the Plan to any Eligible Person. Each</w:t>
      </w:r>
      <w:r>
        <w:rPr>
          <w:rFonts w:ascii="Arial" w:cs="Arial" w:eastAsia="Arial" w:hAnsi="Arial"/>
          <w:sz w:val="17"/>
          <w:szCs w:val="17"/>
          <w:b w:val="1"/>
          <w:bCs w:val="1"/>
          <w:color w:val="auto"/>
        </w:rPr>
        <w:t xml:space="preserve"> </w:t>
      </w:r>
      <w:r>
        <w:rPr>
          <w:rFonts w:ascii="Arial" w:cs="Arial" w:eastAsia="Arial" w:hAnsi="Arial"/>
          <w:sz w:val="17"/>
          <w:szCs w:val="17"/>
          <w:color w:val="auto"/>
        </w:rPr>
        <w:t>Cash-Based Incentive Award granted under the Plan shall be evidenced in such form as the Committee may determine from time to time.</w:t>
      </w:r>
    </w:p>
    <w:p>
      <w:pPr>
        <w:spacing w:after="0" w:line="166" w:lineRule="exact"/>
        <w:rPr>
          <w:rFonts w:ascii="Arial" w:cs="Arial" w:eastAsia="Arial" w:hAnsi="Arial"/>
          <w:sz w:val="17"/>
          <w:szCs w:val="17"/>
          <w:b w:val="1"/>
          <w:bCs w:val="1"/>
          <w:color w:val="auto"/>
        </w:rPr>
      </w:pPr>
    </w:p>
    <w:p>
      <w:pPr>
        <w:ind w:left="-656" w:firstLine="656"/>
        <w:spacing w:after="0" w:line="282" w:lineRule="auto"/>
        <w:tabs>
          <w:tab w:leader="none" w:pos="80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 Structure and Similar Events</w:t>
      </w:r>
      <w:r>
        <w:rPr>
          <w:rFonts w:ascii="Arial" w:cs="Arial" w:eastAsia="Arial" w:hAnsi="Arial"/>
          <w:sz w:val="18"/>
          <w:szCs w:val="18"/>
          <w:color w:val="auto"/>
        </w:rPr>
        <w:t>. Notwithstanding any other provision in the Plan to the contrary,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shall apply to all Awards granted hereunder (other than Cash-Based Incentive Awards):</w:t>
      </w:r>
    </w:p>
    <w:p>
      <w:pPr>
        <w:sectPr>
          <w:pgSz w:w="11900" w:h="16838" w:orient="portrait"/>
          <w:cols w:equalWidth="0" w:num="1">
            <w:col w:w="10584"/>
          </w:cols>
          <w:pgMar w:left="976" w:top="1421" w:right="339" w:bottom="1440" w:gutter="0" w:footer="0" w:header="0"/>
        </w:sectPr>
      </w:pPr>
    </w:p>
    <w:bookmarkStart w:id="68" w:name="page69"/>
    <w:bookmarkEnd w:id="68"/>
    <w:p>
      <w:pPr>
        <w:jc w:val="both"/>
        <w:ind w:left="80" w:firstLine="657"/>
        <w:spacing w:after="0" w:line="285" w:lineRule="auto"/>
        <w:tabs>
          <w:tab w:leader="none" w:pos="1391"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In the event of (i) any dividend (other than regular 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that affects the shares of Common Stock (including a Change in Control); or (ii)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(i) or (ii), an “</w:t>
      </w:r>
      <w:r>
        <w:rPr>
          <w:rFonts w:ascii="Arial" w:cs="Arial" w:eastAsia="Arial" w:hAnsi="Arial"/>
          <w:sz w:val="16"/>
          <w:szCs w:val="16"/>
          <w:u w:val="single" w:color="auto"/>
          <w:color w:val="auto"/>
        </w:rPr>
        <w:t>Adjustment Event</w:t>
      </w:r>
      <w:r>
        <w:rPr>
          <w:rFonts w:ascii="Arial" w:cs="Arial" w:eastAsia="Arial" w:hAnsi="Arial"/>
          <w:sz w:val="16"/>
          <w:szCs w:val="16"/>
          <w:color w:val="auto"/>
        </w:rPr>
        <w:t xml:space="preserve">”), the Committee shall, in respect of any such Adjustment Event, make such proportionate substitution or adjustment, if any, as it deems equitable, to any or all of (A) the Absolute Share Limit, or any other limit applicable under the Plan with respect to the number and class of shares of common stock that may be delivered under the Plan; (B) the number, class and price of shares of common stock or other securities of the Company (or number and kind of other securities or other property) which may be issued in respect of Awards or with respect to which Awards may be granted under the Plan or any Sub-Plan; and (C) the terms of any outstanding Award, including, without limitation, (I) the number and class of shares of common stock or other securities of the Company (or number and kind of other securities or other property) subject to outstanding Awards or to which outstanding Awards relate; (II) the Exercise Price or Strike Price with respect to any Award; or (III) any applicable performance measures (including, without limitation, Performance Criteria);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w:t>
      </w:r>
    </w:p>
    <w:p>
      <w:pPr>
        <w:spacing w:after="0" w:line="203" w:lineRule="exact"/>
        <w:rPr>
          <w:rFonts w:ascii="Arial" w:cs="Arial" w:eastAsia="Arial" w:hAnsi="Arial"/>
          <w:sz w:val="16"/>
          <w:szCs w:val="16"/>
          <w:color w:val="auto"/>
        </w:rPr>
      </w:pPr>
    </w:p>
    <w:p>
      <w:pPr>
        <w:ind w:left="80" w:firstLine="657"/>
        <w:spacing w:after="0" w:line="277" w:lineRule="auto"/>
        <w:tabs>
          <w:tab w:leader="none" w:pos="164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Without limiting the foregoing, in connection with any Change in Control, the Committee may, in its sole discretion, provide for any one or more of the following:</w:t>
      </w:r>
    </w:p>
    <w:p>
      <w:pPr>
        <w:spacing w:after="0" w:line="197" w:lineRule="exact"/>
        <w:rPr>
          <w:rFonts w:ascii="Arial" w:cs="Arial" w:eastAsia="Arial" w:hAnsi="Arial"/>
          <w:sz w:val="18"/>
          <w:szCs w:val="18"/>
          <w:color w:val="auto"/>
        </w:rPr>
      </w:pPr>
    </w:p>
    <w:p>
      <w:pPr>
        <w:jc w:val="both"/>
        <w:ind w:left="660" w:firstLine="644"/>
        <w:spacing w:after="0" w:line="254" w:lineRule="auto"/>
        <w:tabs>
          <w:tab w:leader="none" w:pos="2004"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substitution or assumption of Awards, or to the extent that the surviving entity (or Affiliate thereof) of such Change in Control does not substitute or assume the Awards, full acceleration of vesting of, exercisability of, or lapse of restrictions on, as applicable, any Awards; </w:t>
      </w:r>
      <w:r>
        <w:rPr>
          <w:rFonts w:ascii="Arial" w:cs="Arial" w:eastAsia="Arial" w:hAnsi="Arial"/>
          <w:sz w:val="18"/>
          <w:szCs w:val="18"/>
          <w:i w:val="1"/>
          <w:iCs w:val="1"/>
          <w:color w:val="auto"/>
        </w:rPr>
        <w:t>provided</w:t>
      </w:r>
      <w:r>
        <w:rPr>
          <w:rFonts w:ascii="Arial" w:cs="Arial" w:eastAsia="Arial" w:hAnsi="Arial"/>
          <w:sz w:val="18"/>
          <w:szCs w:val="18"/>
          <w:color w:val="auto"/>
        </w:rPr>
        <w:t>, that, unless the applicable Award Agreement provides for different treatment upon a Change in Control, with respect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performance-vested Awards, any such acceleration of vesting, exercisability, or lapse of restrictions shall be based on (A) the target level of performance if the applicable performance period has not ended prior to the date of such Change in Control, and (B) the actual level of performance attained during the performance period if the applicable performance period has ended prior to the date of such Change in Control; and</w:t>
      </w:r>
    </w:p>
    <w:p>
      <w:pPr>
        <w:spacing w:after="0" w:line="221" w:lineRule="exact"/>
        <w:rPr>
          <w:rFonts w:ascii="Arial" w:cs="Arial" w:eastAsia="Arial" w:hAnsi="Arial"/>
          <w:sz w:val="18"/>
          <w:szCs w:val="18"/>
          <w:color w:val="auto"/>
        </w:rPr>
      </w:pPr>
    </w:p>
    <w:p>
      <w:pPr>
        <w:jc w:val="both"/>
        <w:ind w:left="660" w:firstLine="644"/>
        <w:spacing w:after="0" w:line="270" w:lineRule="auto"/>
        <w:tabs>
          <w:tab w:leader="none" w:pos="2139" w:val="left"/>
        </w:tabs>
        <w:numPr>
          <w:ilvl w:val="1"/>
          <w:numId w:val="58"/>
        </w:numPr>
        <w:rPr>
          <w:rFonts w:ascii="Arial" w:cs="Arial" w:eastAsia="Arial" w:hAnsi="Arial"/>
          <w:sz w:val="17"/>
          <w:szCs w:val="17"/>
          <w:color w:val="auto"/>
        </w:rPr>
      </w:pPr>
      <w:r>
        <w:rPr>
          <w:rFonts w:ascii="Arial" w:cs="Arial" w:eastAsia="Arial" w:hAnsi="Arial"/>
          <w:sz w:val="17"/>
          <w:szCs w:val="17"/>
          <w:color w:val="auto"/>
        </w:rPr>
        <w:t>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(it being understood that, in such event, any Option or SAR having a per share Exercise Price or Strike Price equal to, or in excess of, the Fair Market Value of a share of Common Stock subject thereto may be canceled and terminated without any payment or consideration therefor).</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clause (i) above, an award will be considered granted in substitution of an Award if it has an equivalent value (as determined consistent with clause (ii) above) with the original Award, whether designated in securities of the acquiror in such Change in Control transaction (or an Affiliate thereof), or in cash or other property (including in the same consideration that other stockholders of the Company receive in connection with such Change in Control transaction), and retains the vesting schedule applicable to the original Award.</w:t>
      </w:r>
    </w:p>
    <w:p>
      <w:pPr>
        <w:sectPr>
          <w:pgSz w:w="11900" w:h="16838" w:orient="portrait"/>
          <w:cols w:equalWidth="0" w:num="1">
            <w:col w:w="11240"/>
          </w:cols>
          <w:pgMar w:left="320" w:top="1421" w:right="339" w:bottom="1440" w:gutter="0" w:footer="0" w:header="0"/>
        </w:sectPr>
      </w:pPr>
    </w:p>
    <w:bookmarkStart w:id="69" w:name="page70"/>
    <w:bookmarkEnd w:id="69"/>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Payments to holders pursuant to clause (ii) above shall be made in cash or, in the sole discretion of the Committee, in the form of such other consideration necessary for a Participant to receive property, cash, or securities (or combination thereof) as such Participant would have been entitled to receive upon the occurrence of the transaction if the Participant had been, immediately prior to such transaction, the holder of the number of shares of Common Stock covered by the Award at such time (less any applicable Exercise Price or Strike Price).</w:t>
      </w:r>
    </w:p>
    <w:p>
      <w:pPr>
        <w:spacing w:after="0" w:line="214" w:lineRule="exact"/>
        <w:rPr>
          <w:sz w:val="20"/>
          <w:szCs w:val="20"/>
          <w:color w:val="auto"/>
        </w:rPr>
      </w:pPr>
    </w:p>
    <w:p>
      <w:pPr>
        <w:jc w:val="both"/>
        <w:ind w:left="80" w:firstLine="657"/>
        <w:spacing w:after="0" w:line="257" w:lineRule="auto"/>
        <w:tabs>
          <w:tab w:leader="none" w:pos="1418"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Other Requirements</w:t>
      </w:r>
      <w:r>
        <w:rPr>
          <w:rFonts w:ascii="Arial" w:cs="Arial" w:eastAsia="Arial" w:hAnsi="Arial"/>
          <w:sz w:val="18"/>
          <w:szCs w:val="18"/>
          <w:color w:val="auto"/>
        </w:rPr>
        <w:t>. Prior to any payment or adjustment contemplated under this Section 12, the Committee may require a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Common Stock, subject to any limitations or reductions as may be necessary to comply with Section 409A of the Code; and (iii) deliver customary transfer documentation as reasonably determined by the Committee.</w:t>
      </w:r>
    </w:p>
    <w:p>
      <w:pPr>
        <w:spacing w:after="0" w:line="214" w:lineRule="exact"/>
        <w:rPr>
          <w:rFonts w:ascii="Arial" w:cs="Arial" w:eastAsia="Arial" w:hAnsi="Arial"/>
          <w:sz w:val="18"/>
          <w:szCs w:val="18"/>
          <w:color w:val="auto"/>
        </w:rPr>
      </w:pPr>
    </w:p>
    <w:p>
      <w:pPr>
        <w:ind w:left="80" w:firstLine="657"/>
        <w:spacing w:after="0" w:line="277" w:lineRule="auto"/>
        <w:tabs>
          <w:tab w:leader="none" w:pos="1482"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Any adjustment provided under this Section 12 may provide for the elimination of any fractional share that might otherwise become subject to an Award.</w:t>
      </w:r>
    </w:p>
    <w:p>
      <w:pPr>
        <w:spacing w:after="0" w:line="197" w:lineRule="exact"/>
        <w:rPr>
          <w:rFonts w:ascii="Arial" w:cs="Arial" w:eastAsia="Arial" w:hAnsi="Arial"/>
          <w:sz w:val="18"/>
          <w:szCs w:val="18"/>
          <w:color w:val="auto"/>
        </w:rPr>
      </w:pPr>
    </w:p>
    <w:p>
      <w:pPr>
        <w:ind w:left="80" w:firstLine="657"/>
        <w:spacing w:after="0" w:line="277" w:lineRule="auto"/>
        <w:tabs>
          <w:tab w:leader="none" w:pos="1391"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Any adjustment, substitution, determination of value or other action taken by the Committee under this Section 12 shall be conclusive and binding for all purposes.</w:t>
      </w:r>
    </w:p>
    <w:p>
      <w:pPr>
        <w:spacing w:after="0" w:line="193" w:lineRule="exact"/>
        <w:rPr>
          <w:rFonts w:ascii="Arial" w:cs="Arial" w:eastAsia="Arial" w:hAnsi="Arial"/>
          <w:sz w:val="18"/>
          <w:szCs w:val="18"/>
          <w:color w:val="auto"/>
        </w:rPr>
      </w:pPr>
    </w:p>
    <w:p>
      <w:pPr>
        <w:ind w:left="1340" w:hanging="684"/>
        <w:spacing w:after="0"/>
        <w:tabs>
          <w:tab w:leader="none" w:pos="13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Termination</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jc w:val="both"/>
        <w:ind w:left="80" w:firstLine="657"/>
        <w:spacing w:after="0" w:line="289" w:lineRule="auto"/>
        <w:tabs>
          <w:tab w:leader="none" w:pos="1377"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 of the Plan</w:t>
      </w:r>
      <w:r>
        <w:rPr>
          <w:rFonts w:ascii="Arial" w:cs="Arial" w:eastAsia="Arial" w:hAnsi="Arial"/>
          <w:sz w:val="16"/>
          <w:szCs w:val="16"/>
          <w:color w:val="auto"/>
        </w:rPr>
        <w:t xml:space="preserve">. The Board or Committee may amend, alter, suspend, discontinue, or terminate the Plan or any portion thereof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alteration, suspension, discontinuance or termination shall be made without stockholder approval if (i) such approval is necessary to comply with any regulatory requirement applicable to the Plan (including, without limitation, as necessary to comply with any rules or regulations of any securities exchange or inter-dealer quotation system on which the securities of the Company may be listed or quoted) or for changes in GAAP to new accounting standards; (ii) it would materially increase the number of securities which may be issued under the Plan (except for increases pursuant to Sections 5 or 12 of the Plan); or (iii) it would materially modify the requirements for participation in the Plan;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amendment, alteration, suspension, discontinuance or termination that would materially and adversely affect the rights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Participant or any holder or beneficiary of any Award theretofore granted shall not to that extent be effective without the consent of the affected Participant, holder or beneficiary. Notwithstanding the foregoing, no amendment shall be made to Section 13(c) of the Plan without stockholder approval.</w:t>
      </w:r>
    </w:p>
    <w:p>
      <w:pPr>
        <w:spacing w:after="0" w:line="193" w:lineRule="exact"/>
        <w:rPr>
          <w:rFonts w:ascii="Arial" w:cs="Arial" w:eastAsia="Arial" w:hAnsi="Arial"/>
          <w:sz w:val="16"/>
          <w:szCs w:val="16"/>
          <w:color w:val="auto"/>
        </w:rPr>
      </w:pPr>
    </w:p>
    <w:p>
      <w:pPr>
        <w:jc w:val="both"/>
        <w:ind w:left="80" w:firstLine="657"/>
        <w:spacing w:after="0" w:line="296" w:lineRule="auto"/>
        <w:tabs>
          <w:tab w:leader="none" w:pos="1442"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Amendment of Award Agreements</w:t>
      </w:r>
      <w:r>
        <w:rPr>
          <w:rFonts w:ascii="Arial" w:cs="Arial" w:eastAsia="Arial" w:hAnsi="Arial"/>
          <w:sz w:val="16"/>
          <w:szCs w:val="16"/>
          <w:color w:val="auto"/>
        </w:rPr>
        <w:t xml:space="preserve">. The Committee may, to the extent consistent with the terms of the Plan and any applicable Award Agreement, waive any conditions or rights under, amend any terms of, or alter, suspend, discontinue, cancel or terminate, any Award theretofore granted or the associated Award Agreement, prospectively or retroactively (including after a Participant’s Termination); </w:t>
      </w:r>
      <w:r>
        <w:rPr>
          <w:rFonts w:ascii="Arial" w:cs="Arial" w:eastAsia="Arial" w:hAnsi="Arial"/>
          <w:sz w:val="16"/>
          <w:szCs w:val="16"/>
          <w:i w:val="1"/>
          <w:iCs w:val="1"/>
          <w:color w:val="auto"/>
        </w:rPr>
        <w:t>provided</w:t>
      </w:r>
      <w:r>
        <w:rPr>
          <w:rFonts w:ascii="Arial" w:cs="Arial" w:eastAsia="Arial" w:hAnsi="Arial"/>
          <w:sz w:val="16"/>
          <w:szCs w:val="16"/>
          <w:color w:val="auto"/>
        </w:rPr>
        <w:t>, that, other than pursuant to Section 12,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spacing w:after="0" w:line="188" w:lineRule="exact"/>
        <w:rPr>
          <w:rFonts w:ascii="Arial" w:cs="Arial" w:eastAsia="Arial" w:hAnsi="Arial"/>
          <w:sz w:val="16"/>
          <w:szCs w:val="16"/>
          <w:color w:val="auto"/>
        </w:rPr>
      </w:pPr>
    </w:p>
    <w:p>
      <w:pPr>
        <w:jc w:val="both"/>
        <w:ind w:left="80" w:firstLine="657"/>
        <w:spacing w:after="0" w:line="255" w:lineRule="auto"/>
        <w:tabs>
          <w:tab w:leader="none" w:pos="1404"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No Repricing</w:t>
      </w:r>
      <w:r>
        <w:rPr>
          <w:rFonts w:ascii="Arial" w:cs="Arial" w:eastAsia="Arial" w:hAnsi="Arial"/>
          <w:sz w:val="18"/>
          <w:szCs w:val="18"/>
          <w:color w:val="auto"/>
        </w:rPr>
        <w:t>. Notwithstanding anything in the Plan to the contrary, without stockholder approval, except as otherwise permitted under Section 12 of the Plan, (i) no amendment or modification may reduce the Exercise Price of any Option or the Strike Price of any SAR; (ii) the Committee may not cancel any outstanding Option or SAR and replace it with a new Option or SAR (with a lower Exercise Price or Strike Price, as the case may be) or other Award or cash payment that is greater than the intrinsic value (if any) of the cancelled Option or SAR; and (iii) the Committee may not take any other action which is considered a “repricing” for purposes of the stockholder approval rules of any securities exchange or inter-dealer quotation system on which the securities of the Company are listed or quoted.</w:t>
      </w:r>
    </w:p>
    <w:p>
      <w:pPr>
        <w:sectPr>
          <w:pgSz w:w="11900" w:h="16838" w:orient="portrait"/>
          <w:cols w:equalWidth="0" w:num="1">
            <w:col w:w="11240"/>
          </w:cols>
          <w:pgMar w:left="320" w:top="1440" w:right="339" w:bottom="1440" w:gutter="0" w:footer="0" w:header="0"/>
        </w:sectPr>
      </w:pPr>
    </w:p>
    <w:bookmarkStart w:id="70" w:name="page71"/>
    <w:bookmarkEnd w:id="70"/>
    <w:p>
      <w:pPr>
        <w:ind w:left="684" w:hanging="684"/>
        <w:spacing w:after="0"/>
        <w:tabs>
          <w:tab w:leader="none" w:pos="68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jc w:val="both"/>
        <w:ind w:left="-576" w:firstLine="657"/>
        <w:spacing w:after="0" w:line="254" w:lineRule="auto"/>
        <w:tabs>
          <w:tab w:leader="none" w:pos="1018"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Award Agreements</w:t>
      </w:r>
      <w:r>
        <w:rPr>
          <w:rFonts w:ascii="Arial" w:cs="Arial" w:eastAsia="Arial" w:hAnsi="Arial"/>
          <w:sz w:val="18"/>
          <w:szCs w:val="18"/>
          <w:color w:val="auto"/>
        </w:rPr>
        <w:t>. Each Award (other than a Cash-Based Incentive Award) under the Plan shall be evidenced by an Award Agreement, which shall be delivered to the Participant to whom such Award was granted and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agreement, a notice, a certificate or a letter) evidencing the Award. The Committee need not require an Award Agreement to be signed by the Participant or a duly authorized representative of the Company.</w:t>
      </w:r>
    </w:p>
    <w:p>
      <w:pPr>
        <w:spacing w:after="0" w:line="221" w:lineRule="exact"/>
        <w:rPr>
          <w:rFonts w:ascii="Arial" w:cs="Arial" w:eastAsia="Arial" w:hAnsi="Arial"/>
          <w:sz w:val="18"/>
          <w:szCs w:val="18"/>
          <w:color w:val="auto"/>
        </w:rPr>
      </w:pPr>
    </w:p>
    <w:p>
      <w:pPr>
        <w:ind w:left="744" w:hanging="663"/>
        <w:spacing w:after="0"/>
        <w:tabs>
          <w:tab w:leader="none" w:pos="744"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4" w:firstLine="644"/>
        <w:spacing w:after="0" w:line="293" w:lineRule="auto"/>
        <w:tabs>
          <w:tab w:leader="none" w:pos="1304" w:val="left"/>
        </w:tabs>
        <w:numPr>
          <w:ilvl w:val="2"/>
          <w:numId w:val="61"/>
        </w:numPr>
        <w:rPr>
          <w:rFonts w:ascii="Arial" w:cs="Arial" w:eastAsia="Arial" w:hAnsi="Arial"/>
          <w:sz w:val="16"/>
          <w:szCs w:val="16"/>
          <w:color w:val="auto"/>
        </w:rPr>
      </w:pPr>
      <w:r>
        <w:rPr>
          <w:rFonts w:ascii="Arial" w:cs="Arial" w:eastAsia="Arial" w:hAnsi="Arial"/>
          <w:sz w:val="16"/>
          <w:szCs w:val="16"/>
          <w:color w:val="auto"/>
        </w:rPr>
        <w:t xml:space="preserve">Each Award shall be exercisable only by such Participant to whom such Award was granted during the Participant’s lifetime, or, if permissible under applicable law, by the Participant’s legal guardian or representative. No Award may be assigned, alienated, pledged, attached, sold or otherwise transferred or encumbered by a Participant (unless such transfer is specifically required pursuant to a domestic relations order or by applicable law) other than by will or by the laws of descent and distribution and any such purported assignment, alienation, pledge, attachment, sale, transfer or encumbrance shall be void and unenforceable against any member of the Company Group; </w:t>
      </w:r>
      <w:r>
        <w:rPr>
          <w:rFonts w:ascii="Arial" w:cs="Arial" w:eastAsia="Arial" w:hAnsi="Arial"/>
          <w:sz w:val="16"/>
          <w:szCs w:val="16"/>
          <w:i w:val="1"/>
          <w:iCs w:val="1"/>
          <w:color w:val="auto"/>
        </w:rPr>
        <w:t>provided</w:t>
      </w:r>
      <w:r>
        <w:rPr>
          <w:rFonts w:ascii="Arial" w:cs="Arial" w:eastAsia="Arial" w:hAnsi="Arial"/>
          <w:sz w:val="16"/>
          <w:szCs w:val="16"/>
          <w:color w:val="auto"/>
        </w:rPr>
        <w:t>, that the designation of a beneficiary shall not constitute an assignment, alienation, pledge, attachment, sale, transfer or encumbrance.</w:t>
      </w:r>
    </w:p>
    <w:p>
      <w:pPr>
        <w:spacing w:after="0" w:line="191" w:lineRule="exact"/>
        <w:rPr>
          <w:rFonts w:ascii="Arial" w:cs="Arial" w:eastAsia="Arial" w:hAnsi="Arial"/>
          <w:sz w:val="16"/>
          <w:szCs w:val="16"/>
          <w:color w:val="auto"/>
        </w:rPr>
      </w:pPr>
    </w:p>
    <w:p>
      <w:pPr>
        <w:jc w:val="both"/>
        <w:ind w:left="4" w:firstLine="644"/>
        <w:spacing w:after="0" w:line="288" w:lineRule="auto"/>
        <w:tabs>
          <w:tab w:leader="none" w:pos="1327" w:val="left"/>
        </w:tabs>
        <w:numPr>
          <w:ilvl w:val="2"/>
          <w:numId w:val="61"/>
        </w:numPr>
        <w:rPr>
          <w:rFonts w:ascii="Arial" w:cs="Arial" w:eastAsia="Arial" w:hAnsi="Arial"/>
          <w:sz w:val="16"/>
          <w:szCs w:val="16"/>
          <w:color w:val="auto"/>
        </w:rPr>
      </w:pPr>
      <w:r>
        <w:rPr>
          <w:rFonts w:ascii="Arial" w:cs="Arial" w:eastAsia="Arial" w:hAnsi="Arial"/>
          <w:sz w:val="16"/>
          <w:szCs w:val="16"/>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or any successor form of registration statement promulgated by the Securities and Exchange Commission (collectively, the “</w:t>
      </w:r>
      <w:r>
        <w:rPr>
          <w:rFonts w:ascii="Arial" w:cs="Arial" w:eastAsia="Arial" w:hAnsi="Arial"/>
          <w:sz w:val="16"/>
          <w:szCs w:val="16"/>
          <w:u w:val="single" w:color="auto"/>
          <w:color w:val="auto"/>
        </w:rPr>
        <w:t>Immediate Family Members</w:t>
      </w:r>
      <w:r>
        <w:rPr>
          <w:rFonts w:ascii="Arial" w:cs="Arial" w:eastAsia="Arial" w:hAnsi="Arial"/>
          <w:sz w:val="16"/>
          <w:szCs w:val="16"/>
          <w:color w:val="auto"/>
        </w:rPr>
        <w:t>”); (B) a trust solely for the benefit of the Participant and the Participant’s Immediate Family Members; (C) a partnership or limited liability company whose only partners or stockholders are the Participant and the Participant’s Immediate Family Members; or (D) a beneficiary to whom donations are eligible to be treated as “charitable contributions” for federal income tax purposes (each transferee described in clauses (A), (B), (C) and (D) above is hereinafter referred to as a “</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95" w:lineRule="exact"/>
        <w:rPr>
          <w:rFonts w:ascii="Arial" w:cs="Arial" w:eastAsia="Arial" w:hAnsi="Arial"/>
          <w:sz w:val="16"/>
          <w:szCs w:val="16"/>
          <w:color w:val="auto"/>
        </w:rPr>
      </w:pPr>
    </w:p>
    <w:p>
      <w:pPr>
        <w:jc w:val="both"/>
        <w:ind w:left="4" w:firstLine="644"/>
        <w:spacing w:after="0" w:line="288" w:lineRule="auto"/>
        <w:tabs>
          <w:tab w:leader="none" w:pos="1564" w:val="left"/>
        </w:tabs>
        <w:numPr>
          <w:ilvl w:val="2"/>
          <w:numId w:val="61"/>
        </w:numPr>
        <w:rPr>
          <w:rFonts w:ascii="Arial" w:cs="Arial" w:eastAsia="Arial" w:hAnsi="Arial"/>
          <w:sz w:val="16"/>
          <w:szCs w:val="16"/>
          <w:color w:val="auto"/>
        </w:rPr>
      </w:pPr>
      <w:r>
        <w:rPr>
          <w:rFonts w:ascii="Arial" w:cs="Arial" w:eastAsia="Arial" w:hAnsi="Arial"/>
          <w:sz w:val="16"/>
          <w:szCs w:val="16"/>
          <w:color w:val="auto"/>
        </w:rPr>
        <w:t>The terms of any Award transferred in accordance with clause (ii) above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neither the Committee nor the Company shall be required to provide any notice to a Permitted Transferee, whether or not such notice is or would otherwise have been required to be given to the Participant under the Plan or otherwise; and (D) the consequences of a Participant’s Termination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ectPr>
          <w:pgSz w:w="11900" w:h="16838" w:orient="portrait"/>
          <w:cols w:equalWidth="0" w:num="1">
            <w:col w:w="10584"/>
          </w:cols>
          <w:pgMar w:left="976" w:top="1417" w:right="339" w:bottom="1440" w:gutter="0" w:footer="0" w:header="0"/>
        </w:sectPr>
      </w:pPr>
    </w:p>
    <w:bookmarkStart w:id="71" w:name="page72"/>
    <w:bookmarkEnd w:id="71"/>
    <w:p>
      <w:pPr>
        <w:jc w:val="both"/>
        <w:ind w:left="-657" w:firstLine="657"/>
        <w:spacing w:after="0" w:line="254" w:lineRule="auto"/>
        <w:tabs>
          <w:tab w:leader="none" w:pos="85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Dividends and Dividend Equivalents</w:t>
      </w:r>
      <w:r>
        <w:rPr>
          <w:rFonts w:ascii="Arial" w:cs="Arial" w:eastAsia="Arial" w:hAnsi="Arial"/>
          <w:sz w:val="18"/>
          <w:szCs w:val="18"/>
          <w:color w:val="auto"/>
        </w:rPr>
        <w:t>. The Committee may, in its sole discretion, provide a Participant as part of an Award with dividends, dividend equivalents, or similar payments in respect of Awards, payable in cash, shares of Common Stock, other securities, other Awards or other property, on a current or deferred basis, on such terms and conditions as may be determined by the Committee in its sole discretion, including, without limitation, payment directly to the Participant, withholding of such amounts by the Company subject to vesting of the Award or reinvestment in additional shares of Common Stock, Restricted Stock or other Awards. Without limiting the foregoing, unless otherwise provided in the Award Agreement, any dividend otherwise payable in respect of any share of Restricted Stock that remains subject to vesting conditions at the time of payment of such dividend shall be retained by the Company and remain subject to the same vesting conditions as the share of Restricted Stock to which the dividend relates.</w:t>
      </w:r>
    </w:p>
    <w:p>
      <w:pPr>
        <w:spacing w:after="0" w:line="218" w:lineRule="exact"/>
        <w:rPr>
          <w:rFonts w:ascii="Arial" w:cs="Arial" w:eastAsia="Arial" w:hAnsi="Arial"/>
          <w:sz w:val="18"/>
          <w:szCs w:val="18"/>
          <w:color w:val="auto"/>
        </w:rPr>
      </w:pPr>
    </w:p>
    <w:p>
      <w:pPr>
        <w:ind w:left="663" w:hanging="663"/>
        <w:spacing w:after="0"/>
        <w:tabs>
          <w:tab w:leader="none" w:pos="66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77" w:firstLine="644"/>
        <w:spacing w:after="0" w:line="279" w:lineRule="auto"/>
        <w:tabs>
          <w:tab w:leader="none" w:pos="1271" w:val="left"/>
        </w:tabs>
        <w:numPr>
          <w:ilvl w:val="1"/>
          <w:numId w:val="62"/>
        </w:numPr>
        <w:rPr>
          <w:rFonts w:ascii="Arial" w:cs="Arial" w:eastAsia="Arial" w:hAnsi="Arial"/>
          <w:sz w:val="17"/>
          <w:szCs w:val="17"/>
          <w:color w:val="auto"/>
        </w:rPr>
      </w:pPr>
      <w:r>
        <w:rPr>
          <w:rFonts w:ascii="Arial" w:cs="Arial" w:eastAsia="Arial" w:hAnsi="Arial"/>
          <w:sz w:val="17"/>
          <w:szCs w:val="17"/>
          <w:color w:val="auto"/>
        </w:rPr>
        <w:t>A Participant shall be required to pay to the Company or one or more of its Subsidiaries, as applicable, an amount in cash (by check or wire transfer) equal to the aggregate amount of any income, employment and/or other applicable taxes that are statutorily required to be withheld in respect of an Award. Alternatively, the Company or any of its Subsidiaries may elect, in its sole discretion, to satisfy this requirement by withholding such amount from any cash compensation or other cash amounts owing to a Participant.</w:t>
      </w:r>
    </w:p>
    <w:p>
      <w:pPr>
        <w:spacing w:after="0" w:line="198" w:lineRule="exact"/>
        <w:rPr>
          <w:rFonts w:ascii="Arial" w:cs="Arial" w:eastAsia="Arial" w:hAnsi="Arial"/>
          <w:sz w:val="17"/>
          <w:szCs w:val="17"/>
          <w:color w:val="auto"/>
        </w:rPr>
      </w:pPr>
    </w:p>
    <w:p>
      <w:pPr>
        <w:jc w:val="both"/>
        <w:ind w:left="-77" w:firstLine="644"/>
        <w:spacing w:after="0" w:line="270" w:lineRule="auto"/>
        <w:tabs>
          <w:tab w:leader="none" w:pos="1246" w:val="left"/>
        </w:tabs>
        <w:numPr>
          <w:ilvl w:val="1"/>
          <w:numId w:val="62"/>
        </w:numPr>
        <w:rPr>
          <w:rFonts w:ascii="Arial" w:cs="Arial" w:eastAsia="Arial" w:hAnsi="Arial"/>
          <w:sz w:val="17"/>
          <w:szCs w:val="17"/>
          <w:color w:val="auto"/>
        </w:rPr>
      </w:pPr>
      <w:r>
        <w:rPr>
          <w:rFonts w:ascii="Arial" w:cs="Arial" w:eastAsia="Arial" w:hAnsi="Arial"/>
          <w:sz w:val="17"/>
          <w:szCs w:val="17"/>
          <w:color w:val="auto"/>
        </w:rPr>
        <w:t>Without limiting the foregoing, the Committee may (but is not obligated to), in its sole discretion, permit or require a Participant to satisfy, all or any portion of the minimum income, employment and/or other applicable taxes that are statutorily required to be withheld with respect to an Award by (A) the delivery of shares of Common Stock (which are not subject to any pledge or other security interest) that have been both held by the Participant and vested for at least six (6) months (or such other period as established from time to time by the Committee in order to avoid adverse accounting treatment under applicable accounting standards) having an aggregate fair market value equal to such minimum statutorily required withholding liability (or portion thereof); or (B) having the Company withhold from the shares of Common Stock otherwise issuable or deliverable to, or that would otherwise be retained by, the Participant upon the grant, exercise, vesting or settlement of the Award, as applicable, a number of shares of Common Stock with an aggregate fair market value equal to an amount, subject to clause (iii) below, not in excess of such minimum statutorily required withholding liability (or portion thereof).</w:t>
      </w:r>
    </w:p>
    <w:p>
      <w:pPr>
        <w:spacing w:after="0" w:line="207" w:lineRule="exact"/>
        <w:rPr>
          <w:rFonts w:ascii="Arial" w:cs="Arial" w:eastAsia="Arial" w:hAnsi="Arial"/>
          <w:sz w:val="17"/>
          <w:szCs w:val="17"/>
          <w:color w:val="auto"/>
        </w:rPr>
      </w:pPr>
    </w:p>
    <w:p>
      <w:pPr>
        <w:jc w:val="both"/>
        <w:ind w:left="-77" w:firstLine="644"/>
        <w:spacing w:after="0" w:line="255" w:lineRule="auto"/>
        <w:tabs>
          <w:tab w:leader="none" w:pos="1446"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Committee has full discretion to allow Participants to satisfy, in whole or in part, any additional income, employment and/or other applicable taxes payable by them with respect to an Award by electing to have the Company withhold from the shares of Common Stock otherwise issuable or deliverable to, or that would otherwise be retained by, a Participant upon the grant, exercise, vesting or settlement of the Award, as applicable, shares of Common Stock having an aggregate fair market value that is greater than the applicable minimum required statutory withholding liability (but such withholding may in no event be in excess of the maximum statutory withholding amount(s) in a Participant’s relevant tax jurisdictions).</w:t>
      </w:r>
    </w:p>
    <w:p>
      <w:pPr>
        <w:spacing w:after="0" w:line="219" w:lineRule="exact"/>
        <w:rPr>
          <w:rFonts w:ascii="Arial" w:cs="Arial" w:eastAsia="Arial" w:hAnsi="Arial"/>
          <w:sz w:val="18"/>
          <w:szCs w:val="18"/>
          <w:color w:val="auto"/>
        </w:rPr>
      </w:pPr>
    </w:p>
    <w:p>
      <w:pPr>
        <w:jc w:val="both"/>
        <w:ind w:left="-657" w:firstLine="657"/>
        <w:spacing w:after="0" w:line="275" w:lineRule="auto"/>
        <w:tabs>
          <w:tab w:leader="none" w:pos="735"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Data Protection</w:t>
      </w:r>
      <w:r>
        <w:rPr>
          <w:rFonts w:ascii="Arial" w:cs="Arial" w:eastAsia="Arial" w:hAnsi="Arial"/>
          <w:sz w:val="17"/>
          <w:szCs w:val="17"/>
          <w:color w:val="auto"/>
        </w:rPr>
        <w:t>. By participating in the Plan or accepting any rights granted under it, each Participant consents to the collection and processing of personal data relating to the Participant so that the Company and its Affiliates can fulfill their obligations and exercise their rights under the Plan and generally administer and manage the Plan. This data will include, but may not be limited to, data about participation in the Plan and shares offered or received, purchased, or sold under the Plan from time to time and other appropriate financial and other data (such as the date on which the Awards were granted) about the Participant and the Participant’s participation in the Plan.</w:t>
      </w:r>
    </w:p>
    <w:p>
      <w:pPr>
        <w:spacing w:after="0" w:line="203" w:lineRule="exact"/>
        <w:rPr>
          <w:rFonts w:ascii="Arial" w:cs="Arial" w:eastAsia="Arial" w:hAnsi="Arial"/>
          <w:sz w:val="17"/>
          <w:szCs w:val="17"/>
          <w:color w:val="auto"/>
        </w:rPr>
      </w:pPr>
    </w:p>
    <w:p>
      <w:pPr>
        <w:jc w:val="both"/>
        <w:ind w:left="-657" w:firstLine="657"/>
        <w:spacing w:after="0" w:line="286" w:lineRule="auto"/>
        <w:tabs>
          <w:tab w:leader="none" w:pos="742"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No Claim to Awards; No Rights to Continued Employment; Waiver</w:t>
      </w:r>
      <w:r>
        <w:rPr>
          <w:rFonts w:ascii="Arial" w:cs="Arial" w:eastAsia="Arial" w:hAnsi="Arial"/>
          <w:sz w:val="17"/>
          <w:szCs w:val="17"/>
          <w:color w:val="auto"/>
        </w:rPr>
        <w:t>. No employee of any member of the Company Group,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w:t>
      </w:r>
    </w:p>
    <w:p>
      <w:pPr>
        <w:sectPr>
          <w:pgSz w:w="11900" w:h="16838" w:orient="portrait"/>
          <w:cols w:equalWidth="0" w:num="1">
            <w:col w:w="10503"/>
          </w:cols>
          <w:pgMar w:left="1057" w:top="1421" w:right="339" w:bottom="1440" w:gutter="0" w:footer="0" w:header="0"/>
        </w:sectPr>
      </w:pPr>
    </w:p>
    <w:bookmarkStart w:id="72" w:name="page73"/>
    <w:bookmarkEnd w:id="72"/>
    <w:p>
      <w:pPr>
        <w:jc w:val="both"/>
        <w:spacing w:after="0" w:line="269" w:lineRule="auto"/>
        <w:rPr>
          <w:sz w:val="20"/>
          <w:szCs w:val="20"/>
          <w:color w:val="auto"/>
        </w:rPr>
      </w:pPr>
      <w:r>
        <w:rPr>
          <w:rFonts w:ascii="Arial" w:cs="Arial" w:eastAsia="Arial" w:hAnsi="Arial"/>
          <w:sz w:val="17"/>
          <w:szCs w:val="17"/>
          <w:color w:val="auto"/>
        </w:rPr>
        <w:t>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Service Recipient or any other member of the Company Group, nor shall it be construed as giving any Participant any rights to continued service on the Board. The Service Recipient or any other member of the Company Group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the Service Recipient and/or any member of the Company Group and the Participant, whether any such agreement is executed before, on or after the Date of Grant.</w:t>
      </w:r>
    </w:p>
    <w:p>
      <w:pPr>
        <w:spacing w:after="0" w:line="212" w:lineRule="exact"/>
        <w:rPr>
          <w:sz w:val="20"/>
          <w:szCs w:val="20"/>
          <w:color w:val="auto"/>
        </w:rPr>
      </w:pPr>
    </w:p>
    <w:p>
      <w:pPr>
        <w:jc w:val="both"/>
        <w:ind w:firstLine="657"/>
        <w:spacing w:after="0" w:line="259" w:lineRule="auto"/>
        <w:tabs>
          <w:tab w:leader="none" w:pos="130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International Participants</w:t>
      </w:r>
      <w:r>
        <w:rPr>
          <w:rFonts w:ascii="Arial" w:cs="Arial" w:eastAsia="Arial" w:hAnsi="Arial"/>
          <w:sz w:val="18"/>
          <w:szCs w:val="18"/>
          <w:color w:val="auto"/>
        </w:rPr>
        <w:t>. With respect to Participants who reside or work outside of the United States of America, the Committee may, in its sole discretion, amend the terms of the Plan and create or amend Sub-Plans or amend outstanding Awards with respect to such Participants in order to conform such terms with the requirements of local law or to obtain more favorable tax or other treatment for a Participant or any member of the Company Group.</w:t>
      </w:r>
    </w:p>
    <w:p>
      <w:pPr>
        <w:spacing w:after="0" w:line="213" w:lineRule="exact"/>
        <w:rPr>
          <w:rFonts w:ascii="Arial" w:cs="Arial" w:eastAsia="Arial" w:hAnsi="Arial"/>
          <w:sz w:val="18"/>
          <w:szCs w:val="18"/>
          <w:color w:val="auto"/>
        </w:rPr>
      </w:pPr>
    </w:p>
    <w:p>
      <w:pPr>
        <w:jc w:val="both"/>
        <w:ind w:firstLine="657"/>
        <w:spacing w:after="0" w:line="272" w:lineRule="auto"/>
        <w:tabs>
          <w:tab w:leader="none" w:pos="133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Designation and Change of Beneficiary</w:t>
      </w:r>
      <w:r>
        <w:rPr>
          <w:rFonts w:ascii="Arial" w:cs="Arial" w:eastAsia="Arial" w:hAnsi="Arial"/>
          <w:sz w:val="17"/>
          <w:szCs w:val="17"/>
          <w:color w:val="auto"/>
        </w:rPr>
        <w:t xml:space="preserve">. Each Participant may file with the Committee a written designation of one or more Persons as the beneficiary or beneficiaries, as applicable, who shall be entitled to receive the amounts payable with respect to an Award, if any, due under the Plan upon the Participant’s death. A Participant may, from time to time, revoke or change the Participant’s beneficiary designation without the consent of any prior beneficiary by filing a new designation with the Committee. The last such designation received by the Committee shall be controlling;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the Participant’s spouse or, if the Participant is unmarried at the time of death, the Participant’s estate.</w:t>
      </w:r>
    </w:p>
    <w:p>
      <w:pPr>
        <w:spacing w:after="0" w:line="204" w:lineRule="exact"/>
        <w:rPr>
          <w:rFonts w:ascii="Arial" w:cs="Arial" w:eastAsia="Arial" w:hAnsi="Arial"/>
          <w:sz w:val="17"/>
          <w:szCs w:val="17"/>
          <w:color w:val="auto"/>
        </w:rPr>
      </w:pPr>
    </w:p>
    <w:p>
      <w:pPr>
        <w:jc w:val="both"/>
        <w:ind w:firstLine="657"/>
        <w:spacing w:after="0" w:line="289" w:lineRule="auto"/>
        <w:tabs>
          <w:tab w:leader="none" w:pos="1484"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Except as otherwise provided in an Award Agreement, unless determined otherwise by the Committee at any point following such event: (i) neither a temporary absence from employment or service due to illness, vacation or leave of absence (including, without limitation, a call to active duty for military service through a Reserve or National Guard unit) nor a transfer from employment or service with one Service Recipient to employment or service with another Service Recipient (or vice-versa) shall be considered a Termination; and (ii) if a Participant undergoes a Termination of employment, but such Participant continues to provide services to the Company Group in a non-employee capacity, such change in status shall not be considered a Termination for purposes of the Plan. Further, unless otherwise determined by the Committee, in the event that any Service Recipient ceases to be a member of the Company Group (by reason of sale, divestiture, spin-off or other similar transaction), unless a Participant’s employment or service is transferred to another entity that would constitute a Service Recipient immediately following such transaction, such Participant shall be deemed to have suffered a Termination hereunder as of the date of the consummation of such transaction.</w:t>
      </w:r>
    </w:p>
    <w:p>
      <w:pPr>
        <w:spacing w:after="0" w:line="193" w:lineRule="exact"/>
        <w:rPr>
          <w:rFonts w:ascii="Arial" w:cs="Arial" w:eastAsia="Arial" w:hAnsi="Arial"/>
          <w:sz w:val="16"/>
          <w:szCs w:val="16"/>
          <w:color w:val="auto"/>
        </w:rPr>
      </w:pPr>
    </w:p>
    <w:p>
      <w:pPr>
        <w:jc w:val="both"/>
        <w:ind w:firstLine="657"/>
        <w:spacing w:after="0" w:line="263" w:lineRule="auto"/>
        <w:tabs>
          <w:tab w:leader="none" w:pos="129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Except as otherwise specifically provided in the Plan or any Award Agreement, no Person shall be entitled to the privileges of ownership in respect of shares of Common Stock which are subject to Awards hereunder until such shares have been issued or delivered to such Person.</w:t>
      </w:r>
    </w:p>
    <w:p>
      <w:pPr>
        <w:spacing w:after="0" w:line="210" w:lineRule="exact"/>
        <w:rPr>
          <w:rFonts w:ascii="Arial" w:cs="Arial" w:eastAsia="Arial" w:hAnsi="Arial"/>
          <w:sz w:val="18"/>
          <w:szCs w:val="18"/>
          <w:color w:val="auto"/>
        </w:rPr>
      </w:pPr>
    </w:p>
    <w:p>
      <w:pPr>
        <w:ind w:left="1320" w:hanging="663"/>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580" w:firstLine="644"/>
        <w:spacing w:after="0" w:line="279" w:lineRule="auto"/>
        <w:tabs>
          <w:tab w:leader="none" w:pos="2051"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obligation of the Company to settle Awards in shares of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w:t>
      </w:r>
    </w:p>
    <w:p>
      <w:pPr>
        <w:sectPr>
          <w:pgSz w:w="11900" w:h="16838" w:orient="portrait"/>
          <w:cols w:equalWidth="0" w:num="1">
            <w:col w:w="11160"/>
          </w:cols>
          <w:pgMar w:left="400" w:top="1421" w:right="339" w:bottom="1440" w:gutter="0" w:footer="0" w:header="0"/>
        </w:sectPr>
      </w:pPr>
    </w:p>
    <w:bookmarkStart w:id="73" w:name="page74"/>
    <w:bookmarkEnd w:id="73"/>
    <w:p>
      <w:pPr>
        <w:jc w:val="both"/>
        <w:spacing w:after="0" w:line="268" w:lineRule="auto"/>
        <w:rPr>
          <w:sz w:val="20"/>
          <w:szCs w:val="20"/>
          <w:color w:val="auto"/>
        </w:rPr>
      </w:pPr>
      <w:r>
        <w:rPr>
          <w:rFonts w:ascii="Arial" w:cs="Arial" w:eastAsia="Arial" w:hAnsi="Arial"/>
          <w:sz w:val="17"/>
          <w:szCs w:val="17"/>
          <w:color w:val="auto"/>
        </w:rPr>
        <w:t>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shares of Common Stock or other securities of any member of the Company Group issued under the Plan shall be subject to such stop-transfer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on which the securities of the Company are listed or quoted and any other applicable Federal, state, local or non-U.S. laws, rules, regulations and other requirements, and, without limiting the generality of Section 9 of the Plan, the Committee may cause a legend or legends to be put on certificates representing shares of Common Stock or other securities of any member of the Company Group issued under the Plan to make appropriate reference to such restrictions or may cause such Common Stock or other securities of any member of the Company Group issued under the Plan in book-entry form to be held subject to the Company’s instructions or subject to appropriate stop-transfer orders. Notwithstanding any provision in the Plan to the contrary, the Committee reserves the right to, at any time, add any additional terms or provisions to any Award granted under the Plan that the Committee, in its sole discretion, deems necessary or advisable in order that such Award complies with the legal requirements of any governmental entity to whose jurisdiction the Award is subject.</w:t>
      </w:r>
    </w:p>
    <w:p>
      <w:pPr>
        <w:spacing w:after="0" w:line="207" w:lineRule="exact"/>
        <w:rPr>
          <w:sz w:val="20"/>
          <w:szCs w:val="20"/>
          <w:color w:val="auto"/>
        </w:rPr>
      </w:pPr>
    </w:p>
    <w:p>
      <w:pPr>
        <w:jc w:val="both"/>
        <w:ind w:firstLine="644"/>
        <w:spacing w:after="0" w:line="268" w:lineRule="auto"/>
        <w:tabs>
          <w:tab w:leader="none" w:pos="1472"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subject to any limitations or reductions as may be necessary to comply with Section 409A of the Code, (A) pay to the Participant an amount equal to the excess of (I) the aggregate Fair Market Value of the shares of Common Stock subject to such Award or portion thereof canceled (determined as of the applicable exercise date, or the date that the shares would have been vested or issued, as applicable); over (II) the aggregate Exercise Price or Strike Price (in the case of an Option or SAR, respectively) or any amount payable as a condition of issuance of shares of Common Stock (in the case of any other Award). Such amount shall be delivered to the Participant as soon as practicable following the cancellation of such Award or portion thereof, or (B) in the case of Restricted Stock, Restricted Stock Units or Other Equity-Based Awards, provide the Participant with a cash payment or equity subject to deferred vesting and delivery consistent with the vesting restrictions applicable to such Restricted Stock, Restricted Stock Units or Other Equity-Based Awards, or the underlying shares in respect thereof.</w:t>
      </w:r>
    </w:p>
    <w:p>
      <w:pPr>
        <w:spacing w:after="0" w:line="213" w:lineRule="exact"/>
        <w:rPr>
          <w:rFonts w:ascii="Arial" w:cs="Arial" w:eastAsia="Arial" w:hAnsi="Arial"/>
          <w:sz w:val="17"/>
          <w:szCs w:val="17"/>
          <w:color w:val="auto"/>
        </w:rPr>
      </w:pPr>
    </w:p>
    <w:p>
      <w:pPr>
        <w:jc w:val="both"/>
        <w:ind w:left="-580" w:firstLine="657"/>
        <w:spacing w:after="0" w:line="255" w:lineRule="auto"/>
        <w:tabs>
          <w:tab w:leader="none" w:pos="72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 Section 83(b) Elections Without Consent of Company</w:t>
      </w:r>
      <w:r>
        <w:rPr>
          <w:rFonts w:ascii="Arial" w:cs="Arial" w:eastAsia="Arial" w:hAnsi="Arial"/>
          <w:sz w:val="18"/>
          <w:szCs w:val="18"/>
          <w:color w:val="auto"/>
        </w:rPr>
        <w:t>. No election under Section 83(b) of the Code or under a similar provision of law may be made unless expressly permitted by the terms of the applicable Award Agreement or by action of the Company in writing prior to the making of such election. If a Participant, in connection with the acquisition of shares of Common Stock under the Plan or otherwise, is expressly permitted to make such election and the Participant makes the election, the Participant shall notify the Company of such election within ten (10) days of filing notice of the election with the Internal Revenue Service or other governmental authority, in addition to any filing and notification required pursuant to Section 83(b) of the Code or other applicable provision.</w:t>
      </w:r>
    </w:p>
    <w:p>
      <w:pPr>
        <w:spacing w:after="0" w:line="219" w:lineRule="exact"/>
        <w:rPr>
          <w:rFonts w:ascii="Arial" w:cs="Arial" w:eastAsia="Arial" w:hAnsi="Arial"/>
          <w:sz w:val="18"/>
          <w:szCs w:val="18"/>
          <w:color w:val="auto"/>
        </w:rPr>
      </w:pPr>
    </w:p>
    <w:p>
      <w:pPr>
        <w:jc w:val="both"/>
        <w:ind w:left="-580" w:firstLine="657"/>
        <w:spacing w:after="0" w:line="259" w:lineRule="auto"/>
        <w:tabs>
          <w:tab w:leader="none" w:pos="84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Payments to Persons Other Than Participants</w:t>
      </w:r>
      <w:r>
        <w:rPr>
          <w:rFonts w:ascii="Arial" w:cs="Arial" w:eastAsia="Arial" w:hAnsi="Arial"/>
          <w:sz w:val="18"/>
          <w:szCs w:val="18"/>
          <w:color w:val="auto"/>
        </w:rPr>
        <w:t>. If the Committee shall find that any Person to whom any amount is payable under the Plan is unable to care for the Participant’s affairs because of illness or accident, or is a minor, or has died, then any payment due to such Person or the Participant’s estate (unless a prior claim therefor has been made by a duly appointed legal representative) may, if the Committee so directs the Company, be paid to the Participant’s spouse, child, relative, an institution maintaining or having custody of such</w:t>
      </w:r>
    </w:p>
    <w:p>
      <w:pPr>
        <w:sectPr>
          <w:pgSz w:w="11900" w:h="16838" w:orient="portrait"/>
          <w:cols w:equalWidth="0" w:num="1">
            <w:col w:w="10580"/>
          </w:cols>
          <w:pgMar w:left="980" w:top="1421" w:right="339" w:bottom="1440" w:gutter="0" w:footer="0" w:header="0"/>
        </w:sectPr>
      </w:pPr>
    </w:p>
    <w:bookmarkStart w:id="74" w:name="page75"/>
    <w:bookmarkEnd w:id="74"/>
    <w:p>
      <w:pPr>
        <w:spacing w:after="0" w:line="277" w:lineRule="auto"/>
        <w:rPr>
          <w:sz w:val="20"/>
          <w:szCs w:val="20"/>
          <w:color w:val="auto"/>
        </w:rPr>
      </w:pPr>
      <w:r>
        <w:rPr>
          <w:rFonts w:ascii="Arial" w:cs="Arial" w:eastAsia="Arial" w:hAnsi="Arial"/>
          <w:sz w:val="18"/>
          <w:szCs w:val="18"/>
          <w:color w:val="auto"/>
        </w:rPr>
        <w:t>Person, or any other Person deemed by the Committee to be a proper recipient on behalf of such Person otherwise entitled to payment. Any such payment shall be a complete discharge of the liability of the Committee and the Company therefor.</w:t>
      </w:r>
    </w:p>
    <w:p>
      <w:pPr>
        <w:spacing w:after="0" w:line="197" w:lineRule="exact"/>
        <w:rPr>
          <w:sz w:val="20"/>
          <w:szCs w:val="20"/>
          <w:color w:val="auto"/>
        </w:rPr>
      </w:pPr>
    </w:p>
    <w:p>
      <w:pPr>
        <w:jc w:val="both"/>
        <w:ind w:firstLine="657"/>
        <w:spacing w:after="0" w:line="259" w:lineRule="auto"/>
        <w:tabs>
          <w:tab w:leader="none" w:pos="132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Neither the adoption of the Plan by the Committee nor the submission of the Plan to the stockholders of the Company for approval shall be construed as creating any limitations on the power of the Committee or Board to adopt such other incentive arrangements as it may deem desirable, including, without limitation, the granting of equity-based awards otherwise than under the Plan, and such arrangements may be either applicable generally or only in specific cases.</w:t>
      </w:r>
    </w:p>
    <w:p>
      <w:pPr>
        <w:spacing w:after="0" w:line="213" w:lineRule="exact"/>
        <w:rPr>
          <w:rFonts w:ascii="Arial" w:cs="Arial" w:eastAsia="Arial" w:hAnsi="Arial"/>
          <w:sz w:val="18"/>
          <w:szCs w:val="18"/>
          <w:color w:val="auto"/>
        </w:rPr>
      </w:pPr>
    </w:p>
    <w:p>
      <w:pPr>
        <w:jc w:val="both"/>
        <w:ind w:firstLine="657"/>
        <w:spacing w:after="0" w:line="291" w:lineRule="auto"/>
        <w:tabs>
          <w:tab w:leader="none" w:pos="1308"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No Trust or Fund Created</w:t>
      </w:r>
      <w:r>
        <w:rPr>
          <w:rFonts w:ascii="Arial" w:cs="Arial" w:eastAsia="Arial" w:hAnsi="Arial"/>
          <w:sz w:val="16"/>
          <w:szCs w:val="16"/>
          <w:color w:val="auto"/>
        </w:rPr>
        <w:t>. Neither the Plan nor any Award shall create or be construed to create a trust or separate fund of any kind or a fiduciary relationship between any member of the Company Group, on the one hand, and a Participant or other Person,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be obligated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service providers under general law.</w:t>
      </w:r>
    </w:p>
    <w:p>
      <w:pPr>
        <w:spacing w:after="0" w:line="193" w:lineRule="exact"/>
        <w:rPr>
          <w:rFonts w:ascii="Arial" w:cs="Arial" w:eastAsia="Arial" w:hAnsi="Arial"/>
          <w:sz w:val="16"/>
          <w:szCs w:val="16"/>
          <w:color w:val="auto"/>
        </w:rPr>
      </w:pPr>
    </w:p>
    <w:p>
      <w:pPr>
        <w:jc w:val="both"/>
        <w:ind w:firstLine="657"/>
        <w:spacing w:after="0" w:line="259" w:lineRule="auto"/>
        <w:tabs>
          <w:tab w:leader="none" w:pos="1308"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Reliance on Reports</w:t>
      </w:r>
      <w:r>
        <w:rPr>
          <w:rFonts w:ascii="Arial" w:cs="Arial" w:eastAsia="Arial" w:hAnsi="Arial"/>
          <w:sz w:val="18"/>
          <w:szCs w:val="18"/>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any member of the Company Group and/or any other information furnished in connection with the Plan by any agent of the Company or the Committee or the Board, other than himself or herself.</w:t>
      </w:r>
    </w:p>
    <w:p>
      <w:pPr>
        <w:spacing w:after="0" w:line="213" w:lineRule="exact"/>
        <w:rPr>
          <w:rFonts w:ascii="Arial" w:cs="Arial" w:eastAsia="Arial" w:hAnsi="Arial"/>
          <w:sz w:val="18"/>
          <w:szCs w:val="18"/>
          <w:color w:val="auto"/>
        </w:rPr>
      </w:pPr>
    </w:p>
    <w:p>
      <w:pPr>
        <w:jc w:val="both"/>
        <w:ind w:firstLine="657"/>
        <w:spacing w:after="0" w:line="263" w:lineRule="auto"/>
        <w:tabs>
          <w:tab w:leader="none" w:pos="1348"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 or as required by applicable law.</w:t>
      </w:r>
    </w:p>
    <w:p>
      <w:pPr>
        <w:spacing w:after="0" w:line="210" w:lineRule="exact"/>
        <w:rPr>
          <w:rFonts w:ascii="Arial" w:cs="Arial" w:eastAsia="Arial" w:hAnsi="Arial"/>
          <w:sz w:val="18"/>
          <w:szCs w:val="18"/>
          <w:color w:val="auto"/>
        </w:rPr>
      </w:pPr>
    </w:p>
    <w:p>
      <w:pPr>
        <w:jc w:val="both"/>
        <w:ind w:firstLine="657"/>
        <w:spacing w:after="0" w:line="257" w:lineRule="auto"/>
        <w:tabs>
          <w:tab w:leader="none" w:pos="1318"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internal laws of the State of Delaware applicable to contracts made and performed wholly within the State of Delaware, without giving effect to the conflict of laws provisions thereof. EACH PARTICIPANT WHO ACCEPTS AN AWARD IRREVOCABLY WAIVES ALL RIGHT TO A TRIAL BY JURY IN ANY SUIT, ACTION, OR OTHER PROCEEDING INSTITUTED BY OR AGAINST SUCH PARTICIPANT IN RESPECT OF THE PARTICIPANT’S RIGHTS OR OBLIGATIONS HEREUNDER.</w:t>
      </w:r>
    </w:p>
    <w:p>
      <w:pPr>
        <w:spacing w:after="0" w:line="214" w:lineRule="exact"/>
        <w:rPr>
          <w:rFonts w:ascii="Arial" w:cs="Arial" w:eastAsia="Arial" w:hAnsi="Arial"/>
          <w:sz w:val="18"/>
          <w:szCs w:val="18"/>
          <w:color w:val="auto"/>
        </w:rPr>
      </w:pPr>
    </w:p>
    <w:p>
      <w:pPr>
        <w:jc w:val="both"/>
        <w:ind w:firstLine="657"/>
        <w:spacing w:after="0" w:line="275" w:lineRule="auto"/>
        <w:tabs>
          <w:tab w:leader="none" w:pos="145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Plan or any Award or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203" w:lineRule="exact"/>
        <w:rPr>
          <w:rFonts w:ascii="Arial" w:cs="Arial" w:eastAsia="Arial" w:hAnsi="Arial"/>
          <w:sz w:val="17"/>
          <w:szCs w:val="17"/>
          <w:color w:val="auto"/>
        </w:rPr>
      </w:pPr>
    </w:p>
    <w:p>
      <w:pPr>
        <w:jc w:val="both"/>
        <w:ind w:firstLine="657"/>
        <w:spacing w:after="0" w:line="263" w:lineRule="auto"/>
        <w:tabs>
          <w:tab w:leader="none" w:pos="129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Obligations Binding on Successors</w:t>
      </w:r>
      <w:r>
        <w:rPr>
          <w:rFonts w:ascii="Arial" w:cs="Arial" w:eastAsia="Arial" w:hAnsi="Arial"/>
          <w:sz w:val="18"/>
          <w:szCs w:val="18"/>
          <w:color w:val="auto"/>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210" w:lineRule="exact"/>
        <w:rPr>
          <w:rFonts w:ascii="Arial" w:cs="Arial" w:eastAsia="Arial" w:hAnsi="Arial"/>
          <w:sz w:val="18"/>
          <w:szCs w:val="18"/>
          <w:color w:val="auto"/>
        </w:rPr>
      </w:pPr>
    </w:p>
    <w:p>
      <w:pPr>
        <w:ind w:left="1320" w:hanging="663"/>
        <w:spacing w:after="0"/>
        <w:tabs>
          <w:tab w:leader="none" w:pos="13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ectPr>
          <w:pgSz w:w="11900" w:h="16838" w:orient="portrait"/>
          <w:cols w:equalWidth="0" w:num="1">
            <w:col w:w="11160"/>
          </w:cols>
          <w:pgMar w:left="400" w:top="1421" w:right="339" w:bottom="1440" w:gutter="0" w:footer="0" w:header="0"/>
        </w:sectPr>
      </w:pPr>
    </w:p>
    <w:bookmarkStart w:id="75" w:name="page76"/>
    <w:bookmarkEnd w:id="75"/>
    <w:p>
      <w:pPr>
        <w:jc w:val="both"/>
        <w:ind w:left="-77" w:firstLine="644"/>
        <w:spacing w:after="0" w:line="289" w:lineRule="auto"/>
        <w:tabs>
          <w:tab w:leader="none" w:pos="1330" w:val="left"/>
        </w:tabs>
        <w:numPr>
          <w:ilvl w:val="1"/>
          <w:numId w:val="67"/>
        </w:numPr>
        <w:rPr>
          <w:rFonts w:ascii="Arial" w:cs="Arial" w:eastAsia="Arial" w:hAnsi="Arial"/>
          <w:sz w:val="16"/>
          <w:szCs w:val="16"/>
          <w:color w:val="auto"/>
        </w:rPr>
      </w:pPr>
      <w:r>
        <w:rPr>
          <w:rFonts w:ascii="Arial" w:cs="Arial" w:eastAsia="Arial" w:hAnsi="Arial"/>
          <w:sz w:val="16"/>
          <w:szCs w:val="16"/>
          <w:color w:val="auto"/>
        </w:rPr>
        <w:t>Notwithstanding any provision of the Plan to the contrary, it is intended that the provisions of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(including any taxes and penalties under Section 409A of the Code), and neither the Service Recipient nor any other member of the Company Group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spacing w:after="0" w:line="193" w:lineRule="exact"/>
        <w:rPr>
          <w:rFonts w:ascii="Arial" w:cs="Arial" w:eastAsia="Arial" w:hAnsi="Arial"/>
          <w:sz w:val="16"/>
          <w:szCs w:val="16"/>
          <w:color w:val="auto"/>
        </w:rPr>
      </w:pPr>
    </w:p>
    <w:p>
      <w:pPr>
        <w:jc w:val="both"/>
        <w:ind w:left="-77" w:firstLine="644"/>
        <w:spacing w:after="0" w:line="273" w:lineRule="auto"/>
        <w:tabs>
          <w:tab w:leader="none" w:pos="1324" w:val="left"/>
        </w:tabs>
        <w:numPr>
          <w:ilvl w:val="1"/>
          <w:numId w:val="67"/>
        </w:numPr>
        <w:rPr>
          <w:rFonts w:ascii="Arial" w:cs="Arial" w:eastAsia="Arial" w:hAnsi="Arial"/>
          <w:sz w:val="17"/>
          <w:szCs w:val="17"/>
          <w:color w:val="auto"/>
        </w:rPr>
      </w:pPr>
      <w:r>
        <w:rPr>
          <w:rFonts w:ascii="Arial" w:cs="Arial" w:eastAsia="Arial" w:hAnsi="Arial"/>
          <w:sz w:val="17"/>
          <w:szCs w:val="17"/>
          <w:color w:val="auto"/>
        </w:rPr>
        <w:t>Notwithstanding anything in the Plan to the contrary, if a Participant is a “specified employee” within the meaning of Section 409A(a)(2)(B)(i) of the Code, no payments in respect of any Awards that are “deferred compensation” subject to Section 409A of the Code and which would otherwise be payable upon the Participant’s “separation from service” (as defined in Section 409A of the Code) shall be made to such Participant prior to the date that is six (6) months after the date of such Participant’s “separation from service” or, if earlier, the date of the Participant’s death. Following any applicable six (6) month delay, all such delayed payments will be paid in a single lump sum on the earliest date permitted under Section 409A of the Code that is also a business day.</w:t>
      </w:r>
    </w:p>
    <w:p>
      <w:pPr>
        <w:spacing w:after="0" w:line="204" w:lineRule="exact"/>
        <w:rPr>
          <w:rFonts w:ascii="Arial" w:cs="Arial" w:eastAsia="Arial" w:hAnsi="Arial"/>
          <w:sz w:val="17"/>
          <w:szCs w:val="17"/>
          <w:color w:val="auto"/>
        </w:rPr>
      </w:pPr>
    </w:p>
    <w:p>
      <w:pPr>
        <w:jc w:val="both"/>
        <w:ind w:left="-77" w:firstLine="644"/>
        <w:spacing w:after="0" w:line="273" w:lineRule="auto"/>
        <w:tabs>
          <w:tab w:leader="none" w:pos="1331" w:val="left"/>
        </w:tabs>
        <w:numPr>
          <w:ilvl w:val="1"/>
          <w:numId w:val="67"/>
        </w:numPr>
        <w:rPr>
          <w:rFonts w:ascii="Arial" w:cs="Arial" w:eastAsia="Arial" w:hAnsi="Arial"/>
          <w:sz w:val="17"/>
          <w:szCs w:val="17"/>
          <w:color w:val="auto"/>
        </w:rPr>
      </w:pPr>
      <w:r>
        <w:rPr>
          <w:rFonts w:ascii="Arial" w:cs="Arial" w:eastAsia="Arial" w:hAnsi="Arial"/>
          <w:sz w:val="17"/>
          <w:szCs w:val="17"/>
          <w:color w:val="auto"/>
        </w:rPr>
        <w:t>Unless otherwise provided by the Committee in an Award Agreement or otherwise,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or (B) a Disability, no such acceleration shall be permitted unless the Disability also satisfies the definition of “Disability” pursuant to Section 409A of the Code.</w:t>
      </w:r>
    </w:p>
    <w:p>
      <w:pPr>
        <w:spacing w:after="0" w:line="204" w:lineRule="exact"/>
        <w:rPr>
          <w:rFonts w:ascii="Arial" w:cs="Arial" w:eastAsia="Arial" w:hAnsi="Arial"/>
          <w:sz w:val="17"/>
          <w:szCs w:val="17"/>
          <w:color w:val="auto"/>
        </w:rPr>
      </w:pPr>
    </w:p>
    <w:p>
      <w:pPr>
        <w:jc w:val="both"/>
        <w:ind w:left="-657" w:firstLine="657"/>
        <w:spacing w:after="0" w:line="275" w:lineRule="auto"/>
        <w:tabs>
          <w:tab w:leader="none" w:pos="853"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Clawback/Repayment</w:t>
      </w:r>
      <w:r>
        <w:rPr>
          <w:rFonts w:ascii="Arial" w:cs="Arial" w:eastAsia="Arial" w:hAnsi="Arial"/>
          <w:sz w:val="17"/>
          <w:szCs w:val="17"/>
          <w:color w:val="auto"/>
        </w:rPr>
        <w:t>. All Awards shall be subject to reduction, cancellation, forfeiture or recoupment to the extent necessary to comply with (i) any clawback, forfeiture or other similar policy adopted by the Board or the Committee and as in effect from time to time; and (ii) applicable law. Further,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may be required to repay any such excess amount to the Company.</w:t>
      </w:r>
    </w:p>
    <w:p>
      <w:pPr>
        <w:spacing w:after="0" w:line="203" w:lineRule="exact"/>
        <w:rPr>
          <w:rFonts w:ascii="Arial" w:cs="Arial" w:eastAsia="Arial" w:hAnsi="Arial"/>
          <w:sz w:val="17"/>
          <w:szCs w:val="17"/>
          <w:color w:val="auto"/>
        </w:rPr>
      </w:pPr>
    </w:p>
    <w:p>
      <w:pPr>
        <w:jc w:val="both"/>
        <w:ind w:left="-657" w:firstLine="657"/>
        <w:spacing w:after="0" w:line="254" w:lineRule="auto"/>
        <w:tabs>
          <w:tab w:leader="none" w:pos="71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Right of Offset</w:t>
      </w:r>
      <w:r>
        <w:rPr>
          <w:rFonts w:ascii="Arial" w:cs="Arial" w:eastAsia="Arial" w:hAnsi="Arial"/>
          <w:sz w:val="18"/>
          <w:szCs w:val="18"/>
          <w:color w:val="auto"/>
        </w:rPr>
        <w:t>. The Company will have the right to offset against its obligation to deliver shares of Common Stock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any member of the Company Group and any amounts the Committee otherwise deems appropriate pursuant to any tax equalization policy or agreement. Notwithstanding the foregoing, if an Award is “deferred compensation” subject to Section 409A of the Code, the Committee will have no right to offset against its obligation to deliver shares of Common Stock (or other property or cash) under the Plan or any Award Agreement if such offset could subject the Participant to the additional tax imposed under Section 409A of the Code in respect of an outstanding Award.</w:t>
      </w:r>
    </w:p>
    <w:p>
      <w:pPr>
        <w:spacing w:after="0" w:line="218" w:lineRule="exact"/>
        <w:rPr>
          <w:rFonts w:ascii="Arial" w:cs="Arial" w:eastAsia="Arial" w:hAnsi="Arial"/>
          <w:sz w:val="18"/>
          <w:szCs w:val="18"/>
          <w:color w:val="auto"/>
        </w:rPr>
      </w:pPr>
    </w:p>
    <w:p>
      <w:pPr>
        <w:jc w:val="both"/>
        <w:ind w:left="-657" w:firstLine="657"/>
        <w:spacing w:after="0" w:line="263" w:lineRule="auto"/>
        <w:tabs>
          <w:tab w:leader="none" w:pos="66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Expenses; Titles and Headings</w:t>
      </w:r>
      <w:r>
        <w:rPr>
          <w:rFonts w:ascii="Arial" w:cs="Arial" w:eastAsia="Arial" w:hAnsi="Arial"/>
          <w:sz w:val="18"/>
          <w:szCs w:val="18"/>
          <w:color w:val="auto"/>
        </w:rPr>
        <w:t>. The expenses of administering the Plan shall be borne by the Company Group. The titles and headings of the sections in the Plan are for convenience of reference only, and in the event of any conflict, the text of the Plan, rather than such titles or headings, shall control.</w:t>
      </w:r>
    </w:p>
    <w:p>
      <w:pPr>
        <w:sectPr>
          <w:pgSz w:w="11900" w:h="16838" w:orient="portrait"/>
          <w:cols w:equalWidth="0" w:num="1">
            <w:col w:w="10503"/>
          </w:cols>
          <w:pgMar w:left="1057" w:top="1421" w:right="339" w:bottom="1440" w:gutter="0" w:footer="0" w:header="0"/>
        </w:sectPr>
      </w:pPr>
    </w:p>
    <w:bookmarkStart w:id="76" w:name="page77"/>
    <w:bookmarkEnd w:id="76"/>
    <w:p>
      <w:pPr>
        <w:jc w:val="both"/>
        <w:spacing w:after="0" w:line="263" w:lineRule="auto"/>
        <w:tabs>
          <w:tab w:leader="none" w:pos="664" w:val="left"/>
        </w:tabs>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Ken C. Hicks, certify that:</w:t>
      </w:r>
    </w:p>
    <w:p>
      <w:pPr>
        <w:spacing w:after="0" w:line="117" w:lineRule="exact"/>
        <w:rPr>
          <w:sz w:val="20"/>
          <w:szCs w:val="20"/>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October 31, 2020 (this “Report”) of Academy Sports and Outdoors, Inc. (the “Registrant”);</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3" w:lineRule="auto"/>
        <w:tabs>
          <w:tab w:leader="none" w:pos="129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C. HICKS</w:t>
            </w:r>
          </w:p>
        </w:tc>
        <w:tc>
          <w:tcPr>
            <w:tcW w:w="5020" w:type="dxa"/>
            <w:vAlign w:val="bottom"/>
          </w:tcPr>
          <w:p>
            <w:pPr>
              <w:ind w:left="4400"/>
              <w:spacing w:after="0"/>
              <w:rPr>
                <w:sz w:val="20"/>
                <w:szCs w:val="20"/>
                <w:color w:val="auto"/>
              </w:rPr>
            </w:pPr>
            <w:r>
              <w:rPr>
                <w:rFonts w:ascii="Arial" w:cs="Arial" w:eastAsia="Arial" w:hAnsi="Arial"/>
                <w:sz w:val="18"/>
                <w:szCs w:val="18"/>
                <w:color w:val="auto"/>
              </w:rPr>
              <w:t>Date:</w:t>
            </w:r>
          </w:p>
        </w:tc>
        <w:tc>
          <w:tcPr>
            <w:tcW w:w="1640" w:type="dxa"/>
            <w:vAlign w:val="bottom"/>
          </w:tcPr>
          <w:p>
            <w:pPr>
              <w:ind w:left="220"/>
              <w:spacing w:after="0"/>
              <w:rPr>
                <w:sz w:val="20"/>
                <w:szCs w:val="20"/>
                <w:color w:val="auto"/>
              </w:rPr>
            </w:pPr>
            <w:r>
              <w:rPr>
                <w:rFonts w:ascii="Arial" w:cs="Arial" w:eastAsia="Arial" w:hAnsi="Arial"/>
                <w:sz w:val="18"/>
                <w:szCs w:val="18"/>
                <w:color w:val="auto"/>
                <w:w w:val="88"/>
              </w:rPr>
              <w:t>December 10, 2020</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Ken C. Hicks</w:t>
            </w:r>
          </w:p>
        </w:tc>
        <w:tc>
          <w:tcPr>
            <w:tcW w:w="50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c>
          <w:tcPr>
            <w:tcW w:w="50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502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P. Mullican, certify that:</w:t>
      </w:r>
    </w:p>
    <w:p>
      <w:pPr>
        <w:spacing w:after="0" w:line="117" w:lineRule="exact"/>
        <w:rPr>
          <w:sz w:val="20"/>
          <w:szCs w:val="20"/>
          <w:color w:val="auto"/>
        </w:rPr>
      </w:pPr>
    </w:p>
    <w:p>
      <w:pPr>
        <w:ind w:left="66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October 31, 2020 (this “Report”) of Academy Sports and Outdoors, Inc. (the “Registrant”);</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3" w:lineRule="auto"/>
        <w:tabs>
          <w:tab w:leader="none" w:pos="129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MULLICAN</w:t>
            </w:r>
          </w:p>
        </w:tc>
        <w:tc>
          <w:tcPr>
            <w:tcW w:w="5020" w:type="dxa"/>
            <w:vAlign w:val="bottom"/>
          </w:tcPr>
          <w:p>
            <w:pPr>
              <w:ind w:left="4400"/>
              <w:spacing w:after="0"/>
              <w:rPr>
                <w:sz w:val="20"/>
                <w:szCs w:val="20"/>
                <w:color w:val="auto"/>
              </w:rPr>
            </w:pPr>
            <w:r>
              <w:rPr>
                <w:rFonts w:ascii="Arial" w:cs="Arial" w:eastAsia="Arial" w:hAnsi="Arial"/>
                <w:sz w:val="18"/>
                <w:szCs w:val="18"/>
                <w:color w:val="auto"/>
              </w:rPr>
              <w:t>Date:</w:t>
            </w:r>
          </w:p>
        </w:tc>
        <w:tc>
          <w:tcPr>
            <w:tcW w:w="1640" w:type="dxa"/>
            <w:vAlign w:val="bottom"/>
          </w:tcPr>
          <w:p>
            <w:pPr>
              <w:ind w:left="220"/>
              <w:spacing w:after="0"/>
              <w:rPr>
                <w:sz w:val="20"/>
                <w:szCs w:val="20"/>
                <w:color w:val="auto"/>
              </w:rPr>
            </w:pPr>
            <w:r>
              <w:rPr>
                <w:rFonts w:ascii="Arial" w:cs="Arial" w:eastAsia="Arial" w:hAnsi="Arial"/>
                <w:sz w:val="18"/>
                <w:szCs w:val="18"/>
                <w:color w:val="auto"/>
                <w:w w:val="88"/>
              </w:rPr>
              <w:t>December 10, 2020</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Michael P. Mullican</w:t>
            </w:r>
          </w:p>
        </w:tc>
        <w:tc>
          <w:tcPr>
            <w:tcW w:w="50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0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502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Academy Sports and Outdoors, Inc. (the “Company”) for the quarterly period ended October 31, 2020, as filed with the Securities and Exchange Commission on the date hereof (the “Report”), I, Ken C. Hicks, Chairman, President and Chief Executive Officer of the Company, do hereby certify, pursuant to 18 U.S.C. Section 1350, as adopted pursuant to Section 906 of the Sarbanes-Oxley Act of 2002, that:</w:t>
      </w:r>
    </w:p>
    <w:p>
      <w:pPr>
        <w:spacing w:after="0" w:line="41"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/s/  KEN C. HICKS</w:t>
            </w:r>
          </w:p>
        </w:tc>
        <w:tc>
          <w:tcPr>
            <w:tcW w:w="4540" w:type="dxa"/>
            <w:vAlign w:val="bottom"/>
            <w:gridSpan w:val="2"/>
          </w:tcPr>
          <w:p>
            <w:pPr>
              <w:ind w:left="2700"/>
              <w:spacing w:after="0"/>
              <w:rPr>
                <w:sz w:val="20"/>
                <w:szCs w:val="20"/>
                <w:color w:val="auto"/>
              </w:rPr>
            </w:pPr>
            <w:r>
              <w:rPr>
                <w:rFonts w:ascii="Arial" w:cs="Arial" w:eastAsia="Arial" w:hAnsi="Arial"/>
                <w:sz w:val="18"/>
                <w:szCs w:val="18"/>
                <w:color w:val="auto"/>
                <w:w w:val="88"/>
              </w:rPr>
              <w:t>Date: December 10, 2020</w:t>
            </w:r>
          </w:p>
        </w:tc>
      </w:tr>
      <w:tr>
        <w:trPr>
          <w:trHeight w:val="222"/>
        </w:trPr>
        <w:tc>
          <w:tcPr>
            <w:tcW w:w="6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Ken C. Hicks</w:t>
            </w:r>
          </w:p>
        </w:tc>
        <w:tc>
          <w:tcPr>
            <w:tcW w:w="3100" w:type="dxa"/>
            <w:vAlign w:val="bottom"/>
            <w:tcBorders>
              <w:top w:val="single" w:sz="8" w:color="auto"/>
            </w:tcBorders>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c>
          <w:tcPr>
            <w:tcW w:w="3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3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Academy Sports and Outdoors, Inc. (the “Company”) for the quarterly period ended October 31, 2020, as filed with the Securities and Exchange Commission on the date hereof (the “Report”), I, Michael P. Mullican, Executive Vice President and Chief Financial Officer of the Company, do hereby certify, pursuant to 18 U.S.C. Section 1350, as adopted pursuant to Section 906 of the Sarbanes-Oxley Act of 2002, that:</w:t>
      </w:r>
    </w:p>
    <w:p>
      <w:pPr>
        <w:spacing w:after="0" w:line="79"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/s/  MICHAEL P. MULLICAN</w:t>
            </w:r>
          </w:p>
        </w:tc>
        <w:tc>
          <w:tcPr>
            <w:tcW w:w="4400" w:type="dxa"/>
            <w:vAlign w:val="bottom"/>
            <w:gridSpan w:val="2"/>
          </w:tcPr>
          <w:p>
            <w:pPr>
              <w:ind w:left="2560"/>
              <w:spacing w:after="0"/>
              <w:rPr>
                <w:sz w:val="20"/>
                <w:szCs w:val="20"/>
                <w:color w:val="auto"/>
              </w:rPr>
            </w:pPr>
            <w:r>
              <w:rPr>
                <w:rFonts w:ascii="Arial" w:cs="Arial" w:eastAsia="Arial" w:hAnsi="Arial"/>
                <w:sz w:val="18"/>
                <w:szCs w:val="18"/>
                <w:color w:val="auto"/>
                <w:w w:val="88"/>
              </w:rPr>
              <w:t>Date: December 10, 2020</w:t>
            </w:r>
          </w:p>
        </w:tc>
      </w:tr>
      <w:tr>
        <w:trPr>
          <w:trHeight w:val="222"/>
        </w:trPr>
        <w:tc>
          <w:tcPr>
            <w:tcW w:w="6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Mullican</w:t>
            </w:r>
          </w:p>
        </w:tc>
        <w:tc>
          <w:tcPr>
            <w:tcW w:w="2960" w:type="dxa"/>
            <w:vAlign w:val="bottom"/>
            <w:tcBorders>
              <w:top w:val="single" w:sz="8" w:color="auto"/>
            </w:tcBorders>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29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296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1)"/>
      <w:numFmt w:val="decimal"/>
      <w:start w:val="1"/>
    </w:lvl>
  </w:abstractNum>
  <w:abstractNum w:abstractNumId="5">
    <w:nsid w:val="5E884ADC"/>
    <w:multiLevelType w:val="hybridMultilevel"/>
    <w:lvl w:ilvl="0">
      <w:lvlJc w:val="left"/>
      <w:lvlText w:val="%1."/>
      <w:numFmt w:val="decimal"/>
      <w:start w:val="1"/>
    </w:lvl>
    <w:lvl w:ilvl="1">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2"/>
    </w:lvl>
  </w:abstractNum>
  <w:abstractNum w:abstractNumId="8">
    <w:nsid w:val="580BD78F"/>
    <w:multiLevelType w:val="hybridMultilevel"/>
    <w:lvl w:ilvl="0">
      <w:lvlJc w:val="left"/>
      <w:lvlText w:val="(%1)"/>
      <w:numFmt w:val="decimal"/>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1)"/>
      <w:numFmt w:val="decimal"/>
      <w:start w:val="1"/>
    </w:lvl>
  </w:abstractNum>
  <w:abstractNum w:abstractNumId="13">
    <w:nsid w:val="2A487CB0"/>
    <w:multiLevelType w:val="hybridMultilevel"/>
    <w:lvl w:ilvl="0">
      <w:lvlJc w:val="left"/>
      <w:lvlText w:val="%1"/>
      <w:numFmt w:val="decimal"/>
      <w:start w:val="1"/>
    </w:lvl>
    <w:lvl w:ilvl="1">
      <w:lvlJc w:val="left"/>
      <w:lvlText w:val="(%2)"/>
      <w:numFmt w:val="decimal"/>
      <w:start w:val="1"/>
    </w:lvl>
  </w:abstractNum>
  <w:abstractNum w:abstractNumId="14">
    <w:nsid w:val="1D4ED43B"/>
    <w:multiLevelType w:val="hybridMultilevel"/>
    <w:lvl w:ilvl="0">
      <w:lvlJc w:val="left"/>
      <w:lvlText w:val="%1."/>
      <w:numFmt w:val="decimal"/>
      <w:start w:val="12"/>
    </w:lvl>
    <w:lvl w:ilvl="1">
      <w:lvlJc w:val="left"/>
      <w:lvlText w:val="%2"/>
      <w:numFmt w:val="decimal"/>
      <w:start w:val="1"/>
    </w:lvl>
  </w:abstractNum>
  <w:abstractNum w:abstractNumId="15">
    <w:nsid w:val="725A06FB"/>
    <w:multiLevelType w:val="hybridMultilevel"/>
    <w:lvl w:ilvl="0">
      <w:lvlJc w:val="left"/>
      <w:lvlText w:val="&amp;"/>
      <w:numFmt w:val="bullet"/>
      <w:start w:val="1"/>
    </w:lvl>
  </w:abstractNum>
  <w:abstractNum w:abstractNumId="16">
    <w:nsid w:val="2CD89A32"/>
    <w:multiLevelType w:val="hybridMultilevel"/>
    <w:lvl w:ilvl="0">
      <w:lvlJc w:val="left"/>
      <w:lvlText w:val="(%1)"/>
      <w:numFmt w:val="decimal"/>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1)"/>
      <w:numFmt w:val="lowerLetter"/>
      <w:start w:val="1"/>
    </w:lvl>
  </w:abstractNum>
  <w:abstractNum w:abstractNumId="25">
    <w:nsid w:val="684A481A"/>
    <w:multiLevelType w:val="hybridMultilevel"/>
    <w:lvl w:ilvl="0">
      <w:lvlJc w:val="left"/>
      <w:lvlText w:val="(%1)"/>
      <w:numFmt w:val="decimal"/>
      <w:start w:val="1"/>
    </w:lvl>
  </w:abstractNum>
  <w:abstractNum w:abstractNumId="26">
    <w:nsid w:val="579478FE"/>
    <w:multiLevelType w:val="hybridMultilevel"/>
    <w:lvl w:ilvl="0">
      <w:lvlJc w:val="left"/>
      <w:lvlText w:val="(%1)"/>
      <w:numFmt w:val="lowerLetter"/>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1."/>
      <w:numFmt w:val="decimal"/>
      <w:start w:val="1"/>
    </w:lvl>
    <w:lvl w:ilvl="1">
      <w:lvlJc w:val="left"/>
      <w:lvlText w:val="(%2)"/>
      <w:numFmt w:val="lowerLetter"/>
      <w:start w:val="1"/>
    </w:lvl>
  </w:abstractNum>
  <w:abstractNum w:abstractNumId="37">
    <w:nsid w:val="23F9C13C"/>
    <w:multiLevelType w:val="hybridMultilevel"/>
    <w:lvl w:ilvl="0">
      <w:lvlJc w:val="left"/>
      <w:lvlText w:val="(%1)"/>
      <w:numFmt w:val="lowerRoman"/>
      <w:start w:val="1"/>
    </w:lvl>
    <w:lvl w:ilvl="1">
      <w:lvlJc w:val="left"/>
      <w:lvlText w:val="(%2)"/>
      <w:numFmt w:val="lowerRoman"/>
      <w:start w:val="1"/>
    </w:lvl>
  </w:abstractNum>
  <w:abstractNum w:abstractNumId="38">
    <w:nsid w:val="649BB77C"/>
    <w:multiLevelType w:val="hybridMultilevel"/>
    <w:lvl w:ilvl="0">
      <w:lvlJc w:val="left"/>
      <w:lvlText w:val="(%1)"/>
      <w:numFmt w:val="lowerLetter"/>
      <w:start w:val="10"/>
    </w:lvl>
  </w:abstractNum>
  <w:abstractNum w:abstractNumId="39">
    <w:nsid w:val="275AC794"/>
    <w:multiLevelType w:val="hybridMultilevel"/>
    <w:lvl w:ilvl="0">
      <w:lvlJc w:val="left"/>
      <w:lvlText w:val="(%1)"/>
      <w:numFmt w:val="lowerLetter"/>
      <w:start w:val="17"/>
    </w:lvl>
  </w:abstractNum>
  <w:abstractNum w:abstractNumId="40">
    <w:nsid w:val="39386575"/>
    <w:multiLevelType w:val="hybridMultilevel"/>
    <w:lvl w:ilvl="0">
      <w:lvlJc w:val="left"/>
      <w:lvlText w:val="(%1)"/>
      <w:numFmt w:val="lowerLetter"/>
      <w:start w:val="27"/>
    </w:lvl>
  </w:abstractNum>
  <w:abstractNum w:abstractNumId="41">
    <w:nsid w:val="1CF10FD8"/>
    <w:multiLevelType w:val="hybridMultilevel"/>
    <w:lvl w:ilvl="0">
      <w:lvlJc w:val="left"/>
      <w:lvlText w:val="%1"/>
      <w:numFmt w:val="lowerRoman"/>
      <w:start w:val="1"/>
    </w:lvl>
    <w:lvl w:ilvl="1">
      <w:lvlJc w:val="left"/>
      <w:lvlText w:val="(%2)"/>
      <w:numFmt w:val="lowerLetter"/>
      <w:start w:val="29"/>
    </w:lvl>
  </w:abstractNum>
  <w:abstractNum w:abstractNumId="42">
    <w:nsid w:val="180115BE"/>
    <w:multiLevelType w:val="hybridMultilevel"/>
    <w:lvl w:ilvl="0">
      <w:lvlJc w:val="left"/>
      <w:lvlText w:val="(%1)"/>
      <w:numFmt w:val="lowerRoman"/>
      <w:start w:val="11"/>
    </w:lvl>
    <w:lvl w:ilvl="1">
      <w:lvlJc w:val="left"/>
      <w:lvlText w:val="(%2)"/>
      <w:numFmt w:val="lowerLetter"/>
      <w:start w:val="34"/>
    </w:lvl>
  </w:abstractNum>
  <w:abstractNum w:abstractNumId="43">
    <w:nsid w:val="235BA861"/>
    <w:multiLevelType w:val="hybridMultilevel"/>
    <w:lvl w:ilvl="0">
      <w:lvlJc w:val="left"/>
      <w:lvlText w:val="%1"/>
      <w:numFmt w:val="decimal"/>
      <w:start w:val="1"/>
    </w:lvl>
    <w:lvl w:ilvl="1">
      <w:lvlJc w:val="left"/>
      <w:lvlText w:val="(%2)"/>
      <w:numFmt w:val="lowerLetter"/>
      <w:start w:val="41"/>
    </w:lvl>
    <w:lvl w:ilvl="2">
      <w:lvlJc w:val="left"/>
      <w:lvlText w:val="(%3)"/>
      <w:numFmt w:val="lowerRoman"/>
      <w:start w:val="1"/>
    </w:lvl>
  </w:abstractNum>
  <w:abstractNum w:abstractNumId="44">
    <w:nsid w:val="47398C8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5">
    <w:nsid w:val="354FE9F9"/>
    <w:multiLevelType w:val="hybridMultilevel"/>
    <w:lvl w:ilvl="0">
      <w:lvlJc w:val="left"/>
      <w:lvlText w:val="(%1)"/>
      <w:numFmt w:val="lowerLetter"/>
      <w:start w:val="2"/>
    </w:lvl>
  </w:abstractNum>
  <w:abstractNum w:abstractNumId="46">
    <w:nsid w:val="15B5AF5C"/>
    <w:multiLevelType w:val="hybridMultilevel"/>
    <w:lvl w:ilvl="0">
      <w:lvlJc w:val="left"/>
      <w:lvlText w:val="%1"/>
      <w:numFmt w:val="decimal"/>
      <w:start w:val="1"/>
    </w:lvl>
    <w:lvl w:ilvl="1">
      <w:lvlJc w:val="left"/>
      <w:lvlText w:val="(%2)"/>
      <w:numFmt w:val="lowerLetter"/>
      <w:start w:val="6"/>
    </w:lvl>
  </w:abstractNum>
  <w:abstractNum w:abstractNumId="47">
    <w:nsid w:val="741226BB"/>
    <w:multiLevelType w:val="hybridMultilevel"/>
    <w:lvl w:ilvl="0">
      <w:lvlJc w:val="left"/>
      <w:lvlText w:val="%1."/>
      <w:numFmt w:val="decimal"/>
      <w:start w:val="5"/>
    </w:lvl>
    <w:lvl w:ilvl="1">
      <w:lvlJc w:val="left"/>
      <w:lvlText w:val="%2"/>
      <w:numFmt w:val="lowerLetter"/>
      <w:start w:val="1"/>
    </w:lvl>
  </w:abstractNum>
  <w:abstractNum w:abstractNumId="48">
    <w:nsid w:val="D34B6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49">
    <w:nsid w:val="10233C99"/>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4"/>
    </w:lvl>
  </w:abstractNum>
  <w:abstractNum w:abstractNumId="50">
    <w:nsid w:val="3F6AB60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1">
    <w:nsid w:val="61574095"/>
    <w:multiLevelType w:val="hybridMultilevel"/>
    <w:lvl w:ilvl="0">
      <w:lvlJc w:val="left"/>
      <w:lvlText w:val="%1"/>
      <w:numFmt w:val="decimal"/>
      <w:start w:val="1"/>
    </w:lvl>
    <w:lvl w:ilvl="1">
      <w:lvlJc w:val="left"/>
      <w:lvlText w:val="(%2)"/>
      <w:numFmt w:val="lowerLetter"/>
      <w:start w:val="4"/>
    </w:lvl>
  </w:abstractNum>
  <w:abstractNum w:abstractNumId="52">
    <w:nsid w:val="7E0C57B1"/>
    <w:multiLevelType w:val="hybridMultilevel"/>
    <w:lvl w:ilvl="0">
      <w:lvlJc w:val="left"/>
      <w:lvlText w:val="%1."/>
      <w:numFmt w:val="decimal"/>
      <w:start w:val="8"/>
    </w:lvl>
    <w:lvl w:ilvl="1">
      <w:lvlJc w:val="left"/>
      <w:lvlText w:val="(%2)"/>
      <w:numFmt w:val="lowerLetter"/>
      <w:start w:val="1"/>
    </w:lvl>
  </w:abstractNum>
  <w:abstractNum w:abstractNumId="53">
    <w:nsid w:val="77AE35E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4">
    <w:nsid w:val="579BE4F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5">
    <w:nsid w:val="310C50B3"/>
    <w:multiLevelType w:val="hybridMultilevel"/>
    <w:lvl w:ilvl="0">
      <w:lvlJc w:val="left"/>
      <w:lvlText w:val="(%1)"/>
      <w:numFmt w:val="lowerLetter"/>
      <w:start w:val="4"/>
    </w:lvl>
    <w:lvl w:ilvl="1">
      <w:lvlJc w:val="left"/>
      <w:lvlText w:val="(%2)"/>
      <w:numFmt w:val="lowerRoman"/>
      <w:start w:val="1"/>
    </w:lvl>
  </w:abstractNum>
  <w:abstractNum w:abstractNumId="56">
    <w:nsid w:val="5FF87E05"/>
    <w:multiLevelType w:val="hybridMultilevel"/>
    <w:lvl w:ilvl="0">
      <w:lvlJc w:val="left"/>
      <w:lvlText w:val="%1."/>
      <w:numFmt w:val="decimal"/>
      <w:start w:val="10"/>
    </w:lvl>
  </w:abstractNum>
  <w:abstractNum w:abstractNumId="57">
    <w:nsid w:val="2F305DEF"/>
    <w:multiLevelType w:val="hybridMultilevel"/>
    <w:lvl w:ilvl="0">
      <w:lvlJc w:val="left"/>
      <w:lvlText w:val="(%1)"/>
      <w:numFmt w:val="lowerLetter"/>
      <w:start w:val="1"/>
    </w:lvl>
    <w:lvl w:ilvl="1">
      <w:lvlJc w:val="left"/>
      <w:lvlText w:val="(%2)"/>
      <w:numFmt w:val="lowerRoman"/>
      <w:start w:val="1"/>
    </w:lvl>
  </w:abstractNum>
  <w:abstractNum w:abstractNumId="58">
    <w:nsid w:val="25A70BF7"/>
    <w:multiLevelType w:val="hybridMultilevel"/>
    <w:lvl w:ilvl="0">
      <w:lvlJc w:val="left"/>
      <w:lvlText w:val="%1"/>
      <w:numFmt w:val="decimal"/>
      <w:start w:val="1"/>
    </w:lvl>
    <w:lvl w:ilvl="1">
      <w:lvlJc w:val="left"/>
      <w:lvlText w:val="(%2)"/>
      <w:numFmt w:val="lowerLetter"/>
      <w:start w:val="3"/>
    </w:lvl>
  </w:abstractNum>
  <w:abstractNum w:abstractNumId="59">
    <w:nsid w:val="1DBABF00"/>
    <w:multiLevelType w:val="hybridMultilevel"/>
    <w:lvl w:ilvl="0">
      <w:lvlJc w:val="left"/>
      <w:lvlText w:val="%1."/>
      <w:numFmt w:val="decimal"/>
      <w:start w:val="13"/>
    </w:lvl>
    <w:lvl w:ilvl="1">
      <w:lvlJc w:val="left"/>
      <w:lvlText w:val="(%2)"/>
      <w:numFmt w:val="lowerLetter"/>
      <w:start w:val="1"/>
    </w:lvl>
  </w:abstractNum>
  <w:abstractNum w:abstractNumId="60">
    <w:nsid w:val="4AD084E9"/>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61">
    <w:nsid w:val="1F48EAA1"/>
    <w:multiLevelType w:val="hybridMultilevel"/>
    <w:lvl w:ilvl="0">
      <w:lvlJc w:val="left"/>
      <w:lvlText w:val="(%1)"/>
      <w:numFmt w:val="lowerLetter"/>
      <w:start w:val="3"/>
    </w:lvl>
    <w:lvl w:ilvl="1">
      <w:lvlJc w:val="left"/>
      <w:lvlText w:val="(%2)"/>
      <w:numFmt w:val="lowerRoman"/>
      <w:start w:val="1"/>
    </w:lvl>
  </w:abstractNum>
  <w:abstractNum w:abstractNumId="62">
    <w:nsid w:val="1381823A"/>
    <w:multiLevelType w:val="hybridMultilevel"/>
    <w:lvl w:ilvl="0">
      <w:lvlJc w:val="left"/>
      <w:lvlText w:val="(%1)"/>
      <w:numFmt w:val="lowerLetter"/>
      <w:start w:val="7"/>
    </w:lvl>
    <w:lvl w:ilvl="1">
      <w:lvlJc w:val="left"/>
      <w:lvlText w:val="(%2)"/>
      <w:numFmt w:val="lowerLetter"/>
      <w:start w:val="9"/>
    </w:lvl>
  </w:abstractNum>
  <w:abstractNum w:abstractNumId="63">
    <w:nsid w:val="5DB70AE5"/>
    <w:multiLevelType w:val="hybridMultilevel"/>
    <w:lvl w:ilvl="0">
      <w:lvlJc w:val="left"/>
      <w:lvlText w:val="%1"/>
      <w:numFmt w:val="lowerLetter"/>
      <w:start w:val="1"/>
    </w:lvl>
    <w:lvl w:ilvl="1">
      <w:lvlJc w:val="left"/>
      <w:lvlText w:val="(%2)"/>
      <w:numFmt w:val="lowerLetter"/>
      <w:start w:val="35"/>
    </w:lvl>
  </w:abstractNum>
  <w:abstractNum w:abstractNumId="64">
    <w:nsid w:val="100F8FCA"/>
    <w:multiLevelType w:val="hybridMultilevel"/>
    <w:lvl w:ilvl="0">
      <w:lvlJc w:val="left"/>
      <w:lvlText w:val="(%1)"/>
      <w:numFmt w:val="lowerLetter"/>
      <w:start w:val="12"/>
    </w:lvl>
    <w:lvl w:ilvl="1">
      <w:lvlJc w:val="left"/>
      <w:lvlText w:val="%2"/>
      <w:numFmt w:val="lowerLetter"/>
      <w:start w:val="1"/>
    </w:lvl>
  </w:abstractNum>
  <w:abstractNum w:abstractNumId="65">
    <w:nsid w:val="6590700B"/>
    <w:multiLevelType w:val="hybridMultilevel"/>
    <w:lvl w:ilvl="0">
      <w:lvlJc w:val="left"/>
      <w:lvlText w:val="(%1)"/>
      <w:numFmt w:val="lowerLetter"/>
      <w:start w:val="14"/>
    </w:lvl>
  </w:abstractNum>
  <w:abstractNum w:abstractNumId="66">
    <w:nsid w:val="15014ACB"/>
    <w:multiLevelType w:val="hybridMultilevel"/>
    <w:lvl w:ilvl="0">
      <w:lvlJc w:val="left"/>
      <w:lvlText w:val="%1"/>
      <w:numFmt w:val="lowerLetter"/>
      <w:start w:val="1"/>
    </w:lvl>
    <w:lvl w:ilvl="1">
      <w:lvlJc w:val="left"/>
      <w:lvlText w:val="(%2)"/>
      <w:numFmt w:val="lowerRoman"/>
      <w:start w:val="1"/>
    </w:lvl>
  </w:abstractNum>
  <w:abstractNum w:abstractNumId="67">
    <w:nsid w:val="5F5E7FD0"/>
    <w:multiLevelType w:val="hybridMultilevel"/>
    <w:lvl w:ilvl="0">
      <w:lvlJc w:val="left"/>
      <w:lvlText w:val="(%1)"/>
      <w:numFmt w:val="lowerLetter"/>
      <w:start w:val="22"/>
    </w:lvl>
    <w:lvl w:ilvl="1">
      <w:lvlJc w:val="left"/>
      <w:lvlText w:val="%2"/>
      <w:numFmt w:val="lowerRoman"/>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69" Type="http://schemas.openxmlformats.org/officeDocument/2006/relationships/hyperlink" Target="http://www.sec.gov/Archives/edgar/data/1817358/000119312520264744/d910645dex31.htm" TargetMode="External"/><Relationship Id="rId70" Type="http://schemas.openxmlformats.org/officeDocument/2006/relationships/hyperlink" Target="http://www.sec.gov/Archives/edgar/data/1817358/000119312520264744/d910645dex32.htm" TargetMode="External"/><Relationship Id="rId71" Type="http://schemas.openxmlformats.org/officeDocument/2006/relationships/hyperlink" Target="http://www.sec.gov/Archives/edgar/data/1817358/000119312520264744/d910645dex41.htm" TargetMode="External"/><Relationship Id="rId72" Type="http://schemas.openxmlformats.org/officeDocument/2006/relationships/hyperlink" Target="http://www.sec.gov/Archives/edgar/data/1817358/000119312520264744/d910645dex101.htm" TargetMode="External"/><Relationship Id="rId73" Type="http://schemas.openxmlformats.org/officeDocument/2006/relationships/hyperlink" Target="http://www.sec.gov/Archives/edgar/data/1817358/000119312520252290/d934024dex1010.htm" TargetMode="External"/><Relationship Id="rId74" Type="http://schemas.openxmlformats.org/officeDocument/2006/relationships/hyperlink" Target="http://www.sec.gov/Archives/edgar/data/1817358/000119312520252290/d934024dex1011.htm" TargetMode="External"/><Relationship Id="rId75" Type="http://schemas.openxmlformats.org/officeDocument/2006/relationships/hyperlink" Target="http://www.sec.gov/Archives/edgar/data/1817358/000119312520252290/d934024dex1012.htm" TargetMode="External"/><Relationship Id="rId76" Type="http://schemas.openxmlformats.org/officeDocument/2006/relationships/hyperlink" Target="http://www.sec.gov/Archives/edgar/data/1817358/000119312520242076/d934024dex1014.htm" TargetMode="External"/><Relationship Id="rId77" Type="http://schemas.openxmlformats.org/officeDocument/2006/relationships/hyperlink" Target="http://www.sec.gov/Archives/edgar/data/1817358/000119312520242076/d934024dex1015.htm" TargetMode="External"/><Relationship Id="rId78" Type="http://schemas.openxmlformats.org/officeDocument/2006/relationships/hyperlink" Target="http://www.sec.gov/Archives/edgar/data/1817358/000119312520242076/d934024dex1022.htm" TargetMode="External"/><Relationship Id="rId79" Type="http://schemas.openxmlformats.org/officeDocument/2006/relationships/hyperlink" Target="http://www.sec.gov/Archives/edgar/data/1817358/000119312520242076/d934024dex1023.htm" TargetMode="External"/><Relationship Id="rId80" Type="http://schemas.openxmlformats.org/officeDocument/2006/relationships/hyperlink" Target="http://www.sec.gov/Archives/edgar/data/1817358/000119312520242076/d934024dex1024.htm" TargetMode="External"/><Relationship Id="rId81" Type="http://schemas.openxmlformats.org/officeDocument/2006/relationships/hyperlink" Target="http://www.sec.gov/Archives/edgar/data/1817358/000119312520261473/d99127dex45.htm" TargetMode="External"/><Relationship Id="rId82" Type="http://schemas.openxmlformats.org/officeDocument/2006/relationships/hyperlink" Target="http://www.sec.gov/Archives/edgar/data/1817358/000119312520252290/d934024dex10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2020-12-10T15:14:08Z</dcterms:created>
  <dcterms:modified xsi:type="dcterms:W3CDTF">2020-12-10T15:14:08Z</dcterms:modified>
</cp:coreProperties>
</file>