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5212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12080"/>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HICKS KEN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720" w:type="dxa"/>
            <w:vAlign w:val="bottom"/>
            <w:tcBorders>
              <w:top w:val="single" w:sz="8" w:color="0000EE"/>
            </w:tcBorders>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09/30/2025</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87"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09/30/2025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1,244</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449,784</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09/30/2025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rPr>
              <w:t>588</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50.71</w:t>
            </w: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449,196</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1,244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09/30/2025</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1,244</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03/30/2032</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line="143" w:lineRule="exact"/>
              <w:rPr>
                <w:sz w:val="20"/>
                <w:szCs w:val="20"/>
                <w:color w:val="auto"/>
              </w:rPr>
            </w:pPr>
            <w:r>
              <w:rPr>
                <w:rFonts w:ascii="Times New Roman" w:cs="Times New Roman" w:eastAsia="Times New Roman" w:hAnsi="Times New Roman"/>
                <w:sz w:val="13"/>
                <w:szCs w:val="13"/>
                <w:color w:val="0000FF"/>
              </w:rPr>
              <w:t>9,026</w:t>
            </w: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-2122805</wp:posOffset>
            </wp:positionV>
            <wp:extent cx="29210" cy="2127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278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5" w:lineRule="exact"/>
        <w:rPr>
          <w:rFonts w:ascii="Times New Roman" w:cs="Times New Roman" w:eastAsia="Times New Roman" w:hAnsi="Times New Roman"/>
          <w:sz w:val="13"/>
          <w:szCs w:val="13"/>
          <w:color w:val="008000"/>
        </w:rPr>
      </w:pPr>
    </w:p>
    <w:p>
      <w:pPr>
        <w:ind w:left="40" w:right="26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63,760 performance-based restricted stock units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59,713 PRSUs were deemed earned. Of this earned amount, 1/48 of the PRSUs earned will vest for every monthly anniversary since the Vesting Commencement Date (i.e., January 30, 2022), and thereafter, subject to the Reporting Person's continued service with the Issuer through each applicable vesting date. The remaining unearned amount of this grant (i.e., 4,047 PRSUs) may vest upon certification by the Issuer's compensation committee of achievement of certain Issuer stock price conditions as of January 30, 2026.</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09/30/2025</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75746"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2025-09-30T16:10:14Z</dcterms:created>
  <dcterms:modified xsi:type="dcterms:W3CDTF">2025-09-30T16:10:14Z</dcterms:modified>
</cp:coreProperties>
</file>