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64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64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54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7" w:right="359" w:bottom="54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-2587625</wp:posOffset>
            </wp:positionV>
            <wp:extent cx="29210" cy="2592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9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9,544 time-based restricted stock units that vest in three equal installments beginning on the first anniversary of the grant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9,994 time-based restricted stock units that vest in three equal installments beginning on the first anniversary of the grant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the Reporting Person was granted 9,994 performance-based restricted stock units ("PRSUs"). These PRSUs vest if certain preestablished performance metrics related to the Company's (i) adjusted pre-tax income, and (ii) return on invested capital over a 3-year period beginning on February 2, 2025 and ending on January 29, 2028,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Gary Holland,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2025-03-26T17:18:10Z</dcterms:created>
  <dcterms:modified xsi:type="dcterms:W3CDTF">2025-03-26T17:18:10Z</dcterms:modified>
</cp:coreProperties>
</file>