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As filed with the Securities and Exchange Commission on September 13, 2021</w:t>
      </w:r>
    </w:p>
    <w:p>
      <w:pPr>
        <w:spacing w:after="0" w:line="6" w:lineRule="exact"/>
        <w:rPr>
          <w:sz w:val="24"/>
          <w:szCs w:val="24"/>
          <w:color w:val="auto"/>
        </w:rPr>
      </w:pPr>
    </w:p>
    <w:p>
      <w:pPr>
        <w:ind w:left="8020"/>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61722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260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71120</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80645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S-1</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74295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Academy Sports and Outdoors, Inc.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64770</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49" w:lineRule="exact"/>
        <w:rPr>
          <w:sz w:val="24"/>
          <w:szCs w:val="24"/>
          <w:color w:val="auto"/>
        </w:rPr>
      </w:pPr>
    </w:p>
    <w:tbl>
      <w:tblPr>
        <w:tblLayout w:type="fixed"/>
        <w:tblInd w:w="620" w:type="dxa"/>
        <w:tblCellMar>
          <w:top w:w="0" w:type="dxa"/>
          <w:left w:w="0" w:type="dxa"/>
          <w:bottom w:w="0" w:type="dxa"/>
          <w:right w:w="0" w:type="dxa"/>
        </w:tblCellMar>
      </w:tblPr>
      <w:tr>
        <w:trPr>
          <w:trHeight w:val="186"/>
        </w:trPr>
        <w:tc>
          <w:tcPr>
            <w:tcW w:w="2580" w:type="dxa"/>
            <w:vAlign w:val="bottom"/>
          </w:tcPr>
          <w:p>
            <w:pPr>
              <w:jc w:val="center"/>
              <w:ind w:right="648"/>
              <w:spacing w:after="0"/>
              <w:rPr>
                <w:sz w:val="20"/>
                <w:szCs w:val="20"/>
                <w:color w:val="auto"/>
              </w:rPr>
            </w:pPr>
            <w:r>
              <w:rPr>
                <w:rFonts w:ascii="Arial" w:cs="Arial" w:eastAsia="Arial" w:hAnsi="Arial"/>
                <w:sz w:val="14"/>
                <w:szCs w:val="14"/>
                <w:b w:val="1"/>
                <w:bCs w:val="1"/>
                <w:color w:val="auto"/>
                <w:w w:val="94"/>
              </w:rPr>
              <w:t>Delaware</w:t>
            </w:r>
          </w:p>
        </w:tc>
        <w:tc>
          <w:tcPr>
            <w:tcW w:w="3480" w:type="dxa"/>
            <w:vAlign w:val="bottom"/>
          </w:tcPr>
          <w:p>
            <w:pPr>
              <w:jc w:val="center"/>
              <w:ind w:right="108"/>
              <w:spacing w:after="0"/>
              <w:rPr>
                <w:sz w:val="20"/>
                <w:szCs w:val="20"/>
                <w:color w:val="auto"/>
              </w:rPr>
            </w:pPr>
            <w:r>
              <w:rPr>
                <w:rFonts w:ascii="Arial" w:cs="Arial" w:eastAsia="Arial" w:hAnsi="Arial"/>
                <w:sz w:val="14"/>
                <w:szCs w:val="14"/>
                <w:b w:val="1"/>
                <w:bCs w:val="1"/>
                <w:color w:val="auto"/>
                <w:w w:val="96"/>
              </w:rPr>
              <w:t>5940</w:t>
            </w:r>
          </w:p>
        </w:tc>
        <w:tc>
          <w:tcPr>
            <w:tcW w:w="2040" w:type="dxa"/>
            <w:vAlign w:val="bottom"/>
          </w:tcPr>
          <w:p>
            <w:pPr>
              <w:jc w:val="center"/>
              <w:ind w:left="848"/>
              <w:spacing w:after="0"/>
              <w:rPr>
                <w:sz w:val="20"/>
                <w:szCs w:val="20"/>
                <w:color w:val="auto"/>
              </w:rPr>
            </w:pPr>
            <w:r>
              <w:rPr>
                <w:rFonts w:ascii="Arial" w:cs="Arial" w:eastAsia="Arial" w:hAnsi="Arial"/>
                <w:sz w:val="14"/>
                <w:szCs w:val="14"/>
                <w:b w:val="1"/>
                <w:bCs w:val="1"/>
                <w:color w:val="auto"/>
                <w:w w:val="90"/>
              </w:rPr>
              <w:t>85-1800912</w:t>
            </w:r>
          </w:p>
        </w:tc>
      </w:tr>
      <w:tr>
        <w:trPr>
          <w:trHeight w:val="165"/>
        </w:trPr>
        <w:tc>
          <w:tcPr>
            <w:tcW w:w="2580" w:type="dxa"/>
            <w:vAlign w:val="bottom"/>
          </w:tcPr>
          <w:p>
            <w:pPr>
              <w:jc w:val="center"/>
              <w:ind w:right="668"/>
              <w:spacing w:after="0"/>
              <w:rPr>
                <w:sz w:val="20"/>
                <w:szCs w:val="20"/>
                <w:color w:val="auto"/>
              </w:rPr>
            </w:pPr>
            <w:r>
              <w:rPr>
                <w:rFonts w:ascii="Arial" w:cs="Arial" w:eastAsia="Arial" w:hAnsi="Arial"/>
                <w:sz w:val="14"/>
                <w:szCs w:val="14"/>
                <w:b w:val="1"/>
                <w:bCs w:val="1"/>
                <w:color w:val="auto"/>
                <w:w w:val="93"/>
              </w:rPr>
              <w:t>(State or other jurisdiction of</w:t>
            </w:r>
          </w:p>
        </w:tc>
        <w:tc>
          <w:tcPr>
            <w:tcW w:w="3480" w:type="dxa"/>
            <w:vAlign w:val="bottom"/>
          </w:tcPr>
          <w:p>
            <w:pPr>
              <w:jc w:val="center"/>
              <w:ind w:right="148"/>
              <w:spacing w:after="0"/>
              <w:rPr>
                <w:sz w:val="20"/>
                <w:szCs w:val="20"/>
                <w:color w:val="auto"/>
              </w:rPr>
            </w:pPr>
            <w:r>
              <w:rPr>
                <w:rFonts w:ascii="Arial" w:cs="Arial" w:eastAsia="Arial" w:hAnsi="Arial"/>
                <w:sz w:val="14"/>
                <w:szCs w:val="14"/>
                <w:b w:val="1"/>
                <w:bCs w:val="1"/>
                <w:color w:val="auto"/>
                <w:w w:val="96"/>
              </w:rPr>
              <w:t>(Primary Standard Industrial</w:t>
            </w:r>
          </w:p>
        </w:tc>
        <w:tc>
          <w:tcPr>
            <w:tcW w:w="2040" w:type="dxa"/>
            <w:vAlign w:val="bottom"/>
          </w:tcPr>
          <w:p>
            <w:pPr>
              <w:jc w:val="center"/>
              <w:ind w:left="80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580" w:type="dxa"/>
            <w:vAlign w:val="bottom"/>
          </w:tcPr>
          <w:p>
            <w:pPr>
              <w:jc w:val="center"/>
              <w:ind w:right="628"/>
              <w:spacing w:after="0"/>
              <w:rPr>
                <w:sz w:val="20"/>
                <w:szCs w:val="20"/>
                <w:color w:val="auto"/>
              </w:rPr>
            </w:pPr>
            <w:r>
              <w:rPr>
                <w:rFonts w:ascii="Arial" w:cs="Arial" w:eastAsia="Arial" w:hAnsi="Arial"/>
                <w:sz w:val="14"/>
                <w:szCs w:val="14"/>
                <w:b w:val="1"/>
                <w:bCs w:val="1"/>
                <w:color w:val="auto"/>
                <w:w w:val="94"/>
              </w:rPr>
              <w:t>incorporation or organization)</w:t>
            </w:r>
          </w:p>
        </w:tc>
        <w:tc>
          <w:tcPr>
            <w:tcW w:w="3480" w:type="dxa"/>
            <w:vAlign w:val="bottom"/>
          </w:tcPr>
          <w:p>
            <w:pPr>
              <w:jc w:val="center"/>
              <w:ind w:right="108"/>
              <w:spacing w:after="0"/>
              <w:rPr>
                <w:sz w:val="20"/>
                <w:szCs w:val="20"/>
                <w:color w:val="auto"/>
              </w:rPr>
            </w:pPr>
            <w:r>
              <w:rPr>
                <w:rFonts w:ascii="Arial" w:cs="Arial" w:eastAsia="Arial" w:hAnsi="Arial"/>
                <w:sz w:val="14"/>
                <w:szCs w:val="14"/>
                <w:b w:val="1"/>
                <w:bCs w:val="1"/>
                <w:color w:val="auto"/>
                <w:w w:val="92"/>
              </w:rPr>
              <w:t>Classification Code Number)</w:t>
            </w:r>
          </w:p>
        </w:tc>
        <w:tc>
          <w:tcPr>
            <w:tcW w:w="2040" w:type="dxa"/>
            <w:vAlign w:val="bottom"/>
          </w:tcPr>
          <w:p>
            <w:pPr>
              <w:jc w:val="center"/>
              <w:ind w:left="848"/>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84455</wp:posOffset>
            </wp:positionV>
            <wp:extent cx="10972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1800 North Mason Road</w:t>
      </w:r>
    </w:p>
    <w:p>
      <w:pPr>
        <w:jc w:val="center"/>
        <w:ind w:right="20"/>
        <w:spacing w:after="0" w:line="233" w:lineRule="auto"/>
        <w:rPr>
          <w:sz w:val="20"/>
          <w:szCs w:val="20"/>
          <w:color w:val="auto"/>
        </w:rPr>
      </w:pPr>
      <w:r>
        <w:rPr>
          <w:rFonts w:ascii="Arial" w:cs="Arial" w:eastAsia="Arial" w:hAnsi="Arial"/>
          <w:sz w:val="15"/>
          <w:szCs w:val="15"/>
          <w:b w:val="1"/>
          <w:bCs w:val="1"/>
          <w:color w:val="auto"/>
        </w:rPr>
        <w:t>Katy, Texas 77449</w:t>
      </w:r>
    </w:p>
    <w:p>
      <w:pPr>
        <w:jc w:val="center"/>
        <w:ind w:right="20"/>
        <w:spacing w:after="0" w:line="225" w:lineRule="auto"/>
        <w:rPr>
          <w:sz w:val="20"/>
          <w:szCs w:val="20"/>
          <w:color w:val="auto"/>
        </w:rPr>
      </w:pPr>
      <w:r>
        <w:rPr>
          <w:rFonts w:ascii="Arial" w:cs="Arial" w:eastAsia="Arial" w:hAnsi="Arial"/>
          <w:sz w:val="15"/>
          <w:szCs w:val="15"/>
          <w:b w:val="1"/>
          <w:bCs w:val="1"/>
          <w:color w:val="auto"/>
        </w:rPr>
        <w:t>(281) 646-5200</w:t>
      </w:r>
    </w:p>
    <w:p>
      <w:pPr>
        <w:jc w:val="center"/>
        <w:spacing w:after="0"/>
        <w:rPr>
          <w:sz w:val="20"/>
          <w:szCs w:val="20"/>
          <w:color w:val="auto"/>
        </w:rPr>
      </w:pPr>
      <w:r>
        <w:rPr>
          <w:rFonts w:ascii="Arial" w:cs="Arial" w:eastAsia="Arial" w:hAnsi="Arial"/>
          <w:sz w:val="15"/>
          <w:szCs w:val="15"/>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60960</wp:posOffset>
            </wp:positionV>
            <wp:extent cx="1097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56"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Rene G. Casares, Esq.</w:t>
      </w:r>
    </w:p>
    <w:p>
      <w:pPr>
        <w:jc w:val="center"/>
        <w:ind w:right="20"/>
        <w:spacing w:after="0" w:line="233" w:lineRule="auto"/>
        <w:rPr>
          <w:sz w:val="20"/>
          <w:szCs w:val="20"/>
          <w:color w:val="auto"/>
        </w:rPr>
      </w:pPr>
      <w:r>
        <w:rPr>
          <w:rFonts w:ascii="Arial" w:cs="Arial" w:eastAsia="Arial" w:hAnsi="Arial"/>
          <w:sz w:val="15"/>
          <w:szCs w:val="15"/>
          <w:b w:val="1"/>
          <w:bCs w:val="1"/>
          <w:color w:val="auto"/>
        </w:rPr>
        <w:t>Senior Vice President and General Counsel</w:t>
      </w:r>
    </w:p>
    <w:p>
      <w:pPr>
        <w:jc w:val="center"/>
        <w:ind w:right="20"/>
        <w:spacing w:after="0" w:line="225" w:lineRule="auto"/>
        <w:rPr>
          <w:sz w:val="20"/>
          <w:szCs w:val="20"/>
          <w:color w:val="auto"/>
        </w:rPr>
      </w:pPr>
      <w:r>
        <w:rPr>
          <w:rFonts w:ascii="Arial" w:cs="Arial" w:eastAsia="Arial" w:hAnsi="Arial"/>
          <w:sz w:val="15"/>
          <w:szCs w:val="15"/>
          <w:b w:val="1"/>
          <w:bCs w:val="1"/>
          <w:color w:val="auto"/>
        </w:rPr>
        <w:t>1800 North Mason Road</w:t>
      </w:r>
    </w:p>
    <w:p>
      <w:pPr>
        <w:ind w:left="4280"/>
        <w:spacing w:after="0" w:line="225" w:lineRule="auto"/>
        <w:rPr>
          <w:sz w:val="20"/>
          <w:szCs w:val="20"/>
          <w:color w:val="auto"/>
        </w:rPr>
      </w:pPr>
      <w:r>
        <w:rPr>
          <w:rFonts w:ascii="Arial" w:cs="Arial" w:eastAsia="Arial" w:hAnsi="Arial"/>
          <w:sz w:val="15"/>
          <w:szCs w:val="15"/>
          <w:b w:val="1"/>
          <w:bCs w:val="1"/>
          <w:color w:val="auto"/>
        </w:rPr>
        <w:t>Katy, Texas 77449</w:t>
      </w:r>
    </w:p>
    <w:p>
      <w:pPr>
        <w:ind w:left="4400"/>
        <w:spacing w:after="0" w:line="226" w:lineRule="auto"/>
        <w:rPr>
          <w:sz w:val="20"/>
          <w:szCs w:val="20"/>
          <w:color w:val="auto"/>
        </w:rPr>
      </w:pPr>
      <w:r>
        <w:rPr>
          <w:rFonts w:ascii="Arial" w:cs="Arial" w:eastAsia="Arial" w:hAnsi="Arial"/>
          <w:sz w:val="15"/>
          <w:szCs w:val="15"/>
          <w:b w:val="1"/>
          <w:bCs w:val="1"/>
          <w:color w:val="auto"/>
        </w:rPr>
        <w:t>(281) 646-5200</w:t>
      </w:r>
    </w:p>
    <w:p>
      <w:pPr>
        <w:jc w:val="center"/>
        <w:spacing w:after="0"/>
        <w:rPr>
          <w:sz w:val="20"/>
          <w:szCs w:val="20"/>
          <w:color w:val="auto"/>
        </w:rPr>
      </w:pPr>
      <w:r>
        <w:rPr>
          <w:rFonts w:ascii="Arial" w:cs="Arial" w:eastAsia="Arial" w:hAnsi="Arial"/>
          <w:sz w:val="15"/>
          <w:szCs w:val="15"/>
          <w:b w:val="1"/>
          <w:bCs w:val="1"/>
          <w:color w:val="auto"/>
        </w:rPr>
        <w:t>(Name, address, including zip code, and telephone number, including area code, of registrant’s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52070</wp:posOffset>
            </wp:positionV>
            <wp:extent cx="1097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47" w:lineRule="exact"/>
        <w:rPr>
          <w:sz w:val="24"/>
          <w:szCs w:val="24"/>
          <w:color w:val="auto"/>
        </w:rPr>
      </w:pPr>
    </w:p>
    <w:tbl>
      <w:tblPr>
        <w:tblLayout w:type="fixed"/>
        <w:tblInd w:w="1300" w:type="dxa"/>
        <w:tblCellMar>
          <w:top w:w="0" w:type="dxa"/>
          <w:left w:w="0" w:type="dxa"/>
          <w:bottom w:w="0" w:type="dxa"/>
          <w:right w:w="0" w:type="dxa"/>
        </w:tblCellMar>
      </w:tblPr>
      <w:tr>
        <w:trPr>
          <w:trHeight w:val="189"/>
        </w:trPr>
        <w:tc>
          <w:tcPr>
            <w:tcW w:w="2620" w:type="dxa"/>
            <w:vAlign w:val="bottom"/>
          </w:tcPr>
          <w:p>
            <w:pPr>
              <w:spacing w:after="0"/>
              <w:rPr>
                <w:sz w:val="16"/>
                <w:szCs w:val="16"/>
                <w:color w:val="auto"/>
              </w:rPr>
            </w:pPr>
          </w:p>
        </w:tc>
        <w:tc>
          <w:tcPr>
            <w:tcW w:w="4340" w:type="dxa"/>
            <w:vAlign w:val="bottom"/>
          </w:tcPr>
          <w:p>
            <w:pPr>
              <w:ind w:left="480"/>
              <w:spacing w:after="0"/>
              <w:rPr>
                <w:sz w:val="20"/>
                <w:szCs w:val="20"/>
                <w:color w:val="auto"/>
              </w:rPr>
            </w:pPr>
            <w:r>
              <w:rPr>
                <w:rFonts w:ascii="Arial" w:cs="Arial" w:eastAsia="Arial" w:hAnsi="Arial"/>
                <w:sz w:val="15"/>
                <w:szCs w:val="15"/>
                <w:b w:val="1"/>
                <w:bCs w:val="1"/>
                <w:i w:val="1"/>
                <w:iCs w:val="1"/>
                <w:color w:val="auto"/>
              </w:rPr>
              <w:t>With copies to:</w:t>
            </w:r>
          </w:p>
        </w:tc>
      </w:tr>
      <w:tr>
        <w:trPr>
          <w:trHeight w:val="306"/>
        </w:trPr>
        <w:tc>
          <w:tcPr>
            <w:tcW w:w="2620" w:type="dxa"/>
            <w:vAlign w:val="bottom"/>
          </w:tcPr>
          <w:p>
            <w:pPr>
              <w:jc w:val="center"/>
              <w:ind w:right="405"/>
              <w:spacing w:after="0"/>
              <w:rPr>
                <w:sz w:val="20"/>
                <w:szCs w:val="20"/>
                <w:color w:val="auto"/>
              </w:rPr>
            </w:pPr>
            <w:r>
              <w:rPr>
                <w:rFonts w:ascii="Arial" w:cs="Arial" w:eastAsia="Arial" w:hAnsi="Arial"/>
                <w:sz w:val="15"/>
                <w:szCs w:val="15"/>
                <w:b w:val="1"/>
                <w:bCs w:val="1"/>
                <w:color w:val="auto"/>
                <w:w w:val="89"/>
              </w:rPr>
              <w:t>Joseph H. Kaufman, Esq.</w:t>
            </w:r>
          </w:p>
        </w:tc>
        <w:tc>
          <w:tcPr>
            <w:tcW w:w="4340" w:type="dxa"/>
            <w:vAlign w:val="bottom"/>
          </w:tcPr>
          <w:p>
            <w:pPr>
              <w:jc w:val="center"/>
              <w:ind w:left="2405"/>
              <w:spacing w:after="0"/>
              <w:rPr>
                <w:sz w:val="20"/>
                <w:szCs w:val="20"/>
                <w:color w:val="auto"/>
              </w:rPr>
            </w:pPr>
            <w:r>
              <w:rPr>
                <w:rFonts w:ascii="Arial" w:cs="Arial" w:eastAsia="Arial" w:hAnsi="Arial"/>
                <w:sz w:val="15"/>
                <w:szCs w:val="15"/>
                <w:b w:val="1"/>
                <w:bCs w:val="1"/>
                <w:color w:val="auto"/>
                <w:w w:val="91"/>
              </w:rPr>
              <w:t>Marc D. Jaffe, Esq.</w:t>
            </w:r>
          </w:p>
        </w:tc>
      </w:tr>
      <w:tr>
        <w:trPr>
          <w:trHeight w:val="162"/>
        </w:trPr>
        <w:tc>
          <w:tcPr>
            <w:tcW w:w="2620" w:type="dxa"/>
            <w:vAlign w:val="bottom"/>
          </w:tcPr>
          <w:p>
            <w:pPr>
              <w:jc w:val="center"/>
              <w:ind w:right="405"/>
              <w:spacing w:after="0" w:line="162" w:lineRule="exact"/>
              <w:rPr>
                <w:sz w:val="20"/>
                <w:szCs w:val="20"/>
                <w:color w:val="auto"/>
              </w:rPr>
            </w:pPr>
            <w:r>
              <w:rPr>
                <w:rFonts w:ascii="Arial" w:cs="Arial" w:eastAsia="Arial" w:hAnsi="Arial"/>
                <w:sz w:val="15"/>
                <w:szCs w:val="15"/>
                <w:b w:val="1"/>
                <w:bCs w:val="1"/>
                <w:color w:val="auto"/>
                <w:w w:val="89"/>
              </w:rPr>
              <w:t>Sunny Cheong, Esq.</w:t>
            </w:r>
          </w:p>
        </w:tc>
        <w:tc>
          <w:tcPr>
            <w:tcW w:w="4340" w:type="dxa"/>
            <w:vAlign w:val="bottom"/>
          </w:tcPr>
          <w:p>
            <w:pPr>
              <w:jc w:val="center"/>
              <w:ind w:left="2405"/>
              <w:spacing w:after="0" w:line="162" w:lineRule="exact"/>
              <w:rPr>
                <w:sz w:val="20"/>
                <w:szCs w:val="20"/>
                <w:color w:val="auto"/>
              </w:rPr>
            </w:pPr>
            <w:r>
              <w:rPr>
                <w:rFonts w:ascii="Arial" w:cs="Arial" w:eastAsia="Arial" w:hAnsi="Arial"/>
                <w:sz w:val="15"/>
                <w:szCs w:val="15"/>
                <w:b w:val="1"/>
                <w:bCs w:val="1"/>
                <w:color w:val="auto"/>
                <w:w w:val="90"/>
              </w:rPr>
              <w:t>Ian D. Schuman, Esq.</w:t>
            </w:r>
          </w:p>
        </w:tc>
      </w:tr>
      <w:tr>
        <w:trPr>
          <w:trHeight w:val="162"/>
        </w:trPr>
        <w:tc>
          <w:tcPr>
            <w:tcW w:w="2620" w:type="dxa"/>
            <w:vAlign w:val="bottom"/>
          </w:tcPr>
          <w:p>
            <w:pPr>
              <w:jc w:val="center"/>
              <w:ind w:right="405"/>
              <w:spacing w:after="0" w:line="162" w:lineRule="exact"/>
              <w:rPr>
                <w:sz w:val="20"/>
                <w:szCs w:val="20"/>
                <w:color w:val="auto"/>
              </w:rPr>
            </w:pPr>
            <w:r>
              <w:rPr>
                <w:rFonts w:ascii="Arial" w:cs="Arial" w:eastAsia="Arial" w:hAnsi="Arial"/>
                <w:sz w:val="15"/>
                <w:szCs w:val="15"/>
                <w:b w:val="1"/>
                <w:bCs w:val="1"/>
                <w:color w:val="auto"/>
                <w:w w:val="93"/>
              </w:rPr>
              <w:t>Simpson Thacher &amp; Bartlett LLP</w:t>
            </w:r>
          </w:p>
        </w:tc>
        <w:tc>
          <w:tcPr>
            <w:tcW w:w="4340" w:type="dxa"/>
            <w:vAlign w:val="bottom"/>
          </w:tcPr>
          <w:p>
            <w:pPr>
              <w:jc w:val="center"/>
              <w:ind w:left="2405"/>
              <w:spacing w:after="0" w:line="162" w:lineRule="exact"/>
              <w:rPr>
                <w:sz w:val="20"/>
                <w:szCs w:val="20"/>
                <w:color w:val="auto"/>
              </w:rPr>
            </w:pPr>
            <w:r>
              <w:rPr>
                <w:rFonts w:ascii="Arial" w:cs="Arial" w:eastAsia="Arial" w:hAnsi="Arial"/>
                <w:sz w:val="15"/>
                <w:szCs w:val="15"/>
                <w:b w:val="1"/>
                <w:bCs w:val="1"/>
                <w:color w:val="auto"/>
                <w:w w:val="97"/>
              </w:rPr>
              <w:t>Latham &amp; Watkins LLP</w:t>
            </w:r>
          </w:p>
        </w:tc>
      </w:tr>
      <w:tr>
        <w:trPr>
          <w:trHeight w:val="162"/>
        </w:trPr>
        <w:tc>
          <w:tcPr>
            <w:tcW w:w="2620" w:type="dxa"/>
            <w:vAlign w:val="bottom"/>
          </w:tcPr>
          <w:p>
            <w:pPr>
              <w:jc w:val="center"/>
              <w:ind w:right="405"/>
              <w:spacing w:after="0" w:line="162" w:lineRule="exact"/>
              <w:rPr>
                <w:sz w:val="20"/>
                <w:szCs w:val="20"/>
                <w:color w:val="auto"/>
              </w:rPr>
            </w:pPr>
            <w:r>
              <w:rPr>
                <w:rFonts w:ascii="Arial" w:cs="Arial" w:eastAsia="Arial" w:hAnsi="Arial"/>
                <w:sz w:val="15"/>
                <w:szCs w:val="15"/>
                <w:b w:val="1"/>
                <w:bCs w:val="1"/>
                <w:color w:val="auto"/>
                <w:w w:val="89"/>
              </w:rPr>
              <w:t>425 Lexington Avenue</w:t>
            </w:r>
          </w:p>
        </w:tc>
        <w:tc>
          <w:tcPr>
            <w:tcW w:w="4340" w:type="dxa"/>
            <w:vAlign w:val="bottom"/>
          </w:tcPr>
          <w:p>
            <w:pPr>
              <w:jc w:val="center"/>
              <w:ind w:left="2405"/>
              <w:spacing w:after="0" w:line="162" w:lineRule="exact"/>
              <w:rPr>
                <w:sz w:val="20"/>
                <w:szCs w:val="20"/>
                <w:color w:val="auto"/>
              </w:rPr>
            </w:pPr>
            <w:r>
              <w:rPr>
                <w:rFonts w:ascii="Arial" w:cs="Arial" w:eastAsia="Arial" w:hAnsi="Arial"/>
                <w:sz w:val="15"/>
                <w:szCs w:val="15"/>
                <w:b w:val="1"/>
                <w:bCs w:val="1"/>
                <w:color w:val="auto"/>
                <w:w w:val="89"/>
              </w:rPr>
              <w:t>1271 Avenue of the Americas</w:t>
            </w:r>
          </w:p>
        </w:tc>
      </w:tr>
      <w:tr>
        <w:trPr>
          <w:trHeight w:val="162"/>
        </w:trPr>
        <w:tc>
          <w:tcPr>
            <w:tcW w:w="2620" w:type="dxa"/>
            <w:vAlign w:val="bottom"/>
          </w:tcPr>
          <w:p>
            <w:pPr>
              <w:jc w:val="center"/>
              <w:ind w:right="405"/>
              <w:spacing w:after="0" w:line="162" w:lineRule="exact"/>
              <w:rPr>
                <w:sz w:val="20"/>
                <w:szCs w:val="20"/>
                <w:color w:val="auto"/>
              </w:rPr>
            </w:pPr>
            <w:r>
              <w:rPr>
                <w:rFonts w:ascii="Arial" w:cs="Arial" w:eastAsia="Arial" w:hAnsi="Arial"/>
                <w:sz w:val="15"/>
                <w:szCs w:val="15"/>
                <w:b w:val="1"/>
                <w:bCs w:val="1"/>
                <w:color w:val="auto"/>
                <w:w w:val="91"/>
              </w:rPr>
              <w:t>New York, New York 10017</w:t>
            </w:r>
          </w:p>
        </w:tc>
        <w:tc>
          <w:tcPr>
            <w:tcW w:w="4340" w:type="dxa"/>
            <w:vAlign w:val="bottom"/>
          </w:tcPr>
          <w:p>
            <w:pPr>
              <w:jc w:val="center"/>
              <w:ind w:left="2405"/>
              <w:spacing w:after="0" w:line="162" w:lineRule="exact"/>
              <w:rPr>
                <w:sz w:val="20"/>
                <w:szCs w:val="20"/>
                <w:color w:val="auto"/>
              </w:rPr>
            </w:pPr>
            <w:r>
              <w:rPr>
                <w:rFonts w:ascii="Arial" w:cs="Arial" w:eastAsia="Arial" w:hAnsi="Arial"/>
                <w:sz w:val="15"/>
                <w:szCs w:val="15"/>
                <w:b w:val="1"/>
                <w:bCs w:val="1"/>
                <w:color w:val="auto"/>
                <w:w w:val="91"/>
              </w:rPr>
              <w:t>New York, New York 10020</w:t>
            </w:r>
          </w:p>
        </w:tc>
      </w:tr>
      <w:tr>
        <w:trPr>
          <w:trHeight w:val="193"/>
        </w:trPr>
        <w:tc>
          <w:tcPr>
            <w:tcW w:w="2620" w:type="dxa"/>
            <w:vAlign w:val="bottom"/>
          </w:tcPr>
          <w:p>
            <w:pPr>
              <w:jc w:val="center"/>
              <w:ind w:right="365"/>
              <w:spacing w:after="0"/>
              <w:rPr>
                <w:sz w:val="20"/>
                <w:szCs w:val="20"/>
                <w:color w:val="auto"/>
              </w:rPr>
            </w:pPr>
            <w:r>
              <w:rPr>
                <w:rFonts w:ascii="Arial" w:cs="Arial" w:eastAsia="Arial" w:hAnsi="Arial"/>
                <w:sz w:val="15"/>
                <w:szCs w:val="15"/>
                <w:b w:val="1"/>
                <w:bCs w:val="1"/>
                <w:color w:val="auto"/>
                <w:w w:val="91"/>
              </w:rPr>
              <w:t>(212) 455-2000</w:t>
            </w:r>
          </w:p>
        </w:tc>
        <w:tc>
          <w:tcPr>
            <w:tcW w:w="4340" w:type="dxa"/>
            <w:vAlign w:val="bottom"/>
          </w:tcPr>
          <w:p>
            <w:pPr>
              <w:jc w:val="center"/>
              <w:ind w:left="2445"/>
              <w:spacing w:after="0"/>
              <w:rPr>
                <w:sz w:val="20"/>
                <w:szCs w:val="20"/>
                <w:color w:val="auto"/>
              </w:rPr>
            </w:pPr>
            <w:r>
              <w:rPr>
                <w:rFonts w:ascii="Arial" w:cs="Arial" w:eastAsia="Arial" w:hAnsi="Arial"/>
                <w:sz w:val="15"/>
                <w:szCs w:val="15"/>
                <w:b w:val="1"/>
                <w:bCs w:val="1"/>
                <w:color w:val="auto"/>
                <w:w w:val="91"/>
              </w:rPr>
              <w:t>(212) 906-1200</w:t>
            </w:r>
          </w:p>
        </w:tc>
      </w:tr>
    </w:tbl>
    <w:p>
      <w:pPr>
        <w:spacing w:after="0" w:line="90"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As soon as practicable after this Registration Statement is declared effective.</w:t>
      </w:r>
    </w:p>
    <w:p>
      <w:pPr>
        <w:spacing w:after="0" w:line="59" w:lineRule="exact"/>
        <w:rPr>
          <w:sz w:val="24"/>
          <w:szCs w:val="24"/>
          <w:color w:val="auto"/>
        </w:rPr>
      </w:pPr>
    </w:p>
    <w:p>
      <w:pPr>
        <w:ind w:right="320" w:firstLine="360"/>
        <w:spacing w:after="0" w:line="184" w:lineRule="exact"/>
        <w:rPr>
          <w:sz w:val="20"/>
          <w:szCs w:val="20"/>
          <w:color w:val="auto"/>
        </w:rPr>
      </w:pPr>
      <w:r>
        <w:rPr>
          <w:rFonts w:ascii="Arial" w:cs="Arial" w:eastAsia="Arial" w:hAnsi="Arial"/>
          <w:sz w:val="15"/>
          <w:szCs w:val="15"/>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5"/>
          <w:szCs w:val="15"/>
          <w:color w:val="auto"/>
        </w:rPr>
        <w:t>☐</w:t>
      </w:r>
    </w:p>
    <w:p>
      <w:pPr>
        <w:spacing w:after="0" w:line="25" w:lineRule="exact"/>
        <w:rPr>
          <w:sz w:val="24"/>
          <w:szCs w:val="24"/>
          <w:color w:val="auto"/>
        </w:rPr>
      </w:pPr>
    </w:p>
    <w:p>
      <w:pPr>
        <w:ind w:right="80" w:firstLine="360"/>
        <w:spacing w:after="0" w:line="184"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25" w:lineRule="exact"/>
        <w:rPr>
          <w:sz w:val="24"/>
          <w:szCs w:val="24"/>
          <w:color w:val="auto"/>
        </w:rPr>
      </w:pPr>
    </w:p>
    <w:p>
      <w:pPr>
        <w:ind w:right="500" w:firstLine="360"/>
        <w:spacing w:after="0" w:line="184"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25" w:lineRule="exact"/>
        <w:rPr>
          <w:sz w:val="24"/>
          <w:szCs w:val="24"/>
          <w:color w:val="auto"/>
        </w:rPr>
      </w:pPr>
    </w:p>
    <w:p>
      <w:pPr>
        <w:ind w:right="480" w:firstLine="360"/>
        <w:spacing w:after="0" w:line="184" w:lineRule="exact"/>
        <w:rPr>
          <w:sz w:val="20"/>
          <w:szCs w:val="20"/>
          <w:color w:val="auto"/>
        </w:rPr>
      </w:pPr>
      <w:r>
        <w:rPr>
          <w:rFonts w:ascii="Arial" w:cs="Arial" w:eastAsia="Arial" w:hAnsi="Arial"/>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25" w:lineRule="exact"/>
        <w:rPr>
          <w:sz w:val="24"/>
          <w:szCs w:val="24"/>
          <w:color w:val="auto"/>
        </w:rPr>
      </w:pPr>
    </w:p>
    <w:p>
      <w:pPr>
        <w:ind w:right="200" w:firstLine="360"/>
        <w:spacing w:after="0" w:line="237"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0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2740" w:type="dxa"/>
            <w:vAlign w:val="bottom"/>
          </w:tcPr>
          <w:p>
            <w:pPr>
              <w:ind w:left="740"/>
              <w:spacing w:after="0" w:line="151" w:lineRule="exact"/>
              <w:rPr>
                <w:sz w:val="20"/>
                <w:szCs w:val="20"/>
                <w:color w:val="auto"/>
              </w:rPr>
            </w:pPr>
            <w:r>
              <w:rPr>
                <w:rFonts w:ascii="MS PGothic" w:cs="MS PGothic" w:eastAsia="MS PGothic" w:hAnsi="MS PGothic"/>
                <w:sz w:val="15"/>
                <w:szCs w:val="15"/>
                <w:color w:val="auto"/>
              </w:rPr>
              <w:t>☐</w:t>
            </w:r>
          </w:p>
        </w:tc>
        <w:tc>
          <w:tcPr>
            <w:tcW w:w="4100" w:type="dxa"/>
            <w:vAlign w:val="bottom"/>
          </w:tcPr>
          <w:p>
            <w:pPr>
              <w:ind w:left="1860"/>
              <w:spacing w:after="0"/>
              <w:rPr>
                <w:sz w:val="20"/>
                <w:szCs w:val="20"/>
                <w:color w:val="auto"/>
              </w:rPr>
            </w:pPr>
            <w:r>
              <w:rPr>
                <w:rFonts w:ascii="Arial" w:cs="Arial" w:eastAsia="Arial" w:hAnsi="Arial"/>
                <w:sz w:val="15"/>
                <w:szCs w:val="15"/>
                <w:color w:val="auto"/>
              </w:rPr>
              <w:t>Accelerated filer</w:t>
            </w:r>
          </w:p>
        </w:tc>
        <w:tc>
          <w:tcPr>
            <w:tcW w:w="740" w:type="dxa"/>
            <w:vAlign w:val="bottom"/>
          </w:tcPr>
          <w:p>
            <w:pPr>
              <w:ind w:left="6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30"/>
        </w:trPr>
        <w:tc>
          <w:tcPr>
            <w:tcW w:w="2080" w:type="dxa"/>
            <w:vAlign w:val="bottom"/>
          </w:tcPr>
          <w:p>
            <w:pPr>
              <w:spacing w:after="0"/>
              <w:rPr>
                <w:sz w:val="20"/>
                <w:szCs w:val="20"/>
                <w:color w:val="auto"/>
              </w:rPr>
            </w:pPr>
            <w:r>
              <w:rPr>
                <w:rFonts w:ascii="Arial" w:cs="Arial" w:eastAsia="Arial" w:hAnsi="Arial"/>
                <w:sz w:val="15"/>
                <w:szCs w:val="15"/>
                <w:color w:val="auto"/>
              </w:rPr>
              <w:t>Non-accelerated filer</w:t>
            </w:r>
          </w:p>
        </w:tc>
        <w:tc>
          <w:tcPr>
            <w:tcW w:w="2740" w:type="dxa"/>
            <w:vAlign w:val="bottom"/>
          </w:tcPr>
          <w:p>
            <w:pPr>
              <w:ind w:left="740"/>
              <w:spacing w:after="0" w:line="151" w:lineRule="exact"/>
              <w:rPr>
                <w:sz w:val="20"/>
                <w:szCs w:val="20"/>
                <w:color w:val="auto"/>
              </w:rPr>
            </w:pPr>
            <w:r>
              <w:rPr>
                <w:rFonts w:ascii="MS PGothic" w:cs="MS PGothic" w:eastAsia="MS PGothic" w:hAnsi="MS PGothic"/>
                <w:sz w:val="15"/>
                <w:szCs w:val="15"/>
                <w:color w:val="auto"/>
              </w:rPr>
              <w:t>☒</w:t>
            </w:r>
          </w:p>
        </w:tc>
        <w:tc>
          <w:tcPr>
            <w:tcW w:w="4100" w:type="dxa"/>
            <w:vAlign w:val="bottom"/>
          </w:tcPr>
          <w:p>
            <w:pPr>
              <w:ind w:left="1860"/>
              <w:spacing w:after="0"/>
              <w:rPr>
                <w:sz w:val="20"/>
                <w:szCs w:val="20"/>
                <w:color w:val="auto"/>
              </w:rPr>
            </w:pPr>
            <w:r>
              <w:rPr>
                <w:rFonts w:ascii="Arial" w:cs="Arial" w:eastAsia="Arial" w:hAnsi="Arial"/>
                <w:sz w:val="15"/>
                <w:szCs w:val="15"/>
                <w:color w:val="auto"/>
              </w:rPr>
              <w:t>Smaller reporting company</w:t>
            </w:r>
          </w:p>
        </w:tc>
        <w:tc>
          <w:tcPr>
            <w:tcW w:w="740" w:type="dxa"/>
            <w:vAlign w:val="bottom"/>
          </w:tcPr>
          <w:p>
            <w:pPr>
              <w:ind w:left="6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33"/>
        </w:trPr>
        <w:tc>
          <w:tcPr>
            <w:tcW w:w="20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100" w:type="dxa"/>
            <w:vAlign w:val="bottom"/>
          </w:tcPr>
          <w:p>
            <w:pPr>
              <w:ind w:left="1860"/>
              <w:spacing w:after="0"/>
              <w:rPr>
                <w:sz w:val="20"/>
                <w:szCs w:val="20"/>
                <w:color w:val="auto"/>
              </w:rPr>
            </w:pPr>
            <w:r>
              <w:rPr>
                <w:rFonts w:ascii="Arial" w:cs="Arial" w:eastAsia="Arial" w:hAnsi="Arial"/>
                <w:sz w:val="15"/>
                <w:szCs w:val="15"/>
                <w:color w:val="auto"/>
              </w:rPr>
              <w:t>Emerging growth company</w:t>
            </w:r>
          </w:p>
        </w:tc>
        <w:tc>
          <w:tcPr>
            <w:tcW w:w="740" w:type="dxa"/>
            <w:vAlign w:val="bottom"/>
          </w:tcPr>
          <w:p>
            <w:pPr>
              <w:ind w:left="60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78" w:lineRule="exact"/>
        <w:rPr>
          <w:sz w:val="24"/>
          <w:szCs w:val="24"/>
          <w:color w:val="auto"/>
        </w:rPr>
      </w:pPr>
    </w:p>
    <w:p>
      <w:pPr>
        <w:ind w:right="20" w:firstLine="360"/>
        <w:spacing w:after="0" w:line="184"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56515</wp:posOffset>
            </wp:positionV>
            <wp:extent cx="10972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6172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44"/>
        </w:trPr>
        <w:tc>
          <w:tcPr>
            <w:tcW w:w="3120" w:type="dxa"/>
            <w:vAlign w:val="bottom"/>
            <w:tcBorders>
              <w:top w:val="single" w:sz="8" w:color="auto"/>
              <w:right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93"/>
              </w:rPr>
              <w:t>Title of Each Class of</w:t>
            </w:r>
          </w:p>
        </w:tc>
        <w:tc>
          <w:tcPr>
            <w:tcW w:w="138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4"/>
                <w:szCs w:val="14"/>
                <w:b w:val="1"/>
                <w:bCs w:val="1"/>
                <w:color w:val="auto"/>
              </w:rPr>
              <w:t>Amount to be</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Proposed Maximum</w:t>
            </w:r>
          </w:p>
        </w:tc>
        <w:tc>
          <w:tcPr>
            <w:tcW w:w="1840" w:type="dxa"/>
            <w:vAlign w:val="bottom"/>
            <w:tcBorders>
              <w:top w:val="single" w:sz="8" w:color="auto"/>
              <w:right w:val="single" w:sz="8" w:color="auto"/>
            </w:tcBorders>
          </w:tcPr>
          <w:p>
            <w:pPr>
              <w:jc w:val="center"/>
              <w:ind w:right="7"/>
              <w:spacing w:after="0"/>
              <w:rPr>
                <w:sz w:val="20"/>
                <w:szCs w:val="20"/>
                <w:color w:val="auto"/>
              </w:rPr>
            </w:pPr>
            <w:r>
              <w:rPr>
                <w:rFonts w:ascii="Arial" w:cs="Arial" w:eastAsia="Arial" w:hAnsi="Arial"/>
                <w:sz w:val="14"/>
                <w:szCs w:val="14"/>
                <w:b w:val="1"/>
                <w:bCs w:val="1"/>
                <w:color w:val="auto"/>
                <w:w w:val="93"/>
              </w:rPr>
              <w:t>Proposed Maximum</w:t>
            </w: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 of</w:t>
            </w:r>
          </w:p>
        </w:tc>
      </w:tr>
      <w:tr>
        <w:trPr>
          <w:trHeight w:val="229"/>
        </w:trPr>
        <w:tc>
          <w:tcPr>
            <w:tcW w:w="3120" w:type="dxa"/>
            <w:vAlign w:val="bottom"/>
            <w:tcBorders>
              <w:bottom w:val="single" w:sz="8" w:color="auto"/>
              <w:right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9"/>
              </w:rPr>
              <w:t>Securities to be Registered</w:t>
            </w:r>
          </w:p>
        </w:tc>
        <w:tc>
          <w:tcPr>
            <w:tcW w:w="13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b w:val="1"/>
                <w:bCs w:val="1"/>
                <w:color w:val="auto"/>
              </w:rPr>
              <w:t>Registered</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Aggregate Offering Price</w:t>
            </w:r>
          </w:p>
        </w:tc>
        <w:tc>
          <w:tcPr>
            <w:tcW w:w="154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14"/>
                <w:szCs w:val="14"/>
                <w:b w:val="1"/>
                <w:bCs w:val="1"/>
                <w:color w:val="auto"/>
                <w:w w:val="88"/>
              </w:rPr>
              <w:t>Registration Fee</w:t>
            </w:r>
            <w:r>
              <w:rPr>
                <w:rFonts w:ascii="Arial" w:cs="Arial" w:eastAsia="Arial" w:hAnsi="Arial"/>
                <w:sz w:val="23"/>
                <w:szCs w:val="23"/>
                <w:b w:val="1"/>
                <w:bCs w:val="1"/>
                <w:color w:val="auto"/>
                <w:w w:val="88"/>
                <w:vertAlign w:val="superscript"/>
              </w:rPr>
              <w:t>(1)</w:t>
            </w:r>
          </w:p>
        </w:tc>
      </w:tr>
      <w:tr>
        <w:trPr>
          <w:trHeight w:val="264"/>
        </w:trPr>
        <w:tc>
          <w:tcPr>
            <w:tcW w:w="3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Common Stock, $0.01 par value per share</w:t>
            </w:r>
          </w:p>
        </w:tc>
        <w:tc>
          <w:tcPr>
            <w:tcW w:w="13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5"/>
                <w:szCs w:val="15"/>
                <w:color w:val="auto"/>
              </w:rPr>
              <w:t>18,645,602</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$42.26</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$787,963,141</w:t>
            </w:r>
          </w:p>
        </w:tc>
        <w:tc>
          <w:tcPr>
            <w:tcW w:w="1540" w:type="dxa"/>
            <w:vAlign w:val="bottom"/>
            <w:tcBorders>
              <w:bottom w:val="single" w:sz="8" w:color="auto"/>
            </w:tcBorders>
          </w:tcPr>
          <w:p>
            <w:pPr>
              <w:jc w:val="right"/>
              <w:ind w:right="327"/>
              <w:spacing w:after="0" w:line="264" w:lineRule="exact"/>
              <w:rPr>
                <w:sz w:val="20"/>
                <w:szCs w:val="20"/>
                <w:color w:val="auto"/>
              </w:rPr>
            </w:pPr>
            <w:r>
              <w:rPr>
                <w:rFonts w:ascii="Arial" w:cs="Arial" w:eastAsia="Arial" w:hAnsi="Arial"/>
                <w:sz w:val="15"/>
                <w:szCs w:val="15"/>
                <w:color w:val="auto"/>
              </w:rPr>
              <w:t>$85,967</w:t>
            </w:r>
            <w:r>
              <w:rPr>
                <w:rFonts w:ascii="Arial" w:cs="Arial" w:eastAsia="Arial" w:hAnsi="Arial"/>
                <w:sz w:val="24"/>
                <w:szCs w:val="24"/>
                <w:color w:val="auto"/>
                <w:vertAlign w:val="superscript"/>
              </w:rPr>
              <w:t>(1)</w:t>
            </w:r>
          </w:p>
        </w:tc>
      </w:tr>
      <w:tr>
        <w:trPr>
          <w:trHeight w:val="61"/>
        </w:trPr>
        <w:tc>
          <w:tcPr>
            <w:tcW w:w="3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r>
    </w:tbl>
    <w:p>
      <w:pPr>
        <w:spacing w:after="0" w:line="40" w:lineRule="exact"/>
        <w:rPr>
          <w:sz w:val="24"/>
          <w:szCs w:val="24"/>
          <w:color w:val="auto"/>
        </w:rPr>
      </w:pPr>
    </w:p>
    <w:p>
      <w:pPr>
        <w:jc w:val="both"/>
        <w:ind w:left="360" w:hanging="356"/>
        <w:spacing w:after="0" w:line="230" w:lineRule="auto"/>
        <w:tabs>
          <w:tab w:leader="none" w:pos="36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determining the amount of the registration fee in accordance with Rule 457(c) under the Securities Act of 1933, as amended. The proposed maximum offering price per share and proposed maximum aggregate offering price are based on the average high and low prices of the registrant’s common stock on September 9, 2021 as reported on the Nasdaq Global Select Market.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44450</wp:posOffset>
            </wp:positionV>
            <wp:extent cx="10972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90" w:lineRule="exact"/>
        <w:rPr>
          <w:sz w:val="24"/>
          <w:szCs w:val="24"/>
          <w:color w:val="auto"/>
        </w:rPr>
      </w:pPr>
    </w:p>
    <w:p>
      <w:pPr>
        <w:ind w:right="40" w:firstLine="360"/>
        <w:spacing w:after="0" w:line="236"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315595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127000</wp:posOffset>
            </wp:positionV>
            <wp:extent cx="61722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186690</wp:posOffset>
            </wp:positionV>
            <wp:extent cx="617220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1" w:name="page2"/>
    <w:bookmarkEnd w:id="1"/>
    <w:p>
      <w:pPr>
        <w:ind w:left="4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400" w:right="439"/>
        <w:spacing w:after="0" w:line="244" w:lineRule="auto"/>
        <w:rPr>
          <w:sz w:val="20"/>
          <w:szCs w:val="20"/>
          <w:color w:val="auto"/>
        </w:rPr>
      </w:pPr>
      <w:r>
        <w:rPr>
          <w:rFonts w:ascii="Arial" w:cs="Arial" w:eastAsia="Arial" w:hAnsi="Arial"/>
          <w:sz w:val="18"/>
          <w:szCs w:val="18"/>
          <w:b w:val="1"/>
          <w:bCs w:val="1"/>
          <w:color w:val="FC0014"/>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nor a solicitation of an offer to buy these securities in any jurisdiction where the offer and sale is not permitted.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C0014"/>
        </w:rPr>
        <w:t>Subject to completion, dated September 13, 2021</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Preliminary Prospectus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18,645,602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260350</wp:posOffset>
            </wp:positionV>
            <wp:extent cx="1663065"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6306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Academy Sports and Outdoors, Inc.</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2294255</wp:posOffset>
            </wp:positionH>
            <wp:positionV relativeFrom="paragraph">
              <wp:posOffset>183515</wp:posOffset>
            </wp:positionV>
            <wp:extent cx="10972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400" w:right="559" w:firstLine="360"/>
        <w:spacing w:after="0" w:line="263" w:lineRule="auto"/>
        <w:rPr>
          <w:sz w:val="20"/>
          <w:szCs w:val="20"/>
          <w:color w:val="auto"/>
        </w:rPr>
      </w:pPr>
      <w:r>
        <w:rPr>
          <w:rFonts w:ascii="Arial" w:cs="Arial" w:eastAsia="Arial" w:hAnsi="Arial"/>
          <w:sz w:val="18"/>
          <w:szCs w:val="18"/>
          <w:color w:val="auto"/>
        </w:rPr>
        <w:t>The selling stockholders named in this prospectus are offering 18,645,602 shares of common stock of Academy Sports and Outdoors, Inc. We will not receive any proceeds from the sale of our common stock by the selling stockholders.</w:t>
      </w:r>
    </w:p>
    <w:p>
      <w:pPr>
        <w:spacing w:after="0" w:line="184" w:lineRule="exact"/>
        <w:rPr>
          <w:sz w:val="20"/>
          <w:szCs w:val="20"/>
          <w:color w:val="auto"/>
        </w:rPr>
      </w:pPr>
    </w:p>
    <w:p>
      <w:pPr>
        <w:ind w:left="400" w:right="579" w:firstLine="360"/>
        <w:spacing w:after="0" w:line="263" w:lineRule="auto"/>
        <w:rPr>
          <w:sz w:val="20"/>
          <w:szCs w:val="20"/>
          <w:color w:val="auto"/>
        </w:rPr>
      </w:pPr>
      <w:r>
        <w:rPr>
          <w:rFonts w:ascii="Arial" w:cs="Arial" w:eastAsia="Arial" w:hAnsi="Arial"/>
          <w:sz w:val="18"/>
          <w:szCs w:val="18"/>
          <w:color w:val="auto"/>
        </w:rPr>
        <w:t>Our common stock is listed on the Nasdaq Global Select Market, or Nasdaq, under the symbol “ASO.” On September 10, 2021, the closing sales price of our common stock as reported on the Nasdaq was $45.74 per share.</w:t>
      </w:r>
    </w:p>
    <w:p>
      <w:pPr>
        <w:spacing w:after="0" w:line="184" w:lineRule="exact"/>
        <w:rPr>
          <w:sz w:val="20"/>
          <w:szCs w:val="20"/>
          <w:color w:val="auto"/>
        </w:rPr>
      </w:pPr>
    </w:p>
    <w:p>
      <w:pPr>
        <w:ind w:left="400" w:right="439" w:firstLine="360"/>
        <w:spacing w:after="0" w:line="296" w:lineRule="auto"/>
        <w:rPr>
          <w:sz w:val="20"/>
          <w:szCs w:val="20"/>
          <w:color w:val="auto"/>
        </w:rPr>
      </w:pPr>
      <w:r>
        <w:rPr>
          <w:rFonts w:ascii="Arial" w:cs="Arial" w:eastAsia="Arial" w:hAnsi="Arial"/>
          <w:sz w:val="16"/>
          <w:szCs w:val="16"/>
          <w:color w:val="auto"/>
        </w:rPr>
        <w:t>Subject to the completion of the offering, we intend to concurrently repurchase from the underwriters, out of the aggregate 18,645,602 shares of our common stock that are the subject of the offering, a number of shares (rounded down to the nearest whole share) having an aggregate purchase price of up to $200 million. The price per share to be paid by us will equal the price at which the underwriters will purchase the shares from the selling stockholder in the offering. The offering is not conditioned upon the completion of the share repurchase.</w:t>
      </w:r>
    </w:p>
    <w:p>
      <w:pPr>
        <w:spacing w:after="0" w:line="157" w:lineRule="exact"/>
        <w:rPr>
          <w:sz w:val="20"/>
          <w:szCs w:val="20"/>
          <w:color w:val="auto"/>
        </w:rPr>
      </w:pPr>
    </w:p>
    <w:p>
      <w:pPr>
        <w:ind w:left="400" w:right="519" w:firstLine="36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common stock involves risks. See “Risk Factors” beginning on page </w:t>
      </w:r>
      <w:hyperlink w:anchor="page25">
        <w:r>
          <w:rPr>
            <w:rFonts w:ascii="Arial" w:cs="Arial" w:eastAsia="Arial" w:hAnsi="Arial"/>
            <w:sz w:val="18"/>
            <w:szCs w:val="18"/>
            <w:b w:val="1"/>
            <w:bCs w:val="1"/>
            <w:u w:val="single" w:color="auto"/>
            <w:color w:val="0000EE"/>
          </w:rPr>
          <w:t>18</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to read about factors you should consider before buying shares of our common stock.</w:t>
      </w:r>
    </w:p>
    <w:p>
      <w:pPr>
        <w:spacing w:after="0" w:line="162" w:lineRule="exact"/>
        <w:rPr>
          <w:sz w:val="20"/>
          <w:szCs w:val="20"/>
          <w:color w:val="auto"/>
        </w:rPr>
      </w:pPr>
    </w:p>
    <w:p>
      <w:pPr>
        <w:ind w:left="400" w:right="439"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or the SEC, nor any state securities commission has approved or disapproved of these securities or passed upon the adequacy or accuracy of this prospectus. Any representation to the contrary is a criminal offense.</w:t>
      </w:r>
    </w:p>
    <w:p>
      <w:pPr>
        <w:spacing w:after="0" w:line="132"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Price to</w:t>
            </w: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Underwriting</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Proceeds to</w:t>
            </w:r>
          </w:p>
        </w:tc>
        <w:tc>
          <w:tcPr>
            <w:tcW w:w="0" w:type="dxa"/>
            <w:vAlign w:val="bottom"/>
          </w:tcPr>
          <w:p>
            <w:pPr>
              <w:spacing w:after="0"/>
              <w:rPr>
                <w:sz w:val="1"/>
                <w:szCs w:val="1"/>
                <w:color w:val="auto"/>
              </w:rPr>
            </w:pPr>
          </w:p>
        </w:tc>
      </w:tr>
      <w:tr>
        <w:trPr>
          <w:trHeight w:val="145"/>
        </w:trPr>
        <w:tc>
          <w:tcPr>
            <w:tcW w:w="50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6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89"/>
              </w:rPr>
              <w:t>Discounts and</w:t>
            </w:r>
          </w:p>
        </w:tc>
        <w:tc>
          <w:tcPr>
            <w:tcW w:w="8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the Selling</w:t>
            </w:r>
          </w:p>
        </w:tc>
        <w:tc>
          <w:tcPr>
            <w:tcW w:w="0" w:type="dxa"/>
            <w:vAlign w:val="bottom"/>
          </w:tcPr>
          <w:p>
            <w:pPr>
              <w:spacing w:after="0"/>
              <w:rPr>
                <w:sz w:val="1"/>
                <w:szCs w:val="1"/>
                <w:color w:val="auto"/>
              </w:rPr>
            </w:pPr>
          </w:p>
        </w:tc>
      </w:tr>
      <w:tr>
        <w:trPr>
          <w:trHeight w:val="296"/>
        </w:trPr>
        <w:tc>
          <w:tcPr>
            <w:tcW w:w="5040" w:type="dxa"/>
            <w:vAlign w:val="bottom"/>
          </w:tcPr>
          <w:p>
            <w:pPr>
              <w:spacing w:after="0"/>
              <w:rPr>
                <w:sz w:val="24"/>
                <w:szCs w:val="2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Public</w:t>
            </w:r>
            <w:r>
              <w:rPr>
                <w:rFonts w:ascii="Arial" w:cs="Arial" w:eastAsia="Arial" w:hAnsi="Arial"/>
                <w:sz w:val="23"/>
                <w:szCs w:val="23"/>
                <w:b w:val="1"/>
                <w:bCs w:val="1"/>
                <w:color w:val="auto"/>
                <w:vertAlign w:val="superscript"/>
              </w:rPr>
              <w:t>(1)</w:t>
            </w: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Commissions</w:t>
            </w:r>
            <w:r>
              <w:rPr>
                <w:rFonts w:ascii="Arial" w:cs="Arial" w:eastAsia="Arial" w:hAnsi="Arial"/>
                <w:sz w:val="23"/>
                <w:szCs w:val="23"/>
                <w:b w:val="1"/>
                <w:bCs w:val="1"/>
                <w:color w:val="auto"/>
                <w:w w:val="85"/>
                <w:vertAlign w:val="superscript"/>
              </w:rPr>
              <w:t>(2)(3)</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331"/>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5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jc w:val="right"/>
              <w:ind w:right="621"/>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jc w:val="right"/>
              <w:ind w:right="4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50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5040" w:type="dxa"/>
            <w:vAlign w:val="bottom"/>
          </w:tcPr>
          <w:p>
            <w:pPr>
              <w:spacing w:after="0"/>
              <w:rPr>
                <w:sz w:val="20"/>
                <w:szCs w:val="20"/>
                <w:color w:val="auto"/>
              </w:rPr>
            </w:pPr>
            <w:r>
              <w:rPr>
                <w:rFonts w:ascii="Arial" w:cs="Arial" w:eastAsia="Arial" w:hAnsi="Arial"/>
                <w:sz w:val="18"/>
                <w:szCs w:val="18"/>
                <w:color w:val="auto"/>
              </w:rPr>
              <w:t>Total</w:t>
            </w: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100" w:type="dxa"/>
            <w:vAlign w:val="bottom"/>
          </w:tcPr>
          <w:p>
            <w:pPr>
              <w:jc w:val="right"/>
              <w:ind w:right="62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800" w:type="dxa"/>
            <w:vAlign w:val="bottom"/>
          </w:tcPr>
          <w:p>
            <w:pPr>
              <w:jc w:val="right"/>
              <w:ind w:right="4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4728845</wp:posOffset>
            </wp:positionH>
            <wp:positionV relativeFrom="paragraph">
              <wp:posOffset>-496570</wp:posOffset>
            </wp:positionV>
            <wp:extent cx="2228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-496570</wp:posOffset>
            </wp:positionV>
            <wp:extent cx="2228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-496570</wp:posOffset>
            </wp:positionV>
            <wp:extent cx="1111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128905</wp:posOffset>
            </wp:positionV>
            <wp:extent cx="8229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ectPr>
          <w:pgSz w:w="11900" w:h="16838" w:orient="portrait"/>
          <w:cols w:equalWidth="0" w:num="1">
            <w:col w:w="9019"/>
          </w:cols>
          <w:pgMar w:left="1440" w:top="265" w:right="1440" w:bottom="717" w:gutter="0" w:footer="0" w:header="0"/>
        </w:sectPr>
      </w:pPr>
    </w:p>
    <w:p>
      <w:pPr>
        <w:spacing w:after="0" w:line="251" w:lineRule="exact"/>
        <w:rPr>
          <w:sz w:val="20"/>
          <w:szCs w:val="20"/>
          <w:color w:val="auto"/>
        </w:rPr>
      </w:pPr>
    </w:p>
    <w:p>
      <w:pPr>
        <w:ind w:left="760" w:hanging="360"/>
        <w:spacing w:after="0" w:line="281" w:lineRule="auto"/>
        <w:tabs>
          <w:tab w:leader="none" w:pos="76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public offering price for the from the underwriters was $</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ind w:right="439" w:firstLine="269"/>
        <w:spacing w:after="0" w:line="253" w:lineRule="auto"/>
        <w:rPr>
          <w:sz w:val="20"/>
          <w:szCs w:val="20"/>
          <w:color w:val="auto"/>
        </w:rPr>
      </w:pPr>
      <w:r>
        <w:rPr>
          <w:rFonts w:ascii="Arial" w:cs="Arial" w:eastAsia="Arial" w:hAnsi="Arial"/>
          <w:sz w:val="14"/>
          <w:szCs w:val="14"/>
          <w:color w:val="auto"/>
        </w:rPr>
        <w:t>shares offered to the public was $ per share. The price for the shares we intend to repurchase per share.</w:t>
      </w:r>
    </w:p>
    <w:p>
      <w:pPr>
        <w:spacing w:after="0" w:line="11" w:lineRule="exact"/>
        <w:rPr>
          <w:sz w:val="20"/>
          <w:szCs w:val="20"/>
          <w:color w:val="auto"/>
        </w:rPr>
      </w:pPr>
    </w:p>
    <w:p>
      <w:pPr>
        <w:sectPr>
          <w:pgSz w:w="11900" w:h="16838" w:orient="portrait"/>
          <w:cols w:equalWidth="0" w:num="2">
            <w:col w:w="2600" w:space="100"/>
            <w:col w:w="6319"/>
          </w:cols>
          <w:pgMar w:left="1440" w:top="265" w:right="1440" w:bottom="717" w:gutter="0" w:footer="0" w:header="0"/>
          <w:type w:val="continuous"/>
        </w:sectPr>
      </w:pPr>
    </w:p>
    <w:p>
      <w:pPr>
        <w:ind w:left="400"/>
        <w:spacing w:after="0"/>
        <w:tabs>
          <w:tab w:leader="none" w:pos="740" w:val="left"/>
          <w:tab w:leader="none" w:pos="3040" w:val="left"/>
          <w:tab w:leader="none" w:pos="5280" w:val="left"/>
        </w:tabs>
        <w:rPr>
          <w:sz w:val="20"/>
          <w:szCs w:val="20"/>
          <w:color w:val="auto"/>
        </w:rPr>
      </w:pPr>
      <w:r>
        <w:rPr>
          <w:rFonts w:ascii="Arial" w:cs="Arial" w:eastAsia="Arial" w:hAnsi="Arial"/>
          <w:sz w:val="14"/>
          <w:szCs w:val="14"/>
          <w:color w:val="auto"/>
        </w:rPr>
        <w:t>(2)</w:t>
        <w:tab/>
        <w:t>The underwriting discount for the</w:t>
      </w:r>
      <w:r>
        <w:rPr>
          <w:sz w:val="20"/>
          <w:szCs w:val="20"/>
          <w:color w:val="auto"/>
        </w:rPr>
        <w:tab/>
      </w:r>
      <w:r>
        <w:rPr>
          <w:rFonts w:ascii="Arial" w:cs="Arial" w:eastAsia="Arial" w:hAnsi="Arial"/>
          <w:sz w:val="14"/>
          <w:szCs w:val="14"/>
          <w:color w:val="auto"/>
        </w:rPr>
        <w:t>shares offered to the public was $</w:t>
      </w:r>
      <w:r>
        <w:rPr>
          <w:sz w:val="20"/>
          <w:szCs w:val="20"/>
          <w:color w:val="auto"/>
        </w:rPr>
        <w:tab/>
      </w:r>
      <w:r>
        <w:rPr>
          <w:rFonts w:ascii="Arial" w:cs="Arial" w:eastAsia="Arial" w:hAnsi="Arial"/>
          <w:sz w:val="13"/>
          <w:szCs w:val="13"/>
          <w:color w:val="auto"/>
        </w:rPr>
        <w:t>per share. No underwriting discount or commissions will</w:t>
      </w:r>
    </w:p>
    <w:p>
      <w:pPr>
        <w:ind w:left="760"/>
        <w:spacing w:after="0"/>
        <w:tabs>
          <w:tab w:leader="none" w:pos="3720" w:val="left"/>
        </w:tabs>
        <w:rPr>
          <w:sz w:val="20"/>
          <w:szCs w:val="20"/>
          <w:color w:val="auto"/>
        </w:rPr>
      </w:pPr>
      <w:r>
        <w:rPr>
          <w:rFonts w:ascii="Arial" w:cs="Arial" w:eastAsia="Arial" w:hAnsi="Arial"/>
          <w:sz w:val="14"/>
          <w:szCs w:val="14"/>
          <w:color w:val="auto"/>
        </w:rPr>
        <w:t>be paid to the underwriters with respect to the</w:t>
      </w:r>
      <w:r>
        <w:rPr>
          <w:sz w:val="20"/>
          <w:szCs w:val="20"/>
          <w:color w:val="auto"/>
        </w:rPr>
        <w:tab/>
      </w:r>
      <w:r>
        <w:rPr>
          <w:rFonts w:ascii="Arial" w:cs="Arial" w:eastAsia="Arial" w:hAnsi="Arial"/>
          <w:sz w:val="12"/>
          <w:szCs w:val="12"/>
          <w:color w:val="auto"/>
        </w:rPr>
        <w:t>shares we intend to repurchase.</w:t>
      </w:r>
    </w:p>
    <w:p>
      <w:pPr>
        <w:spacing w:after="0" w:line="30" w:lineRule="exact"/>
        <w:rPr>
          <w:sz w:val="20"/>
          <w:szCs w:val="20"/>
          <w:color w:val="auto"/>
        </w:rPr>
      </w:pPr>
    </w:p>
    <w:p>
      <w:pPr>
        <w:ind w:left="760" w:hanging="360"/>
        <w:spacing w:after="0"/>
        <w:tabs>
          <w:tab w:leader="none" w:pos="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See “Underwriting (Conflicts of Interest)” for additional information regarding underwriting compensation.</w:t>
      </w:r>
    </w:p>
    <w:p>
      <w:pPr>
        <w:spacing w:after="0" w:line="221" w:lineRule="exact"/>
        <w:rPr>
          <w:sz w:val="20"/>
          <w:szCs w:val="20"/>
          <w:color w:val="auto"/>
        </w:rPr>
      </w:pPr>
    </w:p>
    <w:p>
      <w:pPr>
        <w:ind w:left="2000"/>
        <w:spacing w:after="0"/>
        <w:tabs>
          <w:tab w:leader="none" w:pos="6500" w:val="left"/>
        </w:tabs>
        <w:rPr>
          <w:sz w:val="20"/>
          <w:szCs w:val="20"/>
          <w:color w:val="auto"/>
        </w:rPr>
      </w:pPr>
      <w:r>
        <w:rPr>
          <w:rFonts w:ascii="Arial" w:cs="Arial" w:eastAsia="Arial" w:hAnsi="Arial"/>
          <w:sz w:val="18"/>
          <w:szCs w:val="18"/>
          <w:color w:val="auto"/>
        </w:rPr>
        <w:t>The underwriters expect to deliver the shares on or about</w:t>
      </w:r>
      <w:r>
        <w:rPr>
          <w:sz w:val="20"/>
          <w:szCs w:val="20"/>
          <w:color w:val="auto"/>
        </w:rPr>
        <w:tab/>
      </w:r>
      <w:r>
        <w:rPr>
          <w:rFonts w:ascii="Arial" w:cs="Arial" w:eastAsia="Arial" w:hAnsi="Arial"/>
          <w:sz w:val="15"/>
          <w:szCs w:val="15"/>
          <w:color w:val="auto"/>
        </w:rPr>
        <w:t>, 2021.</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Bookrunners</w:t>
      </w:r>
    </w:p>
    <w:p>
      <w:pPr>
        <w:spacing w:after="0" w:line="248" w:lineRule="exact"/>
        <w:rPr>
          <w:sz w:val="20"/>
          <w:szCs w:val="20"/>
          <w:color w:val="auto"/>
        </w:rPr>
      </w:pPr>
    </w:p>
    <w:p>
      <w:pPr>
        <w:ind w:left="540"/>
        <w:spacing w:after="0"/>
        <w:tabs>
          <w:tab w:leader="none" w:pos="7320" w:val="left"/>
        </w:tabs>
        <w:rPr>
          <w:sz w:val="20"/>
          <w:szCs w:val="20"/>
          <w:color w:val="auto"/>
        </w:rPr>
      </w:pPr>
      <w:r>
        <w:rPr>
          <w:rFonts w:ascii="Arial" w:cs="Arial" w:eastAsia="Arial" w:hAnsi="Arial"/>
          <w:sz w:val="29"/>
          <w:szCs w:val="29"/>
          <w:b w:val="1"/>
          <w:bCs w:val="1"/>
          <w:color w:val="auto"/>
        </w:rPr>
        <w:t>Credit Suisse</w:t>
      </w:r>
      <w:r>
        <w:rPr>
          <w:sz w:val="20"/>
          <w:szCs w:val="20"/>
          <w:color w:val="auto"/>
        </w:rPr>
        <w:tab/>
      </w:r>
      <w:r>
        <w:rPr>
          <w:rFonts w:ascii="Arial" w:cs="Arial" w:eastAsia="Arial" w:hAnsi="Arial"/>
          <w:sz w:val="26"/>
          <w:szCs w:val="26"/>
          <w:b w:val="1"/>
          <w:bCs w:val="1"/>
          <w:color w:val="auto"/>
        </w:rPr>
        <w:t>BofA</w:t>
      </w:r>
    </w:p>
    <w:p>
      <w:pPr>
        <w:spacing w:after="0" w:line="36" w:lineRule="exact"/>
        <w:rPr>
          <w:sz w:val="20"/>
          <w:szCs w:val="20"/>
          <w:color w:val="auto"/>
        </w:rPr>
      </w:pPr>
    </w:p>
    <w:p>
      <w:pPr>
        <w:ind w:left="3120"/>
        <w:spacing w:after="0"/>
        <w:tabs>
          <w:tab w:leader="none" w:pos="4780" w:val="left"/>
          <w:tab w:leader="none" w:pos="7040" w:val="left"/>
        </w:tabs>
        <w:rPr>
          <w:sz w:val="20"/>
          <w:szCs w:val="20"/>
          <w:color w:val="auto"/>
        </w:rPr>
      </w:pPr>
      <w:r>
        <w:rPr>
          <w:rFonts w:ascii="Arial" w:cs="Arial" w:eastAsia="Arial" w:hAnsi="Arial"/>
          <w:sz w:val="29"/>
          <w:szCs w:val="29"/>
          <w:b w:val="1"/>
          <w:bCs w:val="1"/>
          <w:color w:val="auto"/>
        </w:rPr>
        <w:t>KKR</w:t>
      </w:r>
      <w:r>
        <w:rPr>
          <w:sz w:val="20"/>
          <w:szCs w:val="20"/>
          <w:color w:val="auto"/>
        </w:rPr>
        <w:tab/>
      </w:r>
      <w:r>
        <w:rPr>
          <w:rFonts w:ascii="Arial" w:cs="Arial" w:eastAsia="Arial" w:hAnsi="Arial"/>
          <w:sz w:val="29"/>
          <w:szCs w:val="29"/>
          <w:b w:val="1"/>
          <w:bCs w:val="1"/>
          <w:color w:val="auto"/>
        </w:rPr>
        <w:t>J.P. Morgan</w:t>
      </w:r>
      <w:r>
        <w:rPr>
          <w:sz w:val="20"/>
          <w:szCs w:val="20"/>
          <w:color w:val="auto"/>
        </w:rPr>
        <w:tab/>
      </w:r>
      <w:r>
        <w:rPr>
          <w:rFonts w:ascii="Arial" w:cs="Arial" w:eastAsia="Arial" w:hAnsi="Arial"/>
          <w:sz w:val="25"/>
          <w:szCs w:val="25"/>
          <w:b w:val="1"/>
          <w:bCs w:val="1"/>
          <w:color w:val="auto"/>
        </w:rPr>
        <w:t>Securities</w:t>
      </w:r>
    </w:p>
    <w:p>
      <w:pPr>
        <w:sectPr>
          <w:pgSz w:w="11900" w:h="16838" w:orient="portrait"/>
          <w:cols w:equalWidth="0" w:num="1">
            <w:col w:w="9019"/>
          </w:cols>
          <w:pgMar w:left="1440" w:top="265" w:right="1440" w:bottom="71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940"/>
        <w:spacing w:after="0"/>
        <w:tabs>
          <w:tab w:leader="none" w:pos="5560" w:val="left"/>
        </w:tabs>
        <w:rPr>
          <w:sz w:val="20"/>
          <w:szCs w:val="20"/>
          <w:color w:val="auto"/>
        </w:rPr>
      </w:pPr>
      <w:r>
        <w:rPr>
          <w:rFonts w:ascii="Arial" w:cs="Arial" w:eastAsia="Arial" w:hAnsi="Arial"/>
          <w:sz w:val="18"/>
          <w:szCs w:val="18"/>
          <w:b w:val="1"/>
          <w:bCs w:val="1"/>
          <w:color w:val="auto"/>
        </w:rPr>
        <w:t>The date of this prospectus is</w:t>
      </w:r>
      <w:r>
        <w:rPr>
          <w:sz w:val="20"/>
          <w:szCs w:val="20"/>
          <w:color w:val="auto"/>
        </w:rPr>
        <w:tab/>
      </w:r>
      <w:r>
        <w:rPr>
          <w:rFonts w:ascii="Arial" w:cs="Arial" w:eastAsia="Arial" w:hAnsi="Arial"/>
          <w:sz w:val="15"/>
          <w:szCs w:val="15"/>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717" w:gutter="0" w:footer="0" w:header="0"/>
          <w:type w:val="continuous"/>
        </w:sectPr>
      </w:pPr>
    </w:p>
    <w:bookmarkStart w:id="2" w:name="page3"/>
    <w:bookmarkEnd w:id="2"/>
    <w:tbl>
      <w:tblPr>
        <w:tblLayout w:type="fixed"/>
        <w:tblInd w:w="300" w:type="dxa"/>
        <w:tblCellMar>
          <w:top w:w="0" w:type="dxa"/>
          <w:left w:w="0" w:type="dxa"/>
          <w:bottom w:w="0" w:type="dxa"/>
          <w:right w:w="0" w:type="dxa"/>
        </w:tblCellMar>
      </w:tblPr>
      <w:tr>
        <w:trPr>
          <w:trHeight w:val="161"/>
        </w:trPr>
        <w:tc>
          <w:tcPr>
            <w:tcW w:w="8300" w:type="dxa"/>
            <w:vAlign w:val="bottom"/>
            <w:gridSpan w:val="19"/>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44"/>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40" w:type="dxa"/>
            <w:vAlign w:val="bottom"/>
            <w:gridSpan w:val="3"/>
          </w:tcPr>
          <w:p>
            <w:pPr>
              <w:ind w:left="38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83"/>
        </w:trPr>
        <w:tc>
          <w:tcPr>
            <w:tcW w:w="8300" w:type="dxa"/>
            <w:vAlign w:val="bottom"/>
            <w:tcBorders>
              <w:right w:val="single" w:sz="8" w:color="CCEEFF"/>
            </w:tcBorders>
            <w:gridSpan w:val="19"/>
            <w:shd w:val="clear" w:color="auto" w:fill="CCEEFF"/>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Industry and Market Data</w:t>
              </w:r>
            </w:hyperlink>
          </w:p>
        </w:tc>
        <w:tc>
          <w:tcPr>
            <w:tcW w:w="120" w:type="dxa"/>
            <w:vAlign w:val="bottom"/>
            <w:gridSpan w:val="2"/>
            <w:shd w:val="clear" w:color="auto" w:fill="CCEEFF"/>
          </w:tcPr>
          <w:p>
            <w:pPr>
              <w:jc w:val="right"/>
              <w:ind w:right="2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ii</w:t>
              </w:r>
            </w:hyperlink>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3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Trademarks, Tradenames, Service Marks and Copyrights</w:t>
              </w:r>
            </w:hyperlink>
          </w:p>
        </w:tc>
        <w:tc>
          <w:tcPr>
            <w:tcW w:w="120" w:type="dxa"/>
            <w:vAlign w:val="bottom"/>
            <w:gridSpan w:val="2"/>
          </w:tcPr>
          <w:p>
            <w:pPr>
              <w:jc w:val="right"/>
              <w:ind w:right="2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ii</w:t>
              </w:r>
            </w:hyperlink>
          </w:p>
        </w:tc>
      </w:tr>
      <w:tr>
        <w:trPr>
          <w:trHeight w:val="74"/>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240" w:type="dxa"/>
            <w:vAlign w:val="bottom"/>
            <w:tcBorders>
              <w:top w:val="single" w:sz="8" w:color="0000EE"/>
            </w:tcBorders>
          </w:tcPr>
          <w:p>
            <w:pPr>
              <w:spacing w:after="0"/>
              <w:rPr>
                <w:sz w:val="6"/>
                <w:szCs w:val="6"/>
                <w:color w:val="auto"/>
              </w:rPr>
            </w:pPr>
          </w:p>
        </w:tc>
        <w:tc>
          <w:tcPr>
            <w:tcW w:w="17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300" w:type="dxa"/>
            <w:vAlign w:val="bottom"/>
            <w:tcBorders>
              <w:right w:val="single" w:sz="8" w:color="CCEEFF"/>
            </w:tcBorders>
            <w:gridSpan w:val="19"/>
            <w:shd w:val="clear" w:color="auto" w:fill="CCEEFF"/>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Basis of Presentation</w:t>
              </w:r>
            </w:hyperlink>
          </w:p>
        </w:tc>
        <w:tc>
          <w:tcPr>
            <w:tcW w:w="120" w:type="dxa"/>
            <w:vAlign w:val="bottom"/>
            <w:gridSpan w:val="2"/>
            <w:shd w:val="clear" w:color="auto" w:fill="CCEEFF"/>
          </w:tcPr>
          <w:p>
            <w:pPr>
              <w:jc w:val="right"/>
              <w:ind w:right="20"/>
              <w:spacing w:after="0"/>
              <w:rPr>
                <w:rFonts w:ascii="Arial" w:cs="Arial" w:eastAsia="Arial" w:hAnsi="Arial"/>
                <w:sz w:val="17"/>
                <w:szCs w:val="17"/>
                <w:color w:val="0000EE"/>
                <w:w w:val="70"/>
              </w:rPr>
            </w:pPr>
            <w:hyperlink w:anchor="page5">
              <w:r>
                <w:rPr>
                  <w:rFonts w:ascii="Arial" w:cs="Arial" w:eastAsia="Arial" w:hAnsi="Arial"/>
                  <w:sz w:val="17"/>
                  <w:szCs w:val="17"/>
                  <w:color w:val="0000EE"/>
                  <w:w w:val="70"/>
                </w:rPr>
                <w:t>iii</w:t>
              </w:r>
            </w:hyperlink>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30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Non-GAAP Financial Measures</w:t>
              </w:r>
            </w:hyperlink>
          </w:p>
        </w:tc>
        <w:tc>
          <w:tcPr>
            <w:tcW w:w="120" w:type="dxa"/>
            <w:vAlign w:val="bottom"/>
            <w:gridSpan w:val="2"/>
          </w:tcPr>
          <w:p>
            <w:pPr>
              <w:jc w:val="right"/>
              <w:ind w:right="20"/>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v</w:t>
              </w:r>
            </w:hyperlink>
          </w:p>
        </w:tc>
      </w:tr>
      <w:tr>
        <w:trPr>
          <w:trHeight w:val="74"/>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300" w:type="dxa"/>
            <w:vAlign w:val="bottom"/>
            <w:tcBorders>
              <w:right w:val="single" w:sz="8" w:color="CCEEFF"/>
            </w:tcBorders>
            <w:gridSpan w:val="19"/>
            <w:shd w:val="clear" w:color="auto" w:fill="CCEEFF"/>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Summary</w:t>
              </w:r>
            </w:hyperlink>
          </w:p>
        </w:tc>
        <w:tc>
          <w:tcPr>
            <w:tcW w:w="100" w:type="dxa"/>
            <w:vAlign w:val="bottom"/>
            <w:shd w:val="clear" w:color="auto" w:fill="CCEEFF"/>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1</w:t>
              </w:r>
            </w:hyperlink>
          </w:p>
        </w:tc>
        <w:tc>
          <w:tcPr>
            <w:tcW w:w="20" w:type="dxa"/>
            <w:vAlign w:val="bottom"/>
            <w:shd w:val="clear" w:color="auto" w:fill="CCEEFF"/>
          </w:tcPr>
          <w:p>
            <w:pPr>
              <w:spacing w:after="0"/>
              <w:rPr>
                <w:sz w:val="19"/>
                <w:szCs w:val="19"/>
                <w:color w:val="auto"/>
              </w:rPr>
            </w:pP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30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120" w:type="dxa"/>
            <w:vAlign w:val="bottom"/>
            <w:gridSpan w:val="2"/>
          </w:tcPr>
          <w:p>
            <w:pPr>
              <w:jc w:val="right"/>
              <w:ind w:right="20"/>
              <w:spacing w:after="0"/>
              <w:rPr>
                <w:rFonts w:ascii="Arial" w:cs="Arial" w:eastAsia="Arial" w:hAnsi="Arial"/>
                <w:sz w:val="10"/>
                <w:szCs w:val="10"/>
                <w:color w:val="0000EE"/>
                <w:w w:val="71"/>
              </w:rPr>
            </w:pPr>
            <w:hyperlink w:anchor="page25">
              <w:r>
                <w:rPr>
                  <w:rFonts w:ascii="Arial" w:cs="Arial" w:eastAsia="Arial" w:hAnsi="Arial"/>
                  <w:sz w:val="10"/>
                  <w:szCs w:val="10"/>
                  <w:color w:val="0000EE"/>
                  <w:w w:val="71"/>
                </w:rPr>
                <w:t>18</w:t>
              </w:r>
            </w:hyperlink>
          </w:p>
        </w:tc>
      </w:tr>
      <w:tr>
        <w:trPr>
          <w:trHeight w:val="75"/>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300" w:type="dxa"/>
            <w:vAlign w:val="bottom"/>
            <w:tcBorders>
              <w:right w:val="single" w:sz="8" w:color="CCEEFF"/>
            </w:tcBorders>
            <w:gridSpan w:val="19"/>
            <w:shd w:val="clear" w:color="auto" w:fill="CCEEFF"/>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Forward-Looking Statements</w:t>
              </w:r>
            </w:hyperlink>
          </w:p>
        </w:tc>
        <w:tc>
          <w:tcPr>
            <w:tcW w:w="120" w:type="dxa"/>
            <w:vAlign w:val="bottom"/>
            <w:gridSpan w:val="2"/>
            <w:shd w:val="clear" w:color="auto" w:fill="CCEEFF"/>
          </w:tcPr>
          <w:p>
            <w:pPr>
              <w:jc w:val="right"/>
              <w:ind w:right="20"/>
              <w:spacing w:after="0"/>
              <w:rPr>
                <w:rFonts w:ascii="Arial" w:cs="Arial" w:eastAsia="Arial" w:hAnsi="Arial"/>
                <w:sz w:val="10"/>
                <w:szCs w:val="10"/>
                <w:color w:val="0000EE"/>
                <w:w w:val="71"/>
              </w:rPr>
            </w:pPr>
            <w:hyperlink w:anchor="page30">
              <w:r>
                <w:rPr>
                  <w:rFonts w:ascii="Arial" w:cs="Arial" w:eastAsia="Arial" w:hAnsi="Arial"/>
                  <w:sz w:val="10"/>
                  <w:szCs w:val="10"/>
                  <w:color w:val="0000EE"/>
                  <w:w w:val="71"/>
                </w:rPr>
                <w:t>23</w:t>
              </w:r>
            </w:hyperlink>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300" w:type="dxa"/>
            <w:vAlign w:val="bottom"/>
            <w:gridSpan w:val="1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Use of Proceeds</w:t>
              </w:r>
            </w:hyperlink>
          </w:p>
        </w:tc>
        <w:tc>
          <w:tcPr>
            <w:tcW w:w="120" w:type="dxa"/>
            <w:vAlign w:val="bottom"/>
            <w:gridSpan w:val="2"/>
          </w:tcPr>
          <w:p>
            <w:pPr>
              <w:jc w:val="right"/>
              <w:ind w:right="20"/>
              <w:spacing w:after="0"/>
              <w:rPr>
                <w:rFonts w:ascii="Arial" w:cs="Arial" w:eastAsia="Arial" w:hAnsi="Arial"/>
                <w:sz w:val="10"/>
                <w:szCs w:val="10"/>
                <w:color w:val="0000EE"/>
                <w:w w:val="71"/>
              </w:rPr>
            </w:pPr>
            <w:hyperlink w:anchor="page32">
              <w:r>
                <w:rPr>
                  <w:rFonts w:ascii="Arial" w:cs="Arial" w:eastAsia="Arial" w:hAnsi="Arial"/>
                  <w:sz w:val="10"/>
                  <w:szCs w:val="10"/>
                  <w:color w:val="0000EE"/>
                  <w:w w:val="71"/>
                </w:rPr>
                <w:t>25</w:t>
              </w:r>
            </w:hyperlink>
          </w:p>
        </w:tc>
      </w:tr>
      <w:tr>
        <w:trPr>
          <w:trHeight w:val="74"/>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300" w:type="dxa"/>
            <w:vAlign w:val="bottom"/>
            <w:tcBorders>
              <w:right w:val="single" w:sz="8" w:color="CCEEFF"/>
            </w:tcBorders>
            <w:gridSpan w:val="19"/>
            <w:shd w:val="clear" w:color="auto" w:fill="CCEEFF"/>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Dividend Policy</w:t>
              </w:r>
            </w:hyperlink>
          </w:p>
        </w:tc>
        <w:tc>
          <w:tcPr>
            <w:tcW w:w="120" w:type="dxa"/>
            <w:vAlign w:val="bottom"/>
            <w:gridSpan w:val="2"/>
            <w:shd w:val="clear" w:color="auto" w:fill="CCEEFF"/>
          </w:tcPr>
          <w:p>
            <w:pPr>
              <w:jc w:val="right"/>
              <w:ind w:right="20"/>
              <w:spacing w:after="0"/>
              <w:rPr>
                <w:rFonts w:ascii="Arial" w:cs="Arial" w:eastAsia="Arial" w:hAnsi="Arial"/>
                <w:sz w:val="10"/>
                <w:szCs w:val="10"/>
                <w:color w:val="0000EE"/>
                <w:w w:val="71"/>
              </w:rPr>
            </w:pPr>
            <w:hyperlink w:anchor="page33">
              <w:r>
                <w:rPr>
                  <w:rFonts w:ascii="Arial" w:cs="Arial" w:eastAsia="Arial" w:hAnsi="Arial"/>
                  <w:sz w:val="10"/>
                  <w:szCs w:val="10"/>
                  <w:color w:val="0000EE"/>
                  <w:w w:val="71"/>
                </w:rPr>
                <w:t>26</w:t>
              </w:r>
            </w:hyperlink>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30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Selling Stockholders</w:t>
              </w:r>
            </w:hyperlink>
          </w:p>
        </w:tc>
        <w:tc>
          <w:tcPr>
            <w:tcW w:w="120" w:type="dxa"/>
            <w:vAlign w:val="bottom"/>
            <w:gridSpan w:val="2"/>
          </w:tcPr>
          <w:p>
            <w:pPr>
              <w:jc w:val="right"/>
              <w:ind w:right="20"/>
              <w:spacing w:after="0"/>
              <w:rPr>
                <w:rFonts w:ascii="Arial" w:cs="Arial" w:eastAsia="Arial" w:hAnsi="Arial"/>
                <w:sz w:val="10"/>
                <w:szCs w:val="10"/>
                <w:color w:val="0000EE"/>
                <w:w w:val="71"/>
              </w:rPr>
            </w:pPr>
            <w:hyperlink w:anchor="page34">
              <w:r>
                <w:rPr>
                  <w:rFonts w:ascii="Arial" w:cs="Arial" w:eastAsia="Arial" w:hAnsi="Arial"/>
                  <w:sz w:val="10"/>
                  <w:szCs w:val="10"/>
                  <w:color w:val="0000EE"/>
                  <w:w w:val="71"/>
                </w:rPr>
                <w:t>27</w:t>
              </w:r>
            </w:hyperlink>
          </w:p>
        </w:tc>
      </w:tr>
      <w:tr>
        <w:trPr>
          <w:trHeight w:val="75"/>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300" w:type="dxa"/>
            <w:vAlign w:val="bottom"/>
            <w:tcBorders>
              <w:right w:val="single" w:sz="8" w:color="CCEEFF"/>
            </w:tcBorders>
            <w:gridSpan w:val="19"/>
            <w:shd w:val="clear" w:color="auto" w:fill="CCEEFF"/>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Description of Capital Stock</w:t>
              </w:r>
            </w:hyperlink>
          </w:p>
        </w:tc>
        <w:tc>
          <w:tcPr>
            <w:tcW w:w="120" w:type="dxa"/>
            <w:vAlign w:val="bottom"/>
            <w:gridSpan w:val="2"/>
            <w:shd w:val="clear" w:color="auto" w:fill="CCEEFF"/>
          </w:tcPr>
          <w:p>
            <w:pPr>
              <w:jc w:val="right"/>
              <w:ind w:right="20"/>
              <w:spacing w:after="0"/>
              <w:rPr>
                <w:rFonts w:ascii="Arial" w:cs="Arial" w:eastAsia="Arial" w:hAnsi="Arial"/>
                <w:sz w:val="10"/>
                <w:szCs w:val="10"/>
                <w:color w:val="0000EE"/>
                <w:w w:val="71"/>
              </w:rPr>
            </w:pPr>
            <w:hyperlink w:anchor="page35">
              <w:r>
                <w:rPr>
                  <w:rFonts w:ascii="Arial" w:cs="Arial" w:eastAsia="Arial" w:hAnsi="Arial"/>
                  <w:sz w:val="10"/>
                  <w:szCs w:val="10"/>
                  <w:color w:val="0000EE"/>
                  <w:w w:val="71"/>
                </w:rPr>
                <w:t>28</w:t>
              </w:r>
            </w:hyperlink>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300" w:type="dxa"/>
            <w:vAlign w:val="bottom"/>
            <w:gridSpan w:val="1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Shares Eligible for Future Sale</w:t>
              </w:r>
            </w:hyperlink>
          </w:p>
        </w:tc>
        <w:tc>
          <w:tcPr>
            <w:tcW w:w="120" w:type="dxa"/>
            <w:vAlign w:val="bottom"/>
            <w:gridSpan w:val="2"/>
          </w:tcPr>
          <w:p>
            <w:pPr>
              <w:jc w:val="right"/>
              <w:ind w:right="20"/>
              <w:spacing w:after="0"/>
              <w:rPr>
                <w:rFonts w:ascii="Arial" w:cs="Arial" w:eastAsia="Arial" w:hAnsi="Arial"/>
                <w:sz w:val="10"/>
                <w:szCs w:val="10"/>
                <w:color w:val="0000EE"/>
                <w:w w:val="71"/>
              </w:rPr>
            </w:pPr>
            <w:hyperlink w:anchor="page42">
              <w:r>
                <w:rPr>
                  <w:rFonts w:ascii="Arial" w:cs="Arial" w:eastAsia="Arial" w:hAnsi="Arial"/>
                  <w:sz w:val="10"/>
                  <w:szCs w:val="10"/>
                  <w:color w:val="0000EE"/>
                  <w:w w:val="71"/>
                </w:rPr>
                <w:t>35</w:t>
              </w:r>
            </w:hyperlink>
          </w:p>
        </w:tc>
      </w:tr>
      <w:tr>
        <w:trPr>
          <w:trHeight w:val="74"/>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300" w:type="dxa"/>
            <w:vAlign w:val="bottom"/>
            <w:tcBorders>
              <w:right w:val="single" w:sz="8" w:color="CCEEFF"/>
            </w:tcBorders>
            <w:gridSpan w:val="19"/>
            <w:shd w:val="clear" w:color="auto" w:fill="CCEEFF"/>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Material U.S. Federal Income and Estate Tax Consequences to Non-U.S. Holders</w:t>
              </w:r>
            </w:hyperlink>
          </w:p>
        </w:tc>
        <w:tc>
          <w:tcPr>
            <w:tcW w:w="120" w:type="dxa"/>
            <w:vAlign w:val="bottom"/>
            <w:gridSpan w:val="2"/>
            <w:shd w:val="clear" w:color="auto" w:fill="CCEEFF"/>
          </w:tcPr>
          <w:p>
            <w:pPr>
              <w:jc w:val="right"/>
              <w:ind w:right="20"/>
              <w:spacing w:after="0"/>
              <w:rPr>
                <w:rFonts w:ascii="Arial" w:cs="Arial" w:eastAsia="Arial" w:hAnsi="Arial"/>
                <w:sz w:val="10"/>
                <w:szCs w:val="10"/>
                <w:color w:val="0000EE"/>
                <w:w w:val="71"/>
              </w:rPr>
            </w:pPr>
            <w:hyperlink w:anchor="page44">
              <w:r>
                <w:rPr>
                  <w:rFonts w:ascii="Arial" w:cs="Arial" w:eastAsia="Arial" w:hAnsi="Arial"/>
                  <w:sz w:val="10"/>
                  <w:szCs w:val="10"/>
                  <w:color w:val="0000EE"/>
                  <w:w w:val="71"/>
                </w:rPr>
                <w:t>37</w:t>
              </w:r>
            </w:hyperlink>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240" w:type="dxa"/>
            <w:vAlign w:val="bottom"/>
            <w:tcBorders>
              <w:top w:val="single" w:sz="8" w:color="0000EE"/>
            </w:tcBorders>
            <w:shd w:val="clear" w:color="auto" w:fill="CCEEFF"/>
          </w:tcPr>
          <w:p>
            <w:pPr>
              <w:spacing w:after="0"/>
              <w:rPr>
                <w:sz w:val="6"/>
                <w:szCs w:val="6"/>
                <w:color w:val="auto"/>
              </w:rPr>
            </w:pPr>
          </w:p>
        </w:tc>
        <w:tc>
          <w:tcPr>
            <w:tcW w:w="1740" w:type="dxa"/>
            <w:vAlign w:val="bottom"/>
            <w:tcBorders>
              <w:top w:val="single" w:sz="8" w:color="0000EE"/>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300" w:type="dxa"/>
            <w:vAlign w:val="bottom"/>
            <w:gridSpan w:val="19"/>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Underwriting (Conflicts of Interest)</w:t>
              </w:r>
            </w:hyperlink>
          </w:p>
        </w:tc>
        <w:tc>
          <w:tcPr>
            <w:tcW w:w="120" w:type="dxa"/>
            <w:vAlign w:val="bottom"/>
            <w:gridSpan w:val="2"/>
          </w:tcPr>
          <w:p>
            <w:pPr>
              <w:jc w:val="right"/>
              <w:ind w:right="20"/>
              <w:spacing w:after="0"/>
              <w:rPr>
                <w:rFonts w:ascii="Arial" w:cs="Arial" w:eastAsia="Arial" w:hAnsi="Arial"/>
                <w:sz w:val="10"/>
                <w:szCs w:val="10"/>
                <w:color w:val="0000EE"/>
                <w:w w:val="71"/>
              </w:rPr>
            </w:pPr>
            <w:hyperlink w:anchor="page47">
              <w:r>
                <w:rPr>
                  <w:rFonts w:ascii="Arial" w:cs="Arial" w:eastAsia="Arial" w:hAnsi="Arial"/>
                  <w:sz w:val="10"/>
                  <w:szCs w:val="10"/>
                  <w:color w:val="0000EE"/>
                  <w:w w:val="71"/>
                </w:rPr>
                <w:t>40</w:t>
              </w:r>
            </w:hyperlink>
          </w:p>
        </w:tc>
      </w:tr>
      <w:tr>
        <w:trPr>
          <w:trHeight w:val="75"/>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300" w:type="dxa"/>
            <w:vAlign w:val="bottom"/>
            <w:tcBorders>
              <w:right w:val="single" w:sz="8" w:color="CCEEFF"/>
            </w:tcBorders>
            <w:gridSpan w:val="19"/>
            <w:shd w:val="clear" w:color="auto" w:fill="CCEEFF"/>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Legal Matters</w:t>
              </w:r>
            </w:hyperlink>
          </w:p>
        </w:tc>
        <w:tc>
          <w:tcPr>
            <w:tcW w:w="120" w:type="dxa"/>
            <w:vAlign w:val="bottom"/>
            <w:gridSpan w:val="2"/>
            <w:shd w:val="clear" w:color="auto" w:fill="CCEEFF"/>
          </w:tcPr>
          <w:p>
            <w:pPr>
              <w:jc w:val="right"/>
              <w:ind w:right="20"/>
              <w:spacing w:after="0"/>
              <w:rPr>
                <w:rFonts w:ascii="Arial" w:cs="Arial" w:eastAsia="Arial" w:hAnsi="Arial"/>
                <w:sz w:val="10"/>
                <w:szCs w:val="10"/>
                <w:color w:val="0000EE"/>
                <w:w w:val="71"/>
              </w:rPr>
            </w:pPr>
            <w:hyperlink w:anchor="page52">
              <w:r>
                <w:rPr>
                  <w:rFonts w:ascii="Arial" w:cs="Arial" w:eastAsia="Arial" w:hAnsi="Arial"/>
                  <w:sz w:val="10"/>
                  <w:szCs w:val="10"/>
                  <w:color w:val="0000EE"/>
                  <w:w w:val="71"/>
                </w:rPr>
                <w:t>45</w:t>
              </w:r>
            </w:hyperlink>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300" w:type="dxa"/>
            <w:vAlign w:val="bottom"/>
            <w:gridSpan w:val="1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Experts</w:t>
              </w:r>
            </w:hyperlink>
          </w:p>
        </w:tc>
        <w:tc>
          <w:tcPr>
            <w:tcW w:w="120" w:type="dxa"/>
            <w:vAlign w:val="bottom"/>
            <w:gridSpan w:val="2"/>
          </w:tcPr>
          <w:p>
            <w:pPr>
              <w:jc w:val="right"/>
              <w:ind w:right="20"/>
              <w:spacing w:after="0"/>
              <w:rPr>
                <w:rFonts w:ascii="Arial" w:cs="Arial" w:eastAsia="Arial" w:hAnsi="Arial"/>
                <w:sz w:val="10"/>
                <w:szCs w:val="10"/>
                <w:color w:val="0000EE"/>
                <w:w w:val="71"/>
              </w:rPr>
            </w:pPr>
            <w:hyperlink w:anchor="page52">
              <w:r>
                <w:rPr>
                  <w:rFonts w:ascii="Arial" w:cs="Arial" w:eastAsia="Arial" w:hAnsi="Arial"/>
                  <w:sz w:val="10"/>
                  <w:szCs w:val="10"/>
                  <w:color w:val="0000EE"/>
                  <w:w w:val="71"/>
                </w:rPr>
                <w:t>45</w:t>
              </w:r>
            </w:hyperlink>
          </w:p>
        </w:tc>
      </w:tr>
      <w:tr>
        <w:trPr>
          <w:trHeight w:val="74"/>
        </w:trPr>
        <w:tc>
          <w:tcPr>
            <w:tcW w:w="54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300" w:type="dxa"/>
            <w:vAlign w:val="bottom"/>
            <w:tcBorders>
              <w:right w:val="single" w:sz="8" w:color="CCEEFF"/>
            </w:tcBorders>
            <w:gridSpan w:val="19"/>
            <w:shd w:val="clear" w:color="auto" w:fill="CCEEFF"/>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Where You Can Find More Information</w:t>
              </w:r>
            </w:hyperlink>
          </w:p>
        </w:tc>
        <w:tc>
          <w:tcPr>
            <w:tcW w:w="120" w:type="dxa"/>
            <w:vAlign w:val="bottom"/>
            <w:gridSpan w:val="2"/>
            <w:shd w:val="clear" w:color="auto" w:fill="CCEEFF"/>
          </w:tcPr>
          <w:p>
            <w:pPr>
              <w:jc w:val="right"/>
              <w:ind w:right="20"/>
              <w:spacing w:after="0"/>
              <w:rPr>
                <w:rFonts w:ascii="Arial" w:cs="Arial" w:eastAsia="Arial" w:hAnsi="Arial"/>
                <w:sz w:val="10"/>
                <w:szCs w:val="10"/>
                <w:color w:val="0000EE"/>
                <w:w w:val="71"/>
              </w:rPr>
            </w:pPr>
            <w:hyperlink w:anchor="page52">
              <w:r>
                <w:rPr>
                  <w:rFonts w:ascii="Arial" w:cs="Arial" w:eastAsia="Arial" w:hAnsi="Arial"/>
                  <w:sz w:val="10"/>
                  <w:szCs w:val="10"/>
                  <w:color w:val="0000EE"/>
                  <w:w w:val="71"/>
                </w:rPr>
                <w:t>45</w:t>
              </w:r>
            </w:hyperlink>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980" w:type="dxa"/>
            <w:vAlign w:val="bottom"/>
            <w:gridSpan w:val="10"/>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Incorporation by Reference</w:t>
              </w:r>
            </w:hyperlink>
          </w:p>
        </w:tc>
        <w:tc>
          <w:tcPr>
            <w:tcW w:w="6320" w:type="dxa"/>
            <w:vAlign w:val="bottom"/>
            <w:gridSpan w:val="9"/>
          </w:tcPr>
          <w:p>
            <w:pPr>
              <w:spacing w:after="0"/>
              <w:rPr>
                <w:sz w:val="19"/>
                <w:szCs w:val="19"/>
                <w:color w:val="auto"/>
              </w:rPr>
            </w:pPr>
          </w:p>
        </w:tc>
        <w:tc>
          <w:tcPr>
            <w:tcW w:w="120" w:type="dxa"/>
            <w:vAlign w:val="bottom"/>
            <w:gridSpan w:val="2"/>
          </w:tcPr>
          <w:p>
            <w:pPr>
              <w:jc w:val="right"/>
              <w:ind w:right="20"/>
              <w:spacing w:after="0"/>
              <w:rPr>
                <w:rFonts w:ascii="Arial" w:cs="Arial" w:eastAsia="Arial" w:hAnsi="Arial"/>
                <w:sz w:val="10"/>
                <w:szCs w:val="10"/>
                <w:color w:val="0000EE"/>
                <w:w w:val="71"/>
              </w:rPr>
            </w:pPr>
            <w:hyperlink w:anchor="page53">
              <w:r>
                <w:rPr>
                  <w:rFonts w:ascii="Arial" w:cs="Arial" w:eastAsia="Arial" w:hAnsi="Arial"/>
                  <w:sz w:val="10"/>
                  <w:szCs w:val="10"/>
                  <w:color w:val="0000EE"/>
                  <w:w w:val="71"/>
                </w:rPr>
                <w:t>46</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205740</wp:posOffset>
            </wp:positionV>
            <wp:extent cx="10972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00" w:right="379" w:firstLine="360"/>
        <w:spacing w:after="0" w:line="273" w:lineRule="auto"/>
        <w:rPr>
          <w:sz w:val="20"/>
          <w:szCs w:val="20"/>
          <w:color w:val="auto"/>
        </w:rPr>
      </w:pPr>
      <w:r>
        <w:rPr>
          <w:rFonts w:ascii="Arial" w:cs="Arial" w:eastAsia="Arial" w:hAnsi="Arial"/>
          <w:sz w:val="17"/>
          <w:szCs w:val="17"/>
          <w:color w:val="auto"/>
        </w:rPr>
        <w:t>You should rely only on the information contained, or incorporated by reference, in this prospectus or in any free writing prospectus we may authorize to be delivered or made available to you. None of us, the selling stockholders or the underwriters have authorized anyone to provide you with different information. The information contained, or incorporated by reference, in this prospectus or any free writing prospectus prepared by us or on our behalf is accurate only as of their respective dates, regardless of the time of delivery of this prospectus, or any free writing prospectus, as the case may be, or any sale of shares of our common stock.</w:t>
      </w:r>
    </w:p>
    <w:p>
      <w:pPr>
        <w:spacing w:after="0" w:line="70" w:lineRule="exact"/>
        <w:rPr>
          <w:sz w:val="20"/>
          <w:szCs w:val="20"/>
          <w:color w:val="auto"/>
        </w:rPr>
      </w:pPr>
    </w:p>
    <w:p>
      <w:pPr>
        <w:ind w:left="300" w:right="299" w:firstLine="360"/>
        <w:spacing w:after="0" w:line="254" w:lineRule="auto"/>
        <w:rPr>
          <w:sz w:val="20"/>
          <w:szCs w:val="20"/>
          <w:color w:val="auto"/>
        </w:rPr>
      </w:pPr>
      <w:r>
        <w:rPr>
          <w:rFonts w:ascii="Arial" w:cs="Arial" w:eastAsia="Arial" w:hAnsi="Arial"/>
          <w:sz w:val="18"/>
          <w:szCs w:val="18"/>
          <w:color w:val="auto"/>
        </w:rPr>
        <w:t>For investors outside the United States: the selling stockholders and the underwriters are offering to sell, and seeking offers to buy, shares of our common stock only in jurisdictions where offers and sales are permitted. None of us, the selling stockholders 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3" w:name="page4"/>
    <w:bookmarkEnd w:id="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AND MARKET DATA</w:t>
      </w:r>
    </w:p>
    <w:p>
      <w:pPr>
        <w:spacing w:after="0" w:line="121" w:lineRule="exact"/>
        <w:rPr>
          <w:sz w:val="20"/>
          <w:szCs w:val="20"/>
          <w:color w:val="auto"/>
        </w:rPr>
      </w:pPr>
    </w:p>
    <w:p>
      <w:pPr>
        <w:ind w:left="300" w:right="319" w:firstLine="360"/>
        <w:spacing w:after="0" w:line="284" w:lineRule="auto"/>
        <w:rPr>
          <w:sz w:val="20"/>
          <w:szCs w:val="20"/>
          <w:color w:val="auto"/>
        </w:rPr>
      </w:pPr>
      <w:r>
        <w:rPr>
          <w:rFonts w:ascii="Arial" w:cs="Arial" w:eastAsia="Arial" w:hAnsi="Arial"/>
          <w:sz w:val="16"/>
          <w:szCs w:val="16"/>
          <w:color w:val="auto"/>
        </w:rPr>
        <w:t>Within this prospectus and the documents incorporated by reference herein, we reference information and statistics regarding the sporting goods and outdoor recreation retail industries. We have obtained this information and statistics from various independent third-party sources, including independent industry publications, reports by market research firms and other independent sources, including Allied Market Research and Sporting Goods Intelligence, Inc. Some data and other information contained, or incorporated by reference, in this prospectus are also based on management’s estimates and calculations, which are derived from our review and interpretation of internal company research, surveys and independent sources. Data regarding the industries in which we compete and our market position and market share within these industries are inherently imprecise and are subject to significant business, economic and competitive uncertainties beyond our control, but we believe they generally indicate size, position and market share within these industries. While we believe such information is reliable, we have not independently verified any third-party information. While we believe our internal company research, surveys and estimates are reliable, such research, surveys and estimates have not been verified by any independent source. In addition, assumptions and estimates of our and our industries’ future performance are necessarily subject to a high degree of uncertainty and risk due to a variety of factors, including those described in “Risk Factors” in this prospectus and “Risk Factors” in our Annual Report (as defined herein) incorporated by reference in this prospectus. These and other factors could cause our future performance to differ materially from our assumptions and estimates. See “Forward-Looking Statements.” As a result, you should be aware that market, ranking, and other similar industry data included, or incorporated by reference, in this prospectus, and estimates and beliefs based on that data may not be reliable. None of us, the selling stockholders and the underwriters can guarantee the accuracy or completeness of any such information contained, or incorporated by reference, in this prospectus.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 TRADENAMES, SERVICE MARKS AND COPYRIGHTS</w:t>
      </w:r>
    </w:p>
    <w:p>
      <w:pPr>
        <w:spacing w:after="0" w:line="121" w:lineRule="exact"/>
        <w:rPr>
          <w:sz w:val="20"/>
          <w:szCs w:val="20"/>
          <w:color w:val="auto"/>
        </w:rPr>
      </w:pPr>
    </w:p>
    <w:p>
      <w:pPr>
        <w:ind w:left="300" w:right="339" w:firstLine="360"/>
        <w:spacing w:after="0" w:line="257" w:lineRule="auto"/>
        <w:rPr>
          <w:sz w:val="20"/>
          <w:szCs w:val="20"/>
          <w:color w:val="auto"/>
        </w:rPr>
      </w:pPr>
      <w:r>
        <w:rPr>
          <w:rFonts w:ascii="Arial" w:cs="Arial" w:eastAsia="Arial" w:hAnsi="Arial"/>
          <w:sz w:val="16"/>
          <w:szCs w:val="16"/>
          <w:color w:val="auto"/>
        </w:rPr>
        <w:t>We own and license a number of registered and common law trademarks and pending applications for trademark registrations in the United States, primarily through our subsidiaries, including, for example: Academy Sports + Outdoors</w:t>
      </w:r>
      <w:r>
        <w:rPr>
          <w:rFonts w:ascii="Arial" w:cs="Arial" w:eastAsia="Arial" w:hAnsi="Arial"/>
          <w:sz w:val="26"/>
          <w:szCs w:val="26"/>
          <w:color w:val="auto"/>
          <w:vertAlign w:val="superscript"/>
        </w:rPr>
        <w:t>®</w:t>
      </w:r>
      <w:r>
        <w:rPr>
          <w:rFonts w:ascii="Arial" w:cs="Arial" w:eastAsia="Arial" w:hAnsi="Arial"/>
          <w:sz w:val="16"/>
          <w:szCs w:val="16"/>
          <w:color w:val="auto"/>
        </w:rPr>
        <w:t>, Magellan Outdoors</w:t>
      </w:r>
      <w:r>
        <w:rPr>
          <w:rFonts w:ascii="Arial" w:cs="Arial" w:eastAsia="Arial" w:hAnsi="Arial"/>
          <w:sz w:val="26"/>
          <w:szCs w:val="26"/>
          <w:color w:val="auto"/>
          <w:vertAlign w:val="superscript"/>
        </w:rPr>
        <w:t>®</w:t>
      </w:r>
      <w:r>
        <w:rPr>
          <w:rFonts w:ascii="Arial" w:cs="Arial" w:eastAsia="Arial" w:hAnsi="Arial"/>
          <w:sz w:val="16"/>
          <w:szCs w:val="16"/>
          <w:color w:val="auto"/>
        </w:rPr>
        <w:t>, BCG</w:t>
      </w:r>
      <w:r>
        <w:rPr>
          <w:rFonts w:ascii="Arial" w:cs="Arial" w:eastAsia="Arial" w:hAnsi="Arial"/>
          <w:sz w:val="26"/>
          <w:szCs w:val="26"/>
          <w:color w:val="auto"/>
          <w:vertAlign w:val="superscript"/>
        </w:rPr>
        <w:t>®</w:t>
      </w:r>
      <w:r>
        <w:rPr>
          <w:rFonts w:ascii="Arial" w:cs="Arial" w:eastAsia="Arial" w:hAnsi="Arial"/>
          <w:sz w:val="16"/>
          <w:szCs w:val="16"/>
          <w:color w:val="auto"/>
        </w:rPr>
        <w:t>, O’rageous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Outdoor Gourmet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Unless otherwise indicated, all trademarks appearing in this prospectus are proprietary to us, our affiliates and/or licensors. This prospectus and the documents incorporated by reference herein also contain trademarks, tradenames, service marks and copyrights of other companies, which are the property of their respective owners. Solely for convenience, certain trademarks, tradenames, service marks and copyrights referred to in this prospectus (or in documents incorporated by reference herein) may appear without the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symbols, but such references are not intended to indicate, in any way, that we will not assert, to the fullest extent under applicable law, our rights or the rights of the applicable licensors to these trademarks, tradenames, service marks and copyrights. We do not intend our use or display of other parties’ trademarks, tradenames, service marks or copyrights to imply, and such use or display should not be construed to imply, a relationship with, or endorsement or sponsorship of us by, these other parties.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BASIS OF PRESENTATION</w:t>
      </w:r>
    </w:p>
    <w:p>
      <w:pPr>
        <w:spacing w:after="0" w:line="36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Certain Definitions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terms are used in this prospectus unless otherwise noted or indicated by the context:</w:t>
      </w:r>
    </w:p>
    <w:p>
      <w:pPr>
        <w:spacing w:after="0" w:line="117" w:lineRule="exact"/>
        <w:rPr>
          <w:sz w:val="20"/>
          <w:szCs w:val="20"/>
          <w:color w:val="auto"/>
        </w:rPr>
      </w:pPr>
    </w:p>
    <w:p>
      <w:pPr>
        <w:ind w:left="1000" w:right="339" w:hanging="348"/>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“2015 Term Loan Facility” means our senior secured term loans facility due July 2, 2022, which was repaid in full on November 6, 2020 with the net proceeds from the 2027 Notes and the Term Loan Facility, together with cash on hand;</w:t>
      </w:r>
    </w:p>
    <w:p>
      <w:pPr>
        <w:spacing w:after="0" w:line="75" w:lineRule="exact"/>
        <w:rPr>
          <w:rFonts w:ascii="Arial" w:cs="Arial" w:eastAsia="Arial" w:hAnsi="Arial"/>
          <w:sz w:val="18"/>
          <w:szCs w:val="18"/>
          <w:color w:val="auto"/>
        </w:rPr>
      </w:pPr>
    </w:p>
    <w:p>
      <w:pPr>
        <w:ind w:left="1000" w:right="339" w:hanging="348"/>
        <w:spacing w:after="0" w:line="259"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“2021 Vesting Event” means the vesting event that occurred in connection with the secondary offering of our shares of common stock in May 2021 which resulted in a reduction of KKR’s ownership interest in the Company, as described under Note 1 to our financial statements included in our Q2 Quarterly Report incorporated by reference herein;</w:t>
      </w:r>
    </w:p>
    <w:p>
      <w:pPr>
        <w:spacing w:after="0" w:line="78" w:lineRule="exact"/>
        <w:rPr>
          <w:rFonts w:ascii="Arial" w:cs="Arial" w:eastAsia="Arial" w:hAnsi="Arial"/>
          <w:sz w:val="18"/>
          <w:szCs w:val="18"/>
          <w:color w:val="auto"/>
        </w:rPr>
      </w:pPr>
    </w:p>
    <w:p>
      <w:pPr>
        <w:ind w:left="1000" w:right="479" w:hanging="348"/>
        <w:spacing w:after="0" w:line="342"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“2027 Notes” means our 6.00% senior secured notes due November 15, 2027, as described under Note 4 to our audited consolidated financial statements in our Annual Report incorporated by reference herein;</w:t>
      </w:r>
    </w:p>
    <w:p>
      <w:pPr>
        <w:spacing w:after="0" w:line="15" w:lineRule="exact"/>
        <w:rPr>
          <w:rFonts w:ascii="Arial" w:cs="Arial" w:eastAsia="Arial" w:hAnsi="Arial"/>
          <w:sz w:val="16"/>
          <w:szCs w:val="16"/>
          <w:color w:val="auto"/>
        </w:rPr>
      </w:pPr>
    </w:p>
    <w:p>
      <w:pPr>
        <w:ind w:left="1000" w:right="479" w:hanging="348"/>
        <w:spacing w:after="0" w:line="342"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“ABL Facility” means our senior secured asset-based revolving credit facility, as described under Note 4 to our audited consolidated financial statements in our Annual Report incorporated by reference herein;</w:t>
      </w:r>
    </w:p>
    <w:p>
      <w:pPr>
        <w:spacing w:after="0" w:line="15" w:lineRule="exact"/>
        <w:rPr>
          <w:rFonts w:ascii="Arial" w:cs="Arial" w:eastAsia="Arial" w:hAnsi="Arial"/>
          <w:sz w:val="16"/>
          <w:szCs w:val="16"/>
          <w:color w:val="auto"/>
        </w:rPr>
      </w:pPr>
    </w:p>
    <w:p>
      <w:pPr>
        <w:ind w:left="1000" w:right="559" w:hanging="348"/>
        <w:spacing w:after="0" w:line="275"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“Academy,” “Academy Sports + Outdoors,” the “Company,” “we,” “us” and “our” refer to, (1) prior to October 1, 2020, New Academy Holding Company, LLC, a Delaware limited liability company and the prior parent holding company for our operations, and its consolidated subsidiaries; and (2) on and after October 1, 2020, Academy Sports and Outdoors, Inc., a Delaware corporation and the current parent holding company for our operations, and its consolidated subsidiaries;</w:t>
      </w:r>
    </w:p>
    <w:p>
      <w:pPr>
        <w:spacing w:after="0" w:line="68" w:lineRule="exact"/>
        <w:rPr>
          <w:rFonts w:ascii="Arial" w:cs="Arial" w:eastAsia="Arial" w:hAnsi="Arial"/>
          <w:sz w:val="17"/>
          <w:szCs w:val="17"/>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“Adviser” means Kohlberg Kravis Roberts &amp; Co. L.P.;</w:t>
      </w:r>
    </w:p>
    <w:p>
      <w:pPr>
        <w:spacing w:after="0" w:line="117"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“Annual Report” means our Annual Report on Form 10-K for the fiscal year ended January 30, 2021, filed on April 7, 2021;</w:t>
      </w:r>
    </w:p>
    <w:p>
      <w:pPr>
        <w:spacing w:after="0" w:line="62"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“Average order value” means in-store and e-commerce merchandise sales divided by the number of sales transactions, which indicates the average amount of a sales receipt;</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“BOPIS” means our buy-online-pickup-in-store program;</w:t>
      </w:r>
    </w:p>
    <w:p>
      <w:pPr>
        <w:spacing w:after="0" w:line="117" w:lineRule="exact"/>
        <w:rPr>
          <w:rFonts w:ascii="Arial" w:cs="Arial" w:eastAsia="Arial" w:hAnsi="Arial"/>
          <w:sz w:val="18"/>
          <w:szCs w:val="18"/>
          <w:color w:val="auto"/>
        </w:rPr>
      </w:pPr>
    </w:p>
    <w:p>
      <w:pPr>
        <w:ind w:left="1000" w:right="419" w:hanging="348"/>
        <w:spacing w:after="0" w:line="291"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“Comparable sales” means the percentage of period-over-period net sales increase or decrease, in the aggregate, for stores open after thirteen full fiscal months as well as for all e-commerce sales. See “Management’s Discussion and Analysis of Financial Condition and Results of Operations—How We Assess the Performance of Our Business—Comparable Sales” in our Annual Report incorporated by reference herein. There may be variations in the way in which some of our competitors and other retailers calculate comparable sales. As a result, data included, or incorporated by reference, in this prospectus regarding our comparable sales may not be comparable to similar data made available by other retailers;</w:t>
      </w:r>
    </w:p>
    <w:p>
      <w:pPr>
        <w:spacing w:after="0" w:line="58" w:lineRule="exact"/>
        <w:rPr>
          <w:rFonts w:ascii="Arial" w:cs="Arial" w:eastAsia="Arial" w:hAnsi="Arial"/>
          <w:sz w:val="16"/>
          <w:szCs w:val="16"/>
          <w:color w:val="auto"/>
        </w:rPr>
      </w:pPr>
    </w:p>
    <w:p>
      <w:pPr>
        <w:ind w:left="1000" w:right="479" w:hanging="348"/>
        <w:spacing w:after="0" w:line="259"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“footprint” means, in the aggregate, the geographic locations where our stores are located. As of the date of this prospectus, our stores are located in the following states: Alabama, Arkansas, Florida, Georgia, Illinois, Indiana, Kansas, Kentucky, Louisiana, Mississippi, Missouri, North Carolina, Oklahoma, South Carolina, Tennessee and Texas;</w:t>
      </w:r>
    </w:p>
    <w:p>
      <w:pPr>
        <w:spacing w:after="0" w:line="78" w:lineRule="exact"/>
        <w:rPr>
          <w:rFonts w:ascii="Arial" w:cs="Arial" w:eastAsia="Arial" w:hAnsi="Arial"/>
          <w:sz w:val="18"/>
          <w:szCs w:val="18"/>
          <w:color w:val="auto"/>
        </w:rPr>
      </w:pPr>
    </w:p>
    <w:p>
      <w:pPr>
        <w:ind w:left="1000" w:right="339" w:hanging="348"/>
        <w:spacing w:after="0" w:line="272"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“full-line sporting goods and outdoor recreation retailers” means: retailers who offer all three of the following categories, across all price points and brands (i) sporting goods (e.g., team and individual sports, footwear/apparel, fitness), (ii) outdoor goods (e.g., hunting gear, fishing rods, outdoor cooking, camping), and (iii) recreation goods (e.g., pools, backyard living, bikes). Among the current full-line sporting goods and outdoor recreation retailers in the United States, management has determined that the Company is one of the leading full-line sporting goods and outdoor recreation retailers because its annual revenue in each of the years from 2014 to 2020 is the second highest;</w:t>
      </w:r>
    </w:p>
    <w:p>
      <w:pPr>
        <w:spacing w:after="0" w:line="69" w:lineRule="exact"/>
        <w:rPr>
          <w:rFonts w:ascii="Arial" w:cs="Arial" w:eastAsia="Arial" w:hAnsi="Arial"/>
          <w:sz w:val="17"/>
          <w:szCs w:val="17"/>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“IPO” means the initial public offering of our common stock, which closed on October 6,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5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“KKR” means, collectively, investment funds and other entities affiliated with Kohlberg Kravis Roberts &amp; Co. L.P.;</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“KKR Stockholders” means, collectively, investment entities owned by KKR;</w:t>
      </w:r>
    </w:p>
    <w:p>
      <w:pPr>
        <w:spacing w:after="0" w:line="117" w:lineRule="exact"/>
        <w:rPr>
          <w:rFonts w:ascii="Arial" w:cs="Arial" w:eastAsia="Arial" w:hAnsi="Arial"/>
          <w:sz w:val="18"/>
          <w:szCs w:val="18"/>
          <w:color w:val="auto"/>
        </w:rPr>
      </w:pPr>
    </w:p>
    <w:p>
      <w:pPr>
        <w:ind w:left="1000" w:right="339" w:hanging="348"/>
        <w:spacing w:after="0" w:line="273"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“largest value-oriented sporting goods and outdoor recreation retailer in the country” refers to management’s determination of the Company’s comparative position based upon (i) the Company’s competitive pricing index, which illustrates the Company’s prices are lower on average compared to those full-line sporting goods and recreational retailers with higher annual revenue, and (ii) the Company’s 2019 and 2020 customer surveys, which indicate that customers perceive the Company as being more value-oriented than all of the other full-line sporting goods and recreation retailers;</w:t>
      </w:r>
    </w:p>
    <w:p>
      <w:pPr>
        <w:spacing w:after="0" w:line="69" w:lineRule="exact"/>
        <w:rPr>
          <w:rFonts w:ascii="Arial" w:cs="Arial" w:eastAsia="Arial" w:hAnsi="Arial"/>
          <w:sz w:val="17"/>
          <w:szCs w:val="17"/>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“mature stores” means stores that have been in operation for longer than four years;</w:t>
      </w:r>
    </w:p>
    <w:p>
      <w:pPr>
        <w:spacing w:after="0" w:line="117" w:lineRule="exact"/>
        <w:rPr>
          <w:rFonts w:ascii="Arial" w:cs="Arial" w:eastAsia="Arial" w:hAnsi="Arial"/>
          <w:sz w:val="18"/>
          <w:szCs w:val="18"/>
          <w:color w:val="auto"/>
        </w:rPr>
      </w:pPr>
    </w:p>
    <w:p>
      <w:pPr>
        <w:ind w:left="1000" w:right="61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sales transactions” means total quantity of sales transactions generated, whether in-store or online;</w:t>
      </w:r>
    </w:p>
    <w:p>
      <w:pPr>
        <w:spacing w:after="0" w:line="62"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“owned brands” means our private label brands, which include both our own brands, as well as brands we license under exclusive license contracts;</w:t>
      </w:r>
    </w:p>
    <w:p>
      <w:pPr>
        <w:spacing w:after="0" w:line="62" w:lineRule="exact"/>
        <w:rPr>
          <w:rFonts w:ascii="Arial" w:cs="Arial" w:eastAsia="Arial" w:hAnsi="Arial"/>
          <w:sz w:val="18"/>
          <w:szCs w:val="18"/>
          <w:color w:val="auto"/>
        </w:rPr>
      </w:pPr>
    </w:p>
    <w:p>
      <w:pPr>
        <w:ind w:left="1000" w:right="99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“Proxy Statement” means our Proxy Statement on Schedule 14A for our 2021 Annual Meeting of Stockholders filed on April 23, 2021;</w:t>
      </w:r>
    </w:p>
    <w:p>
      <w:pPr>
        <w:spacing w:after="0" w:line="62" w:lineRule="exact"/>
        <w:rPr>
          <w:rFonts w:ascii="Arial" w:cs="Arial" w:eastAsia="Arial" w:hAnsi="Arial"/>
          <w:sz w:val="18"/>
          <w:szCs w:val="18"/>
          <w:color w:val="auto"/>
        </w:rPr>
      </w:pPr>
    </w:p>
    <w:p>
      <w:pPr>
        <w:ind w:left="1000" w:right="61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“Q2 Quarterly Report” means our Quarterly Report on Form 10-Q for the quarter ended July 31, 2021, filed on September 9, 2021; and</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“Term Loan Facility” means our senior secured term loan facility, as described under Note 4 to our audited consolidated financial statements in our Annual Report incorporated by reference herein.</w:t>
      </w:r>
    </w:p>
    <w:p>
      <w:pPr>
        <w:spacing w:after="0" w:line="30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Presentation of Financial Information</w:t>
      </w:r>
    </w:p>
    <w:p>
      <w:pPr>
        <w:spacing w:after="0" w:line="117" w:lineRule="exact"/>
        <w:rPr>
          <w:sz w:val="20"/>
          <w:szCs w:val="20"/>
          <w:color w:val="auto"/>
        </w:rPr>
      </w:pPr>
    </w:p>
    <w:p>
      <w:pPr>
        <w:ind w:left="300" w:right="799" w:firstLine="360"/>
        <w:spacing w:after="0" w:line="342" w:lineRule="auto"/>
        <w:rPr>
          <w:sz w:val="20"/>
          <w:szCs w:val="20"/>
          <w:color w:val="auto"/>
        </w:rPr>
      </w:pPr>
      <w:r>
        <w:rPr>
          <w:rFonts w:ascii="Arial" w:cs="Arial" w:eastAsia="Arial" w:hAnsi="Arial"/>
          <w:sz w:val="16"/>
          <w:szCs w:val="16"/>
          <w:color w:val="auto"/>
        </w:rPr>
        <w:t>Academy Sports and Outdoors, Inc. conducts its operations through its subsidiaries, including its indirect subsidiary, Academy, Ltd., an operating company which is doing business as “Academy Sports + Outdoors.”</w:t>
      </w:r>
    </w:p>
    <w:p>
      <w:pPr>
        <w:spacing w:after="0" w:line="16" w:lineRule="exact"/>
        <w:rPr>
          <w:sz w:val="20"/>
          <w:szCs w:val="20"/>
          <w:color w:val="auto"/>
        </w:rPr>
      </w:pPr>
    </w:p>
    <w:p>
      <w:pPr>
        <w:ind w:left="300" w:right="399" w:firstLine="360"/>
        <w:spacing w:after="0" w:line="273" w:lineRule="auto"/>
        <w:rPr>
          <w:sz w:val="20"/>
          <w:szCs w:val="20"/>
          <w:color w:val="auto"/>
        </w:rPr>
      </w:pPr>
      <w:r>
        <w:rPr>
          <w:rFonts w:ascii="Arial" w:cs="Arial" w:eastAsia="Arial" w:hAnsi="Arial"/>
          <w:sz w:val="17"/>
          <w:szCs w:val="17"/>
          <w:color w:val="auto"/>
        </w:rPr>
        <w:t>We operate on a retail fiscal calendar pursuant to which our fiscal year consists of 52 or 53 weeks, ending on the Saturday closest to January 31 (which such Saturday may occur on a date following January 31) each year. References to any “year,” “quarter,” “half” or “month” mean “fiscal year,” “fiscal quarter,” “fiscal half year” and “fiscal month,” respectively, unless the context requires otherwise. References to “2017,” “2018,” “2019,” “2020” and “2021” relate to our fiscal years ended February 3, 2018, February 2, 2019, February 1, 2020, January 30, 2021 and January 29, 2022, respectively, unless the context requires otherwise.</w:t>
      </w:r>
    </w:p>
    <w:p>
      <w:pPr>
        <w:spacing w:after="0" w:line="70"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color w:val="auto"/>
        </w:rPr>
        <w:t>Numerical figures included, or incorporated by reference, in this prospectus have been subject to rounding adjustments. Accordingly, numerical figures shown as totals in various tables may not be arithmetic aggregations of the figures that precede them.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300" w:right="379" w:firstLine="360"/>
        <w:spacing w:after="0" w:line="275" w:lineRule="auto"/>
        <w:rPr>
          <w:sz w:val="20"/>
          <w:szCs w:val="20"/>
          <w:color w:val="auto"/>
        </w:rPr>
      </w:pPr>
      <w:r>
        <w:rPr>
          <w:rFonts w:ascii="Arial" w:cs="Arial" w:eastAsia="Arial" w:hAnsi="Arial"/>
          <w:sz w:val="17"/>
          <w:szCs w:val="17"/>
          <w:color w:val="auto"/>
        </w:rPr>
        <w:t>This prospectus and the documents incorporated by reference herein contain “non-GAAP financial measures,” which are financial measures that either exclude or include amounts that are not excluded or included in the most directly comparable measures calculated and presented in accordance with accounting principles generally accepted in the United States, or GAAP. Specifically, we make use of the non-GAAP financial measures “Adjusted EBITDA,” “Adjusted Net Income” and “Adjusted Free Cash Flow.”</w:t>
      </w:r>
    </w:p>
    <w:p>
      <w:pPr>
        <w:spacing w:after="0" w:line="68" w:lineRule="exact"/>
        <w:rPr>
          <w:sz w:val="20"/>
          <w:szCs w:val="20"/>
          <w:color w:val="auto"/>
        </w:rPr>
      </w:pPr>
    </w:p>
    <w:p>
      <w:pPr>
        <w:ind w:left="300" w:right="359" w:firstLine="360"/>
        <w:spacing w:after="0" w:line="287" w:lineRule="auto"/>
        <w:rPr>
          <w:sz w:val="20"/>
          <w:szCs w:val="20"/>
          <w:color w:val="auto"/>
        </w:rPr>
      </w:pPr>
      <w:r>
        <w:rPr>
          <w:rFonts w:ascii="Arial" w:cs="Arial" w:eastAsia="Arial" w:hAnsi="Arial"/>
          <w:sz w:val="16"/>
          <w:szCs w:val="16"/>
          <w:color w:val="auto"/>
        </w:rPr>
        <w:t>Adjusted EBITDA, Adjusted Net Income and Adjusted Free Cash Flow have been presented in this prospectus and the documents incorporated by reference herein as supplemental measures of financial performance that are not required by, or presented in accordance with, GAAP. We believe Adjusted EBITDA and Adjusted Net Income assist investors and analysts in comparing our operating performance across reporting periods on a consistent basis by excluding items that we do not believe are indicative of our core operating performance. Management believes Adjusted EBITDA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Net Income and Adjusted Free Cash Flow to supplement GAAP measures of performance in the evaluation of the effectiveness of our business strategies, to make budgeting decisions and to compare our performance against that of other peer companies using similar measures.</w:t>
      </w:r>
    </w:p>
    <w:p>
      <w:pPr>
        <w:spacing w:after="0" w:line="60"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6"/>
          <w:szCs w:val="16"/>
          <w:color w:val="auto"/>
        </w:rPr>
        <w:t>Management supplements GAAP results with non-GAAP financial measures to provide a more complete understanding of the factors and trends affecting the business than GAAP results alone. Adjusted EBITDA, Adjusted Net Income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For a discussion of the use of these measures and a reconciliation of the most directly comparable GAAP measures, see “Summary— Summary Historical Consolidated Financial and Other Data.”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7108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3405" cy="771080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ind w:left="320" w:right="359" w:firstLine="360"/>
        <w:spacing w:after="0" w:line="289" w:lineRule="auto"/>
        <w:rPr>
          <w:sz w:val="20"/>
          <w:szCs w:val="20"/>
          <w:color w:val="auto"/>
        </w:rPr>
      </w:pPr>
      <w:r>
        <w:rPr>
          <w:rFonts w:ascii="Arial" w:cs="Arial" w:eastAsia="Arial" w:hAnsi="Arial"/>
          <w:sz w:val="16"/>
          <w:szCs w:val="16"/>
          <w:i w:val="1"/>
          <w:iCs w:val="1"/>
          <w:color w:val="auto"/>
        </w:rPr>
        <w:t>This summary highlights selected information contained elsewhere in this prospectus or incorporated by reference herein from our filings with the SEC listed under “Incorporation by Reference.” This summary does not contain all of the information that you should consider before deciding to invest in our common stock. You should carefully read this entire prospectus and the information incorporated by reference in this prospectus, including any free writing prospectus prepared by us or on our behalf, including the sections entitled “Risk Factors” and “Forward-Looking Statements” included elsewhere in this prospectus and “Risk Factors,” “Management’s Discussion and Analysis of Financial Condition and Results of Operations” and our audited consolidated financial statements and related notes thereto in our Annual Report incorporated by reference herein, before making an investment decision. This summary contains forward-looking statements that involve risks and uncertainties.</w:t>
      </w:r>
    </w:p>
    <w:p>
      <w:pPr>
        <w:spacing w:after="0" w:line="31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Who We Are</w:t>
      </w:r>
    </w:p>
    <w:p>
      <w:pPr>
        <w:spacing w:after="0" w:line="121" w:lineRule="exact"/>
        <w:rPr>
          <w:sz w:val="20"/>
          <w:szCs w:val="20"/>
          <w:color w:val="auto"/>
        </w:rPr>
      </w:pPr>
    </w:p>
    <w:p>
      <w:pPr>
        <w:ind w:left="320" w:right="299" w:firstLine="360"/>
        <w:spacing w:after="0" w:line="254" w:lineRule="auto"/>
        <w:rPr>
          <w:sz w:val="20"/>
          <w:szCs w:val="20"/>
          <w:color w:val="auto"/>
        </w:rPr>
      </w:pPr>
      <w:r>
        <w:rPr>
          <w:rFonts w:ascii="Arial" w:cs="Arial" w:eastAsia="Arial" w:hAnsi="Arial"/>
          <w:sz w:val="18"/>
          <w:szCs w:val="18"/>
          <w:color w:val="auto"/>
        </w:rPr>
        <w:t>Academy Sports + Outdoors is one of the leading full-line sporting goods and outdoor recreation retailers in the United States. We estimate that we served approximately 30 million unique customers and completed approximately 80 million transactions in 2020 across our seamless omnichannel platform and highly productive stores, resulting in net sales of $5.7 billion and making us the largest value-oriented sporting goods and outdoor recreation retailer in the country. We have continually increased our market share by expanding our leadership in fast-growing merchandise categories and offering a broad, value-oriented assortment with deep and localized customer connections.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following key attributes differentiate us from our competitors:</w:t>
      </w:r>
    </w:p>
    <w:p>
      <w:pPr>
        <w:spacing w:after="0" w:line="117" w:lineRule="exact"/>
        <w:rPr>
          <w:sz w:val="20"/>
          <w:szCs w:val="20"/>
          <w:color w:val="auto"/>
        </w:rPr>
      </w:pPr>
    </w:p>
    <w:p>
      <w:pPr>
        <w:ind w:left="1020" w:hanging="350"/>
        <w:spacing w:after="0"/>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Value-based assortment that enables our customers to participate and have fun, no matter their budget.</w:t>
      </w:r>
    </w:p>
    <w:p>
      <w:pPr>
        <w:spacing w:after="0" w:line="140" w:lineRule="exact"/>
        <w:rPr>
          <w:rFonts w:ascii="Arial" w:cs="Arial" w:eastAsia="Arial" w:hAnsi="Arial"/>
          <w:sz w:val="16"/>
          <w:szCs w:val="16"/>
          <w:color w:val="auto"/>
        </w:rPr>
      </w:pPr>
    </w:p>
    <w:p>
      <w:pPr>
        <w:ind w:left="1020" w:hanging="350"/>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Broad assortment that extends beyond sporting goods and apparel to outdoor recreation.</w:t>
      </w:r>
    </w:p>
    <w:p>
      <w:pPr>
        <w:spacing w:after="0" w:line="117" w:lineRule="exact"/>
        <w:rPr>
          <w:rFonts w:ascii="Arial" w:cs="Arial" w:eastAsia="Arial" w:hAnsi="Arial"/>
          <w:sz w:val="18"/>
          <w:szCs w:val="18"/>
          <w:color w:val="auto"/>
        </w:rPr>
      </w:pPr>
    </w:p>
    <w:p>
      <w:pPr>
        <w:ind w:left="1020" w:right="739" w:hanging="350"/>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Emerging, rapidly growing and profitable omnichannel strategy that leverages our strong BOPIS and shipping fulfillment capabilities.</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Strong customer loyalty, with opportunities to increase penetration in existing markets.</w:t>
      </w:r>
    </w:p>
    <w:p>
      <w:pPr>
        <w:spacing w:after="0" w:line="117" w:lineRule="exact"/>
        <w:rPr>
          <w:rFonts w:ascii="Arial" w:cs="Arial" w:eastAsia="Arial" w:hAnsi="Arial"/>
          <w:sz w:val="18"/>
          <w:szCs w:val="18"/>
          <w:color w:val="auto"/>
        </w:rPr>
      </w:pPr>
    </w:p>
    <w:p>
      <w:pPr>
        <w:ind w:left="1020" w:right="999" w:hanging="350"/>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Regional focus in the southern United States with a strong and growing presence in six of the top 10 fastest-growing Metropolitan Statistical Areas (“MSAs”).</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Core customers comprising active families that we support with one-stop shop convenience.</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whitespace opportunity for both in-fill and adjacent geographies and new markets.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Strong financial profile with accelerating performance and attractive cash flow generation.</w:t>
      </w:r>
    </w:p>
    <w:p>
      <w:pPr>
        <w:spacing w:after="0" w:line="117" w:lineRule="exact"/>
        <w:rPr>
          <w:sz w:val="20"/>
          <w:szCs w:val="20"/>
          <w:color w:val="auto"/>
        </w:rPr>
      </w:pPr>
    </w:p>
    <w:p>
      <w:pPr>
        <w:ind w:left="320" w:right="339" w:firstLine="360"/>
        <w:spacing w:after="0" w:line="293" w:lineRule="auto"/>
        <w:rPr>
          <w:sz w:val="20"/>
          <w:szCs w:val="20"/>
          <w:color w:val="auto"/>
        </w:rPr>
      </w:pPr>
      <w:r>
        <w:rPr>
          <w:rFonts w:ascii="Arial" w:cs="Arial" w:eastAsia="Arial" w:hAnsi="Arial"/>
          <w:sz w:val="16"/>
          <w:szCs w:val="16"/>
          <w:color w:val="auto"/>
        </w:rPr>
        <w:t>Originally founded in 1938 as a family business in Texas, we have grown to 259 stores across 16 contiguous states. Our mission is to provide “Fun for All” and we fulfill this mission with a localized merchandising strategy and value proposition that deeply connect with a broad range of consumers. Our product assortment focuses on key categories of outdoor, apparel, sports &amp; recreation and footwear (representing 35%, 25%, 22% and 18% of our 2020 net sales, respectively) through both leading national brands and a portfolio of 19 owned brands, which go well beyond traditional sporting goods and apparel offerings.</w:t>
      </w:r>
    </w:p>
    <w:p>
      <w:pPr>
        <w:spacing w:after="0" w:line="56" w:lineRule="exact"/>
        <w:rPr>
          <w:sz w:val="20"/>
          <w:szCs w:val="20"/>
          <w:color w:val="auto"/>
        </w:rPr>
      </w:pPr>
    </w:p>
    <w:p>
      <w:pPr>
        <w:ind w:left="320" w:right="319" w:firstLine="360"/>
        <w:spacing w:after="0" w:line="288" w:lineRule="auto"/>
        <w:rPr>
          <w:sz w:val="20"/>
          <w:szCs w:val="20"/>
          <w:color w:val="auto"/>
        </w:rPr>
      </w:pPr>
      <w:r>
        <w:rPr>
          <w:rFonts w:ascii="Arial" w:cs="Arial" w:eastAsia="Arial" w:hAnsi="Arial"/>
          <w:sz w:val="16"/>
          <w:szCs w:val="16"/>
          <w:color w:val="auto"/>
        </w:rPr>
        <w:t>Our retail locations range in size from approximately 40,000 to 130,000 gross square feet, with an average size of approximately 70,000 gross square feet, and have no mall exposure. Our box size and layout create a spacious in-store experience for the current shopping environment and easily accessible front of store checkout that drives efficiency for our BOPIS and curbside pickup customers. Our stores are supported by over 22,000 knowledgeable team members offering a high-touch service element. Our stores have remained open during the COVID-19 pandemic as a result of our essential product offering and enhanced safety measures, resulting in continued market share gains and greater visibility in newer markets to the Academy brand and increased community connections. We operate three distribution centers that service our stores and our growing e-commerce platform, which reaches 47 states today. We have significant new store whitespace and our disciplined approach to store openings has allowed most stores to achieve profitability within the first twelve months of opening a store.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924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3405" cy="79248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0" w:right="379" w:firstLine="360"/>
        <w:spacing w:after="0" w:line="286" w:lineRule="auto"/>
        <w:rPr>
          <w:sz w:val="20"/>
          <w:szCs w:val="20"/>
          <w:color w:val="auto"/>
        </w:rPr>
      </w:pPr>
      <w:r>
        <w:rPr>
          <w:rFonts w:ascii="Arial" w:cs="Arial" w:eastAsia="Arial" w:hAnsi="Arial"/>
          <w:sz w:val="17"/>
          <w:szCs w:val="17"/>
          <w:color w:val="auto"/>
        </w:rPr>
        <w:t>We are active members of the communities in which we operate. Our long-time customers have grown up with the Academy brand over time and pass their passion for us on to the next generation, enabling us to benefit from strong customer loyalty and shopping frequency in our embedded regional markets.</w:t>
      </w:r>
    </w:p>
    <w:p>
      <w:pPr>
        <w:spacing w:after="0" w:line="57" w:lineRule="exact"/>
        <w:rPr>
          <w:sz w:val="20"/>
          <w:szCs w:val="20"/>
          <w:color w:val="auto"/>
        </w:rPr>
      </w:pPr>
    </w:p>
    <w:p>
      <w:pPr>
        <w:ind w:left="320" w:right="379" w:firstLine="360"/>
        <w:spacing w:after="0" w:line="271" w:lineRule="auto"/>
        <w:rPr>
          <w:sz w:val="20"/>
          <w:szCs w:val="20"/>
          <w:color w:val="auto"/>
        </w:rPr>
      </w:pPr>
      <w:r>
        <w:rPr>
          <w:rFonts w:ascii="Arial" w:cs="Arial" w:eastAsia="Arial" w:hAnsi="Arial"/>
          <w:sz w:val="17"/>
          <w:szCs w:val="17"/>
          <w:color w:val="auto"/>
        </w:rPr>
        <w:t>Our broad assortment appeals to all ages, incomes and aspirations, including beginning and advanced athletes, families enjoying outdoor recreation and enthusiasts pursuing their passion for sports and the outdoors. We enable our customers to enjoy a variety of sports and outdoors activities, whether they are trying out a new sport, tailgating for a sporting event or hosting a family barbecue. We enhance our customers’ shopping experience through our knowledgeable and passionate team members and value-added store services, making us a preferred, one-stop shopping destination. We carefully tailor our products and services to meet local needs and offer our customers memorable experiences that help us maintain lasting emotional connections with our loyal customer base and the communities we serve.</w:t>
      </w:r>
    </w:p>
    <w:p>
      <w:pPr>
        <w:spacing w:after="0" w:line="70" w:lineRule="exact"/>
        <w:rPr>
          <w:sz w:val="20"/>
          <w:szCs w:val="20"/>
          <w:color w:val="auto"/>
        </w:rPr>
      </w:pPr>
    </w:p>
    <w:p>
      <w:pPr>
        <w:ind w:left="320" w:right="299" w:firstLine="360"/>
        <w:spacing w:after="0" w:line="287" w:lineRule="auto"/>
        <w:rPr>
          <w:sz w:val="20"/>
          <w:szCs w:val="20"/>
          <w:color w:val="auto"/>
        </w:rPr>
      </w:pPr>
      <w:r>
        <w:rPr>
          <w:rFonts w:ascii="Arial" w:cs="Arial" w:eastAsia="Arial" w:hAnsi="Arial"/>
          <w:sz w:val="16"/>
          <w:szCs w:val="16"/>
          <w:color w:val="auto"/>
        </w:rPr>
        <w:t>We sell a range of sporting and outdoor recreation products.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 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 Our value-based assortment also includes exclusive products from our portfolio of 19 owned brands. Nearly 20% of our 2020 sales were from our owned brands, such as Magellan Outdoors and BCG, which offer a distinct offering to our customers and approximately 56% of our customers purchased an owned brand item from us in 2020. Our merchandising creates a balanced sales mix throughout the year with no single season accounting for more than 28% of our annual sales.</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stores deliver industry-leading unit sales and profitability, including 2020 net sales per store of</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$22.0 million, average total sales per square foot of $311, and average EBITDA per store of $2.3 million. Our</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customers love the Academy store shopping experience because they are able to easily find, learn about, feel, try on</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and walk out with their favorite items. Our one-stop, convenient store layout, together with our highly trained team</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members offering value-added customer services, drive strong and consistent store foot traffic and transaction</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volume, with our average customers visiting our stores two to three times per year and our best customers visiting</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stores nine times per year. The majority of our stores are located in high-traffic shopping centers, while none of</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stores are located in, or anchored to, malls.</w:t>
      </w:r>
    </w:p>
    <w:p>
      <w:pPr>
        <w:spacing w:after="0" w:line="103" w:lineRule="exact"/>
        <w:rPr>
          <w:sz w:val="20"/>
          <w:szCs w:val="20"/>
          <w:color w:val="auto"/>
        </w:rPr>
      </w:pPr>
    </w:p>
    <w:p>
      <w:pPr>
        <w:ind w:left="320" w:right="299" w:firstLine="360"/>
        <w:spacing w:after="0" w:line="270" w:lineRule="auto"/>
        <w:rPr>
          <w:sz w:val="20"/>
          <w:szCs w:val="20"/>
          <w:color w:val="auto"/>
        </w:rPr>
      </w:pPr>
      <w:r>
        <w:rPr>
          <w:rFonts w:ascii="Arial" w:cs="Arial" w:eastAsia="Arial" w:hAnsi="Arial"/>
          <w:sz w:val="17"/>
          <w:szCs w:val="17"/>
          <w:color w:val="auto"/>
        </w:rPr>
        <w:t>Our emerging, profitable e-commerce platform that leverages our strong BOPIS and shipping fulfillment capabilities has achieved year-over-year sales growth of 138% and 8% during 2020 and 2019, respectively. Our e-commerce sales represented 10.4% and 5.1% of our merchandise sales in 2020 and 2019, respectively. We are deepening our customer relationships, further integrating our e-commerce platform with our stores and driving operating efficiencies by developing our omnichannel capabilities. Our BOPIS program, launched in 2019, allows customers to place an order on our website and pick up their product at a desired location, either in-store or curbside. Our website also serves as a platform for marketing and product education, enhancing our customer experience and driving traffic to our stores. Our website is introducing new customers to the Academy brand, with approximately 39% of our e-commerce sales during 2020 coming from new households.</w:t>
      </w:r>
    </w:p>
    <w:p>
      <w:pPr>
        <w:spacing w:after="0" w:line="73" w:lineRule="exact"/>
        <w:rPr>
          <w:sz w:val="20"/>
          <w:szCs w:val="20"/>
          <w:color w:val="auto"/>
        </w:rPr>
      </w:pPr>
    </w:p>
    <w:p>
      <w:pPr>
        <w:ind w:left="320" w:right="379" w:firstLine="360"/>
        <w:spacing w:after="0" w:line="255" w:lineRule="auto"/>
        <w:rPr>
          <w:sz w:val="20"/>
          <w:szCs w:val="20"/>
          <w:color w:val="auto"/>
        </w:rPr>
      </w:pPr>
      <w:r>
        <w:rPr>
          <w:rFonts w:ascii="Arial" w:cs="Arial" w:eastAsia="Arial" w:hAnsi="Arial"/>
          <w:sz w:val="18"/>
          <w:szCs w:val="18"/>
          <w:color w:val="auto"/>
        </w:rPr>
        <w:t>We serve our communities by supporting events, programs and organizations that help make a positive impact, including the sponsorship of over 1,500 local sports teams. We promote and encourage safety and responsibility, so that everyone can feel confident and comfortable doing what they love, by offering products and information that enable our customers to be smart, responsible and safe. We have a long history of providing essential products for crisis preparedness and have helped our communities, customers and team members through various natural disasters and crises.</w:t>
      </w:r>
    </w:p>
    <w:p>
      <w:pPr>
        <w:spacing w:after="0" w:line="84" w:lineRule="exact"/>
        <w:rPr>
          <w:sz w:val="20"/>
          <w:szCs w:val="20"/>
          <w:color w:val="auto"/>
        </w:rPr>
      </w:pPr>
    </w:p>
    <w:p>
      <w:pPr>
        <w:ind w:left="320" w:right="379" w:firstLine="360"/>
        <w:spacing w:after="0" w:line="272" w:lineRule="auto"/>
        <w:rPr>
          <w:sz w:val="20"/>
          <w:szCs w:val="20"/>
          <w:color w:val="auto"/>
        </w:rPr>
      </w:pPr>
      <w:r>
        <w:rPr>
          <w:rFonts w:ascii="Arial" w:cs="Arial" w:eastAsia="Arial" w:hAnsi="Arial"/>
          <w:sz w:val="17"/>
          <w:szCs w:val="17"/>
          <w:color w:val="auto"/>
        </w:rPr>
        <w:t>We finished 2020 with approximately $5.7 billion in sales, $308.8 million of net income and $607.0 million in Adjusted EBITDA. Although comparable sales were negative for 2017, 2018 and 2019, as of the end of the fourth quarter of 2020, we have seen six consecutive quarters of positive comparable sales and Adjusted EBITDA growth. We earned net income of $308.8 million, $120.0 million and $21.4 million during 2020, 2019 and 2018, respectively. See “—Summary Historical Consolidated Financial and Other Data” for definitions of Adjusted EBITDA and Adjusted Free Cash Flow and reconciliations of Adjusted EBITDA to net income and Adjusted Free Cash Flow to net cash provided by operating activities.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9933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3405" cy="799338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Performance Improvement Initiatives</w:t>
      </w:r>
    </w:p>
    <w:p>
      <w:pPr>
        <w:spacing w:after="0" w:line="121" w:lineRule="exact"/>
        <w:rPr>
          <w:sz w:val="20"/>
          <w:szCs w:val="20"/>
          <w:color w:val="auto"/>
        </w:rPr>
      </w:pPr>
    </w:p>
    <w:p>
      <w:pPr>
        <w:jc w:val="both"/>
        <w:ind w:left="320" w:right="599" w:firstLine="360"/>
        <w:spacing w:after="0" w:line="263" w:lineRule="auto"/>
        <w:rPr>
          <w:sz w:val="20"/>
          <w:szCs w:val="20"/>
          <w:color w:val="auto"/>
        </w:rPr>
      </w:pPr>
      <w:r>
        <w:rPr>
          <w:rFonts w:ascii="Arial" w:cs="Arial" w:eastAsia="Arial" w:hAnsi="Arial"/>
          <w:sz w:val="18"/>
          <w:szCs w:val="18"/>
          <w:color w:val="auto"/>
        </w:rPr>
        <w:t>We have made significant progress on several key performance improvement initiatives that drove positive comparable sales and Adjusted EBITDA growth in the last six consecutive quarters ended January 30, 2021, and created a foundation for our future growth. These key initiatives include:</w:t>
      </w:r>
    </w:p>
    <w:p>
      <w:pPr>
        <w:spacing w:after="0" w:line="76" w:lineRule="exact"/>
        <w:rPr>
          <w:sz w:val="20"/>
          <w:szCs w:val="20"/>
          <w:color w:val="auto"/>
        </w:rPr>
      </w:pPr>
    </w:p>
    <w:p>
      <w:pPr>
        <w:ind w:left="1020" w:right="319" w:hanging="350"/>
        <w:spacing w:after="0" w:line="271"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Strengthened leadership team </w:t>
      </w:r>
      <w:r>
        <w:rPr>
          <w:rFonts w:ascii="Arial" w:cs="Arial" w:eastAsia="Arial" w:hAnsi="Arial"/>
          <w:sz w:val="17"/>
          <w:szCs w:val="17"/>
          <w:color w:val="auto"/>
        </w:rPr>
        <w:t>– Our leadership team comprises nine highly experienced and proven</w:t>
      </w:r>
      <w:r>
        <w:rPr>
          <w:rFonts w:ascii="Arial" w:cs="Arial" w:eastAsia="Arial" w:hAnsi="Arial"/>
          <w:sz w:val="17"/>
          <w:szCs w:val="17"/>
          <w:i w:val="1"/>
          <w:iCs w:val="1"/>
          <w:color w:val="auto"/>
        </w:rPr>
        <w:t xml:space="preserve"> </w:t>
      </w:r>
      <w:r>
        <w:rPr>
          <w:rFonts w:ascii="Arial" w:cs="Arial" w:eastAsia="Arial" w:hAnsi="Arial"/>
          <w:sz w:val="17"/>
          <w:szCs w:val="17"/>
          <w:color w:val="auto"/>
        </w:rPr>
        <w:t>individuals, seven of whom joined Academy since 2017, led by our Chief Executive Officer and including our Chief Financial Officer, Chief Merchandising Officer, EVP of Retail Operations, SVP of Logistics and Supply Chain, SVP of Omnichannel, and Chief Information Officer. Our leadership team also recently demonstrated its ability to adapt, operate and gain market share and new customers during the most challenging of retail environments, including its ability to safely operate our stores and distribution centers, source and deliver our merchandise, and manage our liquidity and expenses in all elements of our business during the COVID-19 pandemic.</w:t>
      </w:r>
    </w:p>
    <w:p>
      <w:pPr>
        <w:spacing w:after="0" w:line="70" w:lineRule="exact"/>
        <w:rPr>
          <w:rFonts w:ascii="Arial" w:cs="Arial" w:eastAsia="Arial" w:hAnsi="Arial"/>
          <w:sz w:val="17"/>
          <w:szCs w:val="17"/>
          <w:color w:val="auto"/>
        </w:rPr>
      </w:pPr>
    </w:p>
    <w:p>
      <w:pPr>
        <w:ind w:left="1020" w:right="299" w:hanging="350"/>
        <w:spacing w:after="0" w:line="273"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Build omnichannel </w:t>
      </w:r>
      <w:r>
        <w:rPr>
          <w:rFonts w:ascii="Arial" w:cs="Arial" w:eastAsia="Arial" w:hAnsi="Arial"/>
          <w:sz w:val="17"/>
          <w:szCs w:val="17"/>
          <w:color w:val="auto"/>
        </w:rPr>
        <w:t>– After investing approximately $50 million in our omnichannel capabilities from 2017</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2019, we launched several new omnichannel initiatives in 2019, including our BOPIS program, ship-to-store program and new website design, content and functionality. Our mobile app, which launched in the second quarter of 2021, also supports our stores with digital marketing and our BOPIS and ship-to-store programs. While still early in our omnichannel strategy, we have built a profitable omnichannel business that is poised for continued growth and improvement of capabilities.</w:t>
      </w:r>
    </w:p>
    <w:p>
      <w:pPr>
        <w:spacing w:after="0" w:line="69" w:lineRule="exact"/>
        <w:rPr>
          <w:rFonts w:ascii="Arial" w:cs="Arial" w:eastAsia="Arial" w:hAnsi="Arial"/>
          <w:sz w:val="17"/>
          <w:szCs w:val="17"/>
          <w:color w:val="auto"/>
        </w:rPr>
      </w:pPr>
    </w:p>
    <w:p>
      <w:pPr>
        <w:ind w:left="1020" w:right="519" w:hanging="350"/>
        <w:spacing w:after="0" w:line="26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Localized merchandising </w:t>
      </w:r>
      <w:r>
        <w:rPr>
          <w:rFonts w:ascii="Arial" w:cs="Arial" w:eastAsia="Arial" w:hAnsi="Arial"/>
          <w:sz w:val="18"/>
          <w:szCs w:val="18"/>
          <w:color w:val="auto"/>
        </w:rPr>
        <w:t>– Since 2018, we improved the localization of our assortment across selected</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offerings. This initiative resulted in an improved customer shopping experience and increased sales.</w:t>
      </w:r>
    </w:p>
    <w:p>
      <w:pPr>
        <w:spacing w:after="0" w:line="75" w:lineRule="exact"/>
        <w:rPr>
          <w:rFonts w:ascii="Arial" w:cs="Arial" w:eastAsia="Arial" w:hAnsi="Arial"/>
          <w:sz w:val="18"/>
          <w:szCs w:val="18"/>
          <w:color w:val="auto"/>
        </w:rPr>
      </w:pPr>
    </w:p>
    <w:p>
      <w:pPr>
        <w:ind w:left="1020" w:right="379" w:hanging="350"/>
        <w:spacing w:after="0" w:line="259"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Category focus </w:t>
      </w:r>
      <w:r>
        <w:rPr>
          <w:rFonts w:ascii="Arial" w:cs="Arial" w:eastAsia="Arial" w:hAnsi="Arial"/>
          <w:sz w:val="18"/>
          <w:szCs w:val="18"/>
          <w:color w:val="auto"/>
        </w:rPr>
        <w:t>– In 2019 and continuing into 2020, we improved and focused our assortments in priority</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categories, such as team sports, fishing and outdoors, while exiting certain other product categories, such as luggage, electronics and toys, that were less profitable or unprofitable, slower moving, and not core to our sporting goods and outdoor offering.</w:t>
      </w:r>
    </w:p>
    <w:p>
      <w:pPr>
        <w:spacing w:after="0" w:line="78" w:lineRule="exact"/>
        <w:rPr>
          <w:rFonts w:ascii="Arial" w:cs="Arial" w:eastAsia="Arial" w:hAnsi="Arial"/>
          <w:sz w:val="18"/>
          <w:szCs w:val="18"/>
          <w:color w:val="auto"/>
        </w:rPr>
      </w:pPr>
    </w:p>
    <w:p>
      <w:pPr>
        <w:ind w:left="1020" w:right="339" w:hanging="350"/>
        <w:spacing w:after="0" w:line="26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Enhance store optimization </w:t>
      </w:r>
      <w:r>
        <w:rPr>
          <w:rFonts w:ascii="Arial" w:cs="Arial" w:eastAsia="Arial" w:hAnsi="Arial"/>
          <w:sz w:val="18"/>
          <w:szCs w:val="18"/>
          <w:color w:val="auto"/>
        </w:rPr>
        <w:t>– We leverage technology to enable our store team members to better manage,</w:t>
      </w:r>
      <w:r>
        <w:rPr>
          <w:rFonts w:ascii="Arial" w:cs="Arial" w:eastAsia="Arial" w:hAnsi="Arial"/>
          <w:sz w:val="18"/>
          <w:szCs w:val="18"/>
          <w:i w:val="1"/>
          <w:iCs w:val="1"/>
          <w:color w:val="auto"/>
        </w:rPr>
        <w:t xml:space="preserve"> </w:t>
      </w:r>
      <w:r>
        <w:rPr>
          <w:rFonts w:ascii="Arial" w:cs="Arial" w:eastAsia="Arial" w:hAnsi="Arial"/>
          <w:sz w:val="18"/>
          <w:szCs w:val="18"/>
          <w:color w:val="auto"/>
        </w:rPr>
        <w:t>prioritize and reduce tasks to give them more time to engage in customer service, thereby increasing our productivity and sales conversion.</w:t>
      </w:r>
    </w:p>
    <w:p>
      <w:pPr>
        <w:spacing w:after="0" w:line="75" w:lineRule="exact"/>
        <w:rPr>
          <w:rFonts w:ascii="Arial" w:cs="Arial" w:eastAsia="Arial" w:hAnsi="Arial"/>
          <w:sz w:val="18"/>
          <w:szCs w:val="18"/>
          <w:color w:val="auto"/>
        </w:rPr>
      </w:pPr>
    </w:p>
    <w:p>
      <w:pPr>
        <w:jc w:val="both"/>
        <w:ind w:left="1020" w:right="339" w:hanging="350"/>
        <w:spacing w:after="0" w:line="286"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Digital marketing program </w:t>
      </w:r>
      <w:r>
        <w:rPr>
          <w:rFonts w:ascii="Arial" w:cs="Arial" w:eastAsia="Arial" w:hAnsi="Arial"/>
          <w:sz w:val="17"/>
          <w:szCs w:val="17"/>
          <w:color w:val="auto"/>
        </w:rPr>
        <w:t>– During the last two years, we shifted our primary marketing focus from print</w:t>
      </w:r>
      <w:r>
        <w:rPr>
          <w:rFonts w:ascii="Arial" w:cs="Arial" w:eastAsia="Arial" w:hAnsi="Arial"/>
          <w:sz w:val="17"/>
          <w:szCs w:val="17"/>
          <w:i w:val="1"/>
          <w:iCs w:val="1"/>
          <w:color w:val="auto"/>
        </w:rPr>
        <w:t xml:space="preserve"> </w:t>
      </w:r>
      <w:r>
        <w:rPr>
          <w:rFonts w:ascii="Arial" w:cs="Arial" w:eastAsia="Arial" w:hAnsi="Arial"/>
          <w:sz w:val="17"/>
          <w:szCs w:val="17"/>
          <w:color w:val="auto"/>
        </w:rPr>
        <w:t>to digital marketing. Our improved website also supports our stores with digital marketing and our BOPIS program. Each of these initiatives has given us a closer connection with our customers.</w:t>
      </w:r>
    </w:p>
    <w:p>
      <w:pPr>
        <w:spacing w:after="0" w:line="57" w:lineRule="exact"/>
        <w:rPr>
          <w:rFonts w:ascii="Arial" w:cs="Arial" w:eastAsia="Arial" w:hAnsi="Arial"/>
          <w:sz w:val="17"/>
          <w:szCs w:val="17"/>
          <w:color w:val="auto"/>
        </w:rPr>
      </w:pPr>
    </w:p>
    <w:p>
      <w:pPr>
        <w:ind w:left="1020" w:right="579" w:hanging="350"/>
        <w:spacing w:after="0" w:line="259"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Implement loyalty program </w:t>
      </w:r>
      <w:r>
        <w:rPr>
          <w:rFonts w:ascii="Arial" w:cs="Arial" w:eastAsia="Arial" w:hAnsi="Arial"/>
          <w:sz w:val="18"/>
          <w:szCs w:val="18"/>
          <w:color w:val="auto"/>
        </w:rPr>
        <w:t>– We launched the Academy Credit Card program in May 2019, which</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constituted approximately 4.5% of 2020 net sales. Academy Credit Card represents a significant opportunity to build customer loyalty, as our Academy Credit Card customers both spend more per trip and visit our stores more often.</w:t>
      </w:r>
    </w:p>
    <w:p>
      <w:pPr>
        <w:spacing w:after="0" w:line="78" w:lineRule="exact"/>
        <w:rPr>
          <w:rFonts w:ascii="Arial" w:cs="Arial" w:eastAsia="Arial" w:hAnsi="Arial"/>
          <w:sz w:val="18"/>
          <w:szCs w:val="18"/>
          <w:color w:val="auto"/>
        </w:rPr>
      </w:pPr>
    </w:p>
    <w:p>
      <w:pPr>
        <w:ind w:left="1020" w:right="419" w:hanging="350"/>
        <w:spacing w:after="0" w:line="275"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Programmatic inventory management </w:t>
      </w:r>
      <w:r>
        <w:rPr>
          <w:rFonts w:ascii="Arial" w:cs="Arial" w:eastAsia="Arial" w:hAnsi="Arial"/>
          <w:sz w:val="17"/>
          <w:szCs w:val="17"/>
          <w:color w:val="auto"/>
        </w:rPr>
        <w:t>– We implemented a new disciplined price markdown strategy that</w:t>
      </w:r>
      <w:r>
        <w:rPr>
          <w:rFonts w:ascii="Arial" w:cs="Arial" w:eastAsia="Arial" w:hAnsi="Arial"/>
          <w:sz w:val="17"/>
          <w:szCs w:val="17"/>
          <w:i w:val="1"/>
          <w:iCs w:val="1"/>
          <w:color w:val="auto"/>
        </w:rPr>
        <w:t xml:space="preserve"> </w:t>
      </w:r>
      <w:r>
        <w:rPr>
          <w:rFonts w:ascii="Arial" w:cs="Arial" w:eastAsia="Arial" w:hAnsi="Arial"/>
          <w:sz w:val="17"/>
          <w:szCs w:val="17"/>
          <w:color w:val="auto"/>
        </w:rPr>
        <w:t>has improved our margins and inventory management, as well as a new merchandise planning and allocation system that enables us to target inventory by store market to allow us to localize our offerings and sizes. This along with automated inventory ordering drove a significant amount of our margin expansion and improved inventory turns from 2.84x in 2019 to 3.89x in 2020.</w:t>
      </w:r>
    </w:p>
    <w:p>
      <w:pPr>
        <w:spacing w:after="0" w:line="68" w:lineRule="exact"/>
        <w:rPr>
          <w:rFonts w:ascii="Arial" w:cs="Arial" w:eastAsia="Arial" w:hAnsi="Arial"/>
          <w:sz w:val="17"/>
          <w:szCs w:val="17"/>
          <w:color w:val="auto"/>
        </w:rPr>
      </w:pPr>
    </w:p>
    <w:p>
      <w:pPr>
        <w:ind w:left="1020" w:right="319" w:hanging="350"/>
        <w:spacing w:after="0" w:line="293"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Develop small box format </w:t>
      </w:r>
      <w:r>
        <w:rPr>
          <w:rFonts w:ascii="Arial" w:cs="Arial" w:eastAsia="Arial" w:hAnsi="Arial"/>
          <w:sz w:val="16"/>
          <w:szCs w:val="16"/>
          <w:color w:val="auto"/>
        </w:rPr>
        <w:t>– We opened our first small format store (approximately 40,000 square feet) in</w:t>
      </w:r>
      <w:r>
        <w:rPr>
          <w:rFonts w:ascii="Arial" w:cs="Arial" w:eastAsia="Arial" w:hAnsi="Arial"/>
          <w:sz w:val="16"/>
          <w:szCs w:val="16"/>
          <w:i w:val="1"/>
          <w:iCs w:val="1"/>
          <w:color w:val="auto"/>
        </w:rPr>
        <w:t xml:space="preserve"> </w:t>
      </w:r>
      <w:r>
        <w:rPr>
          <w:rFonts w:ascii="Arial" w:cs="Arial" w:eastAsia="Arial" w:hAnsi="Arial"/>
          <w:sz w:val="16"/>
          <w:szCs w:val="16"/>
          <w:color w:val="auto"/>
        </w:rPr>
        <w:t>Dallas, Texas in 2019. We believe this new smaller format store allows us to open new stores in urban and less dense areas. During 2020, this smaller format store experienced approximately 28% higher sales per square foot and 37% higher inventory turns than the average of all Academy stores, the latter of which had $311 sales per square foot and 3.89x inventory turns. We evaluate performance inclusive of store sales, as well as BOPIS sales and other fulfilled sales from the location.</w:t>
      </w:r>
    </w:p>
    <w:p>
      <w:pPr>
        <w:spacing w:after="0" w:line="56" w:lineRule="exact"/>
        <w:rPr>
          <w:sz w:val="20"/>
          <w:szCs w:val="20"/>
          <w:color w:val="auto"/>
        </w:rPr>
      </w:pPr>
    </w:p>
    <w:p>
      <w:pPr>
        <w:ind w:left="320" w:right="299" w:firstLine="360"/>
        <w:spacing w:after="0" w:line="279" w:lineRule="auto"/>
        <w:rPr>
          <w:sz w:val="20"/>
          <w:szCs w:val="20"/>
          <w:color w:val="auto"/>
        </w:rPr>
      </w:pPr>
      <w:r>
        <w:rPr>
          <w:rFonts w:ascii="Arial" w:cs="Arial" w:eastAsia="Arial" w:hAnsi="Arial"/>
          <w:sz w:val="17"/>
          <w:szCs w:val="17"/>
          <w:color w:val="auto"/>
        </w:rPr>
        <w:t>More recently, as a result of the COVID-19 pandemic, consumers are spending more time at and around home engaging in recreation and leisure activities that include our key categories. The outdoor recreation industry, in particular, has tailwinds arising out of the COVID-19 pandemic, as indicated by a survey from Civic Science, stating 49% of Americans expect to be doing more outdoor recreational activities in the future in order</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 w:name="page11"/>
    <w:bookmarkEnd w:id="10"/>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8136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3405" cy="78136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0" w:right="299"/>
        <w:spacing w:after="0" w:line="269" w:lineRule="auto"/>
        <w:rPr>
          <w:sz w:val="20"/>
          <w:szCs w:val="20"/>
          <w:color w:val="auto"/>
        </w:rPr>
      </w:pPr>
      <w:r>
        <w:rPr>
          <w:rFonts w:ascii="Arial" w:cs="Arial" w:eastAsia="Arial" w:hAnsi="Arial"/>
          <w:sz w:val="17"/>
          <w:szCs w:val="17"/>
          <w:color w:val="auto"/>
        </w:rPr>
        <w:t>to facilitate social distancing. We expect that this will continue throughout the duration of the pandemic and will result in a long-term increase to our customer base. The industry has seen unprecedented increases in participation across several categories which we consider to be some of our “power categories.” This includes camping/hiking/kayaking, fitness, running and team sports, which saw participation increases of 9%, 4%, 3% and 2%, respectively, from 2015 to 2019. According to Allied Market Research, sales growth from 2019 through 2027 in categories we participate, such as outdoor, team sports, apparel and footwear, is expected to grow approximately 6% per annum. We have invested in and built our operating platforms over the last several years and, coupled with our product offering and accessible stores, have laid the foundation for our future growth and success in this environment. It is difficult to ascertain with precision what portion of our increased comparable sales during 2020 is attributable to the increase in e-commerce sales due to the COVID-19 pandemic as compared to the impact of the business improvements described above.</w:t>
      </w:r>
    </w:p>
    <w:p>
      <w:pPr>
        <w:spacing w:after="0" w:line="32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320" w:right="379" w:firstLine="360"/>
        <w:spacing w:after="0" w:line="275" w:lineRule="auto"/>
        <w:rPr>
          <w:sz w:val="20"/>
          <w:szCs w:val="20"/>
          <w:color w:val="auto"/>
        </w:rPr>
      </w:pPr>
      <w:r>
        <w:rPr>
          <w:rFonts w:ascii="Arial" w:cs="Arial" w:eastAsia="Arial" w:hAnsi="Arial"/>
          <w:sz w:val="17"/>
          <w:szCs w:val="17"/>
          <w:color w:val="auto"/>
        </w:rPr>
        <w:t>We compete in a $110 billion fragmented market of retailers that sell sporting goods, outdoor recreation products, fan shop, apparel, footwear and other nontraditional sporting goods and general merchandise, such as casual and work apparel, barbecue and cooking equipment, patio furniture, outdoor games, severe weather supplies and pet care. The retail business is highly competitive based on many variables including price, product assortment, customer service, omnichannel experience and store locations.</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retail sporting goods and outdoor recreation retail industry comprises six principal categories of retailers:</w:t>
      </w:r>
    </w:p>
    <w:p>
      <w:pPr>
        <w:spacing w:after="0" w:line="140" w:lineRule="exact"/>
        <w:rPr>
          <w:sz w:val="20"/>
          <w:szCs w:val="20"/>
          <w:color w:val="auto"/>
        </w:rPr>
      </w:pPr>
    </w:p>
    <w:p>
      <w:pPr>
        <w:ind w:left="1020" w:hanging="350"/>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Mass general merchants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Large format sporting goods stores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Traditional sporting goods stores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Specialty outdoor retailers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Specialty footwear retailers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Catalogue &amp; Internet retailers</w:t>
      </w:r>
    </w:p>
    <w:p>
      <w:pPr>
        <w:spacing w:after="0" w:line="117" w:lineRule="exact"/>
        <w:rPr>
          <w:sz w:val="20"/>
          <w:szCs w:val="20"/>
          <w:color w:val="auto"/>
        </w:rPr>
      </w:pPr>
    </w:p>
    <w:p>
      <w:pPr>
        <w:ind w:left="320" w:right="379" w:firstLine="360"/>
        <w:spacing w:after="0" w:line="277" w:lineRule="auto"/>
        <w:rPr>
          <w:sz w:val="20"/>
          <w:szCs w:val="20"/>
          <w:color w:val="auto"/>
        </w:rPr>
      </w:pPr>
      <w:r>
        <w:rPr>
          <w:rFonts w:ascii="Arial" w:cs="Arial" w:eastAsia="Arial" w:hAnsi="Arial"/>
          <w:sz w:val="18"/>
          <w:szCs w:val="18"/>
          <w:color w:val="auto"/>
        </w:rPr>
        <w:t>Our primary competitors are large format sporting goods stores and mass general merchants that offer sporting goods, outdoor recreation products and other lifestyle and recreational merchandise.</w:t>
      </w:r>
    </w:p>
    <w:p>
      <w:pPr>
        <w:spacing w:after="0" w:line="62" w:lineRule="exact"/>
        <w:rPr>
          <w:sz w:val="20"/>
          <w:szCs w:val="20"/>
          <w:color w:val="auto"/>
        </w:rPr>
      </w:pPr>
    </w:p>
    <w:p>
      <w:pPr>
        <w:ind w:left="320" w:right="319" w:firstLine="360"/>
        <w:spacing w:after="0" w:line="268" w:lineRule="auto"/>
        <w:rPr>
          <w:sz w:val="20"/>
          <w:szCs w:val="20"/>
          <w:color w:val="auto"/>
        </w:rPr>
      </w:pPr>
      <w:r>
        <w:rPr>
          <w:rFonts w:ascii="Arial" w:cs="Arial" w:eastAsia="Arial" w:hAnsi="Arial"/>
          <w:sz w:val="17"/>
          <w:szCs w:val="17"/>
          <w:color w:val="auto"/>
        </w:rPr>
        <w:t>The overall U.S. sporting goods and outdoors recreation industry is constantly evolving and demand for certain sports and outdoors recreation goods may increase or decrease depending upon the economics, demographics or popularity of each activity. We monitor local demographics and buying trends and tailor our merchandise assortment to the preferences of the local community. As interests change, our broad selection allows us to adapt to shifts and expand or contract our product mix to meet the changing customer demand. Over the last two years, there have been a number of market trends and tailwinds in our favor. We believe we are well positioned to capture the demand from the rising popularity of fast growing trends, including athleisure wear, insulated coolers and cups and outdoor recreation, such as fishing. Additionally, we benefit from recent shifting of customer spend towards in-home health and wellness and dedicating more time to memory-making experiences. More recently, as a result of the COVID-19 pandemic, consumers are spending more time at and around home engaging in isolated recreation and leisure activities that we support and, we expect that this will continue throughout the duration of the pandemic and will result in a long-term increase in our customer base. The rising popularity in loyalty to premium brands, and importance of experience for customers also serve as constructive tailwinds to our business. We believe we are well positioned to capture an increasing portion of the wallets of important growing demographics, such as female and Hispanic customers.</w:t>
      </w:r>
    </w:p>
    <w:p>
      <w:pPr>
        <w:spacing w:after="0" w:line="74" w:lineRule="exact"/>
        <w:rPr>
          <w:sz w:val="20"/>
          <w:szCs w:val="20"/>
          <w:color w:val="auto"/>
        </w:rPr>
      </w:pPr>
    </w:p>
    <w:p>
      <w:pPr>
        <w:ind w:left="320" w:right="339" w:firstLine="360"/>
        <w:spacing w:after="0" w:line="255" w:lineRule="auto"/>
        <w:rPr>
          <w:sz w:val="20"/>
          <w:szCs w:val="20"/>
          <w:color w:val="auto"/>
        </w:rPr>
      </w:pPr>
      <w:r>
        <w:rPr>
          <w:rFonts w:ascii="Arial" w:cs="Arial" w:eastAsia="Arial" w:hAnsi="Arial"/>
          <w:sz w:val="18"/>
          <w:szCs w:val="18"/>
          <w:color w:val="auto"/>
        </w:rPr>
        <w:t>We have proven to be adaptive through periods of significant industry transformation. As consolidations and e-commerce disruption have threatened and, in some cases, played a role in shutting down some of our peers, we have taken advantage of these changes by taking market share. Our value-based operating strategy and expansive assortment beyond traditional sporting goods, such as our outdoor gear and work wear categories, have been keys to our success, because they provide a one-stop shop for our customers who are searching for assortment, value and convenience.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448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3405" cy="804481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Competitive Strengths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attribute our success to the following competitive strengths:</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Regional leader in growing industry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are the second largest full-line sporting goods and outdoor recreation retailer in the United States, with</w:t>
      </w:r>
    </w:p>
    <w:p>
      <w:pPr>
        <w:spacing w:after="0" w:line="35" w:lineRule="exact"/>
        <w:rPr>
          <w:sz w:val="20"/>
          <w:szCs w:val="20"/>
          <w:color w:val="auto"/>
        </w:rPr>
      </w:pPr>
    </w:p>
    <w:p>
      <w:pPr>
        <w:ind w:left="320" w:right="359"/>
        <w:spacing w:after="0" w:line="253" w:lineRule="auto"/>
        <w:rPr>
          <w:sz w:val="20"/>
          <w:szCs w:val="20"/>
          <w:color w:val="auto"/>
        </w:rPr>
      </w:pPr>
      <w:r>
        <w:rPr>
          <w:rFonts w:ascii="Arial" w:cs="Arial" w:eastAsia="Arial" w:hAnsi="Arial"/>
          <w:sz w:val="18"/>
          <w:szCs w:val="18"/>
          <w:color w:val="auto"/>
        </w:rPr>
        <w:t>2020 net sales of $5.7 billion. We believe our stores are well positioned geographically, with a strong and growing presence in six of the top 10 fastest-growing MSAs, including Austin, Atlanta, Houston, San Antonio, Dallas and Charlotte. As of January 30, 2021, 29% of our stores are in four of the top five fastest-growing MSAs. This deep penetration of our established markets results in high customer awareness of, and loyalty to, the Academy name and frequent visits to our conveniently located stores.</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size of the sporting goods and outdoor recreation industry was estimated at $110 billion in the</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United States in 2020, based on SGI Market Facts—Athletic Footwear &amp; Apparel 2020 and SGI Market Facts—</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Sports Equipment 2020 by Sporting Goods Intelligence, Inc., and it is growing. According to Allied Market</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Research, sales growth from 2019 through 2027 in categories we participate, such as outdoor, team sports, apparel</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and footwear, is expected to grow approximately 6% per annum.</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Broad assortment and compelling value proposition across the spectrum</w:t>
      </w:r>
    </w:p>
    <w:p>
      <w:pPr>
        <w:spacing w:after="0" w:line="117" w:lineRule="exact"/>
        <w:rPr>
          <w:sz w:val="20"/>
          <w:szCs w:val="20"/>
          <w:color w:val="auto"/>
        </w:rPr>
      </w:pPr>
    </w:p>
    <w:p>
      <w:pPr>
        <w:ind w:left="320" w:right="279" w:firstLine="360"/>
        <w:spacing w:after="0" w:line="285" w:lineRule="auto"/>
        <w:rPr>
          <w:sz w:val="20"/>
          <w:szCs w:val="20"/>
          <w:color w:val="auto"/>
        </w:rPr>
      </w:pPr>
      <w:r>
        <w:rPr>
          <w:rFonts w:ascii="Arial" w:cs="Arial" w:eastAsia="Arial" w:hAnsi="Arial"/>
          <w:sz w:val="16"/>
          <w:szCs w:val="16"/>
          <w:color w:val="auto"/>
        </w:rPr>
        <w:t>We believe we sit in a sweet-spot of consumer demand, offering a broad, value-based assortment of sporting goods and outdoor recreation products, so our customers can participate and have fun, no matter their budget. Sporting goods shoppers consistently rate us as the top retailer for offering sporting and outdoor recreation products for a wide range of customers and being a one-stop shop. We carefully curate our products to provide the right assortment that appeal to beginners, experts, families and casual participants. In May 2020, over one-third of our customers tried a new sport or activity and came to Academy for the products they needed to get started in their new pursuit. We are the largest value-oriented sporting goods and outdoor recreation retailer in the United States. Our sporting goods customers ranked value as the most important driver in deciding where to shop and Academy was rated as the top retailer for value among sporting goods retailers. We maintain our leading value-oriented position by offering customers extensive choices of “good, better and best” merchandise at a range of competitive prices, coupled with convenient omnichannel solutions, a one-stop shopping experience and helpful customer services, such as free assembly of certain products, product demonstrations, hunting and fishing license certifications, fishing line spooling and bulk product carrying out, among others. We offer a price-beat guarantee where, if our customers find a lower price on an identical, in-stock merchandise advertised in print by any local retailer or select online retailers, we will beat that price by 5%. Our effective merchandise mix and compelling value proposition allow us to cater to both the price-conscious shopper, such as the active parent of a household with several children participating in various sports, and the discriminating shopper, such as the hunting and fishing expert. We are for all.</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Diversified mix of industry-leading national brands and owned brands</w:t>
      </w:r>
    </w:p>
    <w:p>
      <w:pPr>
        <w:spacing w:after="0" w:line="117" w:lineRule="exact"/>
        <w:rPr>
          <w:sz w:val="20"/>
          <w:szCs w:val="20"/>
          <w:color w:val="auto"/>
        </w:rPr>
      </w:pPr>
    </w:p>
    <w:p>
      <w:pPr>
        <w:ind w:left="320" w:right="359" w:firstLine="360"/>
        <w:spacing w:after="0" w:line="293" w:lineRule="auto"/>
        <w:rPr>
          <w:sz w:val="20"/>
          <w:szCs w:val="20"/>
          <w:color w:val="auto"/>
        </w:rPr>
      </w:pPr>
      <w:r>
        <w:rPr>
          <w:rFonts w:ascii="Arial" w:cs="Arial" w:eastAsia="Arial" w:hAnsi="Arial"/>
          <w:sz w:val="16"/>
          <w:szCs w:val="16"/>
          <w:color w:val="auto"/>
        </w:rPr>
        <w:t>Our access to national brand and owned brand merchandise creates a comprehensive portfolio of value-based and diversified products, spanning various price-points, that differentiates our assortment from our peers. Our category, brand and price-point mix is unique to Academy and difficult to replicate at other retailers. Approximately 80% of our 2020 merchandise sales was comprised of national brand products, with the remainder coming from exclusive products in our portfolio of 19 owned brands. We have minimal product overlap with direct-to-consumer brands and competitors. No single brand we carry accounted for more than 10% of our 2020 sales.</w:t>
      </w:r>
    </w:p>
    <w:p>
      <w:pPr>
        <w:spacing w:after="0" w:line="56" w:lineRule="exact"/>
        <w:rPr>
          <w:sz w:val="20"/>
          <w:szCs w:val="20"/>
          <w:color w:val="auto"/>
        </w:rPr>
      </w:pPr>
    </w:p>
    <w:p>
      <w:pPr>
        <w:ind w:left="320" w:right="319" w:firstLine="360"/>
        <w:spacing w:after="0" w:line="271" w:lineRule="auto"/>
        <w:rPr>
          <w:sz w:val="20"/>
          <w:szCs w:val="20"/>
          <w:color w:val="auto"/>
        </w:rPr>
      </w:pPr>
      <w:r>
        <w:rPr>
          <w:rFonts w:ascii="Arial" w:cs="Arial" w:eastAsia="Arial" w:hAnsi="Arial"/>
          <w:sz w:val="17"/>
          <w:szCs w:val="17"/>
          <w:color w:val="auto"/>
        </w:rPr>
        <w:t>We have premium access to hundreds of well-recognized national brands, such as Nike, Carhartt, adidas, Under Armour, Columbia Sportswear, North Face and Winchester, which are critical to our market penetration. These brands rely on us to broaden their consumer reach, which fosters a mutually beneficial relationship when it comes to pricing and assortment. We play a critical role in delivering customer volume for these brands, especially as mall-based retailers face further headwinds and our industry consolidates. Our national brand assortment spans across each brand’s price spectrum beyond those of our competitors and we expand below the national brand price spectrum by complementing the assortment with our owned brands. As such, we receive favorable product exclusivity from leading suppliers.</w:t>
      </w:r>
    </w:p>
    <w:p>
      <w:pPr>
        <w:spacing w:after="0" w:line="70" w:lineRule="exact"/>
        <w:rPr>
          <w:sz w:val="20"/>
          <w:szCs w:val="20"/>
          <w:color w:val="auto"/>
        </w:rPr>
      </w:pPr>
    </w:p>
    <w:p>
      <w:pPr>
        <w:ind w:left="320" w:right="659" w:firstLine="360"/>
        <w:spacing w:after="0" w:line="342" w:lineRule="auto"/>
        <w:rPr>
          <w:sz w:val="20"/>
          <w:szCs w:val="20"/>
          <w:color w:val="auto"/>
        </w:rPr>
      </w:pPr>
      <w:r>
        <w:rPr>
          <w:rFonts w:ascii="Arial" w:cs="Arial" w:eastAsia="Arial" w:hAnsi="Arial"/>
          <w:sz w:val="16"/>
          <w:szCs w:val="16"/>
          <w:color w:val="auto"/>
        </w:rPr>
        <w:t>Our owned brand portfolio consists of 19 brands, including Magellan Outdoors, BCG, Academy Sports + Outdoors and Outdoor Gourmet. Our owned brand strategy focuses on in-filling categories and price points that</w:t>
      </w:r>
    </w:p>
    <w:p>
      <w:pPr>
        <w:sectPr>
          <w:pgSz w:w="11900" w:h="16838" w:orient="portrait"/>
          <w:cols w:equalWidth="0" w:num="1">
            <w:col w:w="9019"/>
          </w:cols>
          <w:pgMar w:left="1440" w:top="265" w:right="1440" w:bottom="1440" w:gutter="0" w:footer="0" w:header="0"/>
          <w:type w:val="continuous"/>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2" w:name="page13"/>
    <w:bookmarkEnd w:id="12"/>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9851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3405" cy="798512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320" w:right="319"/>
        <w:spacing w:after="0" w:line="271" w:lineRule="auto"/>
        <w:rPr>
          <w:sz w:val="20"/>
          <w:szCs w:val="20"/>
          <w:color w:val="auto"/>
        </w:rPr>
      </w:pPr>
      <w:r>
        <w:rPr>
          <w:rFonts w:ascii="Arial" w:cs="Arial" w:eastAsia="Arial" w:hAnsi="Arial"/>
          <w:sz w:val="17"/>
          <w:szCs w:val="17"/>
          <w:color w:val="auto"/>
        </w:rPr>
        <w:t>our national brand products may not satisfy. Our owned brand offerings support and complement our overall merchandising strategy due to limited price-point overlap with national brands. Our two largest owned brands, Magellan Outdoors and BCG, are among our fastest growing brands, growing year-over-year at 9.1% and 4.0% in 2020, respectively. Additionally, our owned brands generate strong brand equity and drive significant customer loyalty, as several of our exclusive products, such as the Academy-logo folding chair and folding wagon, are top-selling items. Approximately 56% of our customers purchased an owned brand item from us in 2020. Whether it is seeing a row of Academy-branded chairs at a softball game, or individuals wearing Magellan Outdoors shirts around town, our owned brands are worn and used throughout our footprint.</w:t>
      </w:r>
    </w:p>
    <w:p>
      <w:pPr>
        <w:spacing w:after="0" w:line="27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Differentiated in-store experience</w:t>
      </w:r>
    </w:p>
    <w:p>
      <w:pPr>
        <w:spacing w:after="0" w:line="117" w:lineRule="exact"/>
        <w:rPr>
          <w:sz w:val="20"/>
          <w:szCs w:val="20"/>
          <w:color w:val="auto"/>
        </w:rPr>
      </w:pPr>
    </w:p>
    <w:p>
      <w:pPr>
        <w:ind w:left="320" w:right="319" w:firstLine="360"/>
        <w:spacing w:after="0" w:line="286" w:lineRule="auto"/>
        <w:rPr>
          <w:sz w:val="20"/>
          <w:szCs w:val="20"/>
          <w:color w:val="auto"/>
        </w:rPr>
      </w:pPr>
      <w:r>
        <w:rPr>
          <w:rFonts w:ascii="Arial" w:cs="Arial" w:eastAsia="Arial" w:hAnsi="Arial"/>
          <w:sz w:val="16"/>
          <w:szCs w:val="16"/>
          <w:color w:val="auto"/>
        </w:rPr>
        <w:t>Our differentiated in-store experience, convenient locations and our helpful team members ensure that our customers can rely on us on any given day or situation in our region to deliver the right product at a competitive price. We provide a localized in-store experience that allows us to deepen our customer relationships. We tailor our product assortment by store, season and market to enhance year-round profitability. For example, our customers expect us to carry the right baits and lures customized for the local fishing spots, such as heavier selections of saltwater lures in our coastal locations. Stores with different climates and seasonal patterns each receive an assortment that better matches the local conditions. Stores located near a university carry a large selection of that school’s licensed apparel giving them a look and feel of the local bookstore, which appeals to the nearby loyal fans and customers. We consider crawfish cookers to be an absolute necessity for our customers in Louisiana, and beach towels are a stronger seller in coastal markets than they are in inland markets. Our customers often shop our stores for same-day-need purchases, such as before a big game with unexpected weather changes, or to purchase an add-on product that was forgotten on a day trip. We have developed considerable expertise in identifying, stocking and selling a relevant assortment to meet the local needs and demands.</w:t>
      </w:r>
    </w:p>
    <w:p>
      <w:pPr>
        <w:spacing w:after="0" w:line="66" w:lineRule="exact"/>
        <w:rPr>
          <w:sz w:val="20"/>
          <w:szCs w:val="20"/>
          <w:color w:val="auto"/>
        </w:rPr>
      </w:pPr>
    </w:p>
    <w:p>
      <w:pPr>
        <w:ind w:left="320" w:right="339" w:firstLine="360"/>
        <w:spacing w:after="0" w:line="286" w:lineRule="auto"/>
        <w:rPr>
          <w:sz w:val="20"/>
          <w:szCs w:val="20"/>
          <w:color w:val="auto"/>
        </w:rPr>
      </w:pPr>
      <w:r>
        <w:rPr>
          <w:rFonts w:ascii="Arial" w:cs="Arial" w:eastAsia="Arial" w:hAnsi="Arial"/>
          <w:sz w:val="16"/>
          <w:szCs w:val="16"/>
          <w:color w:val="auto"/>
        </w:rPr>
        <w:t xml:space="preserve">We provide an engaging customer shopping experience that drives customer traffic. Our visual merchandising strategy creates an entertaining and interactive in-store shopping experience for a broad range of shoppers. Our stores generally have consistent store layouts providing our customers with familiarity across our entire store base. Our in-store experience is further enhanced by the value-added customer service delivered by our highly trained and passionate staff. Value-added services we provide include free assembly of certain products, such as bicycles, grills and bows, fitness equipment demonstrations, issuances and renewals of hunting and fishing licenses, fishing line spooling and carrying bulk items to the car, among others. We sell many products, such as baseball bats and gloves, football helmets, fishing rods and reels, fitness equipment and bicycles, that require a “touch and feel” experience, as well as bulky items that would otherwise be difficult or costly to ship. We employ team members who we fondly refer to as our </w:t>
      </w:r>
      <w:r>
        <w:rPr>
          <w:rFonts w:ascii="Arial" w:cs="Arial" w:eastAsia="Arial" w:hAnsi="Arial"/>
          <w:sz w:val="16"/>
          <w:szCs w:val="16"/>
          <w:i w:val="1"/>
          <w:iCs w:val="1"/>
          <w:color w:val="auto"/>
        </w:rPr>
        <w:t>Enthusiasts</w:t>
      </w:r>
      <w:r>
        <w:rPr>
          <w:rFonts w:ascii="Arial" w:cs="Arial" w:eastAsia="Arial" w:hAnsi="Arial"/>
          <w:sz w:val="16"/>
          <w:szCs w:val="16"/>
          <w:color w:val="auto"/>
        </w:rPr>
        <w:t xml:space="preserve"> –passionate local experts who are specially recruited and trained for category-specific positions. Our </w:t>
      </w:r>
      <w:r>
        <w:rPr>
          <w:rFonts w:ascii="Arial" w:cs="Arial" w:eastAsia="Arial" w:hAnsi="Arial"/>
          <w:sz w:val="16"/>
          <w:szCs w:val="16"/>
          <w:i w:val="1"/>
          <w:iCs w:val="1"/>
          <w:color w:val="auto"/>
        </w:rPr>
        <w:t>Enthusiasts</w:t>
      </w:r>
      <w:r>
        <w:rPr>
          <w:rFonts w:ascii="Arial" w:cs="Arial" w:eastAsia="Arial" w:hAnsi="Arial"/>
          <w:sz w:val="16"/>
          <w:szCs w:val="16"/>
          <w:color w:val="auto"/>
        </w:rPr>
        <w:t xml:space="preserve"> use the products they sell and have the first-hand knowledge of the communities they serve, allowing them to advise and equip customers with products that suit the customers’ specific needs and the nuances of the local environment. We believe our stores often serve as gathering spots, as our customers come back to engage with our </w:t>
      </w:r>
      <w:r>
        <w:rPr>
          <w:rFonts w:ascii="Arial" w:cs="Arial" w:eastAsia="Arial" w:hAnsi="Arial"/>
          <w:sz w:val="16"/>
          <w:szCs w:val="16"/>
          <w:i w:val="1"/>
          <w:iCs w:val="1"/>
          <w:color w:val="auto"/>
        </w:rPr>
        <w:t>Enthusiasts</w:t>
      </w:r>
      <w:r>
        <w:rPr>
          <w:rFonts w:ascii="Arial" w:cs="Arial" w:eastAsia="Arial" w:hAnsi="Arial"/>
          <w:sz w:val="16"/>
          <w:szCs w:val="16"/>
          <w:color w:val="auto"/>
        </w:rPr>
        <w:t xml:space="preserve"> to share experiences and obtain further advice and assistance.</w:t>
      </w:r>
    </w:p>
    <w:p>
      <w:pPr>
        <w:spacing w:after="0" w:line="26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Large and loyal customer base</w:t>
      </w:r>
    </w:p>
    <w:p>
      <w:pPr>
        <w:spacing w:after="0" w:line="117" w:lineRule="exact"/>
        <w:rPr>
          <w:sz w:val="20"/>
          <w:szCs w:val="20"/>
          <w:color w:val="auto"/>
        </w:rPr>
      </w:pPr>
    </w:p>
    <w:p>
      <w:pPr>
        <w:ind w:left="320" w:right="499" w:firstLine="360"/>
        <w:spacing w:after="0" w:line="301" w:lineRule="auto"/>
        <w:rPr>
          <w:sz w:val="20"/>
          <w:szCs w:val="20"/>
          <w:color w:val="auto"/>
        </w:rPr>
      </w:pPr>
      <w:r>
        <w:rPr>
          <w:rFonts w:ascii="Arial" w:cs="Arial" w:eastAsia="Arial" w:hAnsi="Arial"/>
          <w:sz w:val="16"/>
          <w:szCs w:val="16"/>
          <w:color w:val="auto"/>
        </w:rPr>
        <w:t>We endeavor to offer products for customers of all ages, incomes and aspirations across sporting and outdoor recreation activities, seasons and experience levels. As such, we have a balanced, year-round business and a large customer base. In 2020, we estimate we served approximately 30 million unique customers and we completed approximately 80 million transactions, resulting in strong household penetration in our core markets.</w:t>
      </w:r>
    </w:p>
    <w:p>
      <w:pPr>
        <w:spacing w:after="0" w:line="49" w:lineRule="exact"/>
        <w:rPr>
          <w:sz w:val="20"/>
          <w:szCs w:val="20"/>
          <w:color w:val="auto"/>
        </w:rPr>
      </w:pPr>
    </w:p>
    <w:p>
      <w:pPr>
        <w:ind w:left="320" w:right="399" w:firstLine="360"/>
        <w:spacing w:after="0" w:line="273" w:lineRule="auto"/>
        <w:rPr>
          <w:sz w:val="20"/>
          <w:szCs w:val="20"/>
          <w:color w:val="auto"/>
        </w:rPr>
      </w:pPr>
      <w:r>
        <w:rPr>
          <w:rFonts w:ascii="Arial" w:cs="Arial" w:eastAsia="Arial" w:hAnsi="Arial"/>
          <w:sz w:val="17"/>
          <w:szCs w:val="17"/>
          <w:color w:val="auto"/>
        </w:rPr>
        <w:t>Our customers love shopping at Academy. Our average customer visits our stores anywhere from two to three times per year and our best customers visit our stores nine times per year. Academy customers are loyal. Based on our customer surveys, approximately 30% of our customers’ annual sporting goods, outdoor and recreation expenditures are made at Academy, in comparison to approximately 20% for our competitors that are large format sporting goods stores and specialty outdoor retailers and their customers. During 2020, we estimate we have gained approximately five million new customers.</w:t>
      </w:r>
    </w:p>
    <w:p>
      <w:pPr>
        <w:spacing w:after="0" w:line="70" w:lineRule="exact"/>
        <w:rPr>
          <w:sz w:val="20"/>
          <w:szCs w:val="20"/>
          <w:color w:val="auto"/>
        </w:rPr>
      </w:pPr>
    </w:p>
    <w:p>
      <w:pPr>
        <w:ind w:left="320" w:right="319" w:firstLine="360"/>
        <w:spacing w:after="0" w:line="311" w:lineRule="auto"/>
        <w:rPr>
          <w:sz w:val="20"/>
          <w:szCs w:val="20"/>
          <w:color w:val="auto"/>
        </w:rPr>
      </w:pPr>
      <w:r>
        <w:rPr>
          <w:rFonts w:ascii="Arial" w:cs="Arial" w:eastAsia="Arial" w:hAnsi="Arial"/>
          <w:sz w:val="16"/>
          <w:szCs w:val="16"/>
          <w:color w:val="auto"/>
        </w:rPr>
        <w:t>While we serve all customers, our core customers are young active families who are driven to have a life full of different sports and outdoors recreation activities. For these customers, fun is forever at their fingertips, and they constantly look for ways to create memories together as a family. Being a conveniently located, value-oriented,</w:t>
      </w:r>
    </w:p>
    <w:p>
      <w:pPr>
        <w:sectPr>
          <w:pgSz w:w="11900" w:h="16838" w:orient="portrait"/>
          <w:cols w:equalWidth="0" w:num="1">
            <w:col w:w="9019"/>
          </w:cols>
          <w:pgMar w:left="1440" w:top="265" w:right="1440" w:bottom="1440" w:gutter="0" w:footer="0" w:header="0"/>
          <w:type w:val="continuous"/>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 w:name="page14"/>
    <w:bookmarkEnd w:id="13"/>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3362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3405" cy="833628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320" w:right="399"/>
        <w:spacing w:after="0" w:line="259" w:lineRule="auto"/>
        <w:rPr>
          <w:sz w:val="20"/>
          <w:szCs w:val="20"/>
          <w:color w:val="auto"/>
        </w:rPr>
      </w:pPr>
      <w:r>
        <w:rPr>
          <w:rFonts w:ascii="Arial" w:cs="Arial" w:eastAsia="Arial" w:hAnsi="Arial"/>
          <w:sz w:val="18"/>
          <w:szCs w:val="18"/>
          <w:color w:val="auto"/>
        </w:rPr>
        <w:t>one-stop shop for fun merchandise is why these customers love to shop at Academy. When these families shop at Academy, they often split up to find the items for their respective activities and meet back together before checking out. Our core customers are more active shoppers – they shop us more often and are more likely to be omnichannel customers.</w:t>
      </w:r>
    </w:p>
    <w:p>
      <w:pPr>
        <w:spacing w:after="0" w:line="79" w:lineRule="exact"/>
        <w:rPr>
          <w:sz w:val="20"/>
          <w:szCs w:val="20"/>
          <w:color w:val="auto"/>
        </w:rPr>
      </w:pPr>
    </w:p>
    <w:p>
      <w:pPr>
        <w:ind w:left="320" w:right="459" w:firstLine="360"/>
        <w:spacing w:after="0" w:line="271" w:lineRule="auto"/>
        <w:rPr>
          <w:sz w:val="20"/>
          <w:szCs w:val="20"/>
          <w:color w:val="auto"/>
        </w:rPr>
      </w:pPr>
      <w:r>
        <w:rPr>
          <w:rFonts w:ascii="Arial" w:cs="Arial" w:eastAsia="Arial" w:hAnsi="Arial"/>
          <w:sz w:val="17"/>
          <w:szCs w:val="17"/>
          <w:color w:val="auto"/>
        </w:rPr>
        <w:t>Fans and spectators also constitute a large part of our customer base. Academy-branded folding chairs and wagons are frequently spotted at any local sporting or spectator event. We are active members in our communities, sponsoring events for the NCAA Southeastern Conference, local events, such as the Bassmaster Classic fishing tournament, and over 1,500 local sports teams. We also provide an exciting shopping experience for our communities following a major sports title or local team championship, such as a World Series or NCAA football championship, when we extend our local store hours late into the night to celebrate with our customers and meet their immediate need for a championship apparel or gear to display their team pride. These celebrations strengthen customer loyalty.</w:t>
      </w:r>
    </w:p>
    <w:p>
      <w:pPr>
        <w:spacing w:after="0" w:line="24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Highly experienced and passionate senior management team with a proven track record</w:t>
      </w:r>
    </w:p>
    <w:p>
      <w:pPr>
        <w:spacing w:after="0" w:line="117" w:lineRule="exact"/>
        <w:rPr>
          <w:sz w:val="20"/>
          <w:szCs w:val="20"/>
          <w:color w:val="auto"/>
        </w:rPr>
      </w:pPr>
    </w:p>
    <w:p>
      <w:pPr>
        <w:ind w:left="320" w:right="299" w:firstLine="360"/>
        <w:spacing w:after="0" w:line="269" w:lineRule="auto"/>
        <w:rPr>
          <w:sz w:val="20"/>
          <w:szCs w:val="20"/>
          <w:color w:val="auto"/>
        </w:rPr>
      </w:pPr>
      <w:r>
        <w:rPr>
          <w:rFonts w:ascii="Arial" w:cs="Arial" w:eastAsia="Arial" w:hAnsi="Arial"/>
          <w:sz w:val="17"/>
          <w:szCs w:val="17"/>
          <w:color w:val="auto"/>
        </w:rPr>
        <w:t>Our company is led by a highly accomplished senior management team with significant public market experience, a proven track record for driving operational efficiency, and a history of using customer data to improve our customer experience and drive our omnichannel strategy. Our senior management team has an average of over 20 years of retail experience. Seven out of the nine members of our senior management team, including our Chairman, President and Chief Executive Officer, Ken C. Hicks, were hired after early 2017 to lead the development and execution of our strategic growth and initiatives in merchandising, e-commerce and omnichannel, stores, information technology and finance. Together, our senior management has delivered strong results, with six consecutive quarters of positive comparable sales as of the fiscal year ended January 30, 2021, Adjusted EBITDA growth to $607.0 million in 2020, or 88% growth, compared to 2019, and Adjusted Free Cash Flow growth to $978.5 million in 2020 from $196.9 million in 2019.</w:t>
      </w:r>
    </w:p>
    <w:p>
      <w:pPr>
        <w:spacing w:after="0" w:line="25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Strong and adaptive financial performance through economic cycles</w:t>
      </w:r>
    </w:p>
    <w:p>
      <w:pPr>
        <w:spacing w:after="0" w:line="117" w:lineRule="exact"/>
        <w:rPr>
          <w:sz w:val="20"/>
          <w:szCs w:val="20"/>
          <w:color w:val="auto"/>
        </w:rPr>
      </w:pPr>
    </w:p>
    <w:p>
      <w:pPr>
        <w:ind w:left="320" w:right="279" w:firstLine="360"/>
        <w:spacing w:after="0" w:line="272" w:lineRule="auto"/>
        <w:rPr>
          <w:sz w:val="20"/>
          <w:szCs w:val="20"/>
          <w:color w:val="auto"/>
        </w:rPr>
      </w:pPr>
      <w:r>
        <w:rPr>
          <w:rFonts w:ascii="Arial" w:cs="Arial" w:eastAsia="Arial" w:hAnsi="Arial"/>
          <w:sz w:val="17"/>
          <w:szCs w:val="17"/>
          <w:color w:val="auto"/>
        </w:rPr>
        <w:t>We have remained strong and adaptive over the years through a variety of economic cycles, including economic downturns. Our customers are loyal in any economic environment, and we believe they become even more loyal to our compelling value proposition when the economy is challenged, like during the current recessionary environment resulting from the COVID-19 pandemic. We find that customers will continue to pursue their wellness, interests and passions, regardless of the economic backdrop. As a result, we have gained market share during all economic cycles, including during April and May 2020. We attribute this to customers knowing we offer a broad assortment of the items they want during a down cycle at everyday value.</w:t>
      </w:r>
    </w:p>
    <w:p>
      <w:pPr>
        <w:spacing w:after="0" w:line="69" w:lineRule="exact"/>
        <w:rPr>
          <w:sz w:val="20"/>
          <w:szCs w:val="20"/>
          <w:color w:val="auto"/>
        </w:rPr>
      </w:pPr>
    </w:p>
    <w:p>
      <w:pPr>
        <w:ind w:left="320" w:right="439" w:firstLine="360"/>
        <w:spacing w:after="0" w:line="255" w:lineRule="auto"/>
        <w:rPr>
          <w:sz w:val="20"/>
          <w:szCs w:val="20"/>
          <w:color w:val="auto"/>
        </w:rPr>
      </w:pPr>
      <w:r>
        <w:rPr>
          <w:rFonts w:ascii="Arial" w:cs="Arial" w:eastAsia="Arial" w:hAnsi="Arial"/>
          <w:sz w:val="18"/>
          <w:szCs w:val="18"/>
          <w:color w:val="auto"/>
        </w:rPr>
        <w:t>We have consistently demonstrated steady revenue growth, expanded profit margins and disciplined capital expenditures. We generated $5.7 billion in net sales, $308.8 million in net income and $607.0 million in Adjusted EBITDA in 2020. In 2020, we also generated $1,011.6 million of net cash provided by operating activities and $978.5 million in Adjusted Free Cash Flow, while limiting net capital expenditures to $41.3 million. We have reduced our net leverage ratio to 0.7x as of end of 2020 compared to 4.1x and 5.2x as of the end of 2019 and 2018, respectively.</w:t>
      </w:r>
    </w:p>
    <w:p>
      <w:pPr>
        <w:spacing w:after="0" w:line="84" w:lineRule="exact"/>
        <w:rPr>
          <w:sz w:val="20"/>
          <w:szCs w:val="20"/>
          <w:color w:val="auto"/>
        </w:rPr>
      </w:pPr>
    </w:p>
    <w:p>
      <w:pPr>
        <w:ind w:left="320" w:right="399" w:firstLine="360"/>
        <w:spacing w:after="0" w:line="259" w:lineRule="auto"/>
        <w:rPr>
          <w:sz w:val="20"/>
          <w:szCs w:val="20"/>
          <w:color w:val="auto"/>
        </w:rPr>
      </w:pPr>
      <w:r>
        <w:rPr>
          <w:rFonts w:ascii="Arial" w:cs="Arial" w:eastAsia="Arial" w:hAnsi="Arial"/>
          <w:sz w:val="18"/>
          <w:szCs w:val="18"/>
          <w:color w:val="auto"/>
        </w:rPr>
        <w:t>We have a proven store model that has generated strong Adjusted Free Cash Flow, store-level profitability and return on invested capital. All but one of our 222 mature stores (stores opened longer than four years) were profitable on a four-wall basis during the fiscal year ended January 30, 2021 and our new stores have average payback periods of four to five years.</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Our Growth Strategy</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focused on the following four growth drivers:</w:t>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Leverage technology and content to drive our omnichannel strategy</w:t>
      </w:r>
    </w:p>
    <w:p>
      <w:pPr>
        <w:spacing w:after="0" w:line="117" w:lineRule="exact"/>
        <w:rPr>
          <w:sz w:val="20"/>
          <w:szCs w:val="20"/>
          <w:color w:val="auto"/>
        </w:rPr>
      </w:pPr>
    </w:p>
    <w:p>
      <w:pPr>
        <w:ind w:left="320" w:right="359" w:firstLine="360"/>
        <w:spacing w:after="0" w:line="296" w:lineRule="auto"/>
        <w:rPr>
          <w:sz w:val="20"/>
          <w:szCs w:val="20"/>
          <w:color w:val="auto"/>
        </w:rPr>
      </w:pPr>
      <w:r>
        <w:rPr>
          <w:rFonts w:ascii="Arial" w:cs="Arial" w:eastAsia="Arial" w:hAnsi="Arial"/>
          <w:sz w:val="16"/>
          <w:szCs w:val="16"/>
          <w:color w:val="auto"/>
        </w:rPr>
        <w:t>Our e-commerce sales represented 10.4% and 5.1% of our merchandise sales for 2020 and 2019, respectively. E-commerce sales compared to the same quarter of the prior year increased 406% in the first quarter of 2020, 210% in the second quarter of 2020, 96% in the third quarter of 2020 and 61% in the fourth quarter of 2020. Our goal is to increase our omnichannel penetration quickly and significantly. To meet this goal, since 2011, we have invested $230 million in omnichannel and information technology initiatives to improve our</w:t>
      </w:r>
    </w:p>
    <w:p>
      <w:pPr>
        <w:sectPr>
          <w:pgSz w:w="11900" w:h="16838" w:orient="portrait"/>
          <w:cols w:equalWidth="0" w:num="1">
            <w:col w:w="9019"/>
          </w:cols>
          <w:pgMar w:left="1440" w:top="265" w:right="1440" w:bottom="1440" w:gutter="0" w:footer="0" w:header="0"/>
          <w:type w:val="continuous"/>
        </w:sect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 w:name="page15"/>
    <w:bookmarkEnd w:id="14"/>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305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3405" cy="813054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320" w:right="579"/>
        <w:spacing w:after="0" w:line="259" w:lineRule="auto"/>
        <w:rPr>
          <w:sz w:val="20"/>
          <w:szCs w:val="20"/>
          <w:color w:val="auto"/>
        </w:rPr>
      </w:pPr>
      <w:r>
        <w:rPr>
          <w:rFonts w:ascii="Arial" w:cs="Arial" w:eastAsia="Arial" w:hAnsi="Arial"/>
          <w:sz w:val="18"/>
          <w:szCs w:val="18"/>
          <w:color w:val="auto"/>
        </w:rPr>
        <w:t>customers’ online experience, with an emphasis on our mobile site and product information content. These investments have resulted in faster load times, more relevant search content, better site design, and a more-streamlined checkout process. We have also invested in omnichannel initiatives, such as BOPIS, curbside pickup and access to store inventory availability online.</w:t>
      </w:r>
    </w:p>
    <w:p>
      <w:pPr>
        <w:spacing w:after="0" w:line="79" w:lineRule="exact"/>
        <w:rPr>
          <w:sz w:val="20"/>
          <w:szCs w:val="20"/>
          <w:color w:val="auto"/>
        </w:rPr>
      </w:pPr>
    </w:p>
    <w:p>
      <w:pPr>
        <w:ind w:left="320" w:right="379" w:firstLine="360"/>
        <w:spacing w:after="0" w:line="269" w:lineRule="auto"/>
        <w:rPr>
          <w:sz w:val="20"/>
          <w:szCs w:val="20"/>
          <w:color w:val="auto"/>
        </w:rPr>
      </w:pPr>
      <w:r>
        <w:rPr>
          <w:rFonts w:ascii="Arial" w:cs="Arial" w:eastAsia="Arial" w:hAnsi="Arial"/>
          <w:sz w:val="17"/>
          <w:szCs w:val="17"/>
          <w:color w:val="auto"/>
        </w:rPr>
        <w:t>Omnichannel offerings are becoming increasingly important, as our customers want options when they shop. During 2020, our omnichannel customers spent 50% more than our store-only customers and 316% more than our online only customers. Since we launched our BOPIS program in 2019, we have seen significant e-commerce penetration that generates higher average order value and incremental in-store purchases. BOPIS orders accounted for 51% of all e-commerce sales during 2020. Our omnichannel platform also offers return-to-store capabilities for online orders, curbside fulfillment, the ability to place online orders in our stores if we are out of stock, and the ability to ship orders placed online from our retail locations. These capabilities help reduce the risk of lost sales and shorten delivery times for online orders while improving inventory productivity. We launched our ship-to-store capabilities in third quarter of 2020, which will continue to give our customers more options on how to shop Academy.</w:t>
      </w:r>
    </w:p>
    <w:p>
      <w:pPr>
        <w:spacing w:after="0" w:line="77" w:lineRule="exact"/>
        <w:rPr>
          <w:sz w:val="20"/>
          <w:szCs w:val="20"/>
          <w:color w:val="auto"/>
        </w:rPr>
      </w:pPr>
    </w:p>
    <w:p>
      <w:pPr>
        <w:ind w:left="320" w:right="299" w:firstLine="360"/>
        <w:spacing w:after="0" w:line="290" w:lineRule="auto"/>
        <w:rPr>
          <w:sz w:val="20"/>
          <w:szCs w:val="20"/>
          <w:color w:val="auto"/>
        </w:rPr>
      </w:pPr>
      <w:r>
        <w:rPr>
          <w:rFonts w:ascii="Arial" w:cs="Arial" w:eastAsia="Arial" w:hAnsi="Arial"/>
          <w:sz w:val="16"/>
          <w:szCs w:val="16"/>
          <w:color w:val="auto"/>
        </w:rPr>
        <w:t>Our website also serves as the gateway to shopping in our stores. These customers leverage our website to learn more about the products and brands we sell, read reviews from other customers, compare prices and ensure their local Academy store has the inventory prior to heading to the store. Our website is also critical to reaching customers outside of our current store footprint. For 2020, we reached approximately 6.3 million unique households in 47 states through ship-to-home orders made through our website. In 2020, 14% of our online transactions were ordered by customers in markets with no Academy stores. Our e-commerce platform’s top ten out-of-store-footprint MSAs include adjacent markets, such as Tampa, Miami and Savannah. As we continue to bolster our omnichannel offerings, we expect to drive traffic to our stores and website and expand our reach beyond our store footprint.</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Enhance customer engagement and increase retention</w:t>
      </w:r>
    </w:p>
    <w:p>
      <w:pPr>
        <w:spacing w:after="0" w:line="117" w:lineRule="exact"/>
        <w:rPr>
          <w:sz w:val="20"/>
          <w:szCs w:val="20"/>
          <w:color w:val="auto"/>
        </w:rPr>
      </w:pPr>
    </w:p>
    <w:p>
      <w:pPr>
        <w:ind w:left="320" w:right="339" w:firstLine="360"/>
        <w:spacing w:after="0" w:line="279" w:lineRule="auto"/>
        <w:rPr>
          <w:sz w:val="20"/>
          <w:szCs w:val="20"/>
          <w:color w:val="auto"/>
        </w:rPr>
      </w:pPr>
      <w:r>
        <w:rPr>
          <w:rFonts w:ascii="Arial" w:cs="Arial" w:eastAsia="Arial" w:hAnsi="Arial"/>
          <w:sz w:val="17"/>
          <w:szCs w:val="17"/>
          <w:color w:val="auto"/>
        </w:rPr>
        <w:t>We believe we have a significant opportunity to continue to expand our customer base. Better understanding our customers’ buying trends allows us to better target and cater to our customers. Our robust customer database has approximately 40 million unique customers, and we continue to grow this through increased penetration of e-commerce sales and through the success of our Academy Credit Card program.</w:t>
      </w:r>
    </w:p>
    <w:p>
      <w:pPr>
        <w:spacing w:after="0" w:line="63" w:lineRule="exact"/>
        <w:rPr>
          <w:sz w:val="20"/>
          <w:szCs w:val="20"/>
          <w:color w:val="auto"/>
        </w:rPr>
      </w:pPr>
    </w:p>
    <w:p>
      <w:pPr>
        <w:ind w:left="320" w:right="599" w:firstLine="360"/>
        <w:spacing w:after="0" w:line="271" w:lineRule="auto"/>
        <w:rPr>
          <w:sz w:val="20"/>
          <w:szCs w:val="20"/>
          <w:color w:val="auto"/>
        </w:rPr>
      </w:pPr>
      <w:r>
        <w:rPr>
          <w:rFonts w:ascii="Arial" w:cs="Arial" w:eastAsia="Arial" w:hAnsi="Arial"/>
          <w:sz w:val="17"/>
          <w:szCs w:val="17"/>
          <w:color w:val="auto"/>
        </w:rPr>
        <w:t>We utilize data obtained from our customer relationship management, or CRM, tools and targeted customer surveys. Our CRM tools enable us to create effective customer-targeting strategies. Our current CRM programs focus on welcoming our first-time customers, thanking our big spenders, reactivating our lapsed customers and cross-selling our category customers (including our hunting, sports equipment and recreation categories). With approximately 40 million customers in our database, there is ample opportunity to increase our communication directly with our customers via one-on-one marketing. We are also leveraging the information from our approximately 80 million annual transactions in 2020 to make more informed, localized decisions on promotion, marketing and inventory.</w:t>
      </w:r>
    </w:p>
    <w:p>
      <w:pPr>
        <w:spacing w:after="0" w:line="70" w:lineRule="exact"/>
        <w:rPr>
          <w:sz w:val="20"/>
          <w:szCs w:val="20"/>
          <w:color w:val="auto"/>
        </w:rPr>
      </w:pPr>
    </w:p>
    <w:p>
      <w:pPr>
        <w:ind w:left="320" w:right="359" w:firstLine="360"/>
        <w:spacing w:after="0" w:line="289" w:lineRule="auto"/>
        <w:rPr>
          <w:sz w:val="20"/>
          <w:szCs w:val="20"/>
          <w:color w:val="auto"/>
        </w:rPr>
      </w:pPr>
      <w:r>
        <w:rPr>
          <w:rFonts w:ascii="Arial" w:cs="Arial" w:eastAsia="Arial" w:hAnsi="Arial"/>
          <w:sz w:val="16"/>
          <w:szCs w:val="16"/>
          <w:color w:val="auto"/>
        </w:rPr>
        <w:t>Online transactions are critical to helping us understand and analyze buying patterns. Data collected through our website allows us to personalize promotions for customers and recommend products based on purchase behavior. The Academy Credit Card program also provides data to track our customers’ purchases across all channels, giving us the ability to better serve and target those customers. Launched in May 2019, the Academy Credit Card program constituted approximately 4.5% of our net sales in 2020. We believe our customers are attracted to the Academy Credit Card because of its bank-funded 5% discount on every Academy purchase and free standard shipping on online orders of $15 or more. Academy Credit Card holders are responsible for paying all fees associated with having an Academy Credit Card, including any late fees, and we are responsible for paying all costs associated with shipping online orders of $15 or more purchased with an Academy Credit Card.</w:t>
      </w:r>
    </w:p>
    <w:p>
      <w:pPr>
        <w:spacing w:after="0" w:line="58" w:lineRule="exact"/>
        <w:rPr>
          <w:sz w:val="20"/>
          <w:szCs w:val="20"/>
          <w:color w:val="auto"/>
        </w:rPr>
      </w:pPr>
    </w:p>
    <w:p>
      <w:pPr>
        <w:ind w:left="320" w:right="499" w:firstLine="360"/>
        <w:spacing w:after="0" w:line="277" w:lineRule="auto"/>
        <w:rPr>
          <w:sz w:val="20"/>
          <w:szCs w:val="20"/>
          <w:color w:val="auto"/>
        </w:rPr>
      </w:pPr>
      <w:r>
        <w:rPr>
          <w:rFonts w:ascii="Arial" w:cs="Arial" w:eastAsia="Arial" w:hAnsi="Arial"/>
          <w:sz w:val="18"/>
          <w:szCs w:val="18"/>
          <w:color w:val="auto"/>
        </w:rPr>
        <w:t>We believe we possess a significant amount of high quality customer data, which we can leverage to enhance customer engagement and retention and drive purchase conversion.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Enhance operational excellence</w:t>
      </w:r>
    </w:p>
    <w:p>
      <w:pPr>
        <w:spacing w:after="0" w:line="117" w:lineRule="exact"/>
        <w:rPr>
          <w:sz w:val="20"/>
          <w:szCs w:val="20"/>
          <w:color w:val="auto"/>
        </w:rPr>
      </w:pPr>
    </w:p>
    <w:p>
      <w:pPr>
        <w:ind w:left="320" w:right="359" w:firstLine="360"/>
        <w:spacing w:after="0" w:line="259" w:lineRule="auto"/>
        <w:rPr>
          <w:sz w:val="20"/>
          <w:szCs w:val="20"/>
          <w:color w:val="auto"/>
        </w:rPr>
      </w:pPr>
      <w:r>
        <w:rPr>
          <w:rFonts w:ascii="Arial" w:cs="Arial" w:eastAsia="Arial" w:hAnsi="Arial"/>
          <w:sz w:val="18"/>
          <w:szCs w:val="18"/>
          <w:color w:val="auto"/>
        </w:rPr>
        <w:t>We intend to enhance profitability by improving our operational efficiencies. We will continue to optimize our merchandise presentation through strategic store remodeling and enhanced visual storytelling, improve our inventory management through disciplined pricing markdowns, and augment the customer experience through more efficient queuing and check out procedures.</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5" w:name="page16"/>
    <w:bookmarkEnd w:id="15"/>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916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3405" cy="79165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0" w:right="339" w:firstLine="360"/>
        <w:spacing w:after="0" w:line="271" w:lineRule="auto"/>
        <w:rPr>
          <w:sz w:val="20"/>
          <w:szCs w:val="20"/>
          <w:color w:val="auto"/>
        </w:rPr>
      </w:pPr>
      <w:r>
        <w:rPr>
          <w:rFonts w:ascii="Arial" w:cs="Arial" w:eastAsia="Arial" w:hAnsi="Arial"/>
          <w:sz w:val="17"/>
          <w:szCs w:val="17"/>
          <w:color w:val="auto"/>
        </w:rPr>
        <w:t>Much of our margin expansion from 2019 to 2020 can be attributed to our improvements in inventory management. We can improve operations across our organization by optimizing our in-store inventory management and implementing automated re-ordering and labor scheduling. We have deployed several new tools to this end, which will enable us to further improve inventory handling and vendor management. For example, we have implemented third-party programs to analyze our inventory stock throughout the year at every location. This implementation, along with other factors, has allowed us to improve our inventory management in stores, increasing the average inventory turns from 2.84x in 2019 to 3.89x in 2020, and has helped us to identify and exit certain product categories, such as luggage and toys.</w:t>
      </w:r>
    </w:p>
    <w:p>
      <w:pPr>
        <w:spacing w:after="0" w:line="70" w:lineRule="exact"/>
        <w:rPr>
          <w:sz w:val="20"/>
          <w:szCs w:val="20"/>
          <w:color w:val="auto"/>
        </w:rPr>
      </w:pPr>
    </w:p>
    <w:p>
      <w:pPr>
        <w:ind w:left="320" w:right="359" w:firstLine="360"/>
        <w:spacing w:after="0" w:line="259" w:lineRule="auto"/>
        <w:rPr>
          <w:sz w:val="20"/>
          <w:szCs w:val="20"/>
          <w:color w:val="auto"/>
        </w:rPr>
      </w:pPr>
      <w:r>
        <w:rPr>
          <w:rFonts w:ascii="Arial" w:cs="Arial" w:eastAsia="Arial" w:hAnsi="Arial"/>
          <w:sz w:val="18"/>
          <w:szCs w:val="18"/>
          <w:color w:val="auto"/>
        </w:rPr>
        <w:t>We believe we can also enhance store operations through technology and personnel investments that will allow our team members to better manage and prioritize tasks, thereby increasing their productivity and sales conversion. These investments, for example, will reduce administrative tasks to enable more time for engaging in customer service.</w:t>
      </w:r>
    </w:p>
    <w:p>
      <w:pPr>
        <w:spacing w:after="0" w:line="79" w:lineRule="exact"/>
        <w:rPr>
          <w:sz w:val="20"/>
          <w:szCs w:val="20"/>
          <w:color w:val="auto"/>
        </w:rPr>
      </w:pPr>
    </w:p>
    <w:p>
      <w:pPr>
        <w:ind w:left="320" w:right="319" w:firstLine="360"/>
        <w:spacing w:after="0" w:line="290" w:lineRule="auto"/>
        <w:rPr>
          <w:sz w:val="20"/>
          <w:szCs w:val="20"/>
          <w:color w:val="auto"/>
        </w:rPr>
      </w:pPr>
      <w:r>
        <w:rPr>
          <w:rFonts w:ascii="Arial" w:cs="Arial" w:eastAsia="Arial" w:hAnsi="Arial"/>
          <w:sz w:val="16"/>
          <w:szCs w:val="16"/>
          <w:color w:val="auto"/>
        </w:rPr>
        <w:t>Our supply chain initiatives include improving our logistics by leveraging our merchandising planning and assortment capabilities and facilitating product flow through our distribution centers. We use technology to track inventory daily and keep our distribution centers and stores in sync. Our data-driven process allows us to improve communication with our suppliers and ensure we are rightfully equipped with the correct inventory in our regional locations, and has and will continue to help us to identify and exit certain product categories, such as luggage and toys. Although we believe these initiatives have helped us, we experienced a gross margin decline in the first quarter of 2020 as a result of a shift in consumer preferences due to the COVID-19 pandemic and the related increased popularity in our isolated recreation, outdoor and leisure activity products, which are generally lower margin goods.</w:t>
      </w:r>
    </w:p>
    <w:p>
      <w:pPr>
        <w:spacing w:after="0" w:line="57" w:lineRule="exact"/>
        <w:rPr>
          <w:sz w:val="20"/>
          <w:szCs w:val="20"/>
          <w:color w:val="auto"/>
        </w:rPr>
      </w:pPr>
    </w:p>
    <w:p>
      <w:pPr>
        <w:ind w:left="320" w:right="459" w:firstLine="360"/>
        <w:spacing w:after="0" w:line="311" w:lineRule="auto"/>
        <w:rPr>
          <w:sz w:val="20"/>
          <w:szCs w:val="20"/>
          <w:color w:val="auto"/>
        </w:rPr>
      </w:pPr>
      <w:r>
        <w:rPr>
          <w:rFonts w:ascii="Arial" w:cs="Arial" w:eastAsia="Arial" w:hAnsi="Arial"/>
          <w:sz w:val="16"/>
          <w:szCs w:val="16"/>
          <w:color w:val="auto"/>
        </w:rPr>
        <w:t>As our e-commerce sales continue to shift further towards BOPIS and curbside fulfillment, our overall omnichannel platform becomes more profitable, and we expect this trend to continue as we add more omnichannel solutions, such as ship-to-store, and further develop our omnichannel order execution and fulfillment capabilities.</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Capitalize on substantial whitespace and in-fill opportunities</w:t>
      </w:r>
    </w:p>
    <w:p>
      <w:pPr>
        <w:spacing w:after="0" w:line="117" w:lineRule="exact"/>
        <w:rPr>
          <w:sz w:val="20"/>
          <w:szCs w:val="20"/>
          <w:color w:val="auto"/>
        </w:rPr>
      </w:pPr>
    </w:p>
    <w:p>
      <w:pPr>
        <w:ind w:left="320" w:right="319" w:firstLine="360"/>
        <w:spacing w:after="0" w:line="273" w:lineRule="auto"/>
        <w:rPr>
          <w:sz w:val="20"/>
          <w:szCs w:val="20"/>
          <w:color w:val="auto"/>
        </w:rPr>
      </w:pPr>
      <w:r>
        <w:rPr>
          <w:rFonts w:ascii="Arial" w:cs="Arial" w:eastAsia="Arial" w:hAnsi="Arial"/>
          <w:sz w:val="17"/>
          <w:szCs w:val="17"/>
          <w:color w:val="auto"/>
        </w:rPr>
        <w:t>We have significant growth opportunities in both our core markets and outside of our footprint. We believe our real estate strategy has positioned us well for further expansion, and our track record has demonstrated that we can open and operate stores profitably. Our disciplined approach to new store openings has allowed most of our stores to achieve profitability within the first twelve months of opening a store. As of January 30, 2021, we had 222 mature stores, and all but one were profitable on a four-wall basis. We expect to open eight to 10 new stores per year starting in 2022, which is similar to our growth rates from 2018 to 2019.</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In-fill market opportunity</w:t>
      </w:r>
    </w:p>
    <w:p>
      <w:pPr>
        <w:spacing w:after="0" w:line="117" w:lineRule="exact"/>
        <w:rPr>
          <w:sz w:val="20"/>
          <w:szCs w:val="20"/>
          <w:color w:val="auto"/>
        </w:rPr>
      </w:pPr>
    </w:p>
    <w:p>
      <w:pPr>
        <w:ind w:left="320" w:right="339" w:firstLine="360"/>
        <w:spacing w:after="0" w:line="257" w:lineRule="auto"/>
        <w:rPr>
          <w:sz w:val="20"/>
          <w:szCs w:val="20"/>
          <w:color w:val="auto"/>
        </w:rPr>
      </w:pPr>
      <w:r>
        <w:rPr>
          <w:rFonts w:ascii="Arial" w:cs="Arial" w:eastAsia="Arial" w:hAnsi="Arial"/>
          <w:sz w:val="18"/>
          <w:szCs w:val="18"/>
          <w:color w:val="auto"/>
        </w:rPr>
        <w:t>We classify in-fill markets as regions where we already have a well-established presence. We believe we have an opportunity to expand into surrounding metro areas and more rural locations. Some examples include Dallas/Fort Worth, Atlanta, Raleigh-Durham, Charlotte, New Orleans and Jacksonville. We believe our in-fill opportunity currently includes approximately 120 locations that could accommodate our preferred size of stores in markets we would consider.</w:t>
      </w:r>
    </w:p>
    <w:p>
      <w:pPr>
        <w:spacing w:after="0" w:line="2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Adjacent market opportunity</w:t>
      </w:r>
    </w:p>
    <w:p>
      <w:pPr>
        <w:spacing w:after="0" w:line="117" w:lineRule="exact"/>
        <w:rPr>
          <w:sz w:val="20"/>
          <w:szCs w:val="20"/>
          <w:color w:val="auto"/>
        </w:rPr>
      </w:pPr>
    </w:p>
    <w:p>
      <w:pPr>
        <w:ind w:left="320" w:right="299" w:firstLine="360"/>
        <w:spacing w:after="0" w:line="259" w:lineRule="auto"/>
        <w:rPr>
          <w:sz w:val="20"/>
          <w:szCs w:val="20"/>
          <w:color w:val="auto"/>
        </w:rPr>
      </w:pPr>
      <w:r>
        <w:rPr>
          <w:rFonts w:ascii="Arial" w:cs="Arial" w:eastAsia="Arial" w:hAnsi="Arial"/>
          <w:sz w:val="18"/>
          <w:szCs w:val="18"/>
          <w:color w:val="auto"/>
        </w:rPr>
        <w:t>We consider adjacent markets to include markets that are not fully represented. We believe these regions provide opportunities to expand in metro and rural areas that sit right outside of our current footprint. We believe our adjacent market opportunity currently includes approximately 90 locations that could accommodate our preferred size of stores in markets we would consider.</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Greenfield opportunity</w:t>
      </w:r>
    </w:p>
    <w:p>
      <w:pPr>
        <w:spacing w:after="0" w:line="117" w:lineRule="exact"/>
        <w:rPr>
          <w:sz w:val="20"/>
          <w:szCs w:val="20"/>
          <w:color w:val="auto"/>
        </w:rPr>
      </w:pPr>
    </w:p>
    <w:p>
      <w:pPr>
        <w:ind w:left="320" w:right="499" w:firstLine="360"/>
        <w:spacing w:after="0" w:line="259" w:lineRule="auto"/>
        <w:rPr>
          <w:sz w:val="20"/>
          <w:szCs w:val="20"/>
          <w:color w:val="auto"/>
        </w:rPr>
      </w:pPr>
      <w:r>
        <w:rPr>
          <w:rFonts w:ascii="Arial" w:cs="Arial" w:eastAsia="Arial" w:hAnsi="Arial"/>
          <w:sz w:val="18"/>
          <w:szCs w:val="18"/>
          <w:color w:val="auto"/>
        </w:rPr>
        <w:t>Beyond our in-fill and adjacent markets, we believe we have the opportunity to expand across the nation. We currently have store locations in 16 states, which leaves us substantial room for growth beyond our core geographies. We believe our greenfield opportunity currently includes approximately 675 locations that could accommodate our preferred size of stores in markets we would consider.</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3191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3405" cy="83191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Significant growth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20" w:right="379" w:firstLine="360"/>
        <w:spacing w:after="0" w:line="286" w:lineRule="auto"/>
        <w:rPr>
          <w:sz w:val="20"/>
          <w:szCs w:val="20"/>
          <w:color w:val="auto"/>
        </w:rPr>
      </w:pPr>
      <w:r>
        <w:rPr>
          <w:rFonts w:ascii="Arial" w:cs="Arial" w:eastAsia="Arial" w:hAnsi="Arial"/>
          <w:sz w:val="17"/>
          <w:szCs w:val="17"/>
          <w:color w:val="auto"/>
        </w:rPr>
        <w:t>The majority of our store expansion is expected to be with our traditional box size of approximately 70,000 gross square feet. We have also recently tested a smaller store format, which is approximately 40% smaller than our average store, that we believe will be advantageous for in-fill markets and other metropolitan areas.</w:t>
      </w:r>
    </w:p>
    <w:p>
      <w:pPr>
        <w:spacing w:after="0" w:line="57" w:lineRule="exact"/>
        <w:rPr>
          <w:sz w:val="20"/>
          <w:szCs w:val="20"/>
          <w:color w:val="auto"/>
        </w:rPr>
      </w:pPr>
    </w:p>
    <w:p>
      <w:pPr>
        <w:ind w:left="320" w:right="379" w:firstLine="360"/>
        <w:spacing w:after="0" w:line="259" w:lineRule="auto"/>
        <w:rPr>
          <w:sz w:val="20"/>
          <w:szCs w:val="20"/>
          <w:color w:val="auto"/>
        </w:rPr>
      </w:pPr>
      <w:r>
        <w:rPr>
          <w:rFonts w:ascii="Arial" w:cs="Arial" w:eastAsia="Arial" w:hAnsi="Arial"/>
          <w:sz w:val="18"/>
          <w:szCs w:val="18"/>
          <w:color w:val="auto"/>
        </w:rPr>
        <w:t>While we will continue to prioritize investments in our existing operations and omnichannel capabilities, we will continue to judiciously expand. We have online delivery capabilities in almost every state and will focus on disciplined new store openings. As we reach into new and existing markets, we expect our omnichannel platform to lead the way in our geographic expansion.</w:t>
      </w:r>
    </w:p>
    <w:p>
      <w:pPr>
        <w:spacing w:after="0" w:line="29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Recent Developments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Cessation of Controlled Company Status</w:t>
      </w:r>
    </w:p>
    <w:p>
      <w:pPr>
        <w:spacing w:after="0" w:line="117" w:lineRule="exact"/>
        <w:rPr>
          <w:sz w:val="20"/>
          <w:szCs w:val="20"/>
          <w:color w:val="auto"/>
        </w:rPr>
      </w:pPr>
    </w:p>
    <w:p>
      <w:pPr>
        <w:ind w:left="320" w:right="379" w:firstLine="360"/>
        <w:spacing w:after="0" w:line="269" w:lineRule="auto"/>
        <w:rPr>
          <w:sz w:val="20"/>
          <w:szCs w:val="20"/>
          <w:color w:val="auto"/>
        </w:rPr>
      </w:pPr>
      <w:r>
        <w:rPr>
          <w:rFonts w:ascii="Arial" w:cs="Arial" w:eastAsia="Arial" w:hAnsi="Arial"/>
          <w:sz w:val="17"/>
          <w:szCs w:val="17"/>
          <w:color w:val="auto"/>
        </w:rPr>
        <w:t>On April 12, 2021, certain of our stockholders completed a sale (the “April 2021 Sale”) of 9,000,000 shares of our common stock pursuant to Rule 144 under the Securities Act of 1933, as amended (the “Securities Act”). As a result of the April 2021 Sale, we are no longer a “controlled company” within the meaning of the listing rules of Nasdaq. However, even though we are no longer a “controlled company,” we will continue to qualify for, and may rely on, exemptions from certain corporate governance requirements that would otherwise provide protection to stockholders of other companies during a one-year transition period from the date of the April 2021 Sale. See “Risk Factors—Risks Related to this Offering and Ownership of Our Common Stock—As a result of the April 2021 Sale, we are no longer a “controlled company” within the meaning of the listing rules of Nasdaq. However, even though we are no longer a “controlled company,” we will continue to qualify for, and may rely on, exemptions from certain corporate governance requirements that would otherwise provide protection to stockholders of other companies during a one-year transition period.”</w:t>
      </w:r>
    </w:p>
    <w:p>
      <w:pPr>
        <w:spacing w:after="0" w:line="28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Concurrent Share Repurchase</w:t>
      </w:r>
    </w:p>
    <w:p>
      <w:pPr>
        <w:spacing w:after="0" w:line="121" w:lineRule="exact"/>
        <w:rPr>
          <w:sz w:val="20"/>
          <w:szCs w:val="20"/>
          <w:color w:val="auto"/>
        </w:rPr>
      </w:pPr>
    </w:p>
    <w:p>
      <w:pPr>
        <w:ind w:left="320" w:right="439" w:firstLine="360"/>
        <w:spacing w:after="0" w:line="301" w:lineRule="auto"/>
        <w:rPr>
          <w:sz w:val="20"/>
          <w:szCs w:val="20"/>
          <w:color w:val="auto"/>
        </w:rPr>
      </w:pPr>
      <w:r>
        <w:rPr>
          <w:rFonts w:ascii="Arial" w:cs="Arial" w:eastAsia="Arial" w:hAnsi="Arial"/>
          <w:sz w:val="16"/>
          <w:szCs w:val="16"/>
          <w:color w:val="auto"/>
        </w:rPr>
        <w:t>Subject to the completion of the offering, we intend to concurrently repurchase from the underwriters, out of the aggregate 18,645,602 shares of our common stock that are the subject of the offering, a number of shares (rounded down to the nearest whole share) having an aggregate purchase price of up to $200 million. The price per share to be paid by us will equal the price at which the underwriters will purchase the shares from the selling</w:t>
      </w:r>
    </w:p>
    <w:p>
      <w:pPr>
        <w:sectPr>
          <w:pgSz w:w="11900" w:h="16838" w:orient="portrait"/>
          <w:cols w:equalWidth="0" w:num="1">
            <w:col w:w="9019"/>
          </w:cols>
          <w:pgMar w:left="1440" w:top="265" w:right="1440" w:bottom="1440" w:gutter="0" w:footer="0" w:header="0"/>
          <w:type w:val="continuous"/>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7" w:name="page18"/>
    <w:bookmarkEnd w:id="17"/>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222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3405" cy="812228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320" w:right="299"/>
        <w:spacing w:after="0" w:line="259" w:lineRule="auto"/>
        <w:rPr>
          <w:sz w:val="20"/>
          <w:szCs w:val="20"/>
          <w:color w:val="auto"/>
        </w:rPr>
      </w:pPr>
      <w:r>
        <w:rPr>
          <w:rFonts w:ascii="Arial" w:cs="Arial" w:eastAsia="Arial" w:hAnsi="Arial"/>
          <w:sz w:val="18"/>
          <w:szCs w:val="18"/>
          <w:color w:val="auto"/>
        </w:rPr>
        <w:t>stockholders in the offering. We refer to this transaction as the “concurrent share repurchase.” The closing of the concurrent share repurchase is conditioned on the closing of the offering and therefore there can be no assurance that the concurrent share repurchase will be completed. The offering is not conditioned upon the completion of the concurrent share repurchase.</w:t>
      </w:r>
    </w:p>
    <w:p>
      <w:pPr>
        <w:spacing w:after="0" w:line="79" w:lineRule="exact"/>
        <w:rPr>
          <w:sz w:val="20"/>
          <w:szCs w:val="20"/>
          <w:color w:val="auto"/>
        </w:rPr>
      </w:pPr>
    </w:p>
    <w:p>
      <w:pPr>
        <w:jc w:val="both"/>
        <w:ind w:left="320" w:right="379" w:firstLine="360"/>
        <w:spacing w:after="0" w:line="259" w:lineRule="auto"/>
        <w:rPr>
          <w:sz w:val="20"/>
          <w:szCs w:val="20"/>
          <w:color w:val="auto"/>
        </w:rPr>
      </w:pPr>
      <w:r>
        <w:rPr>
          <w:rFonts w:ascii="Arial" w:cs="Arial" w:eastAsia="Arial" w:hAnsi="Arial"/>
          <w:sz w:val="18"/>
          <w:szCs w:val="18"/>
          <w:color w:val="auto"/>
        </w:rPr>
        <w:t>The concurrent share repurchase was approved by our board of directors and its audit committee. We intend to fund the concurrent share repurchase with cash on hand. Any shares of our common stock that we repurchase in the concurrent share repurchase will be pursuant to our recently announced $500 million share repurchase program and will be retired.</w:t>
      </w:r>
    </w:p>
    <w:p>
      <w:pPr>
        <w:spacing w:after="0" w:line="79" w:lineRule="exact"/>
        <w:rPr>
          <w:sz w:val="20"/>
          <w:szCs w:val="20"/>
          <w:color w:val="auto"/>
        </w:rPr>
      </w:pPr>
    </w:p>
    <w:p>
      <w:pPr>
        <w:ind w:left="320" w:right="439" w:firstLine="360"/>
        <w:spacing w:after="0" w:line="259" w:lineRule="auto"/>
        <w:rPr>
          <w:sz w:val="20"/>
          <w:szCs w:val="20"/>
          <w:color w:val="auto"/>
        </w:rPr>
      </w:pPr>
      <w:r>
        <w:rPr>
          <w:rFonts w:ascii="Arial" w:cs="Arial" w:eastAsia="Arial" w:hAnsi="Arial"/>
          <w:sz w:val="18"/>
          <w:szCs w:val="18"/>
          <w:color w:val="auto"/>
        </w:rPr>
        <w:t>The description of, and the other information in this prospectus regarding, the concurrent share repurchase are included in this prospectus for informational purposes only. Nothing in this prospectus should be construed as an offer to sell, or the solicitation of an offer to buy, any of our common stock subject to the concurrent share repurchase.</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Our Business and this Offering</w:t>
      </w:r>
    </w:p>
    <w:p>
      <w:pPr>
        <w:spacing w:after="0" w:line="121" w:lineRule="exact"/>
        <w:rPr>
          <w:sz w:val="20"/>
          <w:szCs w:val="20"/>
          <w:color w:val="auto"/>
        </w:rPr>
      </w:pPr>
    </w:p>
    <w:p>
      <w:pPr>
        <w:ind w:left="320" w:right="299" w:firstLine="360"/>
        <w:spacing w:after="0" w:line="255" w:lineRule="auto"/>
        <w:rPr>
          <w:sz w:val="20"/>
          <w:szCs w:val="20"/>
          <w:color w:val="auto"/>
        </w:rPr>
      </w:pPr>
      <w:r>
        <w:rPr>
          <w:rFonts w:ascii="Arial" w:cs="Arial" w:eastAsia="Arial" w:hAnsi="Arial"/>
          <w:sz w:val="18"/>
          <w:szCs w:val="18"/>
          <w:color w:val="auto"/>
        </w:rPr>
        <w:t>Investing in our common stock involves a high degree of risk. You should carefully consider the risks described in “Risk Factors” included elsewhere in this prospectus and “Risk Factors” in our Annual Report incorporated by reference herein before making a decision to invest in our common stock. If any of these risks actually occurs, our business, results of operations and financial condition may be materially adversely affected. In such case, the trading price of our common stock may decline and you may lose part or all of your investment. Below is a summary of some of the principal risks we face:</w:t>
      </w:r>
    </w:p>
    <w:p>
      <w:pPr>
        <w:spacing w:after="0" w:line="84" w:lineRule="exact"/>
        <w:rPr>
          <w:sz w:val="20"/>
          <w:szCs w:val="20"/>
          <w:color w:val="auto"/>
        </w:rPr>
      </w:pPr>
    </w:p>
    <w:p>
      <w:pPr>
        <w:ind w:left="1020" w:hanging="350"/>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discretionary spending;</w:t>
      </w:r>
    </w:p>
    <w:p>
      <w:pPr>
        <w:spacing w:after="0" w:line="117" w:lineRule="exact"/>
        <w:rPr>
          <w:rFonts w:ascii="Arial" w:cs="Arial" w:eastAsia="Arial" w:hAnsi="Arial"/>
          <w:sz w:val="18"/>
          <w:szCs w:val="18"/>
          <w:color w:val="auto"/>
        </w:rPr>
      </w:pPr>
    </w:p>
    <w:p>
      <w:pPr>
        <w:ind w:left="1020" w:right="359" w:hanging="350"/>
        <w:spacing w:after="0" w:line="308"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predict or effectively react to changes in consumer tastes and preferences, to acquire and sell brand name merchandise at competitive prices, and/or to manage our inventory balances;</w:t>
      </w:r>
    </w:p>
    <w:p>
      <w:pPr>
        <w:spacing w:after="0" w:line="38" w:lineRule="exact"/>
        <w:rPr>
          <w:rFonts w:ascii="Arial" w:cs="Arial" w:eastAsia="Arial" w:hAnsi="Arial"/>
          <w:sz w:val="17"/>
          <w:szCs w:val="17"/>
          <w:color w:val="auto"/>
        </w:rPr>
      </w:pPr>
    </w:p>
    <w:p>
      <w:pPr>
        <w:ind w:left="1020" w:hanging="350"/>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COVID-19 on our business and financial results;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intense competition in the sporting goods and outdoor recreation retail industries;</w:t>
      </w:r>
    </w:p>
    <w:p>
      <w:pPr>
        <w:spacing w:after="0" w:line="117" w:lineRule="exact"/>
        <w:rPr>
          <w:rFonts w:ascii="Arial" w:cs="Arial" w:eastAsia="Arial" w:hAnsi="Arial"/>
          <w:sz w:val="18"/>
          <w:szCs w:val="18"/>
          <w:color w:val="auto"/>
        </w:rPr>
      </w:pPr>
    </w:p>
    <w:p>
      <w:pPr>
        <w:ind w:left="1020" w:right="399" w:hanging="350"/>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safeguard sensitive or confidential data relating to us and our customers, team members and vendors;</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our reliance on internationally manufactured merchandise;</w:t>
      </w:r>
    </w:p>
    <w:p>
      <w:pPr>
        <w:spacing w:after="0" w:line="117" w:lineRule="exact"/>
        <w:rPr>
          <w:rFonts w:ascii="Arial" w:cs="Arial" w:eastAsia="Arial" w:hAnsi="Arial"/>
          <w:sz w:val="18"/>
          <w:szCs w:val="18"/>
          <w:color w:val="auto"/>
        </w:rPr>
      </w:pPr>
    </w:p>
    <w:p>
      <w:pPr>
        <w:ind w:left="1020" w:right="359" w:hanging="350"/>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comply with laws and regulations affecting our business, including those relating to the sale, manufacture and import of consumer products;</w:t>
      </w:r>
    </w:p>
    <w:p>
      <w:pPr>
        <w:spacing w:after="0" w:line="62" w:lineRule="exact"/>
        <w:rPr>
          <w:rFonts w:ascii="Arial" w:cs="Arial" w:eastAsia="Arial" w:hAnsi="Arial"/>
          <w:sz w:val="18"/>
          <w:szCs w:val="18"/>
          <w:color w:val="auto"/>
        </w:rPr>
      </w:pPr>
    </w:p>
    <w:p>
      <w:pPr>
        <w:ind w:left="1020" w:right="739" w:hanging="350"/>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claims, demands and lawsuits to which we are, and may in the future, be subject and the risk that our insurance or indemnities coverage may not be sufficient;</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operate, update or implement our information technology systems;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risks associated with disruptions in our supply chain and losses of merchandise purchasing incentives;</w:t>
      </w:r>
    </w:p>
    <w:p>
      <w:pPr>
        <w:spacing w:after="0" w:line="128" w:lineRule="exact"/>
        <w:rPr>
          <w:rFonts w:ascii="Arial" w:cs="Arial" w:eastAsia="Arial" w:hAnsi="Arial"/>
          <w:sz w:val="17"/>
          <w:szCs w:val="17"/>
          <w:color w:val="auto"/>
        </w:rPr>
      </w:pPr>
    </w:p>
    <w:p>
      <w:pPr>
        <w:ind w:left="1020" w:hanging="350"/>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harm to our reputation;</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substantial indebtedness; and</w:t>
      </w:r>
    </w:p>
    <w:p>
      <w:pPr>
        <w:spacing w:after="0" w:line="117" w:lineRule="exact"/>
        <w:rPr>
          <w:rFonts w:ascii="Arial" w:cs="Arial" w:eastAsia="Arial" w:hAnsi="Arial"/>
          <w:sz w:val="18"/>
          <w:szCs w:val="18"/>
          <w:color w:val="auto"/>
        </w:rPr>
      </w:pPr>
    </w:p>
    <w:p>
      <w:pPr>
        <w:ind w:left="1020" w:right="439" w:hanging="350"/>
        <w:spacing w:after="0" w:line="26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qualification for exemptions from certain corporate governance requirements during the one-year transition period after our loss of “controlled company” status within the meaning of Nasdaq listing rules upon completion of the April 2021 Sale.</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320" w:right="1279" w:firstLine="360"/>
        <w:spacing w:after="0" w:line="277" w:lineRule="auto"/>
        <w:rPr>
          <w:sz w:val="20"/>
          <w:szCs w:val="20"/>
          <w:color w:val="auto"/>
        </w:rPr>
      </w:pPr>
      <w:r>
        <w:rPr>
          <w:rFonts w:ascii="Arial" w:cs="Arial" w:eastAsia="Arial" w:hAnsi="Arial"/>
          <w:sz w:val="18"/>
          <w:szCs w:val="18"/>
          <w:color w:val="auto"/>
        </w:rPr>
        <w:t>Our common stock began trading on Nasdaq under the symbol “ASO” on October 2, 2020 and we consummated the IPO on October 6, 2020.</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principal offices are located at 1800 North Mason Road, Katy, Texas 77449. Our telephone number</w:t>
      </w:r>
    </w:p>
    <w:p>
      <w:pPr>
        <w:spacing w:after="0" w:line="35" w:lineRule="exact"/>
        <w:rPr>
          <w:sz w:val="20"/>
          <w:szCs w:val="20"/>
          <w:color w:val="auto"/>
        </w:rPr>
      </w:pPr>
    </w:p>
    <w:p>
      <w:pPr>
        <w:ind w:left="320" w:right="299"/>
        <w:spacing w:after="0" w:line="255" w:lineRule="auto"/>
        <w:rPr>
          <w:sz w:val="20"/>
          <w:szCs w:val="20"/>
          <w:color w:val="auto"/>
        </w:rPr>
      </w:pPr>
      <w:r>
        <w:rPr>
          <w:rFonts w:ascii="Arial" w:cs="Arial" w:eastAsia="Arial" w:hAnsi="Arial"/>
          <w:sz w:val="18"/>
          <w:szCs w:val="18"/>
          <w:color w:val="auto"/>
        </w:rPr>
        <w:t xml:space="preserve">is (281) 646-5200. We maintain a website at academy.com. The reference to our website is intended to be an inactive textual reference only. </w:t>
      </w:r>
      <w:r>
        <w:rPr>
          <w:rFonts w:ascii="Arial" w:cs="Arial" w:eastAsia="Arial" w:hAnsi="Arial"/>
          <w:sz w:val="18"/>
          <w:szCs w:val="18"/>
          <w:b w:val="1"/>
          <w:bCs w:val="1"/>
          <w:color w:val="auto"/>
        </w:rPr>
        <w:t>The information contained on, or that can be accessed through, our website is not part</w:t>
      </w:r>
      <w:r>
        <w:rPr>
          <w:rFonts w:ascii="Arial" w:cs="Arial" w:eastAsia="Arial" w:hAnsi="Arial"/>
          <w:sz w:val="18"/>
          <w:szCs w:val="18"/>
          <w:color w:val="auto"/>
        </w:rPr>
        <w:t xml:space="preserve"> </w:t>
      </w:r>
      <w:r>
        <w:rPr>
          <w:rFonts w:ascii="Arial" w:cs="Arial" w:eastAsia="Arial" w:hAnsi="Arial"/>
          <w:sz w:val="18"/>
          <w:szCs w:val="18"/>
          <w:b w:val="1"/>
          <w:bCs w:val="1"/>
          <w:color w:val="auto"/>
        </w:rPr>
        <w:t>of this prospectus.</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8" w:name="page19"/>
    <w:bookmarkEnd w:id="18"/>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7190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3405" cy="771906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80" w:right="660" w:hanging="179"/>
        <w:spacing w:after="0" w:line="282" w:lineRule="auto"/>
        <w:rPr>
          <w:sz w:val="20"/>
          <w:szCs w:val="20"/>
          <w:color w:val="auto"/>
        </w:rPr>
      </w:pPr>
      <w:r>
        <w:rPr>
          <w:rFonts w:ascii="Arial" w:cs="Arial" w:eastAsia="Arial" w:hAnsi="Arial"/>
          <w:sz w:val="18"/>
          <w:szCs w:val="18"/>
          <w:b w:val="1"/>
          <w:bCs w:val="1"/>
          <w:color w:val="auto"/>
        </w:rPr>
        <w:t>Common stock offered by the selling stockholders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Common stock outstanding</w:t>
      </w:r>
    </w:p>
    <w:p>
      <w:pPr>
        <w:spacing w:after="0" w:line="158" w:lineRule="exact"/>
        <w:rPr>
          <w:sz w:val="20"/>
          <w:szCs w:val="20"/>
          <w:color w:val="auto"/>
        </w:rPr>
      </w:pPr>
    </w:p>
    <w:p>
      <w:pPr>
        <w:ind w:left="480" w:hanging="179"/>
        <w:spacing w:after="0" w:line="347" w:lineRule="auto"/>
        <w:rPr>
          <w:sz w:val="20"/>
          <w:szCs w:val="20"/>
          <w:color w:val="auto"/>
        </w:rPr>
      </w:pPr>
      <w:r>
        <w:rPr>
          <w:rFonts w:ascii="Arial" w:cs="Arial" w:eastAsia="Arial" w:hAnsi="Arial"/>
          <w:sz w:val="16"/>
          <w:szCs w:val="16"/>
          <w:b w:val="1"/>
          <w:bCs w:val="1"/>
          <w:color w:val="auto"/>
        </w:rPr>
        <w:t>Common stock outstanding after the offering and the concurrent share repurchase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Concurrent share repurchase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Conflicts of Interest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18,645,602 shares.</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92,883,540 shares (as of July 31, 2021).</w:t>
      </w:r>
    </w:p>
    <w:p>
      <w:pPr>
        <w:spacing w:after="0" w:line="333" w:lineRule="exact"/>
        <w:rPr>
          <w:sz w:val="20"/>
          <w:szCs w:val="20"/>
          <w:color w:val="auto"/>
        </w:rPr>
      </w:pPr>
    </w:p>
    <w:p>
      <w:pPr>
        <w:ind w:left="180" w:right="299"/>
        <w:spacing w:after="0" w:line="301" w:lineRule="auto"/>
        <w:rPr>
          <w:sz w:val="20"/>
          <w:szCs w:val="20"/>
          <w:color w:val="auto"/>
        </w:rPr>
      </w:pPr>
      <w:r>
        <w:rPr>
          <w:rFonts w:ascii="Arial" w:cs="Arial" w:eastAsia="Arial" w:hAnsi="Arial"/>
          <w:sz w:val="16"/>
          <w:szCs w:val="16"/>
          <w:color w:val="auto"/>
        </w:rPr>
        <w:t>88,511,000 shares (assuming that the price per share to be paid by us in connection with the concurrent share repurchase is $45.74, which is the closing sales price of our common stock as reported on the Nasdaq on September 10, 2021).</w:t>
      </w:r>
    </w:p>
    <w:p>
      <w:pPr>
        <w:spacing w:after="0" w:line="76" w:lineRule="exact"/>
        <w:rPr>
          <w:sz w:val="20"/>
          <w:szCs w:val="20"/>
          <w:color w:val="auto"/>
        </w:rPr>
      </w:pPr>
    </w:p>
    <w:p>
      <w:pPr>
        <w:ind w:left="180" w:right="319"/>
        <w:spacing w:after="0" w:line="273" w:lineRule="auto"/>
        <w:rPr>
          <w:sz w:val="20"/>
          <w:szCs w:val="20"/>
          <w:color w:val="auto"/>
        </w:rPr>
      </w:pPr>
      <w:r>
        <w:rPr>
          <w:rFonts w:ascii="Arial" w:cs="Arial" w:eastAsia="Arial" w:hAnsi="Arial"/>
          <w:sz w:val="17"/>
          <w:szCs w:val="17"/>
          <w:color w:val="auto"/>
        </w:rPr>
        <w:t>We will not receive any proceeds from the sale of shares being sold in this offering. The selling stockholders will receive all of the net proceeds and bear all commissions and discounts, if any, from the sale of our common stock pursuant to this prospectus. See “Use of Proceeds” and “Principal and Selling Stockholders.”</w:t>
      </w:r>
    </w:p>
    <w:p>
      <w:pPr>
        <w:spacing w:after="0" w:line="70" w:lineRule="exact"/>
        <w:rPr>
          <w:sz w:val="20"/>
          <w:szCs w:val="20"/>
          <w:color w:val="auto"/>
        </w:rPr>
      </w:pPr>
    </w:p>
    <w:p>
      <w:pPr>
        <w:ind w:left="180" w:right="299"/>
        <w:spacing w:after="0" w:line="269" w:lineRule="auto"/>
        <w:rPr>
          <w:sz w:val="20"/>
          <w:szCs w:val="20"/>
          <w:color w:val="auto"/>
        </w:rPr>
      </w:pPr>
      <w:r>
        <w:rPr>
          <w:rFonts w:ascii="Arial" w:cs="Arial" w:eastAsia="Arial" w:hAnsi="Arial"/>
          <w:sz w:val="17"/>
          <w:szCs w:val="17"/>
          <w:color w:val="auto"/>
        </w:rPr>
        <w:t>The selling stockholders will bear the underwriting commissions and discounts, if any, attributable to their sale of our common stock, and expenses incurred by the selling stockholders for brokerage, accounting, tax or legal services or any other expenses incurred by the selling stockholders. We will bear all other costs, fees and expenses incurred in effecting the registration of the shares covered by this prospectus, including, without limitation, all registration and filing fees, and fees and expenses of our counsel and one counsel for the selling stockholders and our independent registered public accountants.</w:t>
      </w:r>
    </w:p>
    <w:p>
      <w:pPr>
        <w:spacing w:after="0" w:line="114" w:lineRule="exact"/>
        <w:rPr>
          <w:sz w:val="20"/>
          <w:szCs w:val="20"/>
          <w:color w:val="auto"/>
        </w:rPr>
      </w:pPr>
    </w:p>
    <w:p>
      <w:pPr>
        <w:ind w:left="180" w:right="299"/>
        <w:spacing w:after="0" w:line="288" w:lineRule="auto"/>
        <w:rPr>
          <w:sz w:val="20"/>
          <w:szCs w:val="20"/>
          <w:color w:val="auto"/>
        </w:rPr>
      </w:pPr>
      <w:r>
        <w:rPr>
          <w:rFonts w:ascii="Arial" w:cs="Arial" w:eastAsia="Arial" w:hAnsi="Arial"/>
          <w:sz w:val="16"/>
          <w:szCs w:val="16"/>
          <w:color w:val="auto"/>
        </w:rPr>
        <w:t>Subject to the completion of the offering, we intend to concurrently repurchase from the underwriters, out of the aggregate 18,645,602 shares of our common stock that are the subject of the offering, a number of shares (rounded down to the nearest whole share) having an aggregate purchase price of up to $200 million. The price per share to be paid by us will equal the price at which the underwriters will purchase the shares from the selling stockholders in the offering. The offering is not conditioned upon the completion of the share repurchase. See “—Concurrent Share Repurchase.”</w:t>
      </w:r>
    </w:p>
    <w:p>
      <w:pPr>
        <w:spacing w:after="0" w:line="101" w:lineRule="exact"/>
        <w:rPr>
          <w:sz w:val="20"/>
          <w:szCs w:val="20"/>
          <w:color w:val="auto"/>
        </w:rPr>
      </w:pPr>
    </w:p>
    <w:p>
      <w:pPr>
        <w:ind w:left="180" w:right="339"/>
        <w:spacing w:after="0" w:line="268" w:lineRule="auto"/>
        <w:rPr>
          <w:sz w:val="20"/>
          <w:szCs w:val="20"/>
          <w:color w:val="auto"/>
        </w:rPr>
      </w:pPr>
      <w:r>
        <w:rPr>
          <w:rFonts w:ascii="Arial" w:cs="Arial" w:eastAsia="Arial" w:hAnsi="Arial"/>
          <w:sz w:val="17"/>
          <w:szCs w:val="17"/>
          <w:color w:val="auto"/>
        </w:rPr>
        <w:t>The KKR Stockholders beneficially own in excess of 10% of our issued and outstanding common stock and will be selling stockholders in this offering and, as such, will receive in excess of 5% of the net proceeds of the offering. Because KKR Capital Markets LLC, an affiliate of the KKR Stockholders, is an underwriter in this offering, KKR Capital Markets LLC is deemed to have a “conflict of interest” under Rule 5121, or Rule 5121, of the Financial Industry Regulatory Authority, Inc., or FINRA. Accordingly, this offering is being made in compliance with the requirements of Rule 5121. Pursuant to that rule, the appointment of a “qualified independent underwriter” is not required in connection with this offering, because a bona fide public</w:t>
      </w:r>
    </w:p>
    <w:p>
      <w:pPr>
        <w:spacing w:after="0" w:line="200" w:lineRule="exact"/>
        <w:rPr>
          <w:sz w:val="20"/>
          <w:szCs w:val="20"/>
          <w:color w:val="auto"/>
        </w:rPr>
      </w:pPr>
    </w:p>
    <w:p>
      <w:pPr>
        <w:sectPr>
          <w:pgSz w:w="11900" w:h="16838" w:orient="portrait"/>
          <w:cols w:equalWidth="0" w:num="2">
            <w:col w:w="3780" w:space="240"/>
            <w:col w:w="4999"/>
          </w:cols>
          <w:pgMar w:left="1440" w:top="265" w:right="1440" w:bottom="1440" w:gutter="0" w:footer="0" w:header="0"/>
          <w:type w:val="continuous"/>
        </w:sect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9" w:name="page20"/>
    <w:bookmarkEnd w:id="19"/>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60991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3405" cy="60991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market exists in the shares, as that term is defined in</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Rule 5121. See “Principal and Selling Stockholders” and</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“Underwriting (Conflicts of Interest).”</w:t>
      </w:r>
    </w:p>
    <w:p>
      <w:pPr>
        <w:spacing w:after="0" w:line="126" w:lineRule="exact"/>
        <w:rPr>
          <w:sz w:val="20"/>
          <w:szCs w:val="20"/>
          <w:color w:val="auto"/>
        </w:rPr>
      </w:pPr>
    </w:p>
    <w:p>
      <w:pPr>
        <w:ind w:left="320"/>
        <w:spacing w:after="0"/>
        <w:tabs>
          <w:tab w:leader="none" w:pos="4180" w:val="left"/>
        </w:tabs>
        <w:rPr>
          <w:sz w:val="20"/>
          <w:szCs w:val="20"/>
          <w:color w:val="auto"/>
        </w:rPr>
      </w:pPr>
      <w:r>
        <w:rPr>
          <w:rFonts w:ascii="Arial" w:cs="Arial" w:eastAsia="Arial" w:hAnsi="Arial"/>
          <w:sz w:val="18"/>
          <w:szCs w:val="18"/>
          <w:b w:val="1"/>
          <w:bCs w:val="1"/>
          <w:color w:val="auto"/>
        </w:rPr>
        <w:t>Dividend policy</w:t>
      </w:r>
      <w:r>
        <w:rPr>
          <w:sz w:val="20"/>
          <w:szCs w:val="20"/>
          <w:color w:val="auto"/>
        </w:rPr>
        <w:tab/>
      </w:r>
      <w:r>
        <w:rPr>
          <w:rFonts w:ascii="Arial" w:cs="Arial" w:eastAsia="Arial" w:hAnsi="Arial"/>
          <w:sz w:val="16"/>
          <w:szCs w:val="16"/>
          <w:color w:val="auto"/>
        </w:rPr>
        <w:t>We have no current plans to pay dividends on our common</w:t>
      </w:r>
    </w:p>
    <w:p>
      <w:pPr>
        <w:spacing w:after="0" w:line="27" w:lineRule="exact"/>
        <w:rPr>
          <w:sz w:val="20"/>
          <w:szCs w:val="20"/>
          <w:color w:val="auto"/>
        </w:rPr>
      </w:pPr>
    </w:p>
    <w:p>
      <w:pPr>
        <w:ind w:left="4200" w:right="299"/>
        <w:spacing w:after="0" w:line="268" w:lineRule="auto"/>
        <w:rPr>
          <w:sz w:val="20"/>
          <w:szCs w:val="20"/>
          <w:color w:val="auto"/>
        </w:rPr>
      </w:pPr>
      <w:r>
        <w:rPr>
          <w:rFonts w:ascii="Arial" w:cs="Arial" w:eastAsia="Arial" w:hAnsi="Arial"/>
          <w:sz w:val="17"/>
          <w:szCs w:val="17"/>
          <w:color w:val="auto"/>
        </w:rPr>
        <w:t>stock. Any decision to declare and pay dividends in the future will be made at the sole discretion of our board of directors and will depend on, among other things, our results of operations, cash requirements, financial condition, legal, tax, regulatory and contractual restrictions, including restrictions in the agreements governing our indebtedness, and other factors that our board of directors may deem relevant. See “Dividend Policy.”</w:t>
      </w:r>
    </w:p>
    <w:p>
      <w:pPr>
        <w:sectPr>
          <w:pgSz w:w="11900" w:h="16838" w:orient="portrait"/>
          <w:cols w:equalWidth="0" w:num="1">
            <w:col w:w="9019"/>
          </w:cols>
          <w:pgMar w:left="1440" w:top="265" w:right="1440" w:bottom="1440" w:gutter="0" w:footer="0" w:header="0"/>
        </w:sectPr>
      </w:pP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80" w:hanging="179"/>
        <w:spacing w:after="0" w:line="312" w:lineRule="auto"/>
        <w:rPr>
          <w:sz w:val="20"/>
          <w:szCs w:val="20"/>
          <w:color w:val="auto"/>
        </w:rPr>
      </w:pPr>
      <w:r>
        <w:rPr>
          <w:rFonts w:ascii="Arial" w:cs="Arial" w:eastAsia="Arial" w:hAnsi="Arial"/>
          <w:sz w:val="17"/>
          <w:szCs w:val="17"/>
          <w:b w:val="1"/>
          <w:bCs w:val="1"/>
          <w:color w:val="auto"/>
        </w:rPr>
        <w:t>Material U.S. federal income and estate tax consequences to non-U.S. holders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319"/>
        <w:spacing w:after="0" w:line="259" w:lineRule="auto"/>
        <w:rPr>
          <w:sz w:val="20"/>
          <w:szCs w:val="20"/>
          <w:color w:val="auto"/>
        </w:rPr>
      </w:pPr>
      <w:r>
        <w:rPr>
          <w:rFonts w:ascii="Arial" w:cs="Arial" w:eastAsia="Arial" w:hAnsi="Arial"/>
          <w:sz w:val="18"/>
          <w:szCs w:val="18"/>
          <w:color w:val="auto"/>
        </w:rPr>
        <w:t>Investing in shares of our common stock involves a high degree of risk. See “Risk Factors” for a discussion of factors you should carefully consider before investing in shares of our common stock.</w:t>
      </w:r>
    </w:p>
    <w:p>
      <w:pPr>
        <w:spacing w:after="0" w:line="295" w:lineRule="exact"/>
        <w:rPr>
          <w:sz w:val="20"/>
          <w:szCs w:val="20"/>
          <w:color w:val="auto"/>
        </w:rPr>
      </w:pPr>
    </w:p>
    <w:p>
      <w:pPr>
        <w:ind w:right="419"/>
        <w:spacing w:after="0" w:line="259" w:lineRule="auto"/>
        <w:rPr>
          <w:sz w:val="20"/>
          <w:szCs w:val="20"/>
          <w:color w:val="auto"/>
        </w:rPr>
      </w:pPr>
      <w:r>
        <w:rPr>
          <w:rFonts w:ascii="Arial" w:cs="Arial" w:eastAsia="Arial" w:hAnsi="Arial"/>
          <w:sz w:val="18"/>
          <w:szCs w:val="18"/>
          <w:color w:val="auto"/>
        </w:rPr>
        <w:t>For a discussion of certain U.S. federal income and estate tax consequences that may be relevant to non-U.S. stockholders, see “Material U.S. Federal Income and Estate Tax Consequences to Non-U.S. Holders.”</w:t>
      </w:r>
    </w:p>
    <w:p>
      <w:pPr>
        <w:spacing w:after="0" w:line="115" w:lineRule="exact"/>
        <w:rPr>
          <w:sz w:val="20"/>
          <w:szCs w:val="20"/>
          <w:color w:val="auto"/>
        </w:rPr>
      </w:pPr>
    </w:p>
    <w:p>
      <w:pPr>
        <w:sectPr>
          <w:pgSz w:w="11900" w:h="16838" w:orient="portrait"/>
          <w:cols w:equalWidth="0" w:num="2">
            <w:col w:w="3620" w:space="580"/>
            <w:col w:w="4819"/>
          </w:cols>
          <w:pgMar w:left="1440" w:top="265" w:right="1440" w:bottom="1440" w:gutter="0" w:footer="0" w:header="0"/>
          <w:type w:val="continuous"/>
        </w:sectPr>
      </w:pPr>
    </w:p>
    <w:p>
      <w:pPr>
        <w:ind w:left="320"/>
        <w:spacing w:after="0"/>
        <w:tabs>
          <w:tab w:leader="none" w:pos="4180" w:val="left"/>
        </w:tabs>
        <w:rPr>
          <w:sz w:val="20"/>
          <w:szCs w:val="20"/>
          <w:color w:val="auto"/>
        </w:rPr>
      </w:pPr>
      <w:r>
        <w:rPr>
          <w:rFonts w:ascii="Arial" w:cs="Arial" w:eastAsia="Arial" w:hAnsi="Arial"/>
          <w:sz w:val="18"/>
          <w:szCs w:val="18"/>
          <w:b w:val="1"/>
          <w:bCs w:val="1"/>
          <w:color w:val="auto"/>
        </w:rPr>
        <w:t>Nasdaq trading symbol</w:t>
      </w:r>
      <w:r>
        <w:rPr>
          <w:sz w:val="20"/>
          <w:szCs w:val="20"/>
          <w:color w:val="auto"/>
        </w:rPr>
        <w:tab/>
      </w:r>
      <w:r>
        <w:rPr>
          <w:rFonts w:ascii="Arial" w:cs="Arial" w:eastAsia="Arial" w:hAnsi="Arial"/>
          <w:sz w:val="18"/>
          <w:szCs w:val="18"/>
          <w:color w:val="auto"/>
        </w:rPr>
        <w:t>“ASO.”</w:t>
      </w:r>
    </w:p>
    <w:p>
      <w:pPr>
        <w:spacing w:after="0" w:line="148" w:lineRule="exact"/>
        <w:rPr>
          <w:sz w:val="20"/>
          <w:szCs w:val="20"/>
          <w:color w:val="auto"/>
        </w:rPr>
      </w:pPr>
    </w:p>
    <w:p>
      <w:pPr>
        <w:ind w:left="320" w:right="299" w:firstLine="360"/>
        <w:spacing w:after="0" w:line="296" w:lineRule="auto"/>
        <w:rPr>
          <w:sz w:val="20"/>
          <w:szCs w:val="20"/>
          <w:color w:val="auto"/>
        </w:rPr>
      </w:pPr>
      <w:r>
        <w:rPr>
          <w:rFonts w:ascii="Arial" w:cs="Arial" w:eastAsia="Arial" w:hAnsi="Arial"/>
          <w:sz w:val="16"/>
          <w:szCs w:val="16"/>
          <w:color w:val="auto"/>
        </w:rPr>
        <w:t>Throughout this prospectus, the number of shares of common stock to be outstanding after giving effect to this offering and the concurrent share repurchase is based on 92,883,540 shares of our common stock outstanding as of July 31, 2021 (i) reflects the retirement of 4,372,540 shares of our common stock in the concurrent share repurchase (assuming that the price per share to be paid by us is $45.74, which is the closing sales price of our common stock as reported on the Nasdaq on September 10, 2021) and (ii) and excludes as of July 31, 2021:</w:t>
      </w:r>
    </w:p>
    <w:p>
      <w:pPr>
        <w:spacing w:after="0" w:line="53" w:lineRule="exact"/>
        <w:rPr>
          <w:sz w:val="20"/>
          <w:szCs w:val="20"/>
          <w:color w:val="auto"/>
        </w:rPr>
      </w:pPr>
    </w:p>
    <w:p>
      <w:pPr>
        <w:ind w:left="1020" w:right="319" w:hanging="350"/>
        <w:spacing w:after="0" w:line="342"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4,689,376 shares of common stock issuable upon exercise of outstanding options, all of which were vested with a weighted-average exercise price of $15.20 per share, granted under the 2011 Equity Plan;</w:t>
      </w:r>
    </w:p>
    <w:p>
      <w:pPr>
        <w:spacing w:after="0" w:line="15" w:lineRule="exact"/>
        <w:rPr>
          <w:rFonts w:ascii="Arial" w:cs="Arial" w:eastAsia="Arial" w:hAnsi="Arial"/>
          <w:sz w:val="16"/>
          <w:szCs w:val="16"/>
          <w:color w:val="auto"/>
        </w:rPr>
      </w:pPr>
    </w:p>
    <w:p>
      <w:pPr>
        <w:ind w:left="1020" w:right="299" w:hanging="350"/>
        <w:spacing w:after="0" w:line="255"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1,046,473 shares of common stock issuable upon exercise of outstanding options, (i) 23,956 of which were vested, with a weighted-average exercise price of $26.99, (ii) 1,022,517 of which were not vested, with a weighted average price of $25.00 per share, (iii) 374,338 shares of common stock issuable upon settlement of outstanding restricted stock units, none of which were vested, and (iv) 3,725,110 shares of common stock reserved for future issuance, in each case, granted under our new 2020 Omnibus Incentive Plan, or the 2020 Equity Plan; and</w:t>
      </w:r>
    </w:p>
    <w:p>
      <w:pPr>
        <w:spacing w:after="0" w:line="84" w:lineRule="exact"/>
        <w:rPr>
          <w:rFonts w:ascii="Arial" w:cs="Arial" w:eastAsia="Arial" w:hAnsi="Arial"/>
          <w:sz w:val="18"/>
          <w:szCs w:val="18"/>
          <w:color w:val="auto"/>
        </w:rPr>
      </w:pPr>
    </w:p>
    <w:p>
      <w:pPr>
        <w:ind w:left="1020" w:right="739" w:hanging="350"/>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1,964,614 shares of common stock reserved for future issuance under our new 2020 Employee Stock Purchase Plan, or the ESPP.</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 w:name="page21"/>
    <w:bookmarkEnd w:id="20"/>
    <w:p>
      <w:pPr>
        <w:ind w:left="10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90170</wp:posOffset>
            </wp:positionV>
            <wp:extent cx="5653405" cy="639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3405" cy="639064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HISTORICAL CONSOLIDATED FINANCIAL AND OTHER DATA</w:t>
      </w:r>
    </w:p>
    <w:p>
      <w:pPr>
        <w:spacing w:after="0" w:line="121" w:lineRule="exact"/>
        <w:rPr>
          <w:sz w:val="20"/>
          <w:szCs w:val="20"/>
          <w:color w:val="auto"/>
        </w:rPr>
      </w:pPr>
    </w:p>
    <w:p>
      <w:pPr>
        <w:ind w:left="1320" w:right="1380" w:firstLine="360"/>
        <w:spacing w:after="0" w:line="286" w:lineRule="auto"/>
        <w:rPr>
          <w:sz w:val="20"/>
          <w:szCs w:val="20"/>
          <w:color w:val="auto"/>
        </w:rPr>
      </w:pPr>
      <w:r>
        <w:rPr>
          <w:rFonts w:ascii="Arial" w:cs="Arial" w:eastAsia="Arial" w:hAnsi="Arial"/>
          <w:sz w:val="16"/>
          <w:szCs w:val="16"/>
          <w:color w:val="auto"/>
        </w:rPr>
        <w:t>Set forth below is our summary historical consolidated financial and other data as of the dates and for the periods indicated. The summary historical financial data as of January 30, 2021 and February 1, 2020 and for 2020, 2019 and 2018 has been derived from our audited consolidated financial statements and related notes thereto incorporated by reference in this prospectus. The summary historical financial data as of February 2, 2019 has been derived from our consolidated financial statements and related notes thereto not included or incorporated by reference in this prospectus. The summary historical financial data as of July 31, 2021 and for the twenty-six weeks ended July 31, 2021 and August 1, 2020 has been derived from our unaudited condensed consolidated financial statements and related notes thereto incorporated by reference in this prospectus. The unaudited historical consolidated financial statements were prepared on a basis consistent with our audited historical consolidated financial statements and, in the opinion of management, reflect all adjustments, consisting only of normal and recurring adjustments, necessary for a fair statement of the financial information. The results for any interim period are not necessarily indicative of the results that may be expected for the full year. The results of operations for any period are not necessarily indicative of our future financial condition or results of operations.</w:t>
      </w:r>
    </w:p>
    <w:p>
      <w:pPr>
        <w:spacing w:after="0" w:line="66" w:lineRule="exact"/>
        <w:rPr>
          <w:sz w:val="20"/>
          <w:szCs w:val="20"/>
          <w:color w:val="auto"/>
        </w:rPr>
      </w:pPr>
    </w:p>
    <w:p>
      <w:pPr>
        <w:ind w:left="1320" w:right="1480" w:firstLine="360"/>
        <w:spacing w:after="0" w:line="279" w:lineRule="auto"/>
        <w:rPr>
          <w:sz w:val="20"/>
          <w:szCs w:val="20"/>
          <w:color w:val="auto"/>
        </w:rPr>
      </w:pPr>
      <w:r>
        <w:rPr>
          <w:rFonts w:ascii="Arial" w:cs="Arial" w:eastAsia="Arial" w:hAnsi="Arial"/>
          <w:sz w:val="17"/>
          <w:szCs w:val="17"/>
          <w:color w:val="auto"/>
        </w:rPr>
        <w:t>You should read the following summary financial and other data below together with the information under “Capitalization” in this prospectus, as well as the sections entitled “Selected Financial Data,” “Management’s Discussion and Analysis of Financial Condition and Results of Operations” and our audited consolidated financial statements and related notes in our Annual Report incorporated by reference herein.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gridSpan w:val="7"/>
          </w:tcPr>
          <w:p>
            <w:pPr>
              <w:ind w:left="20"/>
              <w:spacing w:after="0"/>
              <w:rPr>
                <w:sz w:val="20"/>
                <w:szCs w:val="20"/>
                <w:color w:val="auto"/>
              </w:rPr>
            </w:pPr>
            <w:r>
              <w:rPr>
                <w:rFonts w:ascii="Arial" w:cs="Arial" w:eastAsia="Arial" w:hAnsi="Arial"/>
                <w:sz w:val="14"/>
                <w:szCs w:val="14"/>
                <w:b w:val="1"/>
                <w:bCs w:val="1"/>
                <w:color w:val="auto"/>
              </w:rPr>
              <w:t>Twenty-Six Weeks Ended</w:t>
            </w:r>
          </w:p>
        </w:tc>
      </w:tr>
      <w:tr>
        <w:trPr>
          <w:trHeight w:val="53"/>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00" w:type="dxa"/>
            <w:vAlign w:val="bottom"/>
            <w:gridSpan w:val="2"/>
          </w:tcPr>
          <w:p>
            <w:pPr>
              <w:spacing w:after="0"/>
              <w:rPr>
                <w:sz w:val="4"/>
                <w:szCs w:val="4"/>
                <w:color w:val="auto"/>
              </w:rPr>
            </w:pPr>
          </w:p>
        </w:tc>
      </w:tr>
      <w:tr>
        <w:trPr>
          <w:trHeight w:val="187"/>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January 30,</w:t>
            </w:r>
          </w:p>
        </w:tc>
        <w:tc>
          <w:tcPr>
            <w:tcW w:w="140" w:type="dxa"/>
            <w:vAlign w:val="bottom"/>
          </w:tcPr>
          <w:p>
            <w:pPr>
              <w:spacing w:after="0"/>
              <w:rPr>
                <w:sz w:val="16"/>
                <w:szCs w:val="16"/>
                <w:color w:val="auto"/>
              </w:rPr>
            </w:pPr>
          </w:p>
        </w:tc>
        <w:tc>
          <w:tcPr>
            <w:tcW w:w="10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5"/>
              </w:rPr>
              <w:t>February 1,</w:t>
            </w:r>
          </w:p>
        </w:tc>
        <w:tc>
          <w:tcPr>
            <w:tcW w:w="1020" w:type="dxa"/>
            <w:vAlign w:val="bottom"/>
            <w:gridSpan w:val="4"/>
          </w:tcPr>
          <w:p>
            <w:pPr>
              <w:ind w:left="80"/>
              <w:spacing w:after="0"/>
              <w:rPr>
                <w:sz w:val="20"/>
                <w:szCs w:val="20"/>
                <w:color w:val="auto"/>
              </w:rPr>
            </w:pPr>
            <w:r>
              <w:rPr>
                <w:rFonts w:ascii="Arial" w:cs="Arial" w:eastAsia="Arial" w:hAnsi="Arial"/>
                <w:sz w:val="14"/>
                <w:szCs w:val="14"/>
                <w:b w:val="1"/>
                <w:bCs w:val="1"/>
                <w:color w:val="auto"/>
              </w:rPr>
              <w:t>February 2,</w:t>
            </w:r>
          </w:p>
        </w:tc>
        <w:tc>
          <w:tcPr>
            <w:tcW w:w="140" w:type="dxa"/>
            <w:vAlign w:val="bottom"/>
          </w:tcPr>
          <w:p>
            <w:pPr>
              <w:spacing w:after="0"/>
              <w:rPr>
                <w:sz w:val="16"/>
                <w:szCs w:val="16"/>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July 31,</w:t>
            </w:r>
          </w:p>
        </w:tc>
        <w:tc>
          <w:tcPr>
            <w:tcW w:w="120" w:type="dxa"/>
            <w:vAlign w:val="bottom"/>
          </w:tcPr>
          <w:p>
            <w:pPr>
              <w:spacing w:after="0"/>
              <w:rPr>
                <w:sz w:val="16"/>
                <w:szCs w:val="16"/>
                <w:color w:val="auto"/>
              </w:rPr>
            </w:pPr>
          </w:p>
        </w:tc>
        <w:tc>
          <w:tcPr>
            <w:tcW w:w="2040" w:type="dxa"/>
            <w:vAlign w:val="bottom"/>
            <w:gridSpan w:val="3"/>
          </w:tcPr>
          <w:p>
            <w:pPr>
              <w:ind w:left="20"/>
              <w:spacing w:after="0"/>
              <w:rPr>
                <w:sz w:val="20"/>
                <w:szCs w:val="20"/>
                <w:color w:val="auto"/>
              </w:rPr>
            </w:pPr>
            <w:r>
              <w:rPr>
                <w:rFonts w:ascii="Arial" w:cs="Arial" w:eastAsia="Arial" w:hAnsi="Arial"/>
                <w:sz w:val="14"/>
                <w:szCs w:val="14"/>
                <w:b w:val="1"/>
                <w:bCs w:val="1"/>
                <w:color w:val="auto"/>
              </w:rPr>
              <w:t>August 1,</w:t>
            </w:r>
          </w:p>
        </w:tc>
      </w:t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13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53"/>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5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40"/>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Period length</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6"/>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 thousands)</w:t>
            </w:r>
          </w:p>
        </w:tc>
        <w:tc>
          <w:tcPr>
            <w:tcW w:w="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52 weeks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52 weeks</w:t>
            </w:r>
          </w:p>
        </w:tc>
        <w:tc>
          <w:tcPr>
            <w:tcW w:w="10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52 weeks</w:t>
            </w:r>
          </w:p>
        </w:tc>
        <w:tc>
          <w:tcPr>
            <w:tcW w:w="10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26 weeks</w:t>
            </w:r>
          </w:p>
        </w:tc>
        <w:tc>
          <w:tcPr>
            <w:tcW w:w="86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26 weeks</w:t>
            </w:r>
          </w:p>
        </w:tc>
        <w:tc>
          <w:tcPr>
            <w:tcW w:w="1300" w:type="dxa"/>
            <w:vAlign w:val="bottom"/>
            <w:gridSpan w:val="2"/>
          </w:tcPr>
          <w:p>
            <w:pPr>
              <w:spacing w:after="0"/>
              <w:rPr>
                <w:sz w:val="21"/>
                <w:szCs w:val="2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Statement of Income Data:</w:t>
            </w: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54"/>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8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8"/>
              </w:rPr>
              <w:t>$5,689,233</w:t>
            </w:r>
          </w:p>
        </w:tc>
        <w:tc>
          <w:tcPr>
            <w:tcW w:w="10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$4,829,897</w:t>
            </w: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8"/>
              </w:rPr>
              <w:t>$4,783,893</w:t>
            </w: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8"/>
              </w:rPr>
              <w:t>$3,371,863</w:t>
            </w:r>
          </w:p>
        </w:tc>
        <w:tc>
          <w:tcPr>
            <w:tcW w:w="1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$2,742,721</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6"/>
        </w:trPr>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Costs of goods sold</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7"/>
              </w:rPr>
              <w:t>3,955,188</w:t>
            </w:r>
          </w:p>
        </w:tc>
        <w:tc>
          <w:tcPr>
            <w:tcW w:w="60" w:type="dxa"/>
            <w:vAlign w:val="bottom"/>
          </w:tcPr>
          <w:p>
            <w:pPr>
              <w:spacing w:after="0"/>
              <w:rPr>
                <w:sz w:val="22"/>
                <w:szCs w:val="22"/>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3,398,743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3,415,941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2,165,666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7"/>
              </w:rPr>
              <w:t>1,948,275</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61"/>
        </w:trPr>
        <w:tc>
          <w:tcPr>
            <w:tcW w:w="1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50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318"/>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1,734,045</w:t>
            </w:r>
          </w:p>
        </w:tc>
        <w:tc>
          <w:tcPr>
            <w:tcW w:w="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1,431,154</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1,367,952</w:t>
            </w: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1,206,197</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794,446</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6"/>
        </w:trPr>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w w:val="96"/>
              </w:rPr>
              <w:t>Selling, general and administrative expenses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7"/>
              </w:rPr>
              <w:t>1,313,647</w:t>
            </w:r>
          </w:p>
        </w:tc>
        <w:tc>
          <w:tcPr>
            <w:tcW w:w="60" w:type="dxa"/>
            <w:vAlign w:val="bottom"/>
          </w:tcPr>
          <w:p>
            <w:pPr>
              <w:spacing w:after="0"/>
              <w:rPr>
                <w:sz w:val="22"/>
                <w:szCs w:val="22"/>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1,251,733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1,239,002</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712,565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596,636</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61"/>
        </w:trPr>
        <w:tc>
          <w:tcPr>
            <w:tcW w:w="1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50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318"/>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420,398</w:t>
            </w: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179,421</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128,950</w:t>
            </w: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493,632</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197,810</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86,514</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101,307</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108,652</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26,706</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48,088</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54"/>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32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shd w:val="clear" w:color="auto" w:fill="CCEEFF"/>
          </w:tcPr>
          <w:p>
            <w:pPr>
              <w:ind w:left="20"/>
              <w:spacing w:after="0" w:line="324" w:lineRule="exact"/>
              <w:rPr>
                <w:sz w:val="20"/>
                <w:szCs w:val="20"/>
                <w:color w:val="auto"/>
              </w:rPr>
            </w:pPr>
            <w:r>
              <w:rPr>
                <w:rFonts w:ascii="Arial" w:cs="Arial" w:eastAsia="Arial" w:hAnsi="Arial"/>
                <w:sz w:val="18"/>
                <w:szCs w:val="18"/>
                <w:color w:val="auto"/>
                <w:w w:val="95"/>
              </w:rPr>
              <w:t>(Gain) loss on early retirement of debt, net</w:t>
            </w:r>
            <w:r>
              <w:rPr>
                <w:rFonts w:ascii="Arial" w:cs="Arial" w:eastAsia="Arial" w:hAnsi="Arial"/>
                <w:sz w:val="29"/>
                <w:szCs w:val="29"/>
                <w:color w:val="auto"/>
                <w:w w:val="95"/>
                <w:vertAlign w:val="superscript"/>
              </w:rPr>
              <w:t>(1)</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(3,582)</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(42,265)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2,239</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(7,831)</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6"/>
        </w:trPr>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16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(1,654)</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(2,481)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(3,095)</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(1,132)</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(1,621)</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61"/>
        </w:trPr>
        <w:tc>
          <w:tcPr>
            <w:tcW w:w="1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50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318"/>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339,120</w:t>
            </w: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122,860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23,393</w:t>
            </w: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465,819</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159,174</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6"/>
        </w:trPr>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30,356</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2,817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1,951</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97,513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1,518</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61"/>
        </w:trPr>
        <w:tc>
          <w:tcPr>
            <w:tcW w:w="1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50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318"/>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308,764</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120,043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21,442</w:t>
            </w: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368,306</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157,656</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3"/>
        </w:trPr>
        <w:tc>
          <w:tcPr>
            <w:tcW w:w="1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50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6"/>
        </w:trPr>
        <w:tc>
          <w:tcPr>
            <w:tcW w:w="10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5" w:right="439" w:bottom="1440" w:gutter="0" w:footer="0" w:header="0"/>
        </w:sectPr>
      </w:pPr>
    </w:p>
    <w:bookmarkStart w:id="21" w:name="page22"/>
    <w:bookmarkEnd w:id="21"/>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91338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3405" cy="9133840"/>
                    </a:xfrm>
                    <a:prstGeom prst="rect">
                      <a:avLst/>
                    </a:prstGeom>
                    <a:noFill/>
                  </pic:spPr>
                </pic:pic>
              </a:graphicData>
            </a:graphic>
          </wp:anchor>
        </w:drawing>
      </w:r>
    </w:p>
    <w:p>
      <w:pPr>
        <w:sectPr>
          <w:pgSz w:w="11900" w:h="16838" w:orient="portrait"/>
          <w:cols w:equalWidth="0" w:num="1">
            <w:col w:w="9019"/>
          </w:cols>
          <w:pgMar w:left="1440" w:top="265" w:right="1440" w:bottom="939" w:gutter="0" w:footer="0" w:header="0"/>
        </w:sectPr>
      </w:pPr>
    </w:p>
    <w:p>
      <w:pPr>
        <w:spacing w:after="0" w:line="200" w:lineRule="exact"/>
        <w:rPr>
          <w:sz w:val="20"/>
          <w:szCs w:val="20"/>
          <w:color w:val="auto"/>
        </w:rPr>
      </w:pPr>
    </w:p>
    <w:p>
      <w:pPr>
        <w:spacing w:after="0" w:line="34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gridSpan w:val="4"/>
          </w:tcPr>
          <w:p>
            <w:pPr>
              <w:ind w:left="120"/>
              <w:spacing w:after="0"/>
              <w:rPr>
                <w:sz w:val="20"/>
                <w:szCs w:val="20"/>
                <w:color w:val="auto"/>
              </w:rPr>
            </w:pPr>
            <w:r>
              <w:rPr>
                <w:rFonts w:ascii="Arial" w:cs="Arial" w:eastAsia="Arial" w:hAnsi="Arial"/>
                <w:sz w:val="14"/>
                <w:szCs w:val="14"/>
                <w:b w:val="1"/>
                <w:bCs w:val="1"/>
                <w:color w:val="auto"/>
                <w:w w:val="94"/>
              </w:rPr>
              <w:t>Fiscal Year Ended</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gridSpan w:val="4"/>
          </w:tcPr>
          <w:p>
            <w:pPr>
              <w:ind w:left="180"/>
              <w:spacing w:after="0"/>
              <w:rPr>
                <w:sz w:val="20"/>
                <w:szCs w:val="20"/>
                <w:color w:val="auto"/>
              </w:rPr>
            </w:pPr>
            <w:r>
              <w:rPr>
                <w:rFonts w:ascii="Arial" w:cs="Arial" w:eastAsia="Arial" w:hAnsi="Arial"/>
                <w:sz w:val="14"/>
                <w:szCs w:val="14"/>
                <w:b w:val="1"/>
                <w:bCs w:val="1"/>
                <w:color w:val="auto"/>
              </w:rPr>
              <w:t>Twenty-Six Weeks Ended</w:t>
            </w:r>
          </w:p>
        </w:tc>
      </w:tr>
      <w:tr>
        <w:trPr>
          <w:trHeight w:val="53"/>
        </w:trPr>
        <w:tc>
          <w:tcPr>
            <w:tcW w:w="29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7"/>
        </w:trPr>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b w:val="1"/>
                <w:bCs w:val="1"/>
                <w:color w:val="auto"/>
                <w:w w:val="95"/>
              </w:rPr>
              <w:t>January 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February 1,</w:t>
            </w:r>
          </w:p>
        </w:tc>
        <w:tc>
          <w:tcPr>
            <w:tcW w:w="14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February 2,</w:t>
            </w:r>
          </w:p>
        </w:tc>
        <w:tc>
          <w:tcPr>
            <w:tcW w:w="8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31,</w:t>
            </w:r>
          </w:p>
        </w:tc>
        <w:tc>
          <w:tcPr>
            <w:tcW w:w="140" w:type="dxa"/>
            <w:vAlign w:val="bottom"/>
          </w:tcPr>
          <w:p>
            <w:pPr>
              <w:spacing w:after="0"/>
              <w:rPr>
                <w:sz w:val="16"/>
                <w:szCs w:val="16"/>
                <w:color w:val="auto"/>
              </w:rPr>
            </w:pPr>
          </w:p>
        </w:tc>
        <w:tc>
          <w:tcPr>
            <w:tcW w:w="820" w:type="dxa"/>
            <w:vAlign w:val="bottom"/>
          </w:tcPr>
          <w:p>
            <w:pPr>
              <w:jc w:val="right"/>
              <w:ind w:right="93"/>
              <w:spacing w:after="0"/>
              <w:rPr>
                <w:sz w:val="20"/>
                <w:szCs w:val="20"/>
                <w:color w:val="auto"/>
              </w:rPr>
            </w:pPr>
            <w:r>
              <w:rPr>
                <w:rFonts w:ascii="Arial" w:cs="Arial" w:eastAsia="Arial" w:hAnsi="Arial"/>
                <w:sz w:val="14"/>
                <w:szCs w:val="14"/>
                <w:b w:val="1"/>
                <w:bCs w:val="1"/>
                <w:color w:val="auto"/>
                <w:w w:val="97"/>
              </w:rPr>
              <w:t>August 1,</w:t>
            </w:r>
          </w:p>
        </w:tc>
      </w:tr>
      <w:tr>
        <w:trPr>
          <w:trHeight w:val="186"/>
        </w:trPr>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233"/>
              <w:spacing w:after="0"/>
              <w:rPr>
                <w:sz w:val="20"/>
                <w:szCs w:val="20"/>
                <w:color w:val="auto"/>
              </w:rPr>
            </w:pPr>
            <w:r>
              <w:rPr>
                <w:rFonts w:ascii="Arial" w:cs="Arial" w:eastAsia="Arial" w:hAnsi="Arial"/>
                <w:sz w:val="14"/>
                <w:szCs w:val="14"/>
                <w:b w:val="1"/>
                <w:bCs w:val="1"/>
                <w:color w:val="auto"/>
              </w:rPr>
              <w:t>2020</w:t>
            </w:r>
          </w:p>
        </w:tc>
      </w:tr>
      <w:tr>
        <w:trPr>
          <w:trHeight w:val="53"/>
        </w:trPr>
        <w:tc>
          <w:tcPr>
            <w:tcW w:w="29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0"/>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Period length</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03"/>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 thousands, except store data and per</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46"/>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 data)</w:t>
            </w:r>
          </w:p>
        </w:tc>
        <w:tc>
          <w:tcPr>
            <w:tcW w:w="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52 weeks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52 weeks</w:t>
            </w:r>
          </w:p>
        </w:tc>
        <w:tc>
          <w:tcPr>
            <w:tcW w:w="11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52 weeks</w:t>
            </w:r>
          </w:p>
        </w:tc>
        <w:tc>
          <w:tcPr>
            <w:tcW w:w="1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26 weeks</w:t>
            </w:r>
          </w:p>
        </w:tc>
        <w:tc>
          <w:tcPr>
            <w:tcW w:w="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26 weeks</w:t>
            </w:r>
          </w:p>
        </w:tc>
      </w:tr>
      <w:tr>
        <w:trPr>
          <w:trHeight w:val="270"/>
        </w:trPr>
        <w:tc>
          <w:tcPr>
            <w:tcW w:w="2920" w:type="dxa"/>
            <w:vAlign w:val="bottom"/>
          </w:tcPr>
          <w:p>
            <w:pPr>
              <w:ind w:left="20"/>
              <w:spacing w:after="0"/>
              <w:rPr>
                <w:sz w:val="20"/>
                <w:szCs w:val="20"/>
                <w:color w:val="auto"/>
              </w:rPr>
            </w:pPr>
            <w:r>
              <w:rPr>
                <w:rFonts w:ascii="Arial" w:cs="Arial" w:eastAsia="Arial" w:hAnsi="Arial"/>
                <w:sz w:val="18"/>
                <w:szCs w:val="18"/>
                <w:b w:val="1"/>
                <w:bCs w:val="1"/>
                <w:color w:val="auto"/>
                <w:w w:val="94"/>
              </w:rPr>
              <w:t>Balance Sheet Data (end of period):</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54"/>
        </w:trPr>
        <w:tc>
          <w:tcPr>
            <w:tcW w:w="2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04"/>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377,604</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149,385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75,691</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553,825</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884,029</w:t>
            </w:r>
          </w:p>
        </w:tc>
      </w:tr>
      <w:tr>
        <w:trPr>
          <w:trHeight w:val="270"/>
        </w:trPr>
        <w:tc>
          <w:tcPr>
            <w:tcW w:w="2920" w:type="dxa"/>
            <w:vAlign w:val="bottom"/>
          </w:tcPr>
          <w:p>
            <w:pPr>
              <w:ind w:left="20"/>
              <w:spacing w:after="0"/>
              <w:rPr>
                <w:sz w:val="20"/>
                <w:szCs w:val="20"/>
                <w:color w:val="auto"/>
              </w:rPr>
            </w:pPr>
            <w:r>
              <w:rPr>
                <w:rFonts w:ascii="Arial" w:cs="Arial" w:eastAsia="Arial" w:hAnsi="Arial"/>
                <w:sz w:val="18"/>
                <w:szCs w:val="18"/>
                <w:color w:val="auto"/>
              </w:rPr>
              <w:t>Merchandise inventories, net</w:t>
            </w:r>
          </w:p>
        </w:tc>
        <w:tc>
          <w:tcPr>
            <w:tcW w:w="100" w:type="dxa"/>
            <w:vAlign w:val="bottom"/>
          </w:tcPr>
          <w:p>
            <w:pPr>
              <w:spacing w:after="0"/>
              <w:rPr>
                <w:sz w:val="23"/>
                <w:szCs w:val="23"/>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990,034</w:t>
            </w:r>
          </w:p>
        </w:tc>
        <w:tc>
          <w:tcPr>
            <w:tcW w:w="1160" w:type="dxa"/>
            <w:vAlign w:val="bottom"/>
            <w:gridSpan w:val="3"/>
          </w:tcPr>
          <w:p>
            <w:pPr>
              <w:jc w:val="right"/>
              <w:ind w:right="133"/>
              <w:spacing w:after="0"/>
              <w:rPr>
                <w:sz w:val="20"/>
                <w:szCs w:val="20"/>
                <w:color w:val="auto"/>
              </w:rPr>
            </w:pPr>
            <w:r>
              <w:rPr>
                <w:rFonts w:ascii="Arial" w:cs="Arial" w:eastAsia="Arial" w:hAnsi="Arial"/>
                <w:sz w:val="18"/>
                <w:szCs w:val="18"/>
                <w:color w:val="auto"/>
              </w:rPr>
              <w:t>1,099,749</w:t>
            </w:r>
          </w:p>
        </w:tc>
        <w:tc>
          <w:tcPr>
            <w:tcW w:w="120" w:type="dxa"/>
            <w:vAlign w:val="bottom"/>
          </w:tcPr>
          <w:p>
            <w:pPr>
              <w:spacing w:after="0"/>
              <w:rPr>
                <w:sz w:val="23"/>
                <w:szCs w:val="23"/>
                <w:color w:val="auto"/>
              </w:rPr>
            </w:pPr>
          </w:p>
        </w:tc>
        <w:tc>
          <w:tcPr>
            <w:tcW w:w="1040" w:type="dxa"/>
            <w:vAlign w:val="bottom"/>
            <w:gridSpan w:val="2"/>
          </w:tcPr>
          <w:p>
            <w:pPr>
              <w:jc w:val="right"/>
              <w:ind w:right="133"/>
              <w:spacing w:after="0"/>
              <w:rPr>
                <w:sz w:val="20"/>
                <w:szCs w:val="20"/>
                <w:color w:val="auto"/>
              </w:rPr>
            </w:pPr>
            <w:r>
              <w:rPr>
                <w:rFonts w:ascii="Arial" w:cs="Arial" w:eastAsia="Arial" w:hAnsi="Arial"/>
                <w:sz w:val="18"/>
                <w:szCs w:val="18"/>
                <w:color w:val="auto"/>
                <w:w w:val="99"/>
              </w:rPr>
              <w:t>1,134,156</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w w:val="87"/>
              </w:rPr>
              <w:t>1,115,020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73"/>
              <w:spacing w:after="0"/>
              <w:rPr>
                <w:sz w:val="20"/>
                <w:szCs w:val="20"/>
                <w:color w:val="auto"/>
              </w:rPr>
            </w:pPr>
            <w:r>
              <w:rPr>
                <w:rFonts w:ascii="Arial" w:cs="Arial" w:eastAsia="Arial" w:hAnsi="Arial"/>
                <w:sz w:val="18"/>
                <w:szCs w:val="18"/>
                <w:color w:val="auto"/>
                <w:w w:val="98"/>
              </w:rPr>
              <w:t>899,086</w:t>
            </w:r>
          </w:p>
        </w:tc>
      </w:tr>
      <w:tr>
        <w:trPr>
          <w:trHeight w:val="54"/>
        </w:trPr>
        <w:tc>
          <w:tcPr>
            <w:tcW w:w="292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2"/>
          </w:tcPr>
          <w:p>
            <w:pPr>
              <w:spacing w:after="0"/>
              <w:rPr>
                <w:sz w:val="4"/>
                <w:szCs w:val="4"/>
                <w:color w:val="auto"/>
              </w:rPr>
            </w:pPr>
          </w:p>
        </w:tc>
      </w:tr>
      <w:tr>
        <w:trPr>
          <w:trHeight w:val="324"/>
        </w:trPr>
        <w:tc>
          <w:tcPr>
            <w:tcW w:w="2920" w:type="dxa"/>
            <w:vAlign w:val="bottom"/>
            <w:shd w:val="clear" w:color="auto" w:fill="CCEEFF"/>
          </w:tcPr>
          <w:p>
            <w:pPr>
              <w:ind w:left="20"/>
              <w:spacing w:after="0" w:line="324" w:lineRule="exact"/>
              <w:rPr>
                <w:sz w:val="20"/>
                <w:szCs w:val="20"/>
                <w:color w:val="auto"/>
              </w:rPr>
            </w:pPr>
            <w:r>
              <w:rPr>
                <w:rFonts w:ascii="Arial" w:cs="Arial" w:eastAsia="Arial" w:hAnsi="Arial"/>
                <w:sz w:val="18"/>
                <w:szCs w:val="18"/>
                <w:color w:val="auto"/>
              </w:rPr>
              <w:t>Total assets</w:t>
            </w:r>
            <w:r>
              <w:rPr>
                <w:rFonts w:ascii="Arial" w:cs="Arial" w:eastAsia="Arial" w:hAnsi="Arial"/>
                <w:sz w:val="29"/>
                <w:szCs w:val="29"/>
                <w:color w:val="auto"/>
                <w:vertAlign w:val="superscript"/>
              </w:rPr>
              <w:t>(2)</w:t>
            </w:r>
          </w:p>
        </w:tc>
        <w:tc>
          <w:tcPr>
            <w:tcW w:w="98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w w:val="97"/>
              </w:rPr>
              <w:t>4,384,482</w:t>
            </w:r>
          </w:p>
        </w:tc>
        <w:tc>
          <w:tcPr>
            <w:tcW w:w="1160" w:type="dxa"/>
            <w:vAlign w:val="bottom"/>
            <w:gridSpan w:val="3"/>
            <w:shd w:val="clear" w:color="auto" w:fill="CCEEFF"/>
          </w:tcPr>
          <w:p>
            <w:pPr>
              <w:jc w:val="right"/>
              <w:ind w:right="133"/>
              <w:spacing w:after="0"/>
              <w:rPr>
                <w:sz w:val="20"/>
                <w:szCs w:val="20"/>
                <w:color w:val="auto"/>
              </w:rPr>
            </w:pPr>
            <w:r>
              <w:rPr>
                <w:rFonts w:ascii="Arial" w:cs="Arial" w:eastAsia="Arial" w:hAnsi="Arial"/>
                <w:sz w:val="18"/>
                <w:szCs w:val="18"/>
                <w:color w:val="auto"/>
              </w:rPr>
              <w:t>4,331,321</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33"/>
              <w:spacing w:after="0"/>
              <w:rPr>
                <w:sz w:val="20"/>
                <w:szCs w:val="20"/>
                <w:color w:val="auto"/>
              </w:rPr>
            </w:pPr>
            <w:r>
              <w:rPr>
                <w:rFonts w:ascii="Arial" w:cs="Arial" w:eastAsia="Arial" w:hAnsi="Arial"/>
                <w:sz w:val="18"/>
                <w:szCs w:val="18"/>
                <w:color w:val="auto"/>
                <w:w w:val="99"/>
              </w:rPr>
              <w:t>3,238,957</w:t>
            </w: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74"/>
              <w:spacing w:after="0"/>
              <w:rPr>
                <w:sz w:val="20"/>
                <w:szCs w:val="20"/>
                <w:color w:val="auto"/>
              </w:rPr>
            </w:pPr>
            <w:r>
              <w:rPr>
                <w:rFonts w:ascii="Arial" w:cs="Arial" w:eastAsia="Arial" w:hAnsi="Arial"/>
                <w:sz w:val="18"/>
                <w:szCs w:val="18"/>
                <w:color w:val="auto"/>
                <w:w w:val="97"/>
              </w:rPr>
              <w:t>4,634,027</w:t>
            </w: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w w:val="97"/>
              </w:rPr>
              <w:t>4,842,848</w:t>
            </w:r>
          </w:p>
        </w:tc>
      </w:tr>
      <w:tr>
        <w:trPr>
          <w:trHeight w:val="270"/>
        </w:trPr>
        <w:tc>
          <w:tcPr>
            <w:tcW w:w="2920" w:type="dxa"/>
            <w:vAlign w:val="bottom"/>
          </w:tcPr>
          <w:p>
            <w:pPr>
              <w:ind w:left="20"/>
              <w:spacing w:after="0"/>
              <w:rPr>
                <w:sz w:val="20"/>
                <w:szCs w:val="20"/>
                <w:color w:val="auto"/>
              </w:rPr>
            </w:pPr>
            <w:r>
              <w:rPr>
                <w:rFonts w:ascii="Arial" w:cs="Arial" w:eastAsia="Arial" w:hAnsi="Arial"/>
                <w:sz w:val="18"/>
                <w:szCs w:val="18"/>
                <w:color w:val="auto"/>
              </w:rPr>
              <w:t>Total equity</w:t>
            </w:r>
          </w:p>
        </w:tc>
        <w:tc>
          <w:tcPr>
            <w:tcW w:w="100" w:type="dxa"/>
            <w:vAlign w:val="bottom"/>
          </w:tcPr>
          <w:p>
            <w:pPr>
              <w:spacing w:after="0"/>
              <w:rPr>
                <w:sz w:val="23"/>
                <w:szCs w:val="23"/>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w w:val="84"/>
              </w:rPr>
              <w:t>1,111,983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988,219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857,039</w:t>
            </w:r>
          </w:p>
        </w:tc>
        <w:tc>
          <w:tcPr>
            <w:tcW w:w="140" w:type="dxa"/>
            <w:vAlign w:val="bottom"/>
          </w:tcPr>
          <w:p>
            <w:pPr>
              <w:spacing w:after="0"/>
              <w:rPr>
                <w:sz w:val="23"/>
                <w:szCs w:val="23"/>
                <w:color w:val="auto"/>
              </w:rPr>
            </w:pPr>
          </w:p>
        </w:tc>
        <w:tc>
          <w:tcPr>
            <w:tcW w:w="960" w:type="dxa"/>
            <w:vAlign w:val="bottom"/>
            <w:gridSpan w:val="2"/>
          </w:tcPr>
          <w:p>
            <w:pPr>
              <w:jc w:val="right"/>
              <w:ind w:right="74"/>
              <w:spacing w:after="0"/>
              <w:rPr>
                <w:sz w:val="20"/>
                <w:szCs w:val="20"/>
                <w:color w:val="auto"/>
              </w:rPr>
            </w:pPr>
            <w:r>
              <w:rPr>
                <w:rFonts w:ascii="Arial" w:cs="Arial" w:eastAsia="Arial" w:hAnsi="Arial"/>
                <w:sz w:val="18"/>
                <w:szCs w:val="18"/>
                <w:color w:val="auto"/>
                <w:w w:val="97"/>
              </w:rPr>
              <w:t>1,447,618</w:t>
            </w:r>
          </w:p>
        </w:tc>
        <w:tc>
          <w:tcPr>
            <w:tcW w:w="140" w:type="dxa"/>
            <w:vAlign w:val="bottom"/>
          </w:tcPr>
          <w:p>
            <w:pPr>
              <w:spacing w:after="0"/>
              <w:rPr>
                <w:sz w:val="23"/>
                <w:szCs w:val="23"/>
                <w:color w:val="auto"/>
              </w:rPr>
            </w:pPr>
          </w:p>
        </w:tc>
        <w:tc>
          <w:tcPr>
            <w:tcW w:w="960" w:type="dxa"/>
            <w:vAlign w:val="bottom"/>
            <w:gridSpan w:val="2"/>
          </w:tcPr>
          <w:p>
            <w:pPr>
              <w:jc w:val="right"/>
              <w:ind w:right="73"/>
              <w:spacing w:after="0"/>
              <w:rPr>
                <w:sz w:val="20"/>
                <w:szCs w:val="20"/>
                <w:color w:val="auto"/>
              </w:rPr>
            </w:pPr>
            <w:r>
              <w:rPr>
                <w:rFonts w:ascii="Arial" w:cs="Arial" w:eastAsia="Arial" w:hAnsi="Arial"/>
                <w:sz w:val="18"/>
                <w:szCs w:val="18"/>
                <w:color w:val="auto"/>
                <w:w w:val="97"/>
              </w:rPr>
              <w:t>1,149,096</w:t>
            </w:r>
          </w:p>
        </w:tc>
      </w:tr>
      <w:tr>
        <w:trPr>
          <w:trHeight w:val="54"/>
        </w:trPr>
        <w:tc>
          <w:tcPr>
            <w:tcW w:w="2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24"/>
        </w:trPr>
        <w:tc>
          <w:tcPr>
            <w:tcW w:w="2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70"/>
        </w:trPr>
        <w:tc>
          <w:tcPr>
            <w:tcW w:w="2920" w:type="dxa"/>
            <w:vAlign w:val="bottom"/>
          </w:tcPr>
          <w:p>
            <w:pPr>
              <w:ind w:left="20"/>
              <w:spacing w:after="0"/>
              <w:rPr>
                <w:sz w:val="20"/>
                <w:szCs w:val="20"/>
                <w:color w:val="auto"/>
              </w:rPr>
            </w:pPr>
            <w:r>
              <w:rPr>
                <w:rFonts w:ascii="Arial" w:cs="Arial" w:eastAsia="Arial" w:hAnsi="Arial"/>
                <w:sz w:val="18"/>
                <w:szCs w:val="18"/>
                <w:b w:val="1"/>
                <w:bCs w:val="1"/>
                <w:color w:val="auto"/>
              </w:rPr>
              <w:t>Cash Flow Data:</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54"/>
        </w:trPr>
        <w:tc>
          <w:tcPr>
            <w:tcW w:w="2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6"/>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64"/>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980" w:type="dxa"/>
            <w:vAlign w:val="bottom"/>
            <w:tcBorders>
              <w:bottom w:val="single" w:sz="8" w:color="CCEEFF"/>
            </w:tcBorders>
            <w:gridSpan w:val="2"/>
            <w:shd w:val="clear" w:color="auto" w:fill="CCEEFF"/>
          </w:tcPr>
          <w:p>
            <w:pPr>
              <w:jc w:val="right"/>
              <w:ind w:right="93"/>
              <w:spacing w:after="0"/>
              <w:rPr>
                <w:sz w:val="20"/>
                <w:szCs w:val="20"/>
                <w:color w:val="auto"/>
              </w:rPr>
            </w:pPr>
            <w:r>
              <w:rPr>
                <w:rFonts w:ascii="Arial" w:cs="Arial" w:eastAsia="Arial" w:hAnsi="Arial"/>
                <w:sz w:val="18"/>
                <w:szCs w:val="18"/>
                <w:color w:val="auto"/>
                <w:w w:val="86"/>
              </w:rPr>
              <w:t>$1,011,597</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263,669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198,481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405,674</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773,621</w:t>
            </w:r>
          </w:p>
        </w:tc>
      </w:tr>
      <w:tr>
        <w:trPr>
          <w:trHeight w:val="270"/>
        </w:trPr>
        <w:tc>
          <w:tcPr>
            <w:tcW w:w="29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(33,144)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(66,783)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(99,027)</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(33,767)</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(13,850)</w:t>
            </w:r>
          </w:p>
        </w:tc>
      </w:tr>
      <w:tr>
        <w:trPr>
          <w:trHeight w:val="54"/>
        </w:trPr>
        <w:tc>
          <w:tcPr>
            <w:tcW w:w="2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6"/>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64"/>
        </w:trPr>
        <w:tc>
          <w:tcPr>
            <w:tcW w:w="2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8"/>
              </w:rPr>
              <w:t>(750,234)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3"/>
              </w:rPr>
              <w:t>(123,192)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(54,808)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8"/>
              </w:rPr>
              <w:t>(195,686)</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(25,127)</w:t>
            </w:r>
          </w:p>
        </w:tc>
      </w:tr>
      <w:tr>
        <w:trPr>
          <w:trHeight w:val="270"/>
        </w:trPr>
        <w:tc>
          <w:tcPr>
            <w:tcW w:w="29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(41,269)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62,818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107,905</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(33,767)</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(13,850)</w:t>
            </w:r>
          </w:p>
        </w:tc>
      </w:tr>
      <w:tr>
        <w:trPr>
          <w:trHeight w:val="54"/>
        </w:trPr>
        <w:tc>
          <w:tcPr>
            <w:tcW w:w="2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24"/>
        </w:trPr>
        <w:tc>
          <w:tcPr>
            <w:tcW w:w="2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70"/>
        </w:trPr>
        <w:tc>
          <w:tcPr>
            <w:tcW w:w="2920" w:type="dxa"/>
            <w:vAlign w:val="bottom"/>
          </w:tcPr>
          <w:p>
            <w:pPr>
              <w:ind w:left="20"/>
              <w:spacing w:after="0"/>
              <w:rPr>
                <w:sz w:val="20"/>
                <w:szCs w:val="20"/>
                <w:color w:val="auto"/>
              </w:rPr>
            </w:pPr>
            <w:r>
              <w:rPr>
                <w:rFonts w:ascii="Arial" w:cs="Arial" w:eastAsia="Arial" w:hAnsi="Arial"/>
                <w:sz w:val="18"/>
                <w:szCs w:val="18"/>
                <w:b w:val="1"/>
                <w:bCs w:val="1"/>
                <w:color w:val="auto"/>
              </w:rPr>
              <w:t>Store Data (unaudited):</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54"/>
        </w:trPr>
        <w:tc>
          <w:tcPr>
            <w:tcW w:w="2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04"/>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Comparable sales increase (decrease)</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70"/>
        </w:trPr>
        <w:tc>
          <w:tcPr>
            <w:tcW w:w="2920" w:type="dxa"/>
            <w:vAlign w:val="bottom"/>
          </w:tcPr>
          <w:p>
            <w:pPr>
              <w:ind w:left="20"/>
              <w:spacing w:after="0"/>
              <w:rPr>
                <w:sz w:val="20"/>
                <w:szCs w:val="20"/>
                <w:color w:val="auto"/>
              </w:rPr>
            </w:pPr>
            <w:r>
              <w:rPr>
                <w:rFonts w:ascii="Arial" w:cs="Arial" w:eastAsia="Arial" w:hAnsi="Arial"/>
                <w:sz w:val="18"/>
                <w:szCs w:val="18"/>
                <w:color w:val="auto"/>
              </w:rPr>
              <w:t>Number of stores at end of period</w:t>
            </w:r>
          </w:p>
        </w:tc>
        <w:tc>
          <w:tcPr>
            <w:tcW w:w="100" w:type="dxa"/>
            <w:vAlign w:val="bottom"/>
          </w:tcPr>
          <w:p>
            <w:pPr>
              <w:spacing w:after="0"/>
              <w:rPr>
                <w:sz w:val="23"/>
                <w:szCs w:val="23"/>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259</w:t>
            </w:r>
          </w:p>
        </w:tc>
      </w:tr>
      <w:tr>
        <w:trPr>
          <w:trHeight w:val="54"/>
        </w:trPr>
        <w:tc>
          <w:tcPr>
            <w:tcW w:w="2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24"/>
        </w:trPr>
        <w:tc>
          <w:tcPr>
            <w:tcW w:w="2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70"/>
        </w:trPr>
        <w:tc>
          <w:tcPr>
            <w:tcW w:w="2920" w:type="dxa"/>
            <w:vAlign w:val="bottom"/>
          </w:tcPr>
          <w:p>
            <w:pPr>
              <w:ind w:left="20"/>
              <w:spacing w:after="0"/>
              <w:rPr>
                <w:sz w:val="20"/>
                <w:szCs w:val="20"/>
                <w:color w:val="auto"/>
              </w:rPr>
            </w:pPr>
            <w:r>
              <w:rPr>
                <w:rFonts w:ascii="Arial" w:cs="Arial" w:eastAsia="Arial" w:hAnsi="Arial"/>
                <w:sz w:val="18"/>
                <w:szCs w:val="18"/>
                <w:b w:val="1"/>
                <w:bCs w:val="1"/>
                <w:color w:val="auto"/>
              </w:rPr>
              <w:t>Other Financial Data (unaudited):</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54"/>
        </w:trPr>
        <w:tc>
          <w:tcPr>
            <w:tcW w:w="2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24"/>
        </w:trPr>
        <w:tc>
          <w:tcPr>
            <w:tcW w:w="2920" w:type="dxa"/>
            <w:vAlign w:val="bottom"/>
            <w:shd w:val="clear" w:color="auto" w:fill="CCEEFF"/>
          </w:tcPr>
          <w:p>
            <w:pPr>
              <w:ind w:left="20"/>
              <w:spacing w:after="0" w:line="324"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607,023</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322,814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300,259</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595,409</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282,902</w:t>
            </w:r>
          </w:p>
        </w:tc>
      </w:tr>
      <w:tr>
        <w:trPr>
          <w:trHeight w:val="324"/>
        </w:trPr>
        <w:tc>
          <w:tcPr>
            <w:tcW w:w="2920" w:type="dxa"/>
            <w:vAlign w:val="bottom"/>
          </w:tcPr>
          <w:p>
            <w:pPr>
              <w:ind w:left="20"/>
              <w:spacing w:after="0" w:line="324" w:lineRule="exact"/>
              <w:rPr>
                <w:sz w:val="20"/>
                <w:szCs w:val="20"/>
                <w:color w:val="auto"/>
              </w:rPr>
            </w:pPr>
            <w:r>
              <w:rPr>
                <w:rFonts w:ascii="Arial" w:cs="Arial" w:eastAsia="Arial" w:hAnsi="Arial"/>
                <w:sz w:val="18"/>
                <w:szCs w:val="18"/>
                <w:color w:val="auto"/>
              </w:rPr>
              <w:t>Adjusted Net Income</w:t>
            </w:r>
            <w:r>
              <w:rPr>
                <w:rFonts w:ascii="Arial" w:cs="Arial" w:eastAsia="Arial" w:hAnsi="Arial"/>
                <w:sz w:val="29"/>
                <w:szCs w:val="29"/>
                <w:color w:val="auto"/>
                <w:vertAlign w:val="superscript"/>
              </w:rPr>
              <w:t>(3)</w:t>
            </w:r>
          </w:p>
        </w:tc>
        <w:tc>
          <w:tcPr>
            <w:tcW w:w="100" w:type="dxa"/>
            <w:vAlign w:val="bottom"/>
          </w:tcPr>
          <w:p>
            <w:pPr>
              <w:spacing w:after="0"/>
              <w:rPr>
                <w:sz w:val="24"/>
                <w:szCs w:val="24"/>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384,536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101,469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55,405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407,081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73"/>
              <w:spacing w:after="0"/>
              <w:rPr>
                <w:sz w:val="20"/>
                <w:szCs w:val="20"/>
                <w:color w:val="auto"/>
              </w:rPr>
            </w:pPr>
            <w:r>
              <w:rPr>
                <w:rFonts w:ascii="Arial" w:cs="Arial" w:eastAsia="Arial" w:hAnsi="Arial"/>
                <w:sz w:val="18"/>
                <w:szCs w:val="18"/>
                <w:color w:val="auto"/>
                <w:w w:val="98"/>
              </w:rPr>
              <w:t>179,106</w:t>
            </w:r>
          </w:p>
        </w:tc>
      </w:tr>
      <w:tr>
        <w:trPr>
          <w:trHeight w:val="324"/>
        </w:trPr>
        <w:tc>
          <w:tcPr>
            <w:tcW w:w="2920" w:type="dxa"/>
            <w:vAlign w:val="bottom"/>
            <w:shd w:val="clear" w:color="auto" w:fill="CCEEFF"/>
          </w:tcPr>
          <w:p>
            <w:pPr>
              <w:ind w:left="20"/>
              <w:spacing w:after="0" w:line="324" w:lineRule="exact"/>
              <w:rPr>
                <w:sz w:val="20"/>
                <w:szCs w:val="20"/>
                <w:color w:val="auto"/>
              </w:rPr>
            </w:pPr>
            <w:r>
              <w:rPr>
                <w:rFonts w:ascii="Arial" w:cs="Arial" w:eastAsia="Arial" w:hAnsi="Arial"/>
                <w:sz w:val="18"/>
                <w:szCs w:val="18"/>
                <w:color w:val="auto"/>
              </w:rPr>
              <w:t>Adjusted Free Cash Flow</w:t>
            </w:r>
            <w:r>
              <w:rPr>
                <w:rFonts w:ascii="Arial" w:cs="Arial" w:eastAsia="Arial" w:hAnsi="Arial"/>
                <w:sz w:val="29"/>
                <w:szCs w:val="29"/>
                <w:color w:val="auto"/>
                <w:vertAlign w:val="superscript"/>
              </w:rPr>
              <w:t>(3)</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978,453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196,886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99,454</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371,907</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8"/>
              </w:rPr>
              <w:t>759,771</w:t>
            </w:r>
          </w:p>
        </w:tc>
      </w:tr>
    </w:tbl>
    <w:p>
      <w:pPr>
        <w:spacing w:after="0" w:line="346" w:lineRule="exact"/>
        <w:rPr>
          <w:sz w:val="20"/>
          <w:szCs w:val="20"/>
          <w:color w:val="auto"/>
        </w:rPr>
      </w:pPr>
    </w:p>
    <w:p>
      <w:pPr>
        <w:ind w:left="660" w:right="319" w:hanging="350"/>
        <w:spacing w:after="0" w:line="244" w:lineRule="auto"/>
        <w:tabs>
          <w:tab w:leader="none" w:pos="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 first half 2020 and in 2019, we repurchased principal on our 2015 Term Loan Facility, which was trading at a discount and recognized a gain, net of the write-off of related deferred loan costs. In first half 2020, we repurchased a total of $23.9 million of principal in open market transactions for an aggregate price of $16.0 million and recognized a related net gain of $7.8 million. In 2019, we repurchased a total of $147.7 million of principal in open market transactions for an aggregate purchase price of $104.6 million and recognized a related net gain of $42.3 million. In connection with the Refinancing Transaction, we repaid in full outstanding borrowings under our 2015 Term Loan Facility, in the amount of $1,431.4 million and recognized a non-cash loss on early retirement of debt of $4.2 million from the write-off of deferred loan costs and expenses related to the original issuance discount associated with our 2015 Term Loan Facility. In first half of 2021, we recognized a non-cash loss on early retirement of debt of $2.2 million from the write-off of deferred loan costs and expense related to the original issuance discount associated with our Term Loan Facility.</w:t>
      </w:r>
    </w:p>
    <w:p>
      <w:pPr>
        <w:spacing w:after="0" w:line="22" w:lineRule="exact"/>
        <w:rPr>
          <w:rFonts w:ascii="Arial" w:cs="Arial" w:eastAsia="Arial" w:hAnsi="Arial"/>
          <w:sz w:val="13"/>
          <w:szCs w:val="13"/>
          <w:color w:val="auto"/>
        </w:rPr>
      </w:pPr>
    </w:p>
    <w:p>
      <w:pPr>
        <w:ind w:left="660" w:right="499" w:hanging="350"/>
        <w:spacing w:after="0" w:line="248" w:lineRule="auto"/>
        <w:tabs>
          <w:tab w:leader="none" w:pos="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Effective February 3, 2019, we adopted the New Lease Standard, which requires that lessees recognize assets and liabilities arising from operating leases on the balance sheet. Adoption of the new standard resulted in $1.2 billion in right-of-use assets and a combined</w:t>
      </w:r>
    </w:p>
    <w:p>
      <w:pPr>
        <w:ind w:left="660"/>
        <w:spacing w:after="0"/>
        <w:rPr>
          <w:rFonts w:ascii="Arial" w:cs="Arial" w:eastAsia="Arial" w:hAnsi="Arial"/>
          <w:sz w:val="13"/>
          <w:szCs w:val="13"/>
          <w:color w:val="auto"/>
        </w:rPr>
      </w:pPr>
      <w:r>
        <w:rPr>
          <w:rFonts w:ascii="Arial" w:cs="Arial" w:eastAsia="Arial" w:hAnsi="Arial"/>
          <w:sz w:val="14"/>
          <w:szCs w:val="14"/>
          <w:color w:val="auto"/>
        </w:rPr>
        <w:t>$1.2 billion between current lease liabilities and long-term lease liabilities included on the balance sheet as of February 3, 2019.</w:t>
      </w:r>
    </w:p>
    <w:p>
      <w:pPr>
        <w:spacing w:after="0" w:line="29" w:lineRule="exact"/>
        <w:rPr>
          <w:rFonts w:ascii="Arial" w:cs="Arial" w:eastAsia="Arial" w:hAnsi="Arial"/>
          <w:sz w:val="13"/>
          <w:szCs w:val="13"/>
          <w:color w:val="auto"/>
        </w:rPr>
      </w:pPr>
    </w:p>
    <w:p>
      <w:pPr>
        <w:ind w:left="660" w:right="339" w:hanging="350"/>
        <w:spacing w:after="0" w:line="243" w:lineRule="auto"/>
        <w:tabs>
          <w:tab w:leader="none" w:pos="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We define Adjusted EBITDA as net income before interest expense, net, income tax expense and depreciation, amortization and impairment, further adjusted to exclude consulting fees, Adviser monitoring fees, stock based compensation expense, gain on early extinguishment of debt, net, severance and executive transition costs, costs related to the COVID-19 pandemic, inventory write-down adjustments associated with strategic merchandising initiative, payroll taxes associated with the 2021 Vesting Event and other adjustments. We describe these adjustments reconciling net income to Adjusted EBITDA in the applicable table below. We define Adjusted Net Income as net income, plus consulting fees, Adviser monitoring fees, stock based compensation expense, gain on early extinguishment of debt, net, severance and executive transition costs, costs related to the COVID-19 pandemic, inventory write-down adjustments associated with strategic merchandising initiative, payroll taxes associated with the 2021 Vesting Event and other adjustments, less the tax effect of these adjustments. We describe these adjustments reconciling net income to Adjusted Net Income in the applicable table below. We define Adjusted Free Cash Flow as net cash provided by (used in) operating activities less net cash used in investing activities. We describe these adjustments reconciling net cash provided by operating activities to Adjusted Free Cash Flow in the applicable table below.</w:t>
      </w:r>
    </w:p>
    <w:p>
      <w:pPr>
        <w:spacing w:after="0" w:line="22" w:lineRule="exact"/>
        <w:rPr>
          <w:rFonts w:ascii="Arial" w:cs="Arial" w:eastAsia="Arial" w:hAnsi="Arial"/>
          <w:sz w:val="13"/>
          <w:szCs w:val="13"/>
          <w:color w:val="auto"/>
        </w:rPr>
      </w:pPr>
    </w:p>
    <w:p>
      <w:pPr>
        <w:ind w:left="660" w:right="279"/>
        <w:spacing w:after="0" w:line="244" w:lineRule="auto"/>
        <w:rPr>
          <w:rFonts w:ascii="Arial" w:cs="Arial" w:eastAsia="Arial" w:hAnsi="Arial"/>
          <w:sz w:val="13"/>
          <w:szCs w:val="13"/>
          <w:color w:val="auto"/>
        </w:rPr>
      </w:pPr>
      <w:r>
        <w:rPr>
          <w:rFonts w:ascii="Arial" w:cs="Arial" w:eastAsia="Arial" w:hAnsi="Arial"/>
          <w:sz w:val="13"/>
          <w:szCs w:val="13"/>
          <w:color w:val="auto"/>
        </w:rPr>
        <w:t>Adjusted EBITDA, Adjusted Net Income and Adjusted Free Cash Flow have been presented in this prospectus as supplemental measures of financial performance that are not required by, or presented in accordance with, GAAP. We believe Adjusted EBITDA and Adjusted Net Income assist investors and analysts in comparing our operating performance across reporting periods on a consistent basis by excluding items that we do not believe are indicative of our core operating performance. Management believes Adjusted EBITDA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Net Income and Adjusted Free Cash Flow to supplement GAAP measures of performance in the evaluation of the effectiveness of our business strategies, to make budgeting decisions and to compare our performance against that of other peer companies using similar measures.</w:t>
      </w:r>
    </w:p>
    <w:p>
      <w:pPr>
        <w:sectPr>
          <w:pgSz w:w="11900" w:h="16838" w:orient="portrait"/>
          <w:cols w:equalWidth="0" w:num="1">
            <w:col w:w="9019"/>
          </w:cols>
          <w:pgMar w:left="1440" w:top="265" w:right="1440" w:bottom="939"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939" w:gutter="0" w:footer="0" w:header="0"/>
          <w:type w:val="continuous"/>
        </w:sectPr>
      </w:pPr>
    </w:p>
    <w:bookmarkStart w:id="22" w:name="page23"/>
    <w:bookmarkEnd w:id="22"/>
    <w:p>
      <w:pPr>
        <w:ind w:left="10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90170</wp:posOffset>
            </wp:positionV>
            <wp:extent cx="5653405" cy="74364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3405" cy="743648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660" w:right="1320"/>
        <w:spacing w:after="0" w:line="243" w:lineRule="auto"/>
        <w:rPr>
          <w:sz w:val="20"/>
          <w:szCs w:val="20"/>
          <w:color w:val="auto"/>
        </w:rPr>
      </w:pPr>
      <w:r>
        <w:rPr>
          <w:rFonts w:ascii="Arial" w:cs="Arial" w:eastAsia="Arial" w:hAnsi="Arial"/>
          <w:sz w:val="13"/>
          <w:szCs w:val="13"/>
          <w:color w:val="auto"/>
        </w:rPr>
        <w:t>Management supplements GAAP results with non-GAAP financial measures to provide a more complete understanding of the factors and trends affecting the business than GAAP results alone. Adjusted EBITDA, Adjusted Net Income and Adjusted Free Cash Flow are not recognized terms under GAAP and should not be considered as an alternative to net income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Net Income should not be construed to imply that our future results will be unaffected by unusual or non-recurring items. In evaluating Adjusted EBITDA, Adjusted Net Income and Adjusted Free Cash Flow, you should be aware that in the future we may incur expenses that are the same as or similar to some of the adjustments in this presentation. Our presentation of Adjusted EBITDA, Adjusted Net Income and Adjusted Free Cash Flow should not be construed to imply that our future results will be unaffected by any such adjustments. Management compensates for these limitations by primarily relying on our GAAP results in addition to using Adjusted EBITDA, Adjusted Net Income and Adjusted Free Cash Flow supplementally.</w:t>
      </w:r>
    </w:p>
    <w:p>
      <w:pPr>
        <w:spacing w:after="0" w:line="20" w:lineRule="exact"/>
        <w:rPr>
          <w:sz w:val="20"/>
          <w:szCs w:val="20"/>
          <w:color w:val="auto"/>
        </w:rPr>
      </w:pPr>
    </w:p>
    <w:p>
      <w:pPr>
        <w:ind w:left="1660" w:right="1420"/>
        <w:spacing w:after="0" w:line="281" w:lineRule="auto"/>
        <w:rPr>
          <w:sz w:val="20"/>
          <w:szCs w:val="20"/>
          <w:color w:val="auto"/>
        </w:rPr>
      </w:pPr>
      <w:r>
        <w:rPr>
          <w:rFonts w:ascii="Arial" w:cs="Arial" w:eastAsia="Arial" w:hAnsi="Arial"/>
          <w:sz w:val="13"/>
          <w:szCs w:val="13"/>
          <w:color w:val="auto"/>
        </w:rPr>
        <w:t>Our Adjusted EBITDA, Adjusted Net Income and Adjusted Free Cash Flow measures have limitations as analytical tools, and you should not consider them in isolation, or as a substitute for analysis of our results as reported under GAAP. Some of these limitations are:</w:t>
      </w:r>
    </w:p>
    <w:p>
      <w:pPr>
        <w:spacing w:after="0" w:line="1" w:lineRule="exact"/>
        <w:rPr>
          <w:sz w:val="20"/>
          <w:szCs w:val="20"/>
          <w:color w:val="auto"/>
        </w:rPr>
      </w:pPr>
    </w:p>
    <w:p>
      <w:pPr>
        <w:ind w:left="2020" w:hanging="350"/>
        <w:spacing w:after="0"/>
        <w:tabs>
          <w:tab w:leader="none" w:pos="20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Adjusted EBITDA and Adjusted Net Income do not reflect costs or cash outlays for capital expenditures or contractual commitments;</w:t>
      </w:r>
    </w:p>
    <w:p>
      <w:pPr>
        <w:spacing w:after="0" w:line="41" w:lineRule="exact"/>
        <w:rPr>
          <w:rFonts w:ascii="Arial" w:cs="Arial" w:eastAsia="Arial" w:hAnsi="Arial"/>
          <w:sz w:val="14"/>
          <w:szCs w:val="14"/>
          <w:color w:val="auto"/>
        </w:rPr>
      </w:pPr>
    </w:p>
    <w:p>
      <w:pPr>
        <w:ind w:left="2020" w:hanging="350"/>
        <w:spacing w:after="0"/>
        <w:tabs>
          <w:tab w:leader="none" w:pos="20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Adjusted EBITDA and Adjusted Net Income do not reflect changes in, or cash requirements for, our working capital needs;</w:t>
      </w:r>
    </w:p>
    <w:p>
      <w:pPr>
        <w:spacing w:after="0" w:line="41" w:lineRule="exact"/>
        <w:rPr>
          <w:rFonts w:ascii="Arial" w:cs="Arial" w:eastAsia="Arial" w:hAnsi="Arial"/>
          <w:sz w:val="14"/>
          <w:szCs w:val="14"/>
          <w:color w:val="auto"/>
        </w:rPr>
      </w:pPr>
    </w:p>
    <w:p>
      <w:pPr>
        <w:ind w:left="2020" w:right="1300" w:hanging="350"/>
        <w:spacing w:after="0" w:line="305" w:lineRule="auto"/>
        <w:tabs>
          <w:tab w:leader="none" w:pos="20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Adjusted EBITDA does not reflect the interest expense, or the cash requirements necessary to service interest or principal payments, on our debt, and Adjusted Free Cash Flow does not reflect the cash requirements necessary to service principal payments on our debt;</w:t>
      </w:r>
    </w:p>
    <w:p>
      <w:pPr>
        <w:ind w:left="2020" w:hanging="350"/>
        <w:spacing w:after="0"/>
        <w:tabs>
          <w:tab w:leader="none" w:pos="20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Adjusted EBITDA does not reflect period to period changes in taxes, income tax expense or the cash necessary to pay income taxes;</w:t>
      </w:r>
    </w:p>
    <w:p>
      <w:pPr>
        <w:spacing w:after="0" w:line="41" w:lineRule="exact"/>
        <w:rPr>
          <w:rFonts w:ascii="Arial" w:cs="Arial" w:eastAsia="Arial" w:hAnsi="Arial"/>
          <w:sz w:val="14"/>
          <w:szCs w:val="14"/>
          <w:color w:val="auto"/>
        </w:rPr>
      </w:pPr>
    </w:p>
    <w:p>
      <w:pPr>
        <w:ind w:left="2020" w:right="1400" w:hanging="350"/>
        <w:spacing w:after="0" w:line="253" w:lineRule="auto"/>
        <w:tabs>
          <w:tab w:leader="none" w:pos="20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Adjusted EBITDA and Adjusted Net Income do not reflect the impact of earnings or charges resulting from matters we consider not to be indicative of our ongoing operations;</w:t>
      </w:r>
    </w:p>
    <w:p>
      <w:pPr>
        <w:spacing w:after="0" w:line="11" w:lineRule="exact"/>
        <w:rPr>
          <w:rFonts w:ascii="Arial" w:cs="Arial" w:eastAsia="Arial" w:hAnsi="Arial"/>
          <w:sz w:val="14"/>
          <w:szCs w:val="14"/>
          <w:color w:val="auto"/>
        </w:rPr>
      </w:pPr>
    </w:p>
    <w:p>
      <w:pPr>
        <w:ind w:left="2020" w:right="1400" w:hanging="350"/>
        <w:spacing w:after="0" w:line="238" w:lineRule="auto"/>
        <w:tabs>
          <w:tab w:leader="none" w:pos="20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spacing w:after="0" w:line="20" w:lineRule="exact"/>
        <w:rPr>
          <w:rFonts w:ascii="Arial" w:cs="Arial" w:eastAsia="Arial" w:hAnsi="Arial"/>
          <w:sz w:val="14"/>
          <w:szCs w:val="14"/>
          <w:color w:val="auto"/>
        </w:rPr>
      </w:pPr>
    </w:p>
    <w:p>
      <w:pPr>
        <w:ind w:left="2020" w:right="1760" w:hanging="350"/>
        <w:spacing w:after="0" w:line="253" w:lineRule="auto"/>
        <w:tabs>
          <w:tab w:leader="none" w:pos="20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other companies in our industry may calculate these measures differently than we do, limiting their usefulness as comparative measures.</w:t>
      </w:r>
    </w:p>
    <w:p>
      <w:pPr>
        <w:spacing w:after="0" w:line="12" w:lineRule="exact"/>
        <w:rPr>
          <w:sz w:val="20"/>
          <w:szCs w:val="20"/>
          <w:color w:val="auto"/>
        </w:rPr>
      </w:pPr>
    </w:p>
    <w:p>
      <w:pPr>
        <w:ind w:left="1660" w:right="1340"/>
        <w:spacing w:after="0" w:line="253" w:lineRule="auto"/>
        <w:rPr>
          <w:sz w:val="20"/>
          <w:szCs w:val="20"/>
          <w:color w:val="auto"/>
        </w:rPr>
      </w:pPr>
      <w:r>
        <w:rPr>
          <w:rFonts w:ascii="Arial" w:cs="Arial" w:eastAsia="Arial" w:hAnsi="Arial"/>
          <w:sz w:val="14"/>
          <w:szCs w:val="14"/>
          <w:color w:val="auto"/>
        </w:rPr>
        <w:t>Because of these limitations, Adjusted EBITDA, Adjusted Net Income and Adjusted Free Cash Flow should not be considered as measures of discretionary cash available to invest in business growth or to reduce indebtedness.</w:t>
      </w:r>
    </w:p>
    <w:p>
      <w:pPr>
        <w:spacing w:after="0" w:line="70" w:lineRule="exact"/>
        <w:rPr>
          <w:sz w:val="20"/>
          <w:szCs w:val="20"/>
          <w:color w:val="auto"/>
        </w:rPr>
      </w:pPr>
    </w:p>
    <w:p>
      <w:pPr>
        <w:ind w:left="1320" w:right="1400" w:firstLine="360"/>
        <w:spacing w:after="0" w:line="277" w:lineRule="auto"/>
        <w:rPr>
          <w:sz w:val="20"/>
          <w:szCs w:val="20"/>
          <w:color w:val="auto"/>
        </w:rPr>
      </w:pPr>
      <w:r>
        <w:rPr>
          <w:rFonts w:ascii="Arial" w:cs="Arial" w:eastAsia="Arial" w:hAnsi="Arial"/>
          <w:sz w:val="18"/>
          <w:szCs w:val="18"/>
          <w:color w:val="auto"/>
        </w:rPr>
        <w:t>The following tables provide reconciliations of net income to Adjusted EBITDA and Adjusted Net Income for the periods presented: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4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80" w:type="dxa"/>
            <w:vAlign w:val="bottom"/>
            <w:gridSpan w:val="6"/>
          </w:tcPr>
          <w:p>
            <w:pPr>
              <w:spacing w:after="0"/>
              <w:rPr>
                <w:sz w:val="20"/>
                <w:szCs w:val="20"/>
                <w:color w:val="auto"/>
              </w:rPr>
            </w:pPr>
            <w:r>
              <w:rPr>
                <w:rFonts w:ascii="Arial" w:cs="Arial" w:eastAsia="Arial" w:hAnsi="Arial"/>
                <w:sz w:val="14"/>
                <w:szCs w:val="14"/>
                <w:b w:val="1"/>
                <w:bCs w:val="1"/>
                <w:color w:val="auto"/>
              </w:rPr>
              <w:t>Twenty-Six Weeks Ended</w:t>
            </w:r>
          </w:p>
        </w:tc>
      </w:tr>
      <w:tr>
        <w:trPr>
          <w:trHeight w:val="53"/>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300" w:type="dxa"/>
            <w:vAlign w:val="bottom"/>
            <w:gridSpan w:val="2"/>
          </w:tcPr>
          <w:p>
            <w:pPr>
              <w:spacing w:after="0"/>
              <w:rPr>
                <w:sz w:val="4"/>
                <w:szCs w:val="4"/>
                <w:color w:val="auto"/>
              </w:rPr>
            </w:pPr>
          </w:p>
        </w:tc>
      </w:tr>
      <w:tr>
        <w:trPr>
          <w:trHeight w:val="187"/>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January 30,</w:t>
            </w:r>
          </w:p>
        </w:tc>
        <w:tc>
          <w:tcPr>
            <w:tcW w:w="9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5"/>
              </w:rPr>
              <w:t>February 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February 2,</w:t>
            </w:r>
          </w:p>
        </w:tc>
        <w:tc>
          <w:tcPr>
            <w:tcW w:w="4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31,</w:t>
            </w:r>
          </w:p>
        </w:tc>
        <w:tc>
          <w:tcPr>
            <w:tcW w:w="20" w:type="dxa"/>
            <w:vAlign w:val="bottom"/>
          </w:tcPr>
          <w:p>
            <w:pPr>
              <w:spacing w:after="0"/>
              <w:rPr>
                <w:sz w:val="16"/>
                <w:szCs w:val="16"/>
                <w:color w:val="auto"/>
              </w:rPr>
            </w:pPr>
          </w:p>
        </w:tc>
        <w:tc>
          <w:tcPr>
            <w:tcW w:w="2020" w:type="dxa"/>
            <w:vAlign w:val="bottom"/>
            <w:gridSpan w:val="3"/>
          </w:tcPr>
          <w:p>
            <w:pPr>
              <w:ind w:left="40"/>
              <w:spacing w:after="0"/>
              <w:rPr>
                <w:sz w:val="20"/>
                <w:szCs w:val="20"/>
                <w:color w:val="auto"/>
              </w:rPr>
            </w:pPr>
            <w:r>
              <w:rPr>
                <w:rFonts w:ascii="Arial" w:cs="Arial" w:eastAsia="Arial" w:hAnsi="Arial"/>
                <w:sz w:val="14"/>
                <w:szCs w:val="14"/>
                <w:b w:val="1"/>
                <w:bCs w:val="1"/>
                <w:color w:val="auto"/>
              </w:rPr>
              <w:t>August 1,</w:t>
            </w:r>
          </w:p>
        </w:tc>
      </w:t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7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center"/>
              <w:ind w:left="13"/>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c>
          <w:tcPr>
            <w:tcW w:w="720" w:type="dxa"/>
            <w:vAlign w:val="bottom"/>
            <w:gridSpan w:val="2"/>
          </w:tcPr>
          <w:p>
            <w:pPr>
              <w:jc w:val="right"/>
              <w:ind w:right="13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740" w:type="dxa"/>
            <w:vAlign w:val="bottom"/>
            <w:gridSpan w:val="2"/>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52"/>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98"/>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 thousands)</w:t>
            </w:r>
          </w:p>
        </w:tc>
        <w:tc>
          <w:tcPr>
            <w:tcW w:w="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right w:val="single" w:sz="8" w:color="CCEEFF"/>
            </w:tcBorders>
            <w:shd w:val="clear" w:color="auto" w:fill="CCEEFF"/>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$308,764</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3"/>
              </w:rPr>
              <w:t>$120,043</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6"/>
              </w:rPr>
              <w:t>$ 21,442</w:t>
            </w:r>
          </w:p>
        </w:tc>
        <w:tc>
          <w:tcPr>
            <w:tcW w:w="16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$368,306</w:t>
            </w:r>
          </w:p>
        </w:tc>
        <w:tc>
          <w:tcPr>
            <w:tcW w:w="16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7"/>
              </w:rPr>
              <w:t>$157,656</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54"/>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86,514</w:t>
            </w: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101,307</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108,652</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26,706</w:t>
            </w: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48,088</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30,356</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2,817</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1,951</w:t>
            </w:r>
          </w:p>
        </w:tc>
        <w:tc>
          <w:tcPr>
            <w:tcW w:w="16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97,513</w:t>
            </w:r>
          </w:p>
        </w:tc>
        <w:tc>
          <w:tcPr>
            <w:tcW w:w="16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1,518</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54"/>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amortization and impairment</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105,481</w:t>
            </w: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117,254</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134,190</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51,308</w:t>
            </w: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54,151</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2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60" w:type="dxa"/>
            <w:vAlign w:val="bottom"/>
          </w:tcPr>
          <w:p>
            <w:pPr>
              <w:ind w:left="20"/>
              <w:spacing w:after="0" w:line="324" w:lineRule="exact"/>
              <w:rPr>
                <w:sz w:val="20"/>
                <w:szCs w:val="20"/>
                <w:color w:val="auto"/>
              </w:rPr>
            </w:pPr>
            <w:r>
              <w:rPr>
                <w:rFonts w:ascii="Arial" w:cs="Arial" w:eastAsia="Arial" w:hAnsi="Arial"/>
                <w:sz w:val="18"/>
                <w:szCs w:val="18"/>
                <w:color w:val="auto"/>
              </w:rPr>
              <w:t>Consulting fees</w:t>
            </w:r>
            <w:r>
              <w:rPr>
                <w:rFonts w:ascii="Arial" w:cs="Arial" w:eastAsia="Arial" w:hAnsi="Arial"/>
                <w:sz w:val="29"/>
                <w:szCs w:val="29"/>
                <w:color w:val="auto"/>
                <w:vertAlign w:val="superscript"/>
              </w:rPr>
              <w:t>(a)</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285</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3,601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949</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2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60" w:type="dxa"/>
            <w:vAlign w:val="bottom"/>
            <w:shd w:val="clear" w:color="auto" w:fill="CCEEFF"/>
          </w:tcPr>
          <w:p>
            <w:pPr>
              <w:ind w:left="20"/>
              <w:spacing w:after="0" w:line="324" w:lineRule="exact"/>
              <w:rPr>
                <w:sz w:val="20"/>
                <w:szCs w:val="20"/>
                <w:color w:val="auto"/>
              </w:rPr>
            </w:pPr>
            <w:r>
              <w:rPr>
                <w:rFonts w:ascii="Arial" w:cs="Arial" w:eastAsia="Arial" w:hAnsi="Arial"/>
                <w:sz w:val="18"/>
                <w:szCs w:val="18"/>
                <w:color w:val="auto"/>
              </w:rPr>
              <w:t>Adviser monitoring fee</w:t>
            </w:r>
            <w:r>
              <w:rPr>
                <w:rFonts w:ascii="Arial" w:cs="Arial" w:eastAsia="Arial" w:hAnsi="Arial"/>
                <w:sz w:val="29"/>
                <w:szCs w:val="29"/>
                <w:color w:val="auto"/>
                <w:vertAlign w:val="superscript"/>
              </w:rPr>
              <w:t>(b)</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14,793</w:t>
            </w: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2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60" w:type="dxa"/>
            <w:vAlign w:val="bottom"/>
          </w:tcPr>
          <w:p>
            <w:pPr>
              <w:ind w:left="20"/>
              <w:spacing w:after="0" w:line="324" w:lineRule="exact"/>
              <w:rPr>
                <w:sz w:val="20"/>
                <w:szCs w:val="20"/>
                <w:color w:val="auto"/>
              </w:rPr>
            </w:pPr>
            <w:r>
              <w:rPr>
                <w:rFonts w:ascii="Arial" w:cs="Arial" w:eastAsia="Arial" w:hAnsi="Arial"/>
                <w:sz w:val="18"/>
                <w:szCs w:val="18"/>
                <w:color w:val="auto"/>
              </w:rPr>
              <w:t>Equity compensation</w:t>
            </w:r>
            <w:r>
              <w:rPr>
                <w:rFonts w:ascii="Arial" w:cs="Arial" w:eastAsia="Arial" w:hAnsi="Arial"/>
                <w:sz w:val="29"/>
                <w:szCs w:val="29"/>
                <w:color w:val="auto"/>
                <w:vertAlign w:val="superscript"/>
              </w:rPr>
              <w:t>(c)</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31,617</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7,881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4,633</w:t>
            </w:r>
          </w:p>
        </w:tc>
        <w:tc>
          <w:tcPr>
            <w:tcW w:w="16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33,205</w:t>
            </w:r>
          </w:p>
        </w:tc>
        <w:tc>
          <w:tcPr>
            <w:tcW w:w="16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3,690</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loss on early extinguishment of debt, net</w:t>
            </w: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(42,265)</w:t>
            </w:r>
          </w:p>
        </w:tc>
        <w:tc>
          <w:tcPr>
            <w:tcW w:w="1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(7,831)</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2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60" w:type="dxa"/>
            <w:vAlign w:val="bottom"/>
          </w:tcPr>
          <w:p>
            <w:pPr>
              <w:ind w:left="20"/>
              <w:spacing w:after="0" w:line="324" w:lineRule="exact"/>
              <w:rPr>
                <w:sz w:val="20"/>
                <w:szCs w:val="20"/>
                <w:color w:val="auto"/>
              </w:rPr>
            </w:pPr>
            <w:r>
              <w:rPr>
                <w:rFonts w:ascii="Arial" w:cs="Arial" w:eastAsia="Arial" w:hAnsi="Arial"/>
                <w:sz w:val="18"/>
                <w:szCs w:val="18"/>
                <w:color w:val="auto"/>
              </w:rPr>
              <w:t>Severance and executive transition costs</w:t>
            </w:r>
            <w:r>
              <w:rPr>
                <w:rFonts w:ascii="Arial" w:cs="Arial" w:eastAsia="Arial" w:hAnsi="Arial"/>
                <w:sz w:val="29"/>
                <w:szCs w:val="29"/>
                <w:color w:val="auto"/>
                <w:vertAlign w:val="superscript"/>
              </w:rPr>
              <w:t>(d)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6,571</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1,429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4,350</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4,137</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2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60" w:type="dxa"/>
            <w:vAlign w:val="bottom"/>
            <w:shd w:val="clear" w:color="auto" w:fill="CCEEFF"/>
          </w:tcPr>
          <w:p>
            <w:pPr>
              <w:ind w:left="20"/>
              <w:spacing w:after="0" w:line="324" w:lineRule="exact"/>
              <w:rPr>
                <w:sz w:val="20"/>
                <w:szCs w:val="20"/>
                <w:color w:val="auto"/>
              </w:rPr>
            </w:pPr>
            <w:r>
              <w:rPr>
                <w:rFonts w:ascii="Arial" w:cs="Arial" w:eastAsia="Arial" w:hAnsi="Arial"/>
                <w:sz w:val="18"/>
                <w:szCs w:val="18"/>
                <w:color w:val="auto"/>
              </w:rPr>
              <w:t>Costs related to the COVID-19 pandemic</w:t>
            </w:r>
            <w:r>
              <w:rPr>
                <w:rFonts w:ascii="Arial" w:cs="Arial" w:eastAsia="Arial" w:hAnsi="Arial"/>
                <w:sz w:val="29"/>
                <w:szCs w:val="29"/>
                <w:color w:val="auto"/>
                <w:vertAlign w:val="superscript"/>
              </w:rPr>
              <w:t>(e)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17,632</w:t>
            </w: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17,632</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6"/>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Inventory write-down adjustments associated with</w:t>
            </w: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9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60" w:type="dxa"/>
            <w:vAlign w:val="bottom"/>
          </w:tcPr>
          <w:p>
            <w:pPr>
              <w:ind w:left="180"/>
              <w:spacing w:after="0" w:line="294" w:lineRule="exact"/>
              <w:rPr>
                <w:sz w:val="20"/>
                <w:szCs w:val="20"/>
                <w:color w:val="auto"/>
              </w:rPr>
            </w:pPr>
            <w:r>
              <w:rPr>
                <w:rFonts w:ascii="Arial" w:cs="Arial" w:eastAsia="Arial" w:hAnsi="Arial"/>
                <w:sz w:val="18"/>
                <w:szCs w:val="18"/>
                <w:color w:val="auto"/>
              </w:rPr>
              <w:t>strategic merchandising initiative</w:t>
            </w:r>
            <w:r>
              <w:rPr>
                <w:rFonts w:ascii="Arial" w:cs="Arial" w:eastAsia="Arial" w:hAnsi="Arial"/>
                <w:sz w:val="29"/>
                <w:szCs w:val="29"/>
                <w:color w:val="auto"/>
                <w:vertAlign w:val="superscript"/>
              </w:rPr>
              <w:t>(f)</w:t>
            </w:r>
          </w:p>
        </w:tc>
        <w:tc>
          <w:tcPr>
            <w:tcW w:w="40" w:type="dxa"/>
            <w:vAlign w:val="bottom"/>
          </w:tcPr>
          <w:p>
            <w:pPr>
              <w:spacing w:after="0"/>
              <w:rPr>
                <w:sz w:val="24"/>
                <w:szCs w:val="24"/>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18,225</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020" w:type="dxa"/>
            <w:vAlign w:val="bottom"/>
            <w:gridSpan w:val="3"/>
          </w:tcPr>
          <w:p>
            <w:pPr>
              <w:jc w:val="right"/>
              <w:ind w:right="1360"/>
              <w:spacing w:after="0"/>
              <w:rPr>
                <w:sz w:val="20"/>
                <w:szCs w:val="20"/>
                <w:color w:val="auto"/>
              </w:rPr>
            </w:pPr>
            <w:r>
              <w:rPr>
                <w:rFonts w:ascii="Arial" w:cs="Arial" w:eastAsia="Arial" w:hAnsi="Arial"/>
                <w:sz w:val="18"/>
                <w:szCs w:val="18"/>
                <w:color w:val="auto"/>
              </w:rPr>
              <w:t>—</w:t>
            </w: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Payroll taxes associated with the 2021 Vesting Event</w:t>
            </w:r>
          </w:p>
        </w:tc>
        <w:tc>
          <w:tcPr>
            <w:tcW w:w="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15,418</w:t>
            </w: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spacing w:after="0"/>
              <w:rPr>
                <w:sz w:val="24"/>
                <w:szCs w:val="24"/>
                <w:color w:val="auto"/>
              </w:rPr>
            </w:pPr>
          </w:p>
        </w:tc>
      </w:tr>
      <w:tr>
        <w:trPr>
          <w:trHeight w:val="257"/>
        </w:trPr>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60" w:type="dxa"/>
            <w:vAlign w:val="bottom"/>
          </w:tcPr>
          <w:p>
            <w:pPr>
              <w:ind w:left="20"/>
              <w:spacing w:after="0" w:line="256"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(g)</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8,592</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7,111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2,345</w:t>
            </w:r>
          </w:p>
        </w:tc>
        <w:tc>
          <w:tcPr>
            <w:tcW w:w="16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714</w:t>
            </w:r>
          </w:p>
        </w:tc>
        <w:tc>
          <w:tcPr>
            <w:tcW w:w="16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1,929</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61"/>
        </w:trPr>
        <w:tc>
          <w:tcPr>
            <w:tcW w:w="1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6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318"/>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Adjusted EBITDA</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607,023</w:t>
            </w: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322,814</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300,259</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595,409</w:t>
            </w:r>
          </w:p>
        </w:tc>
        <w:tc>
          <w:tcPr>
            <w:tcW w:w="160" w:type="dxa"/>
            <w:vAlign w:val="bottom"/>
            <w:shd w:val="clear" w:color="auto" w:fill="CCEEFF"/>
          </w:tcPr>
          <w:p>
            <w:pPr>
              <w:spacing w:after="0"/>
              <w:rPr>
                <w:sz w:val="24"/>
                <w:szCs w:val="24"/>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282,902</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3"/>
        </w:trPr>
        <w:tc>
          <w:tcPr>
            <w:tcW w:w="1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6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CCEEFF"/>
              <w:bottom w:val="single" w:sz="8" w:color="auto"/>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720" w:type="dxa"/>
            <w:vAlign w:val="bottom"/>
            <w:gridSpan w:val="2"/>
          </w:tcPr>
          <w:p>
            <w:pPr>
              <w:jc w:val="right"/>
              <w:ind w:right="39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6"/>
        </w:trPr>
        <w:tc>
          <w:tcPr>
            <w:tcW w:w="10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5" w:right="439" w:bottom="1440" w:gutter="0" w:footer="0" w:header="0"/>
        </w:sectPr>
      </w:pPr>
    </w:p>
    <w:bookmarkStart w:id="23" w:name="page24"/>
    <w:bookmarkEnd w:id="23"/>
    <w:p>
      <w:pPr>
        <w:ind w:left="10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90170</wp:posOffset>
            </wp:positionV>
            <wp:extent cx="5653405" cy="79248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3405" cy="792480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3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60" w:type="dxa"/>
            <w:vAlign w:val="bottom"/>
            <w:gridSpan w:val="7"/>
          </w:tcPr>
          <w:p>
            <w:pPr>
              <w:jc w:val="right"/>
              <w:ind w:right="60"/>
              <w:spacing w:after="0"/>
              <w:rPr>
                <w:sz w:val="20"/>
                <w:szCs w:val="20"/>
                <w:color w:val="auto"/>
              </w:rPr>
            </w:pPr>
            <w:r>
              <w:rPr>
                <w:rFonts w:ascii="Arial" w:cs="Arial" w:eastAsia="Arial" w:hAnsi="Arial"/>
                <w:sz w:val="14"/>
                <w:szCs w:val="14"/>
                <w:b w:val="1"/>
                <w:bCs w:val="1"/>
                <w:color w:val="auto"/>
                <w:w w:val="93"/>
              </w:rPr>
              <w:t>Twenty-Six Weeks Ended</w:t>
            </w:r>
          </w:p>
        </w:tc>
      </w:tr>
      <w:tr>
        <w:trPr>
          <w:trHeight w:val="53"/>
        </w:trPr>
        <w:tc>
          <w:tcPr>
            <w:tcW w:w="398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187"/>
        </w:trPr>
        <w:tc>
          <w:tcPr>
            <w:tcW w:w="3980" w:type="dxa"/>
            <w:vAlign w:val="bottom"/>
          </w:tcPr>
          <w:p>
            <w:pPr>
              <w:spacing w:after="0"/>
              <w:rPr>
                <w:sz w:val="16"/>
                <w:szCs w:val="16"/>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January 30,</w:t>
            </w:r>
          </w:p>
        </w:tc>
        <w:tc>
          <w:tcPr>
            <w:tcW w:w="9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5"/>
              </w:rPr>
              <w:t>February 1,</w:t>
            </w: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February 2,</w:t>
            </w:r>
          </w:p>
        </w:tc>
        <w:tc>
          <w:tcPr>
            <w:tcW w:w="40" w:type="dxa"/>
            <w:vAlign w:val="bottom"/>
          </w:tcPr>
          <w:p>
            <w:pPr>
              <w:spacing w:after="0"/>
              <w:rPr>
                <w:sz w:val="16"/>
                <w:szCs w:val="16"/>
                <w:color w:val="auto"/>
              </w:rPr>
            </w:pPr>
          </w:p>
        </w:tc>
        <w:tc>
          <w:tcPr>
            <w:tcW w:w="900" w:type="dxa"/>
            <w:vAlign w:val="bottom"/>
            <w:gridSpan w:val="3"/>
          </w:tcPr>
          <w:p>
            <w:pPr>
              <w:ind w:left="100"/>
              <w:spacing w:after="0"/>
              <w:rPr>
                <w:sz w:val="20"/>
                <w:szCs w:val="20"/>
                <w:color w:val="auto"/>
              </w:rPr>
            </w:pPr>
            <w:r>
              <w:rPr>
                <w:rFonts w:ascii="Arial" w:cs="Arial" w:eastAsia="Arial" w:hAnsi="Arial"/>
                <w:sz w:val="14"/>
                <w:szCs w:val="14"/>
                <w:b w:val="1"/>
                <w:bCs w:val="1"/>
                <w:color w:val="auto"/>
              </w:rPr>
              <w:t>July 31,</w:t>
            </w:r>
          </w:p>
        </w:tc>
        <w:tc>
          <w:tcPr>
            <w:tcW w:w="40" w:type="dxa"/>
            <w:vAlign w:val="bottom"/>
          </w:tcPr>
          <w:p>
            <w:pPr>
              <w:spacing w:after="0"/>
              <w:rPr>
                <w:sz w:val="16"/>
                <w:szCs w:val="16"/>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August 1,</w:t>
            </w:r>
          </w:p>
        </w:tc>
      </w:tr>
      <w:tr>
        <w:trPr>
          <w:trHeight w:val="186"/>
        </w:trPr>
        <w:tc>
          <w:tcPr>
            <w:tcW w:w="3980" w:type="dxa"/>
            <w:vAlign w:val="bottom"/>
          </w:tcPr>
          <w:p>
            <w:pPr>
              <w:spacing w:after="0"/>
              <w:rPr>
                <w:sz w:val="16"/>
                <w:szCs w:val="16"/>
                <w:color w:val="auto"/>
              </w:rPr>
            </w:pPr>
          </w:p>
        </w:tc>
        <w:tc>
          <w:tcPr>
            <w:tcW w:w="7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center"/>
              <w:ind w:left="13"/>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right"/>
              <w:ind w:right="95"/>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53"/>
        </w:trPr>
        <w:tc>
          <w:tcPr>
            <w:tcW w:w="398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298"/>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 thousands, except per share data)</w:t>
            </w:r>
          </w:p>
        </w:tc>
        <w:tc>
          <w:tcPr>
            <w:tcW w:w="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r>
      <w:tr>
        <w:trPr>
          <w:trHeight w:val="270"/>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0"/>
              </w:rPr>
              <w:t>$308,764</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3"/>
              </w:rPr>
              <w:t>$120,043</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$21,442</w:t>
            </w:r>
          </w:p>
        </w:tc>
        <w:tc>
          <w:tcPr>
            <w:tcW w:w="16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3"/>
              </w:rPr>
              <w:t>$368,306</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3"/>
              </w:rPr>
              <w:t>$157,656</w:t>
            </w:r>
          </w:p>
        </w:tc>
        <w:tc>
          <w:tcPr>
            <w:tcW w:w="40" w:type="dxa"/>
            <w:vAlign w:val="bottom"/>
          </w:tcPr>
          <w:p>
            <w:pPr>
              <w:spacing w:after="0"/>
              <w:rPr>
                <w:sz w:val="23"/>
                <w:szCs w:val="23"/>
                <w:color w:val="auto"/>
              </w:rPr>
            </w:pPr>
          </w:p>
        </w:tc>
      </w:tr>
      <w:tr>
        <w:trPr>
          <w:trHeight w:val="54"/>
        </w:trPr>
        <w:tc>
          <w:tcPr>
            <w:tcW w:w="39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324"/>
        </w:trPr>
        <w:tc>
          <w:tcPr>
            <w:tcW w:w="3980" w:type="dxa"/>
            <w:vAlign w:val="bottom"/>
            <w:shd w:val="clear" w:color="auto" w:fill="CCEEFF"/>
          </w:tcPr>
          <w:p>
            <w:pPr>
              <w:ind w:left="20"/>
              <w:spacing w:after="0" w:line="324" w:lineRule="exact"/>
              <w:rPr>
                <w:sz w:val="20"/>
                <w:szCs w:val="20"/>
                <w:color w:val="auto"/>
              </w:rPr>
            </w:pPr>
            <w:r>
              <w:rPr>
                <w:rFonts w:ascii="Arial" w:cs="Arial" w:eastAsia="Arial" w:hAnsi="Arial"/>
                <w:sz w:val="18"/>
                <w:szCs w:val="18"/>
                <w:color w:val="auto"/>
              </w:rPr>
              <w:t>Consulting fees</w:t>
            </w:r>
            <w:r>
              <w:rPr>
                <w:rFonts w:ascii="Arial" w:cs="Arial" w:eastAsia="Arial" w:hAnsi="Arial"/>
                <w:sz w:val="29"/>
                <w:szCs w:val="29"/>
                <w:color w:val="auto"/>
                <w:vertAlign w:val="superscript"/>
              </w:rPr>
              <w:t>(a)</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949</w:t>
            </w: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40" w:type="dxa"/>
            <w:vAlign w:val="bottom"/>
            <w:shd w:val="clear" w:color="auto" w:fill="CCEEFF"/>
          </w:tcPr>
          <w:p>
            <w:pPr>
              <w:spacing w:after="0"/>
              <w:rPr>
                <w:sz w:val="24"/>
                <w:szCs w:val="24"/>
                <w:color w:val="auto"/>
              </w:rPr>
            </w:pPr>
          </w:p>
        </w:tc>
      </w:tr>
      <w:tr>
        <w:trPr>
          <w:trHeight w:val="324"/>
        </w:trPr>
        <w:tc>
          <w:tcPr>
            <w:tcW w:w="3980" w:type="dxa"/>
            <w:vAlign w:val="bottom"/>
          </w:tcPr>
          <w:p>
            <w:pPr>
              <w:ind w:left="20"/>
              <w:spacing w:after="0" w:line="324" w:lineRule="exact"/>
              <w:rPr>
                <w:sz w:val="20"/>
                <w:szCs w:val="20"/>
                <w:color w:val="auto"/>
              </w:rPr>
            </w:pPr>
            <w:r>
              <w:rPr>
                <w:rFonts w:ascii="Arial" w:cs="Arial" w:eastAsia="Arial" w:hAnsi="Arial"/>
                <w:sz w:val="18"/>
                <w:szCs w:val="18"/>
                <w:color w:val="auto"/>
              </w:rPr>
              <w:t>Adviser monitoring fee</w:t>
            </w:r>
            <w:r>
              <w:rPr>
                <w:rFonts w:ascii="Arial" w:cs="Arial" w:eastAsia="Arial" w:hAnsi="Arial"/>
                <w:sz w:val="29"/>
                <w:szCs w:val="29"/>
                <w:color w:val="auto"/>
                <w:vertAlign w:val="superscript"/>
              </w:rPr>
              <w:t>(b)</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14,793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3,636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3,522</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1,840</w:t>
            </w:r>
          </w:p>
        </w:tc>
        <w:tc>
          <w:tcPr>
            <w:tcW w:w="40" w:type="dxa"/>
            <w:vAlign w:val="bottom"/>
          </w:tcPr>
          <w:p>
            <w:pPr>
              <w:spacing w:after="0"/>
              <w:rPr>
                <w:sz w:val="24"/>
                <w:szCs w:val="24"/>
                <w:color w:val="auto"/>
              </w:rPr>
            </w:pPr>
          </w:p>
        </w:tc>
      </w:tr>
      <w:tr>
        <w:trPr>
          <w:trHeight w:val="324"/>
        </w:trPr>
        <w:tc>
          <w:tcPr>
            <w:tcW w:w="3980" w:type="dxa"/>
            <w:vAlign w:val="bottom"/>
            <w:shd w:val="clear" w:color="auto" w:fill="CCEEFF"/>
          </w:tcPr>
          <w:p>
            <w:pPr>
              <w:ind w:left="20"/>
              <w:spacing w:after="0" w:line="324" w:lineRule="exact"/>
              <w:rPr>
                <w:sz w:val="20"/>
                <w:szCs w:val="20"/>
                <w:color w:val="auto"/>
              </w:rPr>
            </w:pPr>
            <w:r>
              <w:rPr>
                <w:rFonts w:ascii="Arial" w:cs="Arial" w:eastAsia="Arial" w:hAnsi="Arial"/>
                <w:sz w:val="18"/>
                <w:szCs w:val="18"/>
                <w:color w:val="auto"/>
              </w:rPr>
              <w:t>Equity compensation</w:t>
            </w:r>
            <w:r>
              <w:rPr>
                <w:rFonts w:ascii="Arial" w:cs="Arial" w:eastAsia="Arial" w:hAnsi="Arial"/>
                <w:sz w:val="29"/>
                <w:szCs w:val="29"/>
                <w:color w:val="auto"/>
                <w:vertAlign w:val="superscript"/>
              </w:rPr>
              <w:t>(c)</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31,617</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4,633</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33,205</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40" w:type="dxa"/>
            <w:vAlign w:val="bottom"/>
            <w:shd w:val="clear" w:color="auto" w:fill="CCEEFF"/>
          </w:tcPr>
          <w:p>
            <w:pPr>
              <w:spacing w:after="0"/>
              <w:rPr>
                <w:sz w:val="24"/>
                <w:szCs w:val="24"/>
                <w:color w:val="auto"/>
              </w:rPr>
            </w:pPr>
          </w:p>
        </w:tc>
      </w:tr>
      <w:tr>
        <w:trPr>
          <w:trHeight w:val="270"/>
        </w:trPr>
        <w:tc>
          <w:tcPr>
            <w:tcW w:w="3980" w:type="dxa"/>
            <w:vAlign w:val="bottom"/>
          </w:tcPr>
          <w:p>
            <w:pPr>
              <w:ind w:left="20"/>
              <w:spacing w:after="0"/>
              <w:rPr>
                <w:sz w:val="20"/>
                <w:szCs w:val="20"/>
                <w:color w:val="auto"/>
              </w:rPr>
            </w:pPr>
            <w:r>
              <w:rPr>
                <w:rFonts w:ascii="Arial" w:cs="Arial" w:eastAsia="Arial" w:hAnsi="Arial"/>
                <w:sz w:val="18"/>
                <w:szCs w:val="18"/>
                <w:color w:val="auto"/>
              </w:rPr>
              <w:t>(Gain) loss on early extinguishment of debt, net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(3,582)</w:t>
            </w:r>
          </w:p>
        </w:tc>
        <w:tc>
          <w:tcPr>
            <w:tcW w:w="160" w:type="dxa"/>
            <w:vAlign w:val="bottom"/>
          </w:tcPr>
          <w:p>
            <w:pPr>
              <w:spacing w:after="0"/>
              <w:rPr>
                <w:sz w:val="23"/>
                <w:szCs w:val="23"/>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(42,265)</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2,239</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(7,831)</w:t>
            </w:r>
          </w:p>
        </w:tc>
      </w:tr>
      <w:tr>
        <w:trPr>
          <w:trHeight w:val="54"/>
        </w:trPr>
        <w:tc>
          <w:tcPr>
            <w:tcW w:w="39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324"/>
        </w:trPr>
        <w:tc>
          <w:tcPr>
            <w:tcW w:w="3980" w:type="dxa"/>
            <w:vAlign w:val="bottom"/>
            <w:shd w:val="clear" w:color="auto" w:fill="CCEEFF"/>
          </w:tcPr>
          <w:p>
            <w:pPr>
              <w:ind w:left="20"/>
              <w:spacing w:after="0" w:line="324" w:lineRule="exact"/>
              <w:rPr>
                <w:sz w:val="20"/>
                <w:szCs w:val="20"/>
                <w:color w:val="auto"/>
              </w:rPr>
            </w:pPr>
            <w:r>
              <w:rPr>
                <w:rFonts w:ascii="Arial" w:cs="Arial" w:eastAsia="Arial" w:hAnsi="Arial"/>
                <w:sz w:val="18"/>
                <w:szCs w:val="18"/>
                <w:color w:val="auto"/>
              </w:rPr>
              <w:t>Severance and executive transition costs</w:t>
            </w:r>
            <w:r>
              <w:rPr>
                <w:rFonts w:ascii="Arial" w:cs="Arial" w:eastAsia="Arial" w:hAnsi="Arial"/>
                <w:sz w:val="29"/>
                <w:szCs w:val="29"/>
                <w:color w:val="auto"/>
                <w:vertAlign w:val="superscript"/>
              </w:rPr>
              <w:t>(d)</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6,571</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4,350</w:t>
            </w: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40" w:type="dxa"/>
            <w:vAlign w:val="bottom"/>
            <w:shd w:val="clear" w:color="auto" w:fill="CCEEFF"/>
          </w:tcPr>
          <w:p>
            <w:pPr>
              <w:spacing w:after="0"/>
              <w:rPr>
                <w:sz w:val="24"/>
                <w:szCs w:val="24"/>
                <w:color w:val="auto"/>
              </w:rPr>
            </w:pPr>
          </w:p>
        </w:tc>
      </w:tr>
      <w:tr>
        <w:trPr>
          <w:trHeight w:val="324"/>
        </w:trPr>
        <w:tc>
          <w:tcPr>
            <w:tcW w:w="3980" w:type="dxa"/>
            <w:vAlign w:val="bottom"/>
          </w:tcPr>
          <w:p>
            <w:pPr>
              <w:ind w:left="20"/>
              <w:spacing w:after="0" w:line="324" w:lineRule="exact"/>
              <w:rPr>
                <w:sz w:val="20"/>
                <w:szCs w:val="20"/>
                <w:color w:val="auto"/>
              </w:rPr>
            </w:pPr>
            <w:r>
              <w:rPr>
                <w:rFonts w:ascii="Arial" w:cs="Arial" w:eastAsia="Arial" w:hAnsi="Arial"/>
                <w:sz w:val="18"/>
                <w:szCs w:val="18"/>
                <w:color w:val="auto"/>
              </w:rPr>
              <w:t>Costs related to the COVID-19 pandemic</w:t>
            </w:r>
            <w:r>
              <w:rPr>
                <w:rFonts w:ascii="Arial" w:cs="Arial" w:eastAsia="Arial" w:hAnsi="Arial"/>
                <w:sz w:val="29"/>
                <w:szCs w:val="29"/>
                <w:color w:val="auto"/>
                <w:vertAlign w:val="superscript"/>
              </w:rPr>
              <w:t>(e)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17,632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17,632</w:t>
            </w:r>
          </w:p>
        </w:tc>
        <w:tc>
          <w:tcPr>
            <w:tcW w:w="40" w:type="dxa"/>
            <w:vAlign w:val="bottom"/>
          </w:tcPr>
          <w:p>
            <w:pPr>
              <w:spacing w:after="0"/>
              <w:rPr>
                <w:sz w:val="24"/>
                <w:szCs w:val="24"/>
                <w:color w:val="auto"/>
              </w:rPr>
            </w:pPr>
          </w:p>
        </w:tc>
      </w:tr>
      <w:tr>
        <w:trPr>
          <w:trHeight w:val="246"/>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Inventory write-down adjustments associated with</w:t>
            </w:r>
          </w:p>
        </w:tc>
        <w:tc>
          <w:tcPr>
            <w:tcW w:w="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94"/>
        </w:trPr>
        <w:tc>
          <w:tcPr>
            <w:tcW w:w="3980" w:type="dxa"/>
            <w:vAlign w:val="bottom"/>
            <w:shd w:val="clear" w:color="auto" w:fill="CCEEFF"/>
          </w:tcPr>
          <w:p>
            <w:pPr>
              <w:ind w:left="180"/>
              <w:spacing w:after="0" w:line="294" w:lineRule="exact"/>
              <w:rPr>
                <w:sz w:val="20"/>
                <w:szCs w:val="20"/>
                <w:color w:val="auto"/>
              </w:rPr>
            </w:pPr>
            <w:r>
              <w:rPr>
                <w:rFonts w:ascii="Arial" w:cs="Arial" w:eastAsia="Arial" w:hAnsi="Arial"/>
                <w:sz w:val="18"/>
                <w:szCs w:val="18"/>
                <w:color w:val="auto"/>
              </w:rPr>
              <w:t>strategic merchandising initiative</w:t>
            </w:r>
            <w:r>
              <w:rPr>
                <w:rFonts w:ascii="Arial" w:cs="Arial" w:eastAsia="Arial" w:hAnsi="Arial"/>
                <w:sz w:val="29"/>
                <w:szCs w:val="29"/>
                <w:color w:val="auto"/>
                <w:vertAlign w:val="superscript"/>
              </w:rPr>
              <w:t>(f)</w:t>
            </w:r>
          </w:p>
        </w:tc>
        <w:tc>
          <w:tcPr>
            <w:tcW w:w="4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9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18,225</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70"/>
        </w:trPr>
        <w:tc>
          <w:tcPr>
            <w:tcW w:w="3980" w:type="dxa"/>
            <w:vAlign w:val="bottom"/>
          </w:tcPr>
          <w:p>
            <w:pPr>
              <w:ind w:left="20"/>
              <w:spacing w:after="0"/>
              <w:rPr>
                <w:sz w:val="20"/>
                <w:szCs w:val="20"/>
                <w:color w:val="auto"/>
              </w:rPr>
            </w:pPr>
            <w:r>
              <w:rPr>
                <w:rFonts w:ascii="Arial" w:cs="Arial" w:eastAsia="Arial" w:hAnsi="Arial"/>
                <w:sz w:val="18"/>
                <w:szCs w:val="18"/>
                <w:color w:val="auto"/>
                <w:w w:val="93"/>
              </w:rPr>
              <w:t>Payroll taxes associated with the 2021 Vesting Event</w:t>
            </w:r>
          </w:p>
        </w:tc>
        <w:tc>
          <w:tcPr>
            <w:tcW w:w="40" w:type="dxa"/>
            <w:vAlign w:val="bottom"/>
          </w:tcPr>
          <w:p>
            <w:pPr>
              <w:spacing w:after="0"/>
              <w:rPr>
                <w:sz w:val="23"/>
                <w:szCs w:val="23"/>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9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15,418</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54"/>
        </w:trPr>
        <w:tc>
          <w:tcPr>
            <w:tcW w:w="39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324"/>
        </w:trPr>
        <w:tc>
          <w:tcPr>
            <w:tcW w:w="3980" w:type="dxa"/>
            <w:vAlign w:val="bottom"/>
            <w:shd w:val="clear" w:color="auto" w:fill="CCEEFF"/>
          </w:tcPr>
          <w:p>
            <w:pPr>
              <w:ind w:left="20"/>
              <w:spacing w:after="0" w:line="324"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(g)</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8,592</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7,111</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2,345</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40" w:type="dxa"/>
            <w:vAlign w:val="bottom"/>
            <w:shd w:val="clear" w:color="auto" w:fill="CCEEFF"/>
          </w:tcPr>
          <w:p>
            <w:pPr>
              <w:spacing w:after="0"/>
              <w:rPr>
                <w:sz w:val="24"/>
                <w:szCs w:val="24"/>
                <w:color w:val="auto"/>
              </w:rPr>
            </w:pPr>
          </w:p>
        </w:tc>
      </w:tr>
      <w:tr>
        <w:trPr>
          <w:trHeight w:val="257"/>
        </w:trPr>
        <w:tc>
          <w:tcPr>
            <w:tcW w:w="3980" w:type="dxa"/>
            <w:vAlign w:val="bottom"/>
          </w:tcPr>
          <w:p>
            <w:pPr>
              <w:ind w:left="20"/>
              <w:spacing w:after="0" w:line="256" w:lineRule="exact"/>
              <w:rPr>
                <w:sz w:val="20"/>
                <w:szCs w:val="20"/>
                <w:color w:val="auto"/>
              </w:rPr>
            </w:pPr>
            <w:r>
              <w:rPr>
                <w:rFonts w:ascii="Arial" w:cs="Arial" w:eastAsia="Arial" w:hAnsi="Arial"/>
                <w:sz w:val="18"/>
                <w:szCs w:val="18"/>
                <w:color w:val="auto"/>
              </w:rPr>
              <w:t>Tax effects of these adjustments</w:t>
            </w:r>
            <w:r>
              <w:rPr>
                <w:rFonts w:ascii="Arial" w:cs="Arial" w:eastAsia="Arial" w:hAnsi="Arial"/>
                <w:sz w:val="29"/>
                <w:szCs w:val="29"/>
                <w:color w:val="auto"/>
                <w:vertAlign w:val="superscript"/>
              </w:rPr>
              <w:t>(h)</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22"/>
                <w:szCs w:val="22"/>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22"/>
                <w:szCs w:val="22"/>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(12,801)</w:t>
            </w:r>
          </w:p>
        </w:tc>
        <w:tc>
          <w:tcPr>
            <w:tcW w:w="160" w:type="dxa"/>
            <w:vAlign w:val="bottom"/>
          </w:tcPr>
          <w:p>
            <w:pPr>
              <w:spacing w:after="0"/>
              <w:rPr>
                <w:sz w:val="22"/>
                <w:szCs w:val="22"/>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(39)</w:t>
            </w:r>
          </w:p>
        </w:tc>
      </w:tr>
      <w:tr>
        <w:trPr>
          <w:trHeight w:val="61"/>
        </w:trPr>
        <w:tc>
          <w:tcPr>
            <w:tcW w:w="398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90"/>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Adjusted Net Income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384,536</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101,469</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55,405</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407,081</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179,106</w:t>
            </w:r>
          </w:p>
        </w:tc>
        <w:tc>
          <w:tcPr>
            <w:tcW w:w="40" w:type="dxa"/>
            <w:vAlign w:val="bottom"/>
            <w:shd w:val="clear" w:color="auto" w:fill="CCEEFF"/>
          </w:tcPr>
          <w:p>
            <w:pPr>
              <w:spacing w:after="0"/>
              <w:rPr>
                <w:sz w:val="24"/>
                <w:szCs w:val="24"/>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ind w:left="1660" w:hanging="350"/>
        <w:spacing w:after="0"/>
        <w:tabs>
          <w:tab w:leader="none" w:pos="1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outside consulting fees associated with our strategic cost savings and business optimization initiatives.</w:t>
      </w:r>
    </w:p>
    <w:p>
      <w:pPr>
        <w:spacing w:after="0" w:line="41" w:lineRule="exact"/>
        <w:rPr>
          <w:rFonts w:ascii="Arial" w:cs="Arial" w:eastAsia="Arial" w:hAnsi="Arial"/>
          <w:sz w:val="14"/>
          <w:szCs w:val="14"/>
          <w:color w:val="auto"/>
        </w:rPr>
      </w:pPr>
    </w:p>
    <w:p>
      <w:pPr>
        <w:ind w:left="1660" w:right="1340" w:hanging="350"/>
        <w:spacing w:after="0" w:line="238" w:lineRule="auto"/>
        <w:tabs>
          <w:tab w:leader="none" w:pos="1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our contractual payments under our Monitoring Agreement. See Note 13 to our audited consolidated financial statements in our Annual Report incorporated by reference herein and Note 12 to the financial statements included in our Q2 Quarterly Report incorporated by reference herein.</w:t>
      </w:r>
    </w:p>
    <w:p>
      <w:pPr>
        <w:spacing w:after="0" w:line="20" w:lineRule="exact"/>
        <w:rPr>
          <w:rFonts w:ascii="Arial" w:cs="Arial" w:eastAsia="Arial" w:hAnsi="Arial"/>
          <w:sz w:val="14"/>
          <w:szCs w:val="14"/>
          <w:color w:val="auto"/>
        </w:rPr>
      </w:pPr>
    </w:p>
    <w:p>
      <w:pPr>
        <w:ind w:left="1660" w:right="1420" w:hanging="350"/>
        <w:spacing w:after="0" w:line="238" w:lineRule="auto"/>
        <w:tabs>
          <w:tab w:leader="none" w:pos="1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non-cash charges related to equity based compensation, which vary from period to period depending on certain factors such as the 2021 Vesting Event (see Note 1 to the financial statements included in our Q2 Quarterly Report incorporated by reference herein), timing and valuation of awards, achievement of performance targets and equity award forfeitures.</w:t>
      </w:r>
    </w:p>
    <w:p>
      <w:pPr>
        <w:spacing w:after="0" w:line="20" w:lineRule="exact"/>
        <w:rPr>
          <w:rFonts w:ascii="Arial" w:cs="Arial" w:eastAsia="Arial" w:hAnsi="Arial"/>
          <w:sz w:val="14"/>
          <w:szCs w:val="14"/>
          <w:color w:val="auto"/>
        </w:rPr>
      </w:pPr>
    </w:p>
    <w:p>
      <w:pPr>
        <w:ind w:left="1660" w:hanging="350"/>
        <w:spacing w:after="0"/>
        <w:tabs>
          <w:tab w:leader="none" w:pos="1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severance costs associated with executive leadership changes and enterprise-wide organizational changes.</w:t>
      </w:r>
    </w:p>
    <w:p>
      <w:pPr>
        <w:spacing w:after="0" w:line="41" w:lineRule="exact"/>
        <w:rPr>
          <w:rFonts w:ascii="Arial" w:cs="Arial" w:eastAsia="Arial" w:hAnsi="Arial"/>
          <w:sz w:val="14"/>
          <w:szCs w:val="14"/>
          <w:color w:val="auto"/>
        </w:rPr>
      </w:pPr>
    </w:p>
    <w:p>
      <w:pPr>
        <w:ind w:left="1660" w:right="1440" w:hanging="350"/>
        <w:spacing w:after="0" w:line="255" w:lineRule="auto"/>
        <w:tabs>
          <w:tab w:leader="none" w:pos="16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Represents costs incurred during the first half of 2020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 These costs were no longer added back beginning in the third quarter of 2020.</w:t>
      </w:r>
    </w:p>
    <w:p>
      <w:pPr>
        <w:spacing w:after="0" w:line="12" w:lineRule="exact"/>
        <w:rPr>
          <w:rFonts w:ascii="Arial" w:cs="Arial" w:eastAsia="Arial" w:hAnsi="Arial"/>
          <w:sz w:val="13"/>
          <w:szCs w:val="13"/>
          <w:color w:val="auto"/>
        </w:rPr>
      </w:pPr>
    </w:p>
    <w:p>
      <w:pPr>
        <w:ind w:left="1660" w:right="1920" w:hanging="350"/>
        <w:spacing w:after="0" w:line="253" w:lineRule="auto"/>
        <w:tabs>
          <w:tab w:leader="none" w:pos="1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inventory write-down adjustments in connection with our new merchandising strategy adopted as part of our strategic transformation, including exiting certain categories of products.</w:t>
      </w:r>
    </w:p>
    <w:p>
      <w:pPr>
        <w:spacing w:after="0" w:line="11" w:lineRule="exact"/>
        <w:rPr>
          <w:rFonts w:ascii="Arial" w:cs="Arial" w:eastAsia="Arial" w:hAnsi="Arial"/>
          <w:sz w:val="14"/>
          <w:szCs w:val="14"/>
          <w:color w:val="auto"/>
        </w:rPr>
      </w:pPr>
    </w:p>
    <w:p>
      <w:pPr>
        <w:ind w:left="1660" w:right="1420" w:hanging="350"/>
        <w:spacing w:after="0" w:line="231" w:lineRule="auto"/>
        <w:tabs>
          <w:tab w:leader="none" w:pos="1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Other adjustments include (representing deductions or additions to Adjusted EBITDA and Adjusted Net Income, as applicable) amounts that management believes are not representative of our operating performance, including investment income, installation costs for energy savings associated with our profitability initiatives, legal fees associated with a distribution to members of New Academy Holding Company, LLC and our 2020 Equity Plan, store exit costs and other costs associated with strategic cost savings and business optimization initiatives.</w:t>
      </w:r>
    </w:p>
    <w:p>
      <w:pPr>
        <w:spacing w:after="0" w:line="21" w:lineRule="exact"/>
        <w:rPr>
          <w:rFonts w:ascii="Arial" w:cs="Arial" w:eastAsia="Arial" w:hAnsi="Arial"/>
          <w:sz w:val="14"/>
          <w:szCs w:val="14"/>
          <w:color w:val="auto"/>
        </w:rPr>
      </w:pPr>
    </w:p>
    <w:p>
      <w:pPr>
        <w:jc w:val="both"/>
        <w:ind w:left="1660" w:right="1380" w:hanging="350"/>
        <w:spacing w:after="0" w:line="238" w:lineRule="auto"/>
        <w:tabs>
          <w:tab w:leader="none" w:pos="1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For the twenty-six weeks ended July 31, 2021, this represents the tax effect of the total adjustments made to arrive at Adjusted Net Income at the estimated effective tax rate for the fiscal year ended January 31, 2022. For periods on or before January 30, 2021, this represents the tax effect of the total adjustments made to arrive at Adjusted Net Income at our historical tax rate.</w:t>
      </w:r>
    </w:p>
    <w:p>
      <w:pPr>
        <w:spacing w:after="0" w:line="79" w:lineRule="exact"/>
        <w:rPr>
          <w:sz w:val="20"/>
          <w:szCs w:val="20"/>
          <w:color w:val="auto"/>
        </w:rPr>
      </w:pPr>
    </w:p>
    <w:p>
      <w:pPr>
        <w:ind w:left="1320" w:right="1300" w:firstLine="360"/>
        <w:spacing w:after="0" w:line="277" w:lineRule="auto"/>
        <w:rPr>
          <w:sz w:val="20"/>
          <w:szCs w:val="20"/>
          <w:color w:val="auto"/>
        </w:rPr>
      </w:pPr>
      <w:r>
        <w:rPr>
          <w:rFonts w:ascii="Arial" w:cs="Arial" w:eastAsia="Arial" w:hAnsi="Arial"/>
          <w:sz w:val="18"/>
          <w:szCs w:val="18"/>
          <w:color w:val="auto"/>
        </w:rPr>
        <w:t>The following table provides a reconciliation of net cash provided by operating activities to Adjusted Free Cash Flow for the periods presented: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8"/>
          </w:tcPr>
          <w:p>
            <w:pPr>
              <w:ind w:left="640"/>
              <w:spacing w:after="0"/>
              <w:rPr>
                <w:sz w:val="20"/>
                <w:szCs w:val="20"/>
                <w:color w:val="auto"/>
              </w:rPr>
            </w:pPr>
            <w:r>
              <w:rPr>
                <w:rFonts w:ascii="Arial" w:cs="Arial" w:eastAsia="Arial" w:hAnsi="Arial"/>
                <w:sz w:val="14"/>
                <w:szCs w:val="14"/>
                <w:b w:val="1"/>
                <w:bCs w:val="1"/>
                <w:color w:val="auto"/>
                <w:w w:val="92"/>
              </w:rPr>
              <w:t>Fiscal Year Ended</w:t>
            </w: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920" w:type="dxa"/>
            <w:vAlign w:val="bottom"/>
            <w:gridSpan w:val="9"/>
          </w:tcPr>
          <w:p>
            <w:pPr>
              <w:ind w:left="20"/>
              <w:spacing w:after="0"/>
              <w:rPr>
                <w:sz w:val="20"/>
                <w:szCs w:val="20"/>
                <w:color w:val="auto"/>
              </w:rPr>
            </w:pPr>
            <w:r>
              <w:rPr>
                <w:rFonts w:ascii="Arial" w:cs="Arial" w:eastAsia="Arial" w:hAnsi="Arial"/>
                <w:sz w:val="14"/>
                <w:szCs w:val="14"/>
                <w:b w:val="1"/>
                <w:bCs w:val="1"/>
                <w:color w:val="auto"/>
              </w:rPr>
              <w:t>Twenty-Six Weeks Ended</w:t>
            </w:r>
          </w:p>
        </w:tc>
      </w:tr>
      <w:tr>
        <w:trPr>
          <w:trHeight w:val="52"/>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940" w:type="dxa"/>
            <w:vAlign w:val="bottom"/>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300" w:type="dxa"/>
            <w:vAlign w:val="bottom"/>
            <w:gridSpan w:val="2"/>
          </w:tcPr>
          <w:p>
            <w:pPr>
              <w:spacing w:after="0"/>
              <w:rPr>
                <w:sz w:val="4"/>
                <w:szCs w:val="4"/>
                <w:color w:val="auto"/>
              </w:rPr>
            </w:pPr>
          </w:p>
        </w:tc>
      </w:tr>
      <w:tr>
        <w:trPr>
          <w:trHeight w:val="187"/>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0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January 30,</w:t>
            </w:r>
          </w:p>
        </w:tc>
        <w:tc>
          <w:tcPr>
            <w:tcW w:w="9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5"/>
              </w:rPr>
              <w:t>February 1,</w:t>
            </w:r>
          </w:p>
        </w:tc>
        <w:tc>
          <w:tcPr>
            <w:tcW w:w="9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February 2,</w:t>
            </w:r>
          </w:p>
        </w:tc>
        <w:tc>
          <w:tcPr>
            <w:tcW w:w="40" w:type="dxa"/>
            <w:vAlign w:val="bottom"/>
          </w:tcPr>
          <w:p>
            <w:pPr>
              <w:spacing w:after="0"/>
              <w:rPr>
                <w:sz w:val="16"/>
                <w:szCs w:val="16"/>
                <w:color w:val="auto"/>
              </w:rPr>
            </w:pPr>
          </w:p>
        </w:tc>
        <w:tc>
          <w:tcPr>
            <w:tcW w:w="8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July 31,</w:t>
            </w:r>
          </w:p>
        </w:tc>
        <w:tc>
          <w:tcPr>
            <w:tcW w:w="40" w:type="dxa"/>
            <w:vAlign w:val="bottom"/>
          </w:tcPr>
          <w:p>
            <w:pPr>
              <w:spacing w:after="0"/>
              <w:rPr>
                <w:sz w:val="16"/>
                <w:szCs w:val="16"/>
                <w:color w:val="auto"/>
              </w:rPr>
            </w:pPr>
          </w:p>
        </w:tc>
        <w:tc>
          <w:tcPr>
            <w:tcW w:w="2020" w:type="dxa"/>
            <w:vAlign w:val="bottom"/>
            <w:gridSpan w:val="4"/>
          </w:tcPr>
          <w:p>
            <w:pPr>
              <w:jc w:val="center"/>
              <w:ind w:right="1360"/>
              <w:spacing w:after="0"/>
              <w:rPr>
                <w:sz w:val="20"/>
                <w:szCs w:val="20"/>
                <w:color w:val="auto"/>
              </w:rPr>
            </w:pPr>
            <w:r>
              <w:rPr>
                <w:rFonts w:ascii="Arial" w:cs="Arial" w:eastAsia="Arial" w:hAnsi="Arial"/>
                <w:sz w:val="14"/>
                <w:szCs w:val="14"/>
                <w:b w:val="1"/>
                <w:bCs w:val="1"/>
                <w:color w:val="auto"/>
                <w:w w:val="90"/>
              </w:rPr>
              <w:t>August 1,</w:t>
            </w:r>
          </w:p>
        </w:tc>
      </w:t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137"/>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center"/>
              <w:ind w:left="17"/>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53"/>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9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7"/>
        </w:trPr>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60" w:type="dxa"/>
            <w:vAlign w:val="bottom"/>
            <w:tcBorders>
              <w:right w:val="single" w:sz="8" w:color="CCEEFF"/>
            </w:tcBorders>
            <w:shd w:val="clear" w:color="auto" w:fill="CCEEFF"/>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60"/>
        </w:trPr>
        <w:tc>
          <w:tcPr>
            <w:tcW w:w="1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940" w:type="dxa"/>
            <w:vAlign w:val="bottom"/>
            <w:shd w:val="clear" w:color="auto" w:fill="CCEEFF"/>
          </w:tcPr>
          <w:p>
            <w:pPr>
              <w:spacing w:after="0"/>
              <w:rPr>
                <w:sz w:val="5"/>
                <w:szCs w:val="5"/>
                <w:color w:val="auto"/>
              </w:rPr>
            </w:pPr>
          </w:p>
        </w:tc>
        <w:tc>
          <w:tcPr>
            <w:tcW w:w="800" w:type="dxa"/>
            <w:vAlign w:val="bottom"/>
            <w:gridSpan w:val="2"/>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tcBorders>
              <w:right w:val="single" w:sz="8" w:color="CCEEFF"/>
            </w:tcBorders>
            <w:shd w:val="clear" w:color="auto" w:fill="CCEEFF"/>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w w:val="88"/>
              </w:rPr>
              <w:t>$1,011,597</w:t>
            </w:r>
          </w:p>
        </w:tc>
        <w:tc>
          <w:tcPr>
            <w:tcW w:w="120" w:type="dxa"/>
            <w:vAlign w:val="bottom"/>
          </w:tcPr>
          <w:p>
            <w:pPr>
              <w:spacing w:after="0"/>
              <w:rPr>
                <w:sz w:val="23"/>
                <w:szCs w:val="23"/>
                <w:color w:val="auto"/>
              </w:rPr>
            </w:pPr>
          </w:p>
        </w:tc>
        <w:tc>
          <w:tcPr>
            <w:tcW w:w="720" w:type="dxa"/>
            <w:vAlign w:val="bottom"/>
            <w:gridSpan w:val="3"/>
          </w:tcPr>
          <w:p>
            <w:pPr>
              <w:jc w:val="center"/>
              <w:spacing w:after="0"/>
              <w:rPr>
                <w:sz w:val="20"/>
                <w:szCs w:val="20"/>
                <w:color w:val="auto"/>
              </w:rPr>
            </w:pPr>
            <w:r>
              <w:rPr>
                <w:rFonts w:ascii="Arial" w:cs="Arial" w:eastAsia="Arial" w:hAnsi="Arial"/>
                <w:sz w:val="18"/>
                <w:szCs w:val="18"/>
                <w:color w:val="auto"/>
                <w:w w:val="90"/>
              </w:rPr>
              <w:t>$263,669</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$198,481</w:t>
            </w:r>
          </w:p>
        </w:tc>
        <w:tc>
          <w:tcPr>
            <w:tcW w:w="140" w:type="dxa"/>
            <w:vAlign w:val="bottom"/>
          </w:tcPr>
          <w:p>
            <w:pPr>
              <w:spacing w:after="0"/>
              <w:rPr>
                <w:sz w:val="23"/>
                <w:szCs w:val="23"/>
                <w:color w:val="auto"/>
              </w:rPr>
            </w:pPr>
          </w:p>
        </w:tc>
        <w:tc>
          <w:tcPr>
            <w:tcW w:w="720" w:type="dxa"/>
            <w:vAlign w:val="bottom"/>
            <w:gridSpan w:val="3"/>
          </w:tcPr>
          <w:p>
            <w:pPr>
              <w:jc w:val="center"/>
              <w:spacing w:after="0"/>
              <w:rPr>
                <w:sz w:val="20"/>
                <w:szCs w:val="20"/>
                <w:color w:val="auto"/>
              </w:rPr>
            </w:pPr>
            <w:r>
              <w:rPr>
                <w:rFonts w:ascii="Arial" w:cs="Arial" w:eastAsia="Arial" w:hAnsi="Arial"/>
                <w:sz w:val="18"/>
                <w:szCs w:val="18"/>
                <w:color w:val="auto"/>
                <w:w w:val="87"/>
              </w:rPr>
              <w:t>$405,674</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w w:val="90"/>
              </w:rPr>
              <w:t>$773,621</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54"/>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6"/>
        </w:trPr>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(33,144)</w:t>
            </w:r>
          </w:p>
        </w:tc>
        <w:tc>
          <w:tcPr>
            <w:tcW w:w="120" w:type="dxa"/>
            <w:vAlign w:val="bottom"/>
            <w:shd w:val="clear" w:color="auto" w:fill="CCEEFF"/>
          </w:tcPr>
          <w:p>
            <w:pPr>
              <w:spacing w:after="0"/>
              <w:rPr>
                <w:sz w:val="22"/>
                <w:szCs w:val="22"/>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(66,783)</w:t>
            </w:r>
          </w:p>
        </w:tc>
        <w:tc>
          <w:tcPr>
            <w:tcW w:w="14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(99,027)</w:t>
            </w:r>
          </w:p>
        </w:tc>
        <w:tc>
          <w:tcPr>
            <w:tcW w:w="140" w:type="dxa"/>
            <w:vAlign w:val="bottom"/>
            <w:shd w:val="clear" w:color="auto" w:fill="CCEEFF"/>
          </w:tcPr>
          <w:p>
            <w:pPr>
              <w:spacing w:after="0"/>
              <w:rPr>
                <w:sz w:val="22"/>
                <w:szCs w:val="22"/>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(33,767)</w:t>
            </w:r>
          </w:p>
        </w:tc>
        <w:tc>
          <w:tcPr>
            <w:tcW w:w="14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(13,850)</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61"/>
        </w:trPr>
        <w:tc>
          <w:tcPr>
            <w:tcW w:w="1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9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right w:val="single" w:sz="8" w:color="CCEEFF"/>
            </w:tcBorders>
            <w:shd w:val="clear" w:color="auto" w:fill="CCEEFF"/>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40" w:type="dxa"/>
            <w:vAlign w:val="bottom"/>
          </w:tcPr>
          <w:p>
            <w:pPr>
              <w:ind w:left="180"/>
              <w:spacing w:after="0"/>
              <w:rPr>
                <w:sz w:val="20"/>
                <w:szCs w:val="20"/>
                <w:color w:val="auto"/>
              </w:rPr>
            </w:pPr>
            <w:r>
              <w:rPr>
                <w:rFonts w:ascii="Arial" w:cs="Arial" w:eastAsia="Arial" w:hAnsi="Arial"/>
                <w:sz w:val="18"/>
                <w:szCs w:val="18"/>
                <w:b w:val="1"/>
                <w:bCs w:val="1"/>
                <w:color w:val="auto"/>
              </w:rPr>
              <w:t>Adjusted Free Cash Flow</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978,453</w:t>
            </w:r>
          </w:p>
        </w:tc>
        <w:tc>
          <w:tcPr>
            <w:tcW w:w="120" w:type="dxa"/>
            <w:vAlign w:val="bottom"/>
          </w:tcPr>
          <w:p>
            <w:pPr>
              <w:spacing w:after="0"/>
              <w:rPr>
                <w:sz w:val="23"/>
                <w:szCs w:val="23"/>
                <w:color w:val="auto"/>
              </w:rPr>
            </w:pPr>
          </w:p>
        </w:tc>
        <w:tc>
          <w:tcPr>
            <w:tcW w:w="720" w:type="dxa"/>
            <w:vAlign w:val="bottom"/>
            <w:gridSpan w:val="3"/>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196,886</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w w:val="96"/>
              </w:rPr>
              <w:t>$ 99,454</w:t>
            </w:r>
          </w:p>
        </w:tc>
        <w:tc>
          <w:tcPr>
            <w:tcW w:w="140" w:type="dxa"/>
            <w:vAlign w:val="bottom"/>
          </w:tcPr>
          <w:p>
            <w:pPr>
              <w:spacing w:after="0"/>
              <w:rPr>
                <w:sz w:val="23"/>
                <w:szCs w:val="23"/>
                <w:color w:val="auto"/>
              </w:rPr>
            </w:pPr>
          </w:p>
        </w:tc>
        <w:tc>
          <w:tcPr>
            <w:tcW w:w="720" w:type="dxa"/>
            <w:vAlign w:val="bottom"/>
            <w:gridSpan w:val="3"/>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371,907</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3"/>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759,771</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0"/>
        </w:trPr>
        <w:tc>
          <w:tcPr>
            <w:tcW w:w="1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r>
      <w:tr>
        <w:trPr>
          <w:trHeight w:val="429"/>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ind w:right="357"/>
              <w:spacing w:after="0"/>
              <w:rPr>
                <w:sz w:val="20"/>
                <w:szCs w:val="20"/>
                <w:color w:val="auto"/>
              </w:rPr>
            </w:pPr>
            <w:r>
              <w:rPr>
                <w:rFonts w:ascii="Arial" w:cs="Arial" w:eastAsia="Arial" w:hAnsi="Arial"/>
                <w:sz w:val="18"/>
                <w:szCs w:val="18"/>
                <w:color w:val="auto"/>
                <w:w w:val="99"/>
              </w:rPr>
              <w:t>17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10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and uncertainties described below and the information contained in our Annual Report, including under “Risk Factors,” together with the other information contained or incorporated by reference in this prospectus before deciding to invest in shares of our common stock. If any of the following risks actually occurs, our business, results of operations and financial condition may be materially adversely affected. In such case, the trading price of our common stock could decline and you may lose all or part of your investment.</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ind w:left="300" w:right="359"/>
        <w:spacing w:after="0" w:line="301" w:lineRule="auto"/>
        <w:rPr>
          <w:sz w:val="20"/>
          <w:szCs w:val="20"/>
          <w:color w:val="auto"/>
        </w:rPr>
      </w:pPr>
      <w:r>
        <w:rPr>
          <w:rFonts w:ascii="Arial" w:cs="Arial" w:eastAsia="Arial" w:hAnsi="Arial"/>
          <w:sz w:val="16"/>
          <w:szCs w:val="16"/>
          <w:b w:val="1"/>
          <w:bCs w:val="1"/>
          <w:i w:val="1"/>
          <w:iCs w:val="1"/>
          <w:color w:val="auto"/>
        </w:rPr>
        <w:t>As a result of the April 2021 Sale, we are no longer a “controlled company” within the meaning of the listing rules of Nasdaq. However, even though we are no longer a “controlled company,” we will continue to qualify for, and may rely on, exemptions from certain corporate governance requirements that would otherwise provide protection to stockholders of other companies during a one-year transition period.</w:t>
      </w:r>
    </w:p>
    <w:p>
      <w:pPr>
        <w:spacing w:after="0" w:line="49"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After completion of the April 2021 Sale, KKR Stockholders ceased to control a majority of the voting power of our common stock. As a result, we are no longer a “controlled company” within the meaning of the corporate governance standards of Nasdaq and we will be required to comply with certain corporate governance requirements within one year or less of the completion of the April 2021 Sale, including the requirements that:</w:t>
      </w:r>
    </w:p>
    <w:p>
      <w:pPr>
        <w:spacing w:after="0" w:line="63" w:lineRule="exact"/>
        <w:rPr>
          <w:sz w:val="20"/>
          <w:szCs w:val="20"/>
          <w:color w:val="auto"/>
        </w:rPr>
      </w:pPr>
    </w:p>
    <w:p>
      <w:pPr>
        <w:ind w:left="1000" w:right="39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majority of our board of directors consist of “independent directors” as defined under the listing rules of Nasdaq;</w:t>
      </w:r>
    </w:p>
    <w:p>
      <w:pPr>
        <w:spacing w:after="0" w:line="62" w:lineRule="exact"/>
        <w:rPr>
          <w:rFonts w:ascii="Arial" w:cs="Arial" w:eastAsia="Arial" w:hAnsi="Arial"/>
          <w:sz w:val="18"/>
          <w:szCs w:val="18"/>
          <w:color w:val="auto"/>
        </w:rPr>
      </w:pPr>
    </w:p>
    <w:p>
      <w:pPr>
        <w:ind w:left="1000" w:right="1339" w:hanging="348"/>
        <w:spacing w:after="0" w:line="308" w:lineRule="auto"/>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director nominees be selected, or recommended for our board of directors’ selection by a nominating/governance committee comprised solely of independent directors; and</w:t>
      </w:r>
    </w:p>
    <w:p>
      <w:pPr>
        <w:spacing w:after="0" w:line="38" w:lineRule="exact"/>
        <w:rPr>
          <w:rFonts w:ascii="Arial" w:cs="Arial" w:eastAsia="Arial" w:hAnsi="Arial"/>
          <w:sz w:val="17"/>
          <w:szCs w:val="17"/>
          <w:color w:val="auto"/>
        </w:rPr>
      </w:pPr>
    </w:p>
    <w:p>
      <w:pPr>
        <w:ind w:left="1000" w:right="519" w:hanging="348"/>
        <w:spacing w:after="0" w:line="342"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compensation of our executive officers be determined, or recommended to our board of directors for determination, by a compensation committee comprised solely of independent directors.</w:t>
      </w:r>
    </w:p>
    <w:p>
      <w:pPr>
        <w:spacing w:after="0" w:line="16"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Currently, we do not have a majority of independent directors and our compensation committee and nominating and governance committee do not consist entirely of independent directors. Accordingly, until we satisfy these requirements during this one-year transition period, you will not have the same protections afforded to stockholders of companies that are subject to all of the corporate governance requirements of Nasdaq.</w:t>
      </w:r>
    </w:p>
    <w:p>
      <w:pPr>
        <w:spacing w:after="0" w:line="49"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In connection with our IPO, we also entered into a stockholders’ agreement with the KKR Stockholders which granted the KKR Stockholders the right to nominate to our board of directors a certain number of designees depending upon their percentage ownership of our common stock, as well as special governance rights for as long as the KKR Stockholders and their affiliates collectively maintained ownership of at least 25% of our outstanding common stock, including rights of approval over certain corporate and other transactions such as mergers or other transactions involving a change in control and certain rights regarding the appointment of our chief executive officer. In connection with this offering, it is anticipated that all such rights granted to the KKR Stockholders will be terminated.</w:t>
      </w:r>
    </w:p>
    <w:p>
      <w:pPr>
        <w:spacing w:after="0" w:line="192" w:lineRule="exact"/>
        <w:rPr>
          <w:sz w:val="20"/>
          <w:szCs w:val="20"/>
          <w:color w:val="auto"/>
        </w:rPr>
      </w:pPr>
    </w:p>
    <w:p>
      <w:pPr>
        <w:ind w:left="300" w:right="319"/>
        <w:spacing w:after="0" w:line="263" w:lineRule="auto"/>
        <w:rPr>
          <w:sz w:val="20"/>
          <w:szCs w:val="20"/>
          <w:color w:val="auto"/>
        </w:rPr>
      </w:pPr>
      <w:r>
        <w:rPr>
          <w:rFonts w:ascii="Arial" w:cs="Arial" w:eastAsia="Arial" w:hAnsi="Arial"/>
          <w:sz w:val="18"/>
          <w:szCs w:val="18"/>
          <w:b w:val="1"/>
          <w:bCs w:val="1"/>
          <w:i w:val="1"/>
          <w:iCs w:val="1"/>
          <w:color w:val="auto"/>
        </w:rPr>
        <w:t>Our stock price may be highly volatile or may decline regardless of our operating performance, and you may not be able to resell shares of our common stock at or above the price you paid or at all, and you could lose all or part of your investment as a result.</w:t>
      </w:r>
    </w:p>
    <w:p>
      <w:pPr>
        <w:spacing w:after="0" w:line="76" w:lineRule="exact"/>
        <w:rPr>
          <w:sz w:val="20"/>
          <w:szCs w:val="20"/>
          <w:color w:val="auto"/>
        </w:rPr>
      </w:pPr>
    </w:p>
    <w:p>
      <w:pPr>
        <w:jc w:val="both"/>
        <w:ind w:left="300" w:right="419" w:firstLine="360"/>
        <w:spacing w:after="0" w:line="263" w:lineRule="auto"/>
        <w:rPr>
          <w:sz w:val="20"/>
          <w:szCs w:val="20"/>
          <w:color w:val="auto"/>
        </w:rPr>
      </w:pPr>
      <w:r>
        <w:rPr>
          <w:rFonts w:ascii="Arial" w:cs="Arial" w:eastAsia="Arial" w:hAnsi="Arial"/>
          <w:sz w:val="18"/>
          <w:szCs w:val="18"/>
          <w:color w:val="auto"/>
        </w:rPr>
        <w:t>The trading price of our common stock may be highly volatile and may be adversely affected due to a number of factors, most of which we cannot control, including those listed elsewhere under this “Risk Factors” section, and the following:</w:t>
      </w:r>
    </w:p>
    <w:p>
      <w:pPr>
        <w:spacing w:after="0" w:line="76" w:lineRule="exact"/>
        <w:rPr>
          <w:sz w:val="20"/>
          <w:szCs w:val="20"/>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results of operations that vary from the expectations of securities analysts and investors;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results of operations that vary from those of our competitors;</w:t>
      </w:r>
    </w:p>
    <w:p>
      <w:pPr>
        <w:spacing w:after="0" w:line="117" w:lineRule="exact"/>
        <w:rPr>
          <w:rFonts w:ascii="Arial" w:cs="Arial" w:eastAsia="Arial" w:hAnsi="Arial"/>
          <w:sz w:val="18"/>
          <w:szCs w:val="18"/>
          <w:color w:val="auto"/>
        </w:rPr>
      </w:pPr>
    </w:p>
    <w:p>
      <w:pPr>
        <w:ind w:left="1000" w:right="107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and investment recommendations by securities analysts and investors;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economic conditions for companies in our industry;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changes in market valuations of, or earnings and other announcements by, companies in our industry;</w:t>
      </w:r>
    </w:p>
    <w:p>
      <w:pPr>
        <w:spacing w:after="0" w:line="128" w:lineRule="exact"/>
        <w:rPr>
          <w:rFonts w:ascii="Arial" w:cs="Arial" w:eastAsia="Arial" w:hAnsi="Arial"/>
          <w:sz w:val="17"/>
          <w:szCs w:val="17"/>
          <w:color w:val="auto"/>
        </w:rPr>
      </w:pPr>
    </w:p>
    <w:p>
      <w:pPr>
        <w:ind w:left="1000" w:right="99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declines in the market prices of stocks generally, particularly those of sporting goods and outdoor recreation retail companies;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117" w:lineRule="exact"/>
        <w:rPr>
          <w:rFonts w:ascii="Arial" w:cs="Arial" w:eastAsia="Arial" w:hAnsi="Arial"/>
          <w:sz w:val="18"/>
          <w:szCs w:val="18"/>
          <w:color w:val="auto"/>
        </w:rPr>
      </w:pPr>
    </w:p>
    <w:p>
      <w:pPr>
        <w:ind w:left="1000" w:right="659" w:hanging="348"/>
        <w:spacing w:after="0" w:line="263"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by us, our competitors our suppliers of significant contracts, price reductions, new products or technologies, acquisitions, dispositions, joint marketing relationships, joint ventures, other strategic relationships or capital commitments;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preference of our customers and our market share;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general economic or market conditions or trends in our industry or the economy as a whole;</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business or regulatory conditions;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w:t>
      </w:r>
    </w:p>
    <w:p>
      <w:pPr>
        <w:spacing w:after="0" w:line="117" w:lineRule="exact"/>
        <w:rPr>
          <w:rFonts w:ascii="Arial" w:cs="Arial" w:eastAsia="Arial" w:hAnsi="Arial"/>
          <w:sz w:val="18"/>
          <w:szCs w:val="18"/>
          <w:color w:val="auto"/>
        </w:rPr>
      </w:pPr>
    </w:p>
    <w:p>
      <w:pPr>
        <w:ind w:left="1000" w:right="47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investor perceptions of or the investment opportunity associated with our common stock relative to other investment alternatives;</w:t>
      </w:r>
    </w:p>
    <w:p>
      <w:pPr>
        <w:spacing w:after="0" w:line="62"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way we are perceived in the marketplace, including due to negative publicity or campaigns on social media to boycott certain of our products, our business or our industry;</w:t>
      </w:r>
    </w:p>
    <w:p>
      <w:pPr>
        <w:spacing w:after="0" w:line="62" w:lineRule="exact"/>
        <w:rPr>
          <w:rFonts w:ascii="Arial" w:cs="Arial" w:eastAsia="Arial" w:hAnsi="Arial"/>
          <w:sz w:val="18"/>
          <w:szCs w:val="18"/>
          <w:color w:val="auto"/>
        </w:rPr>
      </w:pPr>
    </w:p>
    <w:p>
      <w:pPr>
        <w:ind w:left="1000" w:right="43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w:t>
      </w:r>
    </w:p>
    <w:p>
      <w:pPr>
        <w:spacing w:after="0" w:line="62" w:lineRule="exact"/>
        <w:rPr>
          <w:rFonts w:ascii="Arial" w:cs="Arial" w:eastAsia="Arial" w:hAnsi="Arial"/>
          <w:sz w:val="18"/>
          <w:szCs w:val="18"/>
          <w:color w:val="auto"/>
        </w:rPr>
      </w:pPr>
    </w:p>
    <w:p>
      <w:pPr>
        <w:ind w:left="1000" w:right="67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or proposed changes in laws or regulations or differing interpretations or enforcement thereof affecting our business;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relating to litigation or governmental investigations;</w:t>
      </w:r>
    </w:p>
    <w:p>
      <w:pPr>
        <w:spacing w:after="0" w:line="117" w:lineRule="exact"/>
        <w:rPr>
          <w:rFonts w:ascii="Arial" w:cs="Arial" w:eastAsia="Arial" w:hAnsi="Arial"/>
          <w:sz w:val="18"/>
          <w:szCs w:val="18"/>
          <w:color w:val="auto"/>
        </w:rPr>
      </w:pPr>
    </w:p>
    <w:p>
      <w:pPr>
        <w:ind w:left="1000" w:right="67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our failure to meet this guidance;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common stock;</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117" w:lineRule="exact"/>
        <w:rPr>
          <w:rFonts w:ascii="Arial" w:cs="Arial" w:eastAsia="Arial" w:hAnsi="Arial"/>
          <w:sz w:val="18"/>
          <w:szCs w:val="18"/>
          <w:color w:val="auto"/>
        </w:rPr>
      </w:pPr>
    </w:p>
    <w:p>
      <w:pPr>
        <w:ind w:left="1000" w:right="639" w:hanging="348"/>
        <w:spacing w:after="0" w:line="263"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informational technology system failures and disruptions, epidemics, pandemics, natural disasters, war, acts of terrorism, civil unrest or responses to these events.</w:t>
      </w:r>
    </w:p>
    <w:p>
      <w:pPr>
        <w:spacing w:after="0" w:line="76"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49" w:lineRule="exact"/>
        <w:rPr>
          <w:sz w:val="20"/>
          <w:szCs w:val="20"/>
          <w:color w:val="auto"/>
        </w:rPr>
      </w:pPr>
    </w:p>
    <w:p>
      <w:pPr>
        <w:ind w:left="300" w:right="439" w:firstLine="360"/>
        <w:spacing w:after="0" w:line="301" w:lineRule="auto"/>
        <w:rPr>
          <w:sz w:val="20"/>
          <w:szCs w:val="20"/>
          <w:color w:val="auto"/>
        </w:rPr>
      </w:pPr>
      <w:r>
        <w:rPr>
          <w:rFonts w:ascii="Arial" w:cs="Arial" w:eastAsia="Arial" w:hAnsi="Arial"/>
          <w:sz w:val="16"/>
          <w:szCs w:val="16"/>
          <w:color w:val="auto"/>
        </w:rPr>
        <w:t>In the past, following periods of market volatility, stockholders have instituted securities class action litigation against various issuers. If we were to become involved in securities litigation, it could have a substantial cost and divert resources and the attention of executive management from our business regardless of the outcome of such litigation, which may adversely affect the market price of our common stock.</w:t>
      </w:r>
    </w:p>
    <w:p>
      <w:pPr>
        <w:spacing w:after="0" w:line="157" w:lineRule="exact"/>
        <w:rPr>
          <w:sz w:val="20"/>
          <w:szCs w:val="20"/>
          <w:color w:val="auto"/>
        </w:rPr>
      </w:pPr>
    </w:p>
    <w:p>
      <w:pPr>
        <w:ind w:left="300" w:right="619"/>
        <w:spacing w:after="0" w:line="277" w:lineRule="auto"/>
        <w:rPr>
          <w:sz w:val="20"/>
          <w:szCs w:val="20"/>
          <w:color w:val="auto"/>
        </w:rPr>
      </w:pPr>
      <w:r>
        <w:rPr>
          <w:rFonts w:ascii="Arial" w:cs="Arial" w:eastAsia="Arial" w:hAnsi="Arial"/>
          <w:sz w:val="18"/>
          <w:szCs w:val="18"/>
          <w:b w:val="1"/>
          <w:bCs w:val="1"/>
          <w:i w:val="1"/>
          <w:iCs w:val="1"/>
          <w:color w:val="auto"/>
        </w:rPr>
        <w:t>You may be diluted by the future issuance of additional common stock in connection with our incentive plans, acquisitions or otherwise.</w:t>
      </w:r>
    </w:p>
    <w:p>
      <w:pPr>
        <w:spacing w:after="0" w:line="62" w:lineRule="exact"/>
        <w:rPr>
          <w:sz w:val="20"/>
          <w:szCs w:val="20"/>
          <w:color w:val="auto"/>
        </w:rPr>
      </w:pPr>
    </w:p>
    <w:p>
      <w:pPr>
        <w:ind w:left="300" w:right="359" w:firstLine="360"/>
        <w:spacing w:after="0" w:line="288" w:lineRule="auto"/>
        <w:rPr>
          <w:sz w:val="20"/>
          <w:szCs w:val="20"/>
          <w:color w:val="auto"/>
        </w:rPr>
      </w:pPr>
      <w:r>
        <w:rPr>
          <w:rFonts w:ascii="Arial" w:cs="Arial" w:eastAsia="Arial" w:hAnsi="Arial"/>
          <w:sz w:val="16"/>
          <w:szCs w:val="16"/>
          <w:color w:val="auto"/>
        </w:rPr>
        <w:t>After this offering, we will have approximately 211,489,000 shares of common stock authorized but unissued (assuming that the price per share to be paid by us in connection with the concurrent share repurchase is $45.74, which is the closing sales price of our common stock as reported on the Nasdaq on September 10, 2021). Our amended and restated certificate of incorporation authorizes us to issue these shares of common stock, options and other equity awards relating to common stock for the consideration and on the terms and conditions established by our board of directors in its sole discretion, whether in connection with acquisitions or otherwise. We have reserved shares for issuance under our 2011 Equity Plan, our 2020 Equity Plan, and our ESPP. Any common stock that we issue, including under our 2011 Equity Plan, 2020 Equity Plan, ESPP or other equity incentive plans that we may adopt in the future, would dilute the percentage ownership held by the investors who purchase common stock in this offering. In the future, we may also issue our securities in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59" w:lineRule="auto"/>
        <w:rPr>
          <w:sz w:val="20"/>
          <w:szCs w:val="20"/>
          <w:color w:val="auto"/>
        </w:rPr>
      </w:pPr>
      <w:r>
        <w:rPr>
          <w:rFonts w:ascii="Arial" w:cs="Arial" w:eastAsia="Arial" w:hAnsi="Arial"/>
          <w:sz w:val="18"/>
          <w:szCs w:val="18"/>
          <w:color w:val="auto"/>
        </w:rPr>
        <w:t>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349" w:lineRule="exact"/>
        <w:rPr>
          <w:sz w:val="20"/>
          <w:szCs w:val="20"/>
          <w:color w:val="auto"/>
        </w:rPr>
      </w:pPr>
    </w:p>
    <w:p>
      <w:pPr>
        <w:ind w:left="300" w:right="539"/>
        <w:spacing w:after="0" w:line="342" w:lineRule="auto"/>
        <w:rPr>
          <w:sz w:val="20"/>
          <w:szCs w:val="20"/>
          <w:color w:val="auto"/>
        </w:rPr>
      </w:pPr>
      <w:r>
        <w:rPr>
          <w:rFonts w:ascii="Arial" w:cs="Arial" w:eastAsia="Arial" w:hAnsi="Arial"/>
          <w:sz w:val="16"/>
          <w:szCs w:val="16"/>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16" w:lineRule="exact"/>
        <w:rPr>
          <w:sz w:val="20"/>
          <w:szCs w:val="20"/>
          <w:color w:val="auto"/>
        </w:rPr>
      </w:pPr>
    </w:p>
    <w:p>
      <w:pPr>
        <w:ind w:left="300" w:right="319" w:firstLine="360"/>
        <w:spacing w:after="0" w:line="290" w:lineRule="auto"/>
        <w:rPr>
          <w:sz w:val="20"/>
          <w:szCs w:val="20"/>
          <w:color w:val="auto"/>
        </w:rPr>
      </w:pPr>
      <w:r>
        <w:rPr>
          <w:rFonts w:ascii="Arial" w:cs="Arial" w:eastAsia="Arial" w:hAnsi="Arial"/>
          <w:sz w:val="16"/>
          <w:szCs w:val="16"/>
          <w:color w:val="auto"/>
        </w:rPr>
        <w:t>We have no current plans to pay cash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our indenture and other indebtedness we may incur, and such other factors as our board of directors may deem relevant. See “Dividend Policy.” As a result, you may not receive any return on an investment in our common stock unless you sell our common stock for a price greater than your purchase price.</w:t>
      </w:r>
    </w:p>
    <w:p>
      <w:pPr>
        <w:spacing w:after="0" w:line="314" w:lineRule="exact"/>
        <w:rPr>
          <w:sz w:val="20"/>
          <w:szCs w:val="20"/>
          <w:color w:val="auto"/>
        </w:rPr>
      </w:pPr>
    </w:p>
    <w:p>
      <w:pPr>
        <w:ind w:left="300" w:right="659"/>
        <w:spacing w:after="0" w:line="277" w:lineRule="auto"/>
        <w:rPr>
          <w:sz w:val="20"/>
          <w:szCs w:val="20"/>
          <w:color w:val="auto"/>
        </w:rPr>
      </w:pPr>
      <w:r>
        <w:rPr>
          <w:rFonts w:ascii="Arial" w:cs="Arial" w:eastAsia="Arial" w:hAnsi="Arial"/>
          <w:sz w:val="18"/>
          <w:szCs w:val="18"/>
          <w:b w:val="1"/>
          <w:bCs w:val="1"/>
          <w:i w:val="1"/>
          <w:iCs w:val="1"/>
          <w:color w:val="auto"/>
        </w:rPr>
        <w:t>Academy Sports and Outdoors, Inc. is a holding company and depends on its subsidiaries for cash to fund its operations and expenses, including future dividend payments, if any.</w:t>
      </w:r>
    </w:p>
    <w:p>
      <w:pPr>
        <w:spacing w:after="0" w:line="62" w:lineRule="exact"/>
        <w:rPr>
          <w:sz w:val="20"/>
          <w:szCs w:val="20"/>
          <w:color w:val="auto"/>
        </w:rPr>
      </w:pPr>
    </w:p>
    <w:p>
      <w:pPr>
        <w:ind w:left="300" w:right="359" w:firstLine="360"/>
        <w:spacing w:after="0" w:line="291" w:lineRule="auto"/>
        <w:rPr>
          <w:sz w:val="20"/>
          <w:szCs w:val="20"/>
          <w:color w:val="auto"/>
        </w:rPr>
      </w:pPr>
      <w:r>
        <w:rPr>
          <w:rFonts w:ascii="Arial" w:cs="Arial" w:eastAsia="Arial" w:hAnsi="Arial"/>
          <w:sz w:val="16"/>
          <w:szCs w:val="16"/>
          <w:color w:val="auto"/>
        </w:rPr>
        <w:t>Our operations are conducted through our wholly owned subsidiaries and our ability to generate cash to meet our debt service obligations or to make future dividend payments, if any, is highly dependent on the earnings of,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 In addition, Delaware law may impose requirements that may restrict our ability to pay dividends to holders of our common stock.</w:t>
      </w:r>
    </w:p>
    <w:p>
      <w:pPr>
        <w:spacing w:after="0" w:line="315" w:lineRule="exact"/>
        <w:rPr>
          <w:sz w:val="20"/>
          <w:szCs w:val="20"/>
          <w:color w:val="auto"/>
        </w:rPr>
      </w:pPr>
    </w:p>
    <w:p>
      <w:pPr>
        <w:ind w:left="300" w:right="479"/>
        <w:spacing w:after="0" w:line="277" w:lineRule="auto"/>
        <w:rPr>
          <w:sz w:val="20"/>
          <w:szCs w:val="20"/>
          <w:color w:val="auto"/>
        </w:rPr>
      </w:pPr>
      <w:r>
        <w:rPr>
          <w:rFonts w:ascii="Arial" w:cs="Arial" w:eastAsia="Arial" w:hAnsi="Arial"/>
          <w:sz w:val="18"/>
          <w:szCs w:val="18"/>
          <w:b w:val="1"/>
          <w:bCs w:val="1"/>
          <w:i w:val="1"/>
          <w:iCs w:val="1"/>
          <w:color w:val="auto"/>
        </w:rPr>
        <w:t>Future sales, or the perception of future sales, by us or our existing stockholders in the public market following this offering could cause the market price for our common stock to decline.</w:t>
      </w:r>
    </w:p>
    <w:p>
      <w:pPr>
        <w:spacing w:after="0" w:line="62"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The sale of substantial amounts of shares of our common stock in the public market, or the perception that such sales could occur, including sales by our existing stockholders,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333" w:lineRule="exact"/>
        <w:rPr>
          <w:sz w:val="20"/>
          <w:szCs w:val="20"/>
          <w:color w:val="auto"/>
        </w:rPr>
      </w:pPr>
    </w:p>
    <w:p>
      <w:pPr>
        <w:ind w:left="300" w:right="379"/>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downgrade our stock or our sector, our stock price and trading volume could decline.</w:t>
      </w:r>
    </w:p>
    <w:p>
      <w:pPr>
        <w:spacing w:after="0" w:line="62" w:lineRule="exact"/>
        <w:rPr>
          <w:sz w:val="20"/>
          <w:szCs w:val="20"/>
          <w:color w:val="auto"/>
        </w:rPr>
      </w:pPr>
    </w:p>
    <w:p>
      <w:pPr>
        <w:ind w:left="300" w:right="379" w:firstLine="360"/>
        <w:spacing w:after="0" w:line="254"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We do not control these analysts. Furthermore, if one or more of the analysts who do cover us downgrade our stock or our industry, or the stock of any of our competitors, or publish inaccurate or unfavorable research about our business, or if our operating results do not meet their expectations, the price of our stock could decline. If one or more of these analysts ceases coverage of the Company or fails to publish reports on us regularly, we could lose visibility in the market, which in turn could cause our stock price or trading volume to decline.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Anti-takeover provisions in our organizational documents could delay or prevent a change of control.</w:t>
      </w:r>
    </w:p>
    <w:p>
      <w:pPr>
        <w:spacing w:after="0" w:line="129" w:lineRule="exact"/>
        <w:rPr>
          <w:sz w:val="20"/>
          <w:szCs w:val="20"/>
          <w:color w:val="auto"/>
        </w:rPr>
      </w:pPr>
    </w:p>
    <w:p>
      <w:pPr>
        <w:ind w:left="300" w:right="439" w:firstLine="360"/>
        <w:spacing w:after="0" w:line="301" w:lineRule="auto"/>
        <w:rPr>
          <w:sz w:val="20"/>
          <w:szCs w:val="20"/>
          <w:color w:val="auto"/>
        </w:rPr>
      </w:pPr>
      <w:r>
        <w:rPr>
          <w:rFonts w:ascii="Arial" w:cs="Arial" w:eastAsia="Arial" w:hAnsi="Arial"/>
          <w:sz w:val="16"/>
          <w:szCs w:val="16"/>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provide for, among other things:</w:t>
      </w:r>
    </w:p>
    <w:p>
      <w:pPr>
        <w:spacing w:after="0" w:line="117" w:lineRule="exact"/>
        <w:rPr>
          <w:sz w:val="20"/>
          <w:szCs w:val="20"/>
          <w:color w:val="auto"/>
        </w:rPr>
      </w:pPr>
    </w:p>
    <w:p>
      <w:pPr>
        <w:ind w:left="1000" w:right="359" w:hanging="34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classified board of directors, as a result of which our board of directors is divided into three classes, with each class serving for staggered three-year terms;</w:t>
      </w:r>
    </w:p>
    <w:p>
      <w:pPr>
        <w:spacing w:after="0" w:line="62" w:lineRule="exact"/>
        <w:rPr>
          <w:rFonts w:ascii="Arial" w:cs="Arial" w:eastAsia="Arial" w:hAnsi="Arial"/>
          <w:sz w:val="18"/>
          <w:szCs w:val="18"/>
          <w:color w:val="auto"/>
        </w:rPr>
      </w:pPr>
    </w:p>
    <w:p>
      <w:pPr>
        <w:ind w:left="1000" w:right="719" w:hanging="34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 without stockholder approval;</w:t>
      </w:r>
    </w:p>
    <w:p>
      <w:pPr>
        <w:spacing w:after="0" w:line="62" w:lineRule="exact"/>
        <w:rPr>
          <w:rFonts w:ascii="Arial" w:cs="Arial" w:eastAsia="Arial" w:hAnsi="Arial"/>
          <w:sz w:val="18"/>
          <w:szCs w:val="18"/>
          <w:color w:val="auto"/>
        </w:rPr>
      </w:pPr>
    </w:p>
    <w:p>
      <w:pPr>
        <w:ind w:left="1000" w:right="439" w:hanging="34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notice requirements for nominations of directors by stockholders and for stockholders to include matters to be considered at our annual meetings;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23" w:lineRule="exact"/>
        <w:rPr>
          <w:rFonts w:ascii="Arial" w:cs="Arial" w:eastAsia="Arial" w:hAnsi="Arial"/>
          <w:sz w:val="18"/>
          <w:szCs w:val="18"/>
          <w:color w:val="auto"/>
        </w:rPr>
      </w:pPr>
    </w:p>
    <w:p>
      <w:pPr>
        <w:ind w:left="1000" w:right="339" w:hanging="348"/>
        <w:spacing w:after="0" w:line="250"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removal of directors only for cause and only upon the affirmative vote of the holders of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the shares of common stock entitled to vote generally in the election of directors; and</w:t>
      </w:r>
    </w:p>
    <w:p>
      <w:pPr>
        <w:ind w:left="1000" w:right="899" w:hanging="348"/>
        <w:spacing w:after="0" w:line="239"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certain provisions may be amended only by the affirmative vote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shares of common stock entitled to vote generally in the election of directors.</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anti-takeover provisions could make it more difficult for a third party to acquire us, even if the</w:t>
      </w:r>
    </w:p>
    <w:p>
      <w:pPr>
        <w:spacing w:after="0" w:line="23" w:lineRule="exact"/>
        <w:rPr>
          <w:sz w:val="20"/>
          <w:szCs w:val="20"/>
          <w:color w:val="auto"/>
        </w:rPr>
      </w:pPr>
    </w:p>
    <w:p>
      <w:pPr>
        <w:ind w:left="300" w:right="499"/>
        <w:spacing w:after="0" w:line="290" w:lineRule="auto"/>
        <w:rPr>
          <w:sz w:val="20"/>
          <w:szCs w:val="20"/>
          <w:color w:val="auto"/>
        </w:rPr>
      </w:pPr>
      <w:r>
        <w:rPr>
          <w:rFonts w:ascii="Arial" w:cs="Arial" w:eastAsia="Arial" w:hAnsi="Arial"/>
          <w:sz w:val="17"/>
          <w:szCs w:val="17"/>
          <w:color w:val="auto"/>
        </w:rPr>
        <w:t>third party’s offer may be considered beneficial by many of our stockholders. As a result, our stockholders may be limited in their ability to obtain a premium for their shares. See “Description of Capital Stock.”</w:t>
      </w:r>
    </w:p>
    <w:p>
      <w:pPr>
        <w:spacing w:after="0" w:line="161" w:lineRule="exact"/>
        <w:rPr>
          <w:sz w:val="20"/>
          <w:szCs w:val="20"/>
          <w:color w:val="auto"/>
        </w:rPr>
      </w:pPr>
    </w:p>
    <w:p>
      <w:pPr>
        <w:ind w:left="300" w:right="759"/>
        <w:spacing w:after="0" w:line="277" w:lineRule="auto"/>
        <w:rPr>
          <w:sz w:val="20"/>
          <w:szCs w:val="20"/>
          <w:color w:val="auto"/>
        </w:rPr>
      </w:pPr>
      <w:r>
        <w:rPr>
          <w:rFonts w:ascii="Arial" w:cs="Arial" w:eastAsia="Arial" w:hAnsi="Arial"/>
          <w:sz w:val="18"/>
          <w:szCs w:val="18"/>
          <w:b w:val="1"/>
          <w:bCs w:val="1"/>
          <w:i w:val="1"/>
          <w:iCs w:val="1"/>
          <w:color w:val="auto"/>
        </w:rPr>
        <w:t>Our board of directors is authorized to issue and designate shares of our preferred stock in additional series without stockholder approval.</w:t>
      </w:r>
    </w:p>
    <w:p>
      <w:pPr>
        <w:spacing w:after="0" w:line="62" w:lineRule="exact"/>
        <w:rPr>
          <w:sz w:val="20"/>
          <w:szCs w:val="20"/>
          <w:color w:val="auto"/>
        </w:rPr>
      </w:pPr>
    </w:p>
    <w:p>
      <w:pPr>
        <w:ind w:left="300" w:right="339" w:firstLine="360"/>
        <w:spacing w:after="0" w:line="291" w:lineRule="auto"/>
        <w:rPr>
          <w:sz w:val="20"/>
          <w:szCs w:val="20"/>
          <w:color w:val="auto"/>
        </w:rPr>
      </w:pPr>
      <w:r>
        <w:rPr>
          <w:rFonts w:ascii="Arial" w:cs="Arial" w:eastAsia="Arial" w:hAnsi="Arial"/>
          <w:sz w:val="16"/>
          <w:szCs w:val="16"/>
          <w:color w:val="auto"/>
        </w:rPr>
        <w:t>Our amended and restated certificate of incorporation authorizes our board of directors, without the approval of our stockholders, to issue 50 million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166" w:lineRule="exact"/>
        <w:rPr>
          <w:sz w:val="20"/>
          <w:szCs w:val="20"/>
          <w:color w:val="auto"/>
        </w:rPr>
      </w:pPr>
    </w:p>
    <w:p>
      <w:pPr>
        <w:ind w:left="300" w:right="519"/>
        <w:spacing w:after="0" w:line="296"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subject to limited exceptions, that the Court of Chancery of the State of Delaware will be the exclusive forum for substantially all disputes between us and our stockholders and the federal district courts will be the exclusive forum for Securities Act claims, which could limit our stockholders’ ability to bring a suit in a different judicial forum than they may otherwise choose for disputes with us or our directors, officers, team members or stockholders.</w:t>
      </w:r>
    </w:p>
    <w:p>
      <w:pPr>
        <w:spacing w:after="0" w:line="53" w:lineRule="exact"/>
        <w:rPr>
          <w:sz w:val="20"/>
          <w:szCs w:val="20"/>
          <w:color w:val="auto"/>
        </w:rPr>
      </w:pPr>
    </w:p>
    <w:p>
      <w:pPr>
        <w:ind w:left="300" w:right="439" w:firstLine="360"/>
        <w:spacing w:after="0" w:line="285" w:lineRule="auto"/>
        <w:rPr>
          <w:sz w:val="20"/>
          <w:szCs w:val="20"/>
          <w:color w:val="auto"/>
        </w:rPr>
      </w:pPr>
      <w:r>
        <w:rPr>
          <w:rFonts w:ascii="Arial" w:cs="Arial" w:eastAsia="Arial" w:hAnsi="Arial"/>
          <w:sz w:val="16"/>
          <w:szCs w:val="16"/>
          <w:color w:val="auto"/>
        </w:rPr>
        <w:t>Our amended and restated certificate of incorporation provides, subject to limited exceptions, that unless we consent to the selection of an alternative forum, the Court of Chancery of the State of Delaware will,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w:t>
      </w:r>
    </w:p>
    <w:p>
      <w:pPr>
        <w:spacing w:after="0" w:line="2" w:lineRule="exact"/>
        <w:rPr>
          <w:sz w:val="20"/>
          <w:szCs w:val="20"/>
          <w:color w:val="auto"/>
        </w:rPr>
      </w:pPr>
    </w:p>
    <w:p>
      <w:pPr>
        <w:ind w:left="300" w:right="299" w:hanging="8"/>
        <w:spacing w:after="0" w:line="268" w:lineRule="auto"/>
        <w:tabs>
          <w:tab w:leader="none" w:pos="615" w:val="left"/>
        </w:tabs>
        <w:numPr>
          <w:ilvl w:val="0"/>
          <w:numId w:val="18"/>
        </w:numPr>
        <w:rPr>
          <w:rFonts w:ascii="Arial" w:cs="Arial" w:eastAsia="Arial" w:hAnsi="Arial"/>
          <w:sz w:val="17"/>
          <w:szCs w:val="17"/>
          <w:color w:val="auto"/>
        </w:rPr>
      </w:pPr>
      <w:r>
        <w:rPr>
          <w:rFonts w:ascii="Arial" w:cs="Arial" w:eastAsia="Arial" w:hAnsi="Arial"/>
          <w:sz w:val="17"/>
          <w:szCs w:val="17"/>
          <w:color w:val="auto"/>
        </w:rPr>
        <w:t>action asserting a claim against the Company or any director or officer of the Company arising pursuant to any provision of the Delaware General Corporation Law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provided that, the exclusive forum provision will not apply to suits brought to enforce any liability or duty created by the Exchange Act, which already provides that such claims must be bought exclusively in the federal courts. Our amended and restated certificate of incorporation also provides that, unless we consent in writing to the selection of an alternative forum, the U.S. federal district courts will be the exclusive forum for the resolution of any actions or proceedings asserting claims arising under the Securities Act. While the Delaware Supreme Court has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39"/>
        <w:spacing w:after="0" w:line="279" w:lineRule="auto"/>
        <w:rPr>
          <w:sz w:val="20"/>
          <w:szCs w:val="20"/>
          <w:color w:val="auto"/>
        </w:rPr>
      </w:pPr>
      <w:r>
        <w:rPr>
          <w:rFonts w:ascii="Arial" w:cs="Arial" w:eastAsia="Arial" w:hAnsi="Arial"/>
          <w:sz w:val="17"/>
          <w:szCs w:val="17"/>
          <w:color w:val="auto"/>
        </w:rPr>
        <w:t>upheld the validity of similar provisions under the DGCL, there is uncertainty as to whether a court in another state would enforce such a forum selection provision. Our exclusive forum provision does not relieve us of our duties to comply with the federal securities laws and the rules and regulations thereunder, and our stockholders are not be deemed to have waived our compliance with these laws, rules and regulations.</w:t>
      </w:r>
    </w:p>
    <w:p>
      <w:pPr>
        <w:spacing w:after="0" w:line="63"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Any person or entity purchasing or otherwise acquiring any interest in shares of our capital stock is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team members or stockholders. Alternatively, if a court were to find the choice of forum provision contained in our amended restated certificate of incorporation to be inapplicable or unenforceable in an action, we may incur additional costs associated with resolving such action in other jurisdictions, which could harm our business, results of operations and financial conditions.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300" w:right="339" w:firstLine="360"/>
        <w:spacing w:after="0" w:line="288" w:lineRule="auto"/>
        <w:rPr>
          <w:sz w:val="20"/>
          <w:szCs w:val="20"/>
          <w:color w:val="auto"/>
        </w:rPr>
      </w:pPr>
      <w:r>
        <w:rPr>
          <w:rFonts w:ascii="Arial" w:cs="Arial" w:eastAsia="Arial" w:hAnsi="Arial"/>
          <w:sz w:val="16"/>
          <w:szCs w:val="16"/>
          <w:color w:val="auto"/>
        </w:rPr>
        <w:t>This prospectus and the documents incorporated by reference herein includes forward-looking statements that reflect our current views with respect to, among other things, our operations and financial performance. Forward-looking statements include all statements that are not historical facts. These forward-looking statements are included throughout this prospectus, including in the sections entitled “Summary” and “Risk Factors,” and the documents incorporated by reference herein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prospectus and the documents incorporated by reference herein.</w:t>
      </w:r>
    </w:p>
    <w:p>
      <w:pPr>
        <w:spacing w:after="0" w:line="60" w:lineRule="exact"/>
        <w:rPr>
          <w:sz w:val="20"/>
          <w:szCs w:val="20"/>
          <w:color w:val="auto"/>
        </w:rPr>
      </w:pPr>
    </w:p>
    <w:p>
      <w:pPr>
        <w:ind w:left="300" w:right="359" w:firstLine="360"/>
        <w:spacing w:after="0" w:line="289" w:lineRule="auto"/>
        <w:rPr>
          <w:sz w:val="20"/>
          <w:szCs w:val="20"/>
          <w:color w:val="auto"/>
        </w:rPr>
      </w:pPr>
      <w:r>
        <w:rPr>
          <w:rFonts w:ascii="Arial" w:cs="Arial" w:eastAsia="Arial" w:hAnsi="Arial"/>
          <w:sz w:val="16"/>
          <w:szCs w:val="16"/>
          <w:color w:val="auto"/>
        </w:rPr>
        <w:t>The forward-looking statements contained, or incorporated by reference, in this prospectus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those described under “Risk Factors” in this prospectus and “Risk Factors” in our Annual Report incorporated by reference herein, including the following:</w:t>
      </w:r>
    </w:p>
    <w:p>
      <w:pPr>
        <w:spacing w:after="0" w:line="58" w:lineRule="exact"/>
        <w:rPr>
          <w:sz w:val="20"/>
          <w:szCs w:val="20"/>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discretionary spending;</w:t>
      </w:r>
    </w:p>
    <w:p>
      <w:pPr>
        <w:spacing w:after="0" w:line="117" w:lineRule="exact"/>
        <w:rPr>
          <w:rFonts w:ascii="Arial" w:cs="Arial" w:eastAsia="Arial" w:hAnsi="Arial"/>
          <w:sz w:val="18"/>
          <w:szCs w:val="18"/>
          <w:color w:val="auto"/>
        </w:rPr>
      </w:pPr>
    </w:p>
    <w:p>
      <w:pPr>
        <w:ind w:left="1000" w:right="379" w:hanging="348"/>
        <w:spacing w:after="0" w:line="308" w:lineRule="auto"/>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predict or effectively react to changes in consumer tastes and preferences, to acquire and sell brand name merchandise at competitive prices and/or to manage our inventory balances;</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COVID-19 on our business and financial results;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intense competition in the sporting goods and outdoor recreation retail industries;</w:t>
      </w:r>
    </w:p>
    <w:p>
      <w:pPr>
        <w:spacing w:after="0" w:line="117" w:lineRule="exact"/>
        <w:rPr>
          <w:rFonts w:ascii="Arial" w:cs="Arial" w:eastAsia="Arial" w:hAnsi="Arial"/>
          <w:sz w:val="18"/>
          <w:szCs w:val="18"/>
          <w:color w:val="auto"/>
        </w:rPr>
      </w:pPr>
    </w:p>
    <w:p>
      <w:pPr>
        <w:ind w:left="1000" w:right="41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safeguard sensitive or confidential data relating to us and our customers, team members and vendors;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associated with our reliance on internationally manufactured merchandise;</w:t>
      </w:r>
    </w:p>
    <w:p>
      <w:pPr>
        <w:spacing w:after="0" w:line="117" w:lineRule="exact"/>
        <w:rPr>
          <w:rFonts w:ascii="Arial" w:cs="Arial" w:eastAsia="Arial" w:hAnsi="Arial"/>
          <w:sz w:val="18"/>
          <w:szCs w:val="18"/>
          <w:color w:val="auto"/>
        </w:rPr>
      </w:pPr>
    </w:p>
    <w:p>
      <w:pPr>
        <w:ind w:left="1000" w:right="37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comply with laws and regulations affecting our business, including those relating to the sale, manufacture and import of consumer products;</w:t>
      </w:r>
    </w:p>
    <w:p>
      <w:pPr>
        <w:spacing w:after="0" w:line="62" w:lineRule="exact"/>
        <w:rPr>
          <w:rFonts w:ascii="Arial" w:cs="Arial" w:eastAsia="Arial" w:hAnsi="Arial"/>
          <w:sz w:val="18"/>
          <w:szCs w:val="18"/>
          <w:color w:val="auto"/>
        </w:rPr>
      </w:pPr>
    </w:p>
    <w:p>
      <w:pPr>
        <w:ind w:left="1000" w:right="75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claims, demands and lawsuits to which we are, and may in the future, be subject and the risk that our insurance or indemnities coverage may not be sufficient;</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operate, update or implement our information technology systems;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risks associated with disruptions in our supply chain and losses of merchandise purchasing incentives;</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harm to our reputation;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failure of our third-party vendors of outsourced business services and solutions;</w:t>
      </w:r>
    </w:p>
    <w:p>
      <w:pPr>
        <w:spacing w:after="0" w:line="117"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successfully continue our store growth plans or manage our growth effectively, or any failure of our new stores to generate sales and/or achieve profitability;</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associated with our e-commerce business;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related to our owned brand merchandise;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disruption in the operation of our distribution centers;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quarterly and seasonal fluctuations in our operating results;</w:t>
      </w:r>
    </w:p>
    <w:p>
      <w:pPr>
        <w:spacing w:after="0" w:line="117" w:lineRule="exact"/>
        <w:rPr>
          <w:rFonts w:ascii="Arial" w:cs="Arial" w:eastAsia="Arial" w:hAnsi="Arial"/>
          <w:sz w:val="18"/>
          <w:szCs w:val="18"/>
          <w:color w:val="auto"/>
        </w:rPr>
      </w:pPr>
    </w:p>
    <w:p>
      <w:pPr>
        <w:ind w:left="1000" w:right="43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occurrence of severe weather events, catastrophic health events, natural or man-made disasters, social and political conditions or civil unrest;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919" w:hanging="348"/>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avoid the infringement of third-party intellectual property rights;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dependence on our ability to meet our labor needs;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geographic concentration of our stores;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merchandise (including raw materials) costs and availability;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successfully pursue strategic acquisitions and integrate acquired businesses;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payment-related risks;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retain key executives;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effectiveness of our marketing and advertising programs;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substantial indebtedness;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offering;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ownership of our common stock.</w:t>
      </w:r>
    </w:p>
    <w:p>
      <w:pPr>
        <w:spacing w:after="0" w:line="117" w:lineRule="exact"/>
        <w:rPr>
          <w:sz w:val="20"/>
          <w:szCs w:val="20"/>
          <w:color w:val="auto"/>
        </w:rPr>
      </w:pPr>
    </w:p>
    <w:p>
      <w:pPr>
        <w:ind w:left="300" w:right="299" w:firstLine="360"/>
        <w:spacing w:after="0" w:line="259" w:lineRule="auto"/>
        <w:rPr>
          <w:sz w:val="20"/>
          <w:szCs w:val="20"/>
          <w:color w:val="auto"/>
        </w:rPr>
      </w:pPr>
      <w:r>
        <w:rPr>
          <w:rFonts w:ascii="Arial" w:cs="Arial" w:eastAsia="Arial" w:hAnsi="Arial"/>
          <w:sz w:val="18"/>
          <w:szCs w:val="18"/>
          <w:color w:val="auto"/>
        </w:rPr>
        <w:t>These factors should not be construed as exhaustive and should be read in conjunction with the other cautionary statements that are included, or incorporated by reference, in this prospectus. Should one or more of these risks or uncertainties materialize, or should any of our assumptions prove incorrect, our actual results may vary in material respects from those projected in these forward-looking statements.</w:t>
      </w:r>
    </w:p>
    <w:p>
      <w:pPr>
        <w:spacing w:after="0" w:line="79" w:lineRule="exact"/>
        <w:rPr>
          <w:sz w:val="20"/>
          <w:szCs w:val="20"/>
          <w:color w:val="auto"/>
        </w:rPr>
      </w:pPr>
    </w:p>
    <w:p>
      <w:pPr>
        <w:ind w:left="300" w:right="419" w:firstLine="360"/>
        <w:spacing w:after="0" w:line="288" w:lineRule="auto"/>
        <w:rPr>
          <w:sz w:val="20"/>
          <w:szCs w:val="20"/>
          <w:color w:val="auto"/>
        </w:rPr>
      </w:pPr>
      <w:r>
        <w:rPr>
          <w:rFonts w:ascii="Arial" w:cs="Arial" w:eastAsia="Arial" w:hAnsi="Arial"/>
          <w:sz w:val="16"/>
          <w:szCs w:val="16"/>
          <w:color w:val="auto"/>
        </w:rPr>
        <w:t>Any forward-looking statement made by us in this prospectus or the documents incorporated by reference herein speaks only as of the date of this prospectus or in the documents incorporated by reference herein, as applicable, and are expressly qualified in their entirety by the cautionary statements included, or incorporated by reference, in this prospectus.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may be required by any applicable securities laws.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00" w:right="399" w:firstLine="360"/>
        <w:spacing w:after="0" w:line="290" w:lineRule="auto"/>
        <w:rPr>
          <w:sz w:val="20"/>
          <w:szCs w:val="20"/>
          <w:color w:val="auto"/>
        </w:rPr>
      </w:pPr>
      <w:r>
        <w:rPr>
          <w:rFonts w:ascii="Arial" w:cs="Arial" w:eastAsia="Arial" w:hAnsi="Arial"/>
          <w:sz w:val="16"/>
          <w:szCs w:val="16"/>
          <w:color w:val="auto"/>
        </w:rPr>
        <w:t>The selling stockholders will receive all of the net proceeds from the sale of shares of our common stock offered pursuant to this prospectus. We will not receive any proceeds from the sale of shares being sold in this offering. The selling stockholders will bear the underwriting commissions and discounts, if any, attributable to their sale of our common stock, and expenses incurred by the selling stockholders for brokerage, accounting, tax or legal services or any other expenses incurred by the selling stockholders. We will bear all other costs, fees and expenses incurred in effecting the registration of the shares covered by this prospectus, including, without limitation, all registration and filing fees, and fees and expenses of our counsel and one counsel for the selling stockholders and our independent registered public accountants. See “Principal and Selling Stockholders.”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300" w:right="319" w:firstLine="360"/>
        <w:spacing w:after="0" w:line="285" w:lineRule="auto"/>
        <w:rPr>
          <w:sz w:val="20"/>
          <w:szCs w:val="20"/>
          <w:color w:val="auto"/>
        </w:rPr>
      </w:pPr>
      <w:r>
        <w:rPr>
          <w:rFonts w:ascii="Arial" w:cs="Arial" w:eastAsia="Arial" w:hAnsi="Arial"/>
          <w:sz w:val="16"/>
          <w:szCs w:val="16"/>
          <w:color w:val="auto"/>
        </w:rPr>
        <w:t>We currently expect to retain all future earnings for use in the operation and expansion of our business and have no current plans to pay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the indenture governing the 2027 Notes and other indebtedness we may incur, and such other factors as our board of directors may deem relevant. If we elect to pay such dividends in the future, we may reduce or discontinue entirely the payment of such dividends at any time. Academy Sports and Outdoors, Inc. is a holding company and its operations are conducted through its wholly owned subsidiaries. In the event that we do pay a dividend, we intend to cause our operating subsidiaries to make distributions to us in an amount sufficient to cover such dividend. Our operating subsidiary, Academy, Ltd. and its subsidiaries are currently subject to certain restrictions and covenants under the indenture governing the 2027 Notes and the credit agreements governing the ABL Facility and the Term Loan Facility, including limits on amounts of leverage, interest charges and capital expenditures. These restrictions and covenants may restrict the ability of those entities to make distributions to Academy Sports and Outdoors, Inc. See Note 4 to our audited consolidated financial statements in our Annual Report incorporated by reference herein. Any additional financing arrangement we enter into in the future may include restrictive covenants that limit our subsidiaries’ ability to pay dividends to us. In addition, Delaware law may impose requirements that may restrict our ability to pay dividends to holders of our common stock.</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21" w:lineRule="exact"/>
        <w:rPr>
          <w:sz w:val="20"/>
          <w:szCs w:val="20"/>
          <w:color w:val="auto"/>
        </w:rPr>
      </w:pPr>
    </w:p>
    <w:p>
      <w:pPr>
        <w:jc w:val="both"/>
        <w:ind w:left="300" w:right="719" w:firstLine="360"/>
        <w:spacing w:after="0" w:line="259" w:lineRule="auto"/>
        <w:rPr>
          <w:sz w:val="20"/>
          <w:szCs w:val="20"/>
          <w:color w:val="auto"/>
        </w:rPr>
      </w:pPr>
      <w:r>
        <w:rPr>
          <w:rFonts w:ascii="Arial" w:cs="Arial" w:eastAsia="Arial" w:hAnsi="Arial"/>
          <w:sz w:val="18"/>
          <w:szCs w:val="18"/>
          <w:color w:val="auto"/>
        </w:rPr>
        <w:t>The following table sets forth information regarding the beneficial ownership of our common stock by the selling stockholders, the number of shares of our common stock offered hereby by the selling stockholders and information with respect to shares to be beneficially owned by the selling stockholders after completion of this offering and the concurrent share repurchase.</w:t>
      </w:r>
    </w:p>
    <w:p>
      <w:pPr>
        <w:spacing w:after="0" w:line="79" w:lineRule="exact"/>
        <w:rPr>
          <w:sz w:val="20"/>
          <w:szCs w:val="20"/>
          <w:color w:val="auto"/>
        </w:rPr>
      </w:pPr>
    </w:p>
    <w:p>
      <w:pPr>
        <w:ind w:left="300" w:right="379" w:firstLine="360"/>
        <w:spacing w:after="0" w:line="272" w:lineRule="auto"/>
        <w:rPr>
          <w:sz w:val="20"/>
          <w:szCs w:val="20"/>
          <w:color w:val="auto"/>
        </w:rPr>
      </w:pPr>
      <w:r>
        <w:rPr>
          <w:rFonts w:ascii="Arial" w:cs="Arial" w:eastAsia="Arial" w:hAnsi="Arial"/>
          <w:sz w:val="17"/>
          <w:szCs w:val="17"/>
          <w:color w:val="auto"/>
        </w:rPr>
        <w:t>The number of shares of common stock outstanding and percentages of beneficial ownership provided in the table below are based on the beneficial ownership as of July 31, 2021 and are based on 92,883,540 shares of our common stock, par value $0.01 per share, outstanding as of July 31, 2021 and, when indicated, give effect to the repurchase by us of 4,372,540 shares of our common stock in the concurrent share repurchase (assuming that the price per share to be paid by us in connection with the concurrent share repurchase is $45.74, which is the closing sales price of our common stock as reported on the Nasdaq on September 10, 2021). As of July 31, 2021, we had 30 holders of record of our common stock.</w:t>
      </w:r>
    </w:p>
    <w:p>
      <w:pPr>
        <w:spacing w:after="0" w:line="69" w:lineRule="exact"/>
        <w:rPr>
          <w:sz w:val="20"/>
          <w:szCs w:val="20"/>
          <w:color w:val="auto"/>
        </w:rPr>
      </w:pPr>
    </w:p>
    <w:p>
      <w:pPr>
        <w:ind w:left="300" w:right="339" w:firstLine="360"/>
        <w:spacing w:after="0" w:line="311" w:lineRule="auto"/>
        <w:rPr>
          <w:sz w:val="20"/>
          <w:szCs w:val="20"/>
          <w:color w:val="auto"/>
        </w:rPr>
      </w:pPr>
      <w:r>
        <w:rPr>
          <w:rFonts w:ascii="Arial" w:cs="Arial" w:eastAsia="Arial" w:hAnsi="Arial"/>
          <w:sz w:val="16"/>
          <w:szCs w:val="16"/>
          <w:color w:val="auto"/>
        </w:rPr>
        <w:t>Beneficial ownership is determined in accordance with the rules of the SEC. In accordance with the rules of the SEC, beneficial ownership includes voting or investment power with respect to securities and includes shares issuable pursuant to exchange or conversion rights that are exercisable within 60 days of the date of this prospectus.</w:t>
      </w:r>
    </w:p>
    <w:p>
      <w:pPr>
        <w:spacing w:after="0" w:line="41" w:lineRule="exact"/>
        <w:rPr>
          <w:sz w:val="20"/>
          <w:szCs w:val="20"/>
          <w:color w:val="auto"/>
        </w:rPr>
      </w:pPr>
    </w:p>
    <w:p>
      <w:pPr>
        <w:ind w:left="300" w:right="599" w:firstLine="360"/>
        <w:spacing w:after="0" w:line="263" w:lineRule="auto"/>
        <w:rPr>
          <w:sz w:val="20"/>
          <w:szCs w:val="20"/>
          <w:color w:val="auto"/>
        </w:rPr>
      </w:pPr>
      <w:r>
        <w:rPr>
          <w:rFonts w:ascii="Arial" w:cs="Arial" w:eastAsia="Arial" w:hAnsi="Arial"/>
          <w:sz w:val="18"/>
          <w:szCs w:val="18"/>
          <w:color w:val="auto"/>
        </w:rPr>
        <w:t>To our knowledge, except as indicated in the footnotes to this table and pursuant to applicable community property laws, the persons named in the table have sole voting and investment power with respect to all shares of common stock.</w:t>
      </w:r>
    </w:p>
    <w:p>
      <w:pPr>
        <w:spacing w:after="0" w:line="200" w:lineRule="exact"/>
        <w:rPr>
          <w:sz w:val="20"/>
          <w:szCs w:val="20"/>
          <w:color w:val="auto"/>
        </w:rPr>
      </w:pPr>
    </w:p>
    <w:p>
      <w:pPr>
        <w:spacing w:after="0" w:line="21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Shares Beneficially</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Shares to be Sold</w:t>
            </w:r>
          </w:p>
        </w:tc>
        <w:tc>
          <w:tcPr>
            <w:tcW w:w="1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Shares Beneficially</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Owned Prior to the</w:t>
            </w:r>
          </w:p>
        </w:tc>
        <w:tc>
          <w:tcPr>
            <w:tcW w:w="1200" w:type="dxa"/>
            <w:vAlign w:val="bottom"/>
            <w:gridSpan w:val="2"/>
            <w:vMerge w:val="continue"/>
          </w:tcPr>
          <w:p>
            <w:pPr>
              <w:spacing w:after="0"/>
              <w:rPr>
                <w:sz w:val="12"/>
                <w:szCs w:val="12"/>
                <w:color w:val="auto"/>
              </w:rPr>
            </w:pPr>
          </w:p>
        </w:tc>
        <w:tc>
          <w:tcPr>
            <w:tcW w:w="1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Owned After the</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Offering and the</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 this</w:t>
            </w:r>
          </w:p>
        </w:tc>
        <w:tc>
          <w:tcPr>
            <w:tcW w:w="1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Offering and the</w:t>
            </w:r>
          </w:p>
        </w:tc>
        <w:tc>
          <w:tcPr>
            <w:tcW w:w="0" w:type="dxa"/>
            <w:vAlign w:val="bottom"/>
          </w:tcPr>
          <w:p>
            <w:pPr>
              <w:spacing w:after="0"/>
              <w:rPr>
                <w:sz w:val="1"/>
                <w:szCs w:val="1"/>
                <w:color w:val="auto"/>
              </w:rPr>
            </w:pPr>
          </w:p>
        </w:tc>
      </w:tr>
      <w:tr>
        <w:trPr>
          <w:trHeight w:val="186"/>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Concurrent Share Repurchase</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Offering</w:t>
            </w:r>
          </w:p>
        </w:tc>
        <w:tc>
          <w:tcPr>
            <w:tcW w:w="1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Concurrent Share Repurchase</w:t>
            </w:r>
          </w:p>
        </w:tc>
        <w:tc>
          <w:tcPr>
            <w:tcW w:w="0" w:type="dxa"/>
            <w:vAlign w:val="bottom"/>
          </w:tcPr>
          <w:p>
            <w:pPr>
              <w:spacing w:after="0"/>
              <w:rPr>
                <w:sz w:val="1"/>
                <w:szCs w:val="1"/>
                <w:color w:val="auto"/>
              </w:rPr>
            </w:pPr>
          </w:p>
        </w:tc>
      </w:tr>
      <w:tr>
        <w:trPr>
          <w:trHeight w:val="53"/>
        </w:trPr>
        <w:tc>
          <w:tcPr>
            <w:tcW w:w="3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Percentage</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of Total</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Total</w:t>
            </w:r>
          </w:p>
        </w:tc>
        <w:tc>
          <w:tcPr>
            <w:tcW w:w="0" w:type="dxa"/>
            <w:vAlign w:val="bottom"/>
          </w:tcPr>
          <w:p>
            <w:pPr>
              <w:spacing w:after="0"/>
              <w:rPr>
                <w:sz w:val="1"/>
                <w:szCs w:val="1"/>
                <w:color w:val="auto"/>
              </w:rPr>
            </w:pPr>
          </w:p>
        </w:tc>
      </w:tr>
      <w:tr>
        <w:trPr>
          <w:trHeight w:val="148"/>
        </w:trPr>
        <w:tc>
          <w:tcPr>
            <w:tcW w:w="3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Common</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86"/>
        </w:trPr>
        <w:tc>
          <w:tcPr>
            <w:tcW w:w="326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12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52"/>
        </w:trPr>
        <w:tc>
          <w:tcPr>
            <w:tcW w:w="3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Selling Stockholders:</w:t>
            </w: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3260" w:type="dxa"/>
            <w:vAlign w:val="bottom"/>
            <w:gridSpan w:val="2"/>
          </w:tcPr>
          <w:p>
            <w:pPr>
              <w:spacing w:after="0"/>
              <w:rPr>
                <w:sz w:val="20"/>
                <w:szCs w:val="20"/>
                <w:color w:val="auto"/>
              </w:rPr>
            </w:pPr>
            <w:r>
              <w:rPr>
                <w:rFonts w:ascii="Arial" w:cs="Arial" w:eastAsia="Arial" w:hAnsi="Arial"/>
                <w:sz w:val="16"/>
                <w:szCs w:val="16"/>
                <w:color w:val="auto"/>
              </w:rPr>
              <w:t>KKR Stockholders</w:t>
            </w:r>
            <w:r>
              <w:rPr>
                <w:rFonts w:ascii="Arial" w:cs="Arial" w:eastAsia="Arial" w:hAnsi="Arial"/>
                <w:sz w:val="26"/>
                <w:szCs w:val="26"/>
                <w:color w:val="auto"/>
                <w:vertAlign w:val="superscript"/>
              </w:rPr>
              <w:t>(1)</w:t>
            </w:r>
          </w:p>
        </w:tc>
        <w:tc>
          <w:tcPr>
            <w:tcW w:w="940" w:type="dxa"/>
            <w:vAlign w:val="bottom"/>
          </w:tcPr>
          <w:p>
            <w:pPr>
              <w:jc w:val="right"/>
              <w:ind w:right="47"/>
              <w:spacing w:after="0"/>
              <w:rPr>
                <w:sz w:val="20"/>
                <w:szCs w:val="20"/>
                <w:color w:val="auto"/>
              </w:rPr>
            </w:pPr>
            <w:r>
              <w:rPr>
                <w:rFonts w:ascii="Arial" w:cs="Arial" w:eastAsia="Arial" w:hAnsi="Arial"/>
                <w:sz w:val="16"/>
                <w:szCs w:val="16"/>
                <w:color w:val="auto"/>
                <w:w w:val="99"/>
              </w:rPr>
              <w:t>18,645,602</w:t>
            </w:r>
          </w:p>
        </w:tc>
        <w:tc>
          <w:tcPr>
            <w:tcW w:w="100" w:type="dxa"/>
            <w:vAlign w:val="bottom"/>
          </w:tcPr>
          <w:p>
            <w:pPr>
              <w:spacing w:after="0"/>
              <w:rPr>
                <w:sz w:val="24"/>
                <w:szCs w:val="24"/>
                <w:color w:val="auto"/>
              </w:rPr>
            </w:pPr>
          </w:p>
        </w:tc>
        <w:tc>
          <w:tcPr>
            <w:tcW w:w="880" w:type="dxa"/>
            <w:vAlign w:val="bottom"/>
          </w:tcPr>
          <w:p>
            <w:pPr>
              <w:jc w:val="right"/>
              <w:ind w:right="106"/>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2"/>
              </w:rPr>
              <w:t>18,645,602</w:t>
            </w:r>
          </w:p>
        </w:tc>
        <w:tc>
          <w:tcPr>
            <w:tcW w:w="100" w:type="dxa"/>
            <w:vAlign w:val="bottom"/>
          </w:tcPr>
          <w:p>
            <w:pPr>
              <w:spacing w:after="0"/>
              <w:rPr>
                <w:sz w:val="24"/>
                <w:szCs w:val="2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4831715</wp:posOffset>
            </wp:positionH>
            <wp:positionV relativeFrom="paragraph">
              <wp:posOffset>-456565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-456565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-456565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-456565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-456565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108585</wp:posOffset>
            </wp:positionV>
            <wp:extent cx="8229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ind w:left="640" w:right="359" w:hanging="348"/>
        <w:spacing w:after="0" w:line="253" w:lineRule="auto"/>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(x) KKR 2006 Allstar Blocker L.P. holds 3,361,282 shares of our common stock; (y) Allstar Co-Invest Blocker L.P. holds 6,670,127 shares of our common stock; and (z) Allstar LLC holds 8,614,193 shares of our common stock.</w:t>
      </w:r>
    </w:p>
    <w:p>
      <w:pPr>
        <w:spacing w:after="0" w:line="11" w:lineRule="exact"/>
        <w:rPr>
          <w:rFonts w:ascii="Arial" w:cs="Arial" w:eastAsia="Arial" w:hAnsi="Arial"/>
          <w:sz w:val="14"/>
          <w:szCs w:val="14"/>
          <w:color w:val="auto"/>
        </w:rPr>
      </w:pPr>
    </w:p>
    <w:p>
      <w:pPr>
        <w:ind w:left="660" w:right="299"/>
        <w:spacing w:after="0" w:line="244" w:lineRule="auto"/>
        <w:rPr>
          <w:rFonts w:ascii="Arial" w:cs="Arial" w:eastAsia="Arial" w:hAnsi="Arial"/>
          <w:sz w:val="14"/>
          <w:szCs w:val="14"/>
          <w:color w:val="auto"/>
        </w:rPr>
      </w:pPr>
      <w:r>
        <w:rPr>
          <w:rFonts w:ascii="Arial" w:cs="Arial" w:eastAsia="Arial" w:hAnsi="Arial"/>
          <w:sz w:val="13"/>
          <w:szCs w:val="13"/>
          <w:color w:val="auto"/>
        </w:rPr>
        <w:t>Each of KKR 2006 Fund (Allstar) L.P. (as the managing member of Allstar LLC); KKR Associates 2006 AIV L.P. (as the general partner of KKR 2006 Fund (Allstar) L.P.); Allstar Co-Invest GP LLC (as the general partner of Allstar Co-Invest Blocker L.P.); KKR 2006 AIV GP LLC (as the general partner of each of KKR Associates 2006 AIV L.P. and KKR 2006 Allstar Blocker L.P. and as the sole member of Allstar Co-Invest GP LLC); KKR Group Partnership L.P. (as the sole member of KKR 2006 AIV GP LLC); KKR Group Holdings Corp. (as the general partner of KKR Group Partnership L.P.); KKR &amp; Co. Inc. (as the sole shareholder of KKR Group Holdings Corp.); KKR Management LLP (as the Series I preferred stockholder of KKR &amp; Co. Inc.); and Messrs. Henry R. Kravis and George R. Roberts (as the founding partners of KKR Management LLP) may also be deemed to be the beneficial owners having shared voting power and shared investment power over the securities described in this footnote. The principal business address of each of the entities and persons identified in this footnote, except Mr. Roberts, is c/o Kohlberg Kravis Roberts &amp; Co. L.P., 30 Hudson Yards, New York, NY, 10001. The principal business address for Mr. Roberts is c/o Kohlberg Kravis Roberts &amp; Co. L.P., 2800 Sand Hill Road, Suite 200, Menlo Park, CA 94025.</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21" w:lineRule="exact"/>
        <w:rPr>
          <w:sz w:val="20"/>
          <w:szCs w:val="20"/>
          <w:color w:val="auto"/>
        </w:rPr>
      </w:pPr>
    </w:p>
    <w:p>
      <w:pPr>
        <w:ind w:left="300" w:right="739" w:firstLine="360"/>
        <w:spacing w:after="0" w:line="311" w:lineRule="auto"/>
        <w:rPr>
          <w:sz w:val="20"/>
          <w:szCs w:val="20"/>
          <w:color w:val="auto"/>
        </w:rPr>
      </w:pPr>
      <w:r>
        <w:rPr>
          <w:rFonts w:ascii="Arial" w:cs="Arial" w:eastAsia="Arial" w:hAnsi="Arial"/>
          <w:sz w:val="16"/>
          <w:szCs w:val="16"/>
          <w:color w:val="auto"/>
        </w:rPr>
        <w:t>The following is a description of the material terms of, and is qualified in its entirety by, our amended and restated certificate of incorporation and amended and restated bylaws, each as in effect as of the date of this prospectus, copies of which are filed as exhibits to the registration statement of which this prospectus is a part.</w:t>
      </w:r>
    </w:p>
    <w:p>
      <w:pPr>
        <w:spacing w:after="0" w:line="41"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Our purpose is to engage in any lawful act or activity for which corporations may now or hereafter be organized under the DGCL. Our authorized capital stock consists of 300 million shares of common stock, par value $0.01 per share, and 50 million shares of preferred stock.</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300" w:right="339" w:firstLine="360"/>
        <w:spacing w:after="0" w:line="229" w:lineRule="auto"/>
        <w:rPr>
          <w:sz w:val="20"/>
          <w:szCs w:val="20"/>
          <w:color w:val="auto"/>
        </w:rPr>
      </w:pPr>
      <w:r>
        <w:rPr>
          <w:rFonts w:ascii="Arial" w:cs="Arial" w:eastAsia="Arial" w:hAnsi="Arial"/>
          <w:sz w:val="18"/>
          <w:szCs w:val="18"/>
          <w:color w:val="auto"/>
        </w:rPr>
        <w:t>Holders of shares of our common stock are entitled to one vote for each share held of record on all matters submitted to a vote of stockholders. The holders of our common stock vote to elect our directors by a plurality of the votes cast. On all other matters other than those specified in our amended and restated certificate of incorporation and amended and restated by-laws, where a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vote of the then outstanding shares of our common stock is required, the affirmative vote of a majority in voting power of shares present at a meeting of the holders of our common stock is required.</w:t>
      </w:r>
    </w:p>
    <w:p>
      <w:pPr>
        <w:spacing w:after="0" w:line="98" w:lineRule="exact"/>
        <w:rPr>
          <w:sz w:val="20"/>
          <w:szCs w:val="20"/>
          <w:color w:val="auto"/>
        </w:rPr>
      </w:pPr>
    </w:p>
    <w:p>
      <w:pPr>
        <w:ind w:left="300" w:right="359" w:firstLine="360"/>
        <w:spacing w:after="0" w:line="259" w:lineRule="auto"/>
        <w:rPr>
          <w:sz w:val="20"/>
          <w:szCs w:val="20"/>
          <w:color w:val="auto"/>
        </w:rPr>
      </w:pPr>
      <w:r>
        <w:rPr>
          <w:rFonts w:ascii="Arial" w:cs="Arial" w:eastAsia="Arial" w:hAnsi="Arial"/>
          <w:sz w:val="18"/>
          <w:szCs w:val="18"/>
          <w:color w:val="auto"/>
        </w:rPr>
        <w:t>Holders of shares of our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79" w:lineRule="exact"/>
        <w:rPr>
          <w:sz w:val="20"/>
          <w:szCs w:val="20"/>
          <w:color w:val="auto"/>
        </w:rPr>
      </w:pPr>
    </w:p>
    <w:p>
      <w:pPr>
        <w:ind w:left="300" w:right="319" w:firstLine="360"/>
        <w:spacing w:after="0" w:line="311" w:lineRule="auto"/>
        <w:rPr>
          <w:sz w:val="20"/>
          <w:szCs w:val="20"/>
          <w:color w:val="auto"/>
        </w:rPr>
      </w:pPr>
      <w:r>
        <w:rPr>
          <w:rFonts w:ascii="Arial" w:cs="Arial" w:eastAsia="Arial" w:hAnsi="Arial"/>
          <w:sz w:val="16"/>
          <w:szCs w:val="16"/>
          <w:color w:val="auto"/>
        </w:rPr>
        <w:t>Upon our dissolution or liquidation or the sale of all or substantially all of our assets, after payment in full of all amounts required to be paid to creditors and to the holders of preferred stock having liquidation preferences, if any, the holders of shares of our common stock will be entitled to receive our remaining assets available for distribution.</w:t>
      </w:r>
    </w:p>
    <w:p>
      <w:pPr>
        <w:spacing w:after="0" w:line="41" w:lineRule="exact"/>
        <w:rPr>
          <w:sz w:val="20"/>
          <w:szCs w:val="20"/>
          <w:color w:val="auto"/>
        </w:rPr>
      </w:pPr>
    </w:p>
    <w:p>
      <w:pPr>
        <w:ind w:left="300" w:right="339" w:firstLine="360"/>
        <w:spacing w:after="0" w:line="277" w:lineRule="auto"/>
        <w:rPr>
          <w:sz w:val="20"/>
          <w:szCs w:val="20"/>
          <w:color w:val="auto"/>
        </w:rPr>
      </w:pPr>
      <w:r>
        <w:rPr>
          <w:rFonts w:ascii="Arial" w:cs="Arial" w:eastAsia="Arial" w:hAnsi="Arial"/>
          <w:sz w:val="18"/>
          <w:szCs w:val="18"/>
          <w:color w:val="auto"/>
        </w:rPr>
        <w:t>Holders of shares of our common stock do not have preemptive, subscription or conversion rights. There are no redemption or sinking fund provisions applicable to our common stock.</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300" w:right="339" w:firstLine="360"/>
        <w:spacing w:after="0" w:line="275" w:lineRule="auto"/>
        <w:rPr>
          <w:sz w:val="20"/>
          <w:szCs w:val="20"/>
          <w:color w:val="auto"/>
        </w:rPr>
      </w:pPr>
      <w:r>
        <w:rPr>
          <w:rFonts w:ascii="Arial" w:cs="Arial" w:eastAsia="Arial" w:hAnsi="Arial"/>
          <w:sz w:val="17"/>
          <w:szCs w:val="17"/>
          <w:color w:val="auto"/>
        </w:rPr>
        <w:t>We do not currently have any preferred stock outstanding. However, our amended and restated certificate of incorporation authorizes our board of directors to establish one or more series of preferred stock (including convertible preferred stock). Unless required by law or by Nasdaq, the authorized shares of preferred stock are available for issuance without further action by you. Our board of directors will be able to determine, with respect to any series of preferred stock, the terms and rights of that series, including:</w:t>
      </w:r>
    </w:p>
    <w:p>
      <w:pPr>
        <w:spacing w:after="0" w:line="68" w:lineRule="exact"/>
        <w:rPr>
          <w:sz w:val="20"/>
          <w:szCs w:val="20"/>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17" w:lineRule="exact"/>
        <w:rPr>
          <w:rFonts w:ascii="Arial" w:cs="Arial" w:eastAsia="Arial" w:hAnsi="Arial"/>
          <w:sz w:val="18"/>
          <w:szCs w:val="18"/>
          <w:color w:val="auto"/>
        </w:rPr>
      </w:pPr>
    </w:p>
    <w:p>
      <w:pPr>
        <w:jc w:val="both"/>
        <w:ind w:left="1000" w:right="399" w:hanging="348"/>
        <w:spacing w:after="0" w:line="286"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57" w:lineRule="exact"/>
        <w:rPr>
          <w:rFonts w:ascii="Arial" w:cs="Arial" w:eastAsia="Arial" w:hAnsi="Arial"/>
          <w:sz w:val="17"/>
          <w:szCs w:val="17"/>
          <w:color w:val="auto"/>
        </w:rPr>
      </w:pPr>
    </w:p>
    <w:p>
      <w:pPr>
        <w:ind w:left="1000" w:hanging="348"/>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whether dividends, if any, will be cumulative or non-cumulative and the dividend rate of the series;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terms and amounts of any sinking fund provided for the purchase or redemption of shares of the series;</w:t>
      </w:r>
    </w:p>
    <w:p>
      <w:pPr>
        <w:spacing w:after="0" w:line="140" w:lineRule="exact"/>
        <w:rPr>
          <w:rFonts w:ascii="Arial" w:cs="Arial" w:eastAsia="Arial" w:hAnsi="Arial"/>
          <w:sz w:val="16"/>
          <w:szCs w:val="16"/>
          <w:color w:val="auto"/>
        </w:rPr>
      </w:pPr>
    </w:p>
    <w:p>
      <w:pPr>
        <w:ind w:left="1000" w:right="839" w:hanging="34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winding-up of the affairs of the Company;</w:t>
      </w:r>
    </w:p>
    <w:p>
      <w:pPr>
        <w:spacing w:after="0" w:line="62" w:lineRule="exact"/>
        <w:rPr>
          <w:rFonts w:ascii="Arial" w:cs="Arial" w:eastAsia="Arial" w:hAnsi="Arial"/>
          <w:sz w:val="18"/>
          <w:szCs w:val="18"/>
          <w:color w:val="auto"/>
        </w:rPr>
      </w:pPr>
    </w:p>
    <w:p>
      <w:pPr>
        <w:ind w:left="1000" w:right="319" w:hanging="348"/>
        <w:spacing w:after="0" w:line="25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shares of the series will be convertible into shares of any other class or series, or any other security, of the Company or any other corporation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117" w:lineRule="exact"/>
        <w:rPr>
          <w:sz w:val="20"/>
          <w:szCs w:val="20"/>
          <w:color w:val="auto"/>
        </w:rPr>
      </w:pPr>
    </w:p>
    <w:p>
      <w:pPr>
        <w:ind w:left="300" w:right="299" w:firstLine="360"/>
        <w:spacing w:after="0" w:line="291" w:lineRule="auto"/>
        <w:rPr>
          <w:sz w:val="20"/>
          <w:szCs w:val="20"/>
          <w:color w:val="auto"/>
        </w:rPr>
      </w:pPr>
      <w:r>
        <w:rPr>
          <w:rFonts w:ascii="Arial" w:cs="Arial" w:eastAsia="Arial" w:hAnsi="Arial"/>
          <w:sz w:val="16"/>
          <w:szCs w:val="16"/>
          <w:color w:val="auto"/>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for their common stock over the market price of the common stock. In addition,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may have an adverse impact on the market price of our common stock.</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300" w:right="419" w:firstLine="360"/>
        <w:spacing w:after="0" w:line="271" w:lineRule="auto"/>
        <w:rPr>
          <w:sz w:val="20"/>
          <w:szCs w:val="20"/>
          <w:color w:val="auto"/>
        </w:rPr>
      </w:pPr>
      <w:r>
        <w:rPr>
          <w:rFonts w:ascii="Arial" w:cs="Arial" w:eastAsia="Arial" w:hAnsi="Arial"/>
          <w:sz w:val="17"/>
          <w:szCs w:val="17"/>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70" w:lineRule="exact"/>
        <w:rPr>
          <w:sz w:val="20"/>
          <w:szCs w:val="20"/>
          <w:color w:val="auto"/>
        </w:rPr>
      </w:pPr>
    </w:p>
    <w:p>
      <w:pPr>
        <w:ind w:left="300" w:right="419" w:firstLine="360"/>
        <w:spacing w:after="0" w:line="257" w:lineRule="auto"/>
        <w:rPr>
          <w:sz w:val="20"/>
          <w:szCs w:val="20"/>
          <w:color w:val="auto"/>
        </w:rPr>
      </w:pPr>
      <w:r>
        <w:rPr>
          <w:rFonts w:ascii="Arial" w:cs="Arial" w:eastAsia="Arial" w:hAnsi="Arial"/>
          <w:sz w:val="18"/>
          <w:szCs w:val="18"/>
          <w:color w:val="auto"/>
        </w:rPr>
        <w:t>Declaration and payment of any dividend will be subject to the discretion of our board of directors.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w:t>
      </w:r>
    </w:p>
    <w:p>
      <w:pPr>
        <w:spacing w:after="0" w:line="184" w:lineRule="exact"/>
        <w:rPr>
          <w:sz w:val="20"/>
          <w:szCs w:val="20"/>
          <w:color w:val="auto"/>
        </w:rPr>
      </w:pPr>
    </w:p>
    <w:p>
      <w:pPr>
        <w:ind w:left="300" w:right="999"/>
        <w:spacing w:after="0" w:line="282" w:lineRule="auto"/>
        <w:rPr>
          <w:sz w:val="20"/>
          <w:szCs w:val="20"/>
          <w:color w:val="auto"/>
        </w:rPr>
      </w:pPr>
      <w:r>
        <w:rPr>
          <w:rFonts w:ascii="Arial" w:cs="Arial" w:eastAsia="Arial" w:hAnsi="Arial"/>
          <w:sz w:val="18"/>
          <w:szCs w:val="18"/>
          <w:b w:val="1"/>
          <w:bCs w:val="1"/>
          <w:color w:val="auto"/>
        </w:rPr>
        <w:t>Anti-Takeover Effects of Our Amended and Restated Certificate of Incorporation and Amended and Restated Bylaws and Certain Provisions of Delaware Law</w:t>
      </w:r>
    </w:p>
    <w:p>
      <w:pPr>
        <w:spacing w:after="0" w:line="58" w:lineRule="exact"/>
        <w:rPr>
          <w:sz w:val="20"/>
          <w:szCs w:val="20"/>
          <w:color w:val="auto"/>
        </w:rPr>
      </w:pPr>
    </w:p>
    <w:p>
      <w:pPr>
        <w:ind w:left="300" w:right="339" w:firstLine="360"/>
        <w:spacing w:after="0" w:line="270" w:lineRule="auto"/>
        <w:rPr>
          <w:sz w:val="20"/>
          <w:szCs w:val="20"/>
          <w:color w:val="auto"/>
        </w:rPr>
      </w:pPr>
      <w:r>
        <w:rPr>
          <w:rFonts w:ascii="Arial" w:cs="Arial" w:eastAsia="Arial" w:hAnsi="Arial"/>
          <w:sz w:val="17"/>
          <w:szCs w:val="17"/>
          <w:color w:val="auto"/>
        </w:rPr>
        <w:t>Our amended and restated certificate of incorporation, amended and restated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is in its best interest, including those attempts that might result in a premium over the prevailing market price for the shares of common stock held by stockholders.</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17" w:lineRule="exact"/>
        <w:rPr>
          <w:sz w:val="20"/>
          <w:szCs w:val="20"/>
          <w:color w:val="auto"/>
        </w:rPr>
      </w:pPr>
    </w:p>
    <w:p>
      <w:pPr>
        <w:ind w:left="300" w:right="359" w:firstLine="360"/>
        <w:spacing w:after="0" w:line="296" w:lineRule="auto"/>
        <w:rPr>
          <w:sz w:val="20"/>
          <w:szCs w:val="20"/>
          <w:color w:val="auto"/>
        </w:rPr>
      </w:pPr>
      <w:r>
        <w:rPr>
          <w:rFonts w:ascii="Arial" w:cs="Arial" w:eastAsia="Arial" w:hAnsi="Arial"/>
          <w:sz w:val="16"/>
          <w:szCs w:val="16"/>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then-outstanding voting power or then-outstanding number of shares of common stock. These additional shares may be used for a variety of corporate purposes, including future public offerings to raise additional capital or to facilitate acquisitions.</w:t>
      </w:r>
    </w:p>
    <w:p>
      <w:pPr>
        <w:spacing w:after="0" w:line="53" w:lineRule="exact"/>
        <w:rPr>
          <w:sz w:val="20"/>
          <w:szCs w:val="20"/>
          <w:color w:val="auto"/>
        </w:rPr>
      </w:pPr>
    </w:p>
    <w:p>
      <w:pPr>
        <w:ind w:left="300" w:right="339" w:firstLine="360"/>
        <w:spacing w:after="0" w:line="257" w:lineRule="auto"/>
        <w:rPr>
          <w:sz w:val="20"/>
          <w:szCs w:val="20"/>
          <w:color w:val="auto"/>
        </w:rPr>
      </w:pPr>
      <w:r>
        <w:rPr>
          <w:rFonts w:ascii="Arial" w:cs="Arial" w:eastAsia="Arial" w:hAnsi="Arial"/>
          <w:sz w:val="18"/>
          <w:szCs w:val="18"/>
          <w:color w:val="auto"/>
        </w:rPr>
        <w:t>Our board of directors may issue shares of preferred stock on terms calculated to discourage, delay or prevent a change of control of the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or employee benefit plans.</w:t>
      </w:r>
    </w:p>
    <w:p>
      <w:pPr>
        <w:spacing w:after="0" w:line="80" w:lineRule="exact"/>
        <w:rPr>
          <w:sz w:val="20"/>
          <w:szCs w:val="20"/>
          <w:color w:val="auto"/>
        </w:rPr>
      </w:pPr>
    </w:p>
    <w:p>
      <w:pPr>
        <w:ind w:left="300" w:right="719" w:firstLine="360"/>
        <w:spacing w:after="0" w:line="342" w:lineRule="auto"/>
        <w:rPr>
          <w:sz w:val="20"/>
          <w:szCs w:val="20"/>
          <w:color w:val="auto"/>
        </w:rPr>
      </w:pPr>
      <w:r>
        <w:rPr>
          <w:rFonts w:ascii="Arial" w:cs="Arial" w:eastAsia="Arial" w:hAnsi="Arial"/>
          <w:sz w:val="16"/>
          <w:szCs w:val="16"/>
          <w:color w:val="auto"/>
        </w:rPr>
        <w:t>One of the effects of the existence of unissued and unreserved common stock or preferred stock may be to enable our board of directors to issue shares to persons friendly to current management, which issuance could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19"/>
        <w:spacing w:after="0" w:line="311" w:lineRule="auto"/>
        <w:rPr>
          <w:sz w:val="20"/>
          <w:szCs w:val="20"/>
          <w:color w:val="auto"/>
        </w:rPr>
      </w:pPr>
      <w:r>
        <w:rPr>
          <w:rFonts w:ascii="Arial" w:cs="Arial" w:eastAsia="Arial" w:hAnsi="Arial"/>
          <w:sz w:val="16"/>
          <w:szCs w:val="16"/>
          <w:color w:val="auto"/>
        </w:rPr>
        <w:t>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23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Our amended and restated certificate of incorporation provides that our board of directors be divided into three classes of directors, with the classes to be as nearly equal in number as possible, and with the directors serving three-year terms. As a result, approximately one-third of our board of directors is elected each year. The classification of directors has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79" w:lineRule="exact"/>
        <w:rPr>
          <w:sz w:val="20"/>
          <w:szCs w:val="20"/>
          <w:color w:val="auto"/>
        </w:rPr>
      </w:pPr>
    </w:p>
    <w:p>
      <w:pPr>
        <w:ind w:left="1000" w:right="759" w:hanging="348"/>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62" w:lineRule="exact"/>
        <w:rPr>
          <w:rFonts w:ascii="Arial" w:cs="Arial" w:eastAsia="Arial" w:hAnsi="Arial"/>
          <w:sz w:val="18"/>
          <w:szCs w:val="18"/>
          <w:color w:val="auto"/>
        </w:rPr>
      </w:pPr>
    </w:p>
    <w:p>
      <w:pPr>
        <w:ind w:left="1000" w:right="359" w:hanging="348"/>
        <w:spacing w:after="0" w:line="263"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75" w:lineRule="exact"/>
        <w:rPr>
          <w:rFonts w:ascii="Arial" w:cs="Arial" w:eastAsia="Arial" w:hAnsi="Arial"/>
          <w:sz w:val="18"/>
          <w:szCs w:val="18"/>
          <w:color w:val="auto"/>
        </w:rPr>
      </w:pPr>
    </w:p>
    <w:p>
      <w:pPr>
        <w:ind w:left="1000" w:right="559" w:hanging="348"/>
        <w:spacing w:after="0" w:line="212"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the outstanding voting stock that is not owned by the interested stockholder.</w:t>
      </w:r>
    </w:p>
    <w:p>
      <w:pPr>
        <w:spacing w:after="0" w:line="96" w:lineRule="exact"/>
        <w:rPr>
          <w:sz w:val="20"/>
          <w:szCs w:val="20"/>
          <w:color w:val="auto"/>
        </w:rPr>
      </w:pPr>
    </w:p>
    <w:p>
      <w:pPr>
        <w:ind w:left="300" w:right="299" w:firstLine="360"/>
        <w:spacing w:after="0" w:line="257"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For purposes of this section only, “voting stock” has the meaning given to it in Section 203 of the DGCL.</w:t>
      </w:r>
    </w:p>
    <w:p>
      <w:pPr>
        <w:spacing w:after="0" w:line="80" w:lineRule="exact"/>
        <w:rPr>
          <w:sz w:val="20"/>
          <w:szCs w:val="20"/>
          <w:color w:val="auto"/>
        </w:rPr>
      </w:pPr>
    </w:p>
    <w:p>
      <w:pPr>
        <w:ind w:left="300" w:right="419" w:firstLine="360"/>
        <w:spacing w:after="0" w:line="291" w:lineRule="auto"/>
        <w:rPr>
          <w:sz w:val="20"/>
          <w:szCs w:val="20"/>
          <w:color w:val="auto"/>
        </w:rPr>
      </w:pPr>
      <w:r>
        <w:rPr>
          <w:rFonts w:ascii="Arial" w:cs="Arial" w:eastAsia="Arial" w:hAnsi="Arial"/>
          <w:sz w:val="16"/>
          <w:szCs w:val="16"/>
          <w:color w:val="auto"/>
        </w:rPr>
        <w:t>Under certain circumstances, this provision makes it more difficult for a person who would be an “interested stockholder” to effect various business combinations with a corporation for a three-year period. This provision may encourage companies interested in acquiring the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58"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Our amended and restated certificate of incorporation provides that any of KKR Stockholders and their affiliates and any of their respective direct or indirect transferees and any group as to which such persons are a party do not constitute “interested stockholders” for purposes of this provision.</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Removal of Directors; Vacancies</w:t>
      </w:r>
    </w:p>
    <w:p>
      <w:pPr>
        <w:spacing w:after="0" w:line="117" w:lineRule="exact"/>
        <w:rPr>
          <w:sz w:val="20"/>
          <w:szCs w:val="20"/>
          <w:color w:val="auto"/>
        </w:rPr>
      </w:pPr>
    </w:p>
    <w:p>
      <w:pPr>
        <w:ind w:left="300" w:right="299" w:firstLine="360"/>
        <w:spacing w:after="0" w:line="242" w:lineRule="auto"/>
        <w:rPr>
          <w:sz w:val="20"/>
          <w:szCs w:val="20"/>
          <w:color w:val="auto"/>
        </w:rPr>
      </w:pPr>
      <w:r>
        <w:rPr>
          <w:rFonts w:ascii="Arial" w:cs="Arial" w:eastAsia="Arial" w:hAnsi="Arial"/>
          <w:sz w:val="17"/>
          <w:szCs w:val="17"/>
          <w:color w:val="auto"/>
        </w:rPr>
        <w:t>Under the DGCL, unless otherwise provided in our amended and restated certificate of incorporation, directors serving on a classified board may be removed by the stockholders only for cause. Our amended and restated certificate of incorporation and amended and restated bylaws provides that directors may only be removed for cause and only by the affirmative vote of holders of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in voting power of all the then-outstanding shares of stock entitled to vote generally in the election of directors, voting together as a single class. In addition, our amended and restated certificate of incorporation and our amended and restated bylaws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57" w:lineRule="auto"/>
        <w:rPr>
          <w:sz w:val="20"/>
          <w:szCs w:val="20"/>
          <w:color w:val="auto"/>
        </w:rPr>
      </w:pPr>
      <w:r>
        <w:rPr>
          <w:rFonts w:ascii="Arial" w:cs="Arial" w:eastAsia="Arial" w:hAnsi="Arial"/>
          <w:sz w:val="18"/>
          <w:szCs w:val="18"/>
          <w:color w:val="auto"/>
        </w:rPr>
        <w:t>also provide that, subject to the rights granted to one or more series of preferred stock then outstanding or the rights granted to KKR Stockholders under the stockholders agreement,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7" w:lineRule="exact"/>
        <w:rPr>
          <w:sz w:val="20"/>
          <w:szCs w:val="20"/>
          <w:color w:val="auto"/>
        </w:rPr>
      </w:pPr>
    </w:p>
    <w:p>
      <w:pPr>
        <w:ind w:left="300" w:right="439" w:firstLine="360"/>
        <w:spacing w:after="0" w:line="279" w:lineRule="auto"/>
        <w:rPr>
          <w:sz w:val="20"/>
          <w:szCs w:val="20"/>
          <w:color w:val="auto"/>
        </w:rPr>
      </w:pPr>
      <w:r>
        <w:rPr>
          <w:rFonts w:ascii="Arial" w:cs="Arial" w:eastAsia="Arial" w:hAnsi="Arial"/>
          <w:sz w:val="17"/>
          <w:szCs w:val="17"/>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are able to elect all our directors.</w:t>
      </w:r>
    </w:p>
    <w:p>
      <w:pPr>
        <w:spacing w:after="0" w:line="29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17" w:lineRule="exact"/>
        <w:rPr>
          <w:sz w:val="20"/>
          <w:szCs w:val="20"/>
          <w:color w:val="auto"/>
        </w:rPr>
      </w:pPr>
    </w:p>
    <w:p>
      <w:pPr>
        <w:ind w:left="300" w:right="339" w:firstLine="360"/>
        <w:spacing w:after="0" w:line="275" w:lineRule="auto"/>
        <w:rPr>
          <w:sz w:val="20"/>
          <w:szCs w:val="20"/>
          <w:color w:val="auto"/>
        </w:rPr>
      </w:pPr>
      <w:r>
        <w:rPr>
          <w:rFonts w:ascii="Arial" w:cs="Arial" w:eastAsia="Arial" w:hAnsi="Arial"/>
          <w:sz w:val="17"/>
          <w:szCs w:val="17"/>
          <w:color w:val="auto"/>
        </w:rPr>
        <w:t>Our amended and restated certificate of incorporation provides that special meetings of our stockholders may be called at any time only by or at the direction of the board of directors or the chairman of the board of directors. Our amended and restated bylaws will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29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Requirements for Advance Notification of Director Nominations and Stockholder Proposals</w:t>
      </w:r>
    </w:p>
    <w:p>
      <w:pPr>
        <w:spacing w:after="0" w:line="117" w:lineRule="exact"/>
        <w:rPr>
          <w:sz w:val="20"/>
          <w:szCs w:val="20"/>
          <w:color w:val="auto"/>
        </w:rPr>
      </w:pPr>
    </w:p>
    <w:p>
      <w:pPr>
        <w:jc w:val="both"/>
        <w:ind w:left="300" w:right="359" w:firstLine="360"/>
        <w:spacing w:after="0" w:line="286" w:lineRule="auto"/>
        <w:rPr>
          <w:sz w:val="20"/>
          <w:szCs w:val="20"/>
          <w:color w:val="auto"/>
        </w:rPr>
      </w:pPr>
      <w:r>
        <w:rPr>
          <w:rFonts w:ascii="Arial" w:cs="Arial" w:eastAsia="Arial" w:hAnsi="Arial"/>
          <w:sz w:val="16"/>
          <w:szCs w:val="16"/>
          <w:color w:val="auto"/>
        </w:rPr>
        <w:t>Our amended and restated bylaws establishes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has to comply with advance notice requirements and provide us with certain information.</w:t>
      </w:r>
    </w:p>
    <w:p>
      <w:pPr>
        <w:spacing w:after="0" w:line="1" w:lineRule="exact"/>
        <w:rPr>
          <w:sz w:val="20"/>
          <w:szCs w:val="20"/>
          <w:color w:val="auto"/>
        </w:rPr>
      </w:pPr>
    </w:p>
    <w:p>
      <w:pPr>
        <w:ind w:left="300" w:right="319"/>
        <w:spacing w:after="0" w:line="286" w:lineRule="auto"/>
        <w:rPr>
          <w:sz w:val="20"/>
          <w:szCs w:val="20"/>
          <w:color w:val="auto"/>
        </w:rPr>
      </w:pPr>
      <w:r>
        <w:rPr>
          <w:rFonts w:ascii="Arial" w:cs="Arial" w:eastAsia="Arial" w:hAnsi="Arial"/>
          <w:sz w:val="16"/>
          <w:szCs w:val="16"/>
          <w:color w:val="auto"/>
        </w:rPr>
        <w:t>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specifies requirements as to the form and content of a stockholder’s notice. Our amended and restated bylaws allows the chairman of the meeting at a meeting of the stockholders to adopt rules and regulations for the conduct of meetings which may have the effect of precluding the conduct of certain business at a meeting if the rules and regulations are not followed. These notice requirements do not apply to KKR Stockholders and their affiliates for as long as the stockholders agreement remains in effect. These provisions may defer, delay or discourage a potential acquiror from conducting a solicitation of proxies to elect the acquiror’s own slate of directors or otherwise attempting to influence or obtain control of the Company.</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17" w:lineRule="exact"/>
        <w:rPr>
          <w:sz w:val="20"/>
          <w:szCs w:val="20"/>
          <w:color w:val="auto"/>
        </w:rPr>
      </w:pPr>
    </w:p>
    <w:p>
      <w:pPr>
        <w:ind w:left="300" w:right="439" w:firstLine="360"/>
        <w:spacing w:after="0" w:line="254" w:lineRule="auto"/>
        <w:rPr>
          <w:sz w:val="20"/>
          <w:szCs w:val="20"/>
          <w:color w:val="auto"/>
        </w:rPr>
      </w:pPr>
      <w:r>
        <w:rPr>
          <w:rFonts w:ascii="Arial" w:cs="Arial" w:eastAsia="Arial" w:hAnsi="Arial"/>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precludes stockholder action by written consent.</w:t>
      </w:r>
    </w:p>
    <w:p>
      <w:pPr>
        <w:spacing w:after="0" w:line="31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117" w:lineRule="exact"/>
        <w:rPr>
          <w:sz w:val="20"/>
          <w:szCs w:val="20"/>
          <w:color w:val="auto"/>
        </w:rPr>
      </w:pPr>
    </w:p>
    <w:p>
      <w:pPr>
        <w:ind w:left="300" w:right="379" w:firstLine="360"/>
        <w:spacing w:after="0" w:line="246"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the board of directors is expressly authorized to make, alter, amend, change, add to, rescind or repeal, in whole or in part, our amended and restated bylaws without a stockholder vote in any matter not inconsistent with the laws of the State of Delaware or our amended and restated certificate of incorporation. Any amendment, alteration, change, addition, rescission or repeal of our amended and restated bylaws by our stockholders will require the affirmative vote of the holders of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in voting power of all the then-outstanding shares of stock entitled to vote generally in the election of directors, voting together as a single class.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76" w:lineRule="exact"/>
        <w:rPr>
          <w:sz w:val="20"/>
          <w:szCs w:val="20"/>
          <w:color w:val="auto"/>
        </w:rPr>
      </w:pPr>
    </w:p>
    <w:p>
      <w:pPr>
        <w:ind w:left="300" w:right="359" w:firstLine="360"/>
        <w:spacing w:after="0" w:line="220" w:lineRule="auto"/>
        <w:rPr>
          <w:sz w:val="20"/>
          <w:szCs w:val="20"/>
          <w:color w:val="auto"/>
        </w:rPr>
      </w:pPr>
      <w:r>
        <w:rPr>
          <w:rFonts w:ascii="Arial" w:cs="Arial" w:eastAsia="Arial" w:hAnsi="Arial"/>
          <w:sz w:val="18"/>
          <w:szCs w:val="18"/>
          <w:color w:val="auto"/>
        </w:rPr>
        <w:t>Our amended and restated certificate of incorporation provides that the following provisions in our amended and restated certificate of incorporation may be amended, altered, repealed or rescinded only by the affirmative vote of the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in the voting power of all outstanding shares of stock entitled to vote generally in the election of directors, voting together as a single class:</w:t>
      </w:r>
    </w:p>
    <w:p>
      <w:pPr>
        <w:spacing w:after="0" w:line="3" w:lineRule="exact"/>
        <w:rPr>
          <w:sz w:val="20"/>
          <w:szCs w:val="20"/>
          <w:color w:val="auto"/>
        </w:rPr>
      </w:pPr>
    </w:p>
    <w:p>
      <w:pPr>
        <w:ind w:left="1000" w:right="479" w:hanging="348"/>
        <w:spacing w:after="0" w:line="239"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provision requiring a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supermajority vote for stockholders to amend our amended and restated bylaws;</w:t>
      </w:r>
    </w:p>
    <w:p>
      <w:pPr>
        <w:spacing w:after="0" w:line="95" w:lineRule="exact"/>
        <w:rPr>
          <w:rFonts w:ascii="Arial" w:cs="Arial" w:eastAsia="Arial" w:hAnsi="Arial"/>
          <w:sz w:val="18"/>
          <w:szCs w:val="18"/>
          <w:color w:val="auto"/>
        </w:rPr>
      </w:pPr>
    </w:p>
    <w:p>
      <w:pPr>
        <w:ind w:left="1000" w:hanging="348"/>
        <w:spacing w:after="0"/>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provisions providing for a classified board of directors (the election and term of our directors);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provisions regarding filling vacancies on our board of directors and newly created directorships;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 and</w:t>
      </w:r>
    </w:p>
    <w:p>
      <w:pPr>
        <w:spacing w:after="0" w:line="23" w:lineRule="exact"/>
        <w:rPr>
          <w:rFonts w:ascii="Arial" w:cs="Arial" w:eastAsia="Arial" w:hAnsi="Arial"/>
          <w:sz w:val="18"/>
          <w:szCs w:val="18"/>
          <w:color w:val="auto"/>
        </w:rPr>
      </w:pPr>
    </w:p>
    <w:p>
      <w:pPr>
        <w:ind w:left="1000" w:right="1319" w:hanging="348"/>
        <w:spacing w:after="0" w:line="239"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amendment provision requiring that the above provisions be amended only with a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supermajority vote.</w:t>
      </w:r>
    </w:p>
    <w:p>
      <w:pPr>
        <w:spacing w:after="0" w:line="95" w:lineRule="exact"/>
        <w:rPr>
          <w:sz w:val="20"/>
          <w:szCs w:val="20"/>
          <w:color w:val="auto"/>
        </w:rPr>
      </w:pPr>
    </w:p>
    <w:p>
      <w:pPr>
        <w:ind w:left="300" w:right="399" w:firstLine="360"/>
        <w:spacing w:after="0" w:line="275" w:lineRule="auto"/>
        <w:rPr>
          <w:sz w:val="20"/>
          <w:szCs w:val="20"/>
          <w:color w:val="auto"/>
        </w:rPr>
      </w:pPr>
      <w:r>
        <w:rPr>
          <w:rFonts w:ascii="Arial" w:cs="Arial" w:eastAsia="Arial" w:hAnsi="Arial"/>
          <w:sz w:val="17"/>
          <w:szCs w:val="17"/>
          <w:color w:val="auto"/>
        </w:rPr>
        <w:t>The combination of the classification of our board of directors, the lack of cumulative voting and the supermajority voting requirements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68" w:lineRule="exact"/>
        <w:rPr>
          <w:sz w:val="20"/>
          <w:szCs w:val="20"/>
          <w:color w:val="auto"/>
        </w:rPr>
      </w:pPr>
    </w:p>
    <w:p>
      <w:pPr>
        <w:ind w:left="300" w:right="379" w:firstLine="360"/>
        <w:spacing w:after="0" w:line="269" w:lineRule="auto"/>
        <w:rPr>
          <w:sz w:val="20"/>
          <w:szCs w:val="20"/>
          <w:color w:val="auto"/>
        </w:rPr>
      </w:pPr>
      <w:r>
        <w:rPr>
          <w:rFonts w:ascii="Arial" w:cs="Arial" w:eastAsia="Arial" w:hAnsi="Arial"/>
          <w:sz w:val="17"/>
          <w:szCs w:val="17"/>
          <w:color w:val="auto"/>
        </w:rPr>
        <w:t>These supermajority provisions may have the effect of deterring hostile takeovers, delaying or preventing changes in control of our management or the Company, such as a merger, reorganization or tender offer. These supermajority provisions are intended to enhance the likelihood of continued stability in the composition of our board of directors and its policies and to discourage certain types of transactions that may involve an actual or threatened acquisition of the Company. These supermajority provisions are designed to reduce our vulnerability to an unsolicited acquisition proposal. The supermajority provisions are also intended to discourage certain tactics that may be used in proxy fights. However, such supermajority provisions could have the effect of discouraging others from making tender offers for our shares and, as a consequence, they also may inhibit fluctuations in the market price of our shares that could result from actual or rumored takeover attempts. Such supermajority provisions may also have the effect of preventing changes in management.</w:t>
      </w:r>
    </w:p>
    <w:p>
      <w:pPr>
        <w:spacing w:after="0" w:line="3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21" w:lineRule="exact"/>
        <w:rPr>
          <w:sz w:val="20"/>
          <w:szCs w:val="20"/>
          <w:color w:val="auto"/>
        </w:rPr>
      </w:pPr>
    </w:p>
    <w:p>
      <w:pPr>
        <w:ind w:left="300" w:right="479" w:firstLine="360"/>
        <w:spacing w:after="0" w:line="259" w:lineRule="auto"/>
        <w:rPr>
          <w:sz w:val="20"/>
          <w:szCs w:val="20"/>
          <w:color w:val="auto"/>
        </w:rPr>
      </w:pPr>
      <w:r>
        <w:rPr>
          <w:rFonts w:ascii="Arial" w:cs="Arial" w:eastAsia="Arial" w:hAnsi="Arial"/>
          <w:sz w:val="18"/>
          <w:szCs w:val="18"/>
          <w:color w:val="auto"/>
        </w:rPr>
        <w:t>Under the DGCL, with certain exceptions, our stockholders have appraisal rights in connection with a merger or consolidation of us. Pursuant to the DGCL, stockholders who properly request and perfect appraisal rights in connection with such merger or consolidation have the right to receive payment of the fair value of their shares as determined by the Delaware Court of Chancery.</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Stockholders’ Derivative Actions</w:t>
      </w:r>
    </w:p>
    <w:p>
      <w:pPr>
        <w:spacing w:after="0" w:line="121"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ind w:left="300" w:right="419" w:firstLine="360"/>
        <w:spacing w:after="0" w:line="285" w:lineRule="auto"/>
        <w:rPr>
          <w:sz w:val="20"/>
          <w:szCs w:val="20"/>
          <w:color w:val="auto"/>
        </w:rPr>
      </w:pPr>
      <w:r>
        <w:rPr>
          <w:rFonts w:ascii="Arial" w:cs="Arial" w:eastAsia="Arial" w:hAnsi="Arial"/>
          <w:sz w:val="16"/>
          <w:szCs w:val="16"/>
          <w:color w:val="auto"/>
        </w:rPr>
        <w:t>Our amended and restated certificate of incorporation provides, subject to limited exceptions, that unless we consent to the selection of an alternative forum, the Court of Chancery of the State of Delaware will, to the fullest extent permitted by law, be the sole and exclusive forum for any (i) derivative action or proceeding brought on behalf of the Company, (ii) action asserting a claim of breach of a fiduciary duty owed by any director, officer or other employee or stockholder of the Company to the Company or our stockholders, creditors or other constituents,</w:t>
      </w:r>
    </w:p>
    <w:p>
      <w:pPr>
        <w:spacing w:after="0" w:line="2" w:lineRule="exact"/>
        <w:rPr>
          <w:sz w:val="20"/>
          <w:szCs w:val="20"/>
          <w:color w:val="auto"/>
        </w:rPr>
      </w:pPr>
    </w:p>
    <w:p>
      <w:pPr>
        <w:ind w:left="300" w:right="339" w:hanging="8"/>
        <w:spacing w:after="0" w:line="284" w:lineRule="auto"/>
        <w:tabs>
          <w:tab w:leader="none" w:pos="615" w:val="left"/>
        </w:tabs>
        <w:numPr>
          <w:ilvl w:val="0"/>
          <w:numId w:val="26"/>
        </w:numPr>
        <w:rPr>
          <w:rFonts w:ascii="Arial" w:cs="Arial" w:eastAsia="Arial" w:hAnsi="Arial"/>
          <w:sz w:val="16"/>
          <w:szCs w:val="16"/>
          <w:color w:val="auto"/>
        </w:rPr>
      </w:pPr>
      <w:r>
        <w:rPr>
          <w:rFonts w:ascii="Arial" w:cs="Arial" w:eastAsia="Arial" w:hAnsi="Arial"/>
          <w:sz w:val="16"/>
          <w:szCs w:val="16"/>
          <w:color w:val="auto"/>
        </w:rPr>
        <w:t>action asserting a claim against the Company or any director or officer of the Company arising pursuant to any provision of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provided that, the exclusive forum provision will not apply to suits brought to enforce any liability or duty created by the Exchange Act, which already provides that such claims must be brought exclusively in the federal courts. Our amended and restated certificate of incorporation also provides that, unless we consent in writing to the selection of an alternative forum, the U.S. federal district courts will be the exclusive forum for the resolution of any actions or proceedings asserting claims arising under the Securities Act. While the Delaware Supreme Court has upheld the validity of similar provisions under the DGCL, there is uncertainty as to whether a court in another state would enforce such a forum selection provision. Our exclusive forum provision will not relieve us of our duties to comply with the federal securities laws and the rules and regulations thereunder, and our stockholders will not be deemed to have waived our compliance with these laws, rules and regulations. Any person or entity purchasing or otherwise acquiring any interest in shares of capital stock of the Company will be deemed to have notice of and consented to the forum provisions in our amended and restated certificate of incorporation.</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300" w:right="299" w:firstLine="360"/>
        <w:spacing w:after="0" w:line="284"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any of KKR Stockholders or any of their affiliates or any director who is not employed by us (including any non-employee director who serves as one of our officers in both his or her director and officer capacities) or his or her affiliates will not have any duty to refrain from (1) engaging in a corporate opportunity in the same or similar lines of business in which we or our affiliates now engage or propose to engage or (2) otherwise competing with us or our affiliates. In addition, to the fullest extent permitted by law, in the event that any of KKR Stockholders or any of their affiliates or any non-employee director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21" w:lineRule="exact"/>
        <w:rPr>
          <w:sz w:val="20"/>
          <w:szCs w:val="20"/>
          <w:color w:val="auto"/>
        </w:rPr>
      </w:pPr>
    </w:p>
    <w:p>
      <w:pPr>
        <w:ind w:left="300" w:right="519" w:firstLine="360"/>
        <w:spacing w:after="0" w:line="293" w:lineRule="auto"/>
        <w:rPr>
          <w:sz w:val="20"/>
          <w:szCs w:val="20"/>
          <w:color w:val="auto"/>
        </w:rPr>
      </w:pPr>
      <w:r>
        <w:rPr>
          <w:rFonts w:ascii="Arial" w:cs="Arial" w:eastAsia="Arial" w:hAnsi="Arial"/>
          <w:sz w:val="16"/>
          <w:szCs w:val="16"/>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will be to eliminate the rights of us and our stockholders, through stockholders’ derivative suits on our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39"/>
        <w:spacing w:after="0" w:line="259" w:lineRule="auto"/>
        <w:rPr>
          <w:sz w:val="20"/>
          <w:szCs w:val="20"/>
          <w:color w:val="auto"/>
        </w:rPr>
      </w:pPr>
      <w:r>
        <w:rPr>
          <w:rFonts w:ascii="Arial" w:cs="Arial" w:eastAsia="Arial" w:hAnsi="Arial"/>
          <w:sz w:val="18"/>
          <w:szCs w:val="18"/>
          <w:color w:val="auto"/>
        </w:rPr>
        <w:t>behalf, to recover monetary damages from a director for breach of fiduciary duty as a director, including breaches resulting from grossly negligent behavior. However, exculpation will not apply to any director if the director has acted in bad faith, knowingly or intentionally violated the law, authorized illegal dividends or redemptions or derived an improper benefit from his or her actions as a director.</w:t>
      </w:r>
    </w:p>
    <w:p>
      <w:pPr>
        <w:spacing w:after="0" w:line="79"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Our amended and restated bylaws provides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have entered into indemnification agreements with our directors,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will be useful to attract and retain qualified directors and officers.</w:t>
      </w:r>
    </w:p>
    <w:p>
      <w:pPr>
        <w:spacing w:after="0" w:line="70" w:lineRule="exact"/>
        <w:rPr>
          <w:sz w:val="20"/>
          <w:szCs w:val="20"/>
          <w:color w:val="auto"/>
        </w:rPr>
      </w:pPr>
    </w:p>
    <w:p>
      <w:pPr>
        <w:ind w:left="300" w:right="359" w:firstLine="360"/>
        <w:spacing w:after="0" w:line="293" w:lineRule="auto"/>
        <w:rPr>
          <w:sz w:val="20"/>
          <w:szCs w:val="20"/>
          <w:color w:val="auto"/>
        </w:rPr>
      </w:pPr>
      <w:r>
        <w:rPr>
          <w:rFonts w:ascii="Arial" w:cs="Arial" w:eastAsia="Arial" w:hAnsi="Arial"/>
          <w:sz w:val="16"/>
          <w:szCs w:val="16"/>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56" w:lineRule="exact"/>
        <w:rPr>
          <w:sz w:val="20"/>
          <w:szCs w:val="20"/>
          <w:color w:val="auto"/>
        </w:rPr>
      </w:pPr>
    </w:p>
    <w:p>
      <w:pPr>
        <w:ind w:left="300" w:right="839" w:firstLine="36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Agent and Registrar</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Broadridge Corporate Issuer Solutions, Inc.</w:t>
      </w:r>
    </w:p>
    <w:p>
      <w:pPr>
        <w:spacing w:after="0" w:line="3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Nasdaq under the symbol “ASO.”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21" w:lineRule="exact"/>
        <w:rPr>
          <w:sz w:val="20"/>
          <w:szCs w:val="20"/>
          <w:color w:val="auto"/>
        </w:rPr>
      </w:pPr>
    </w:p>
    <w:p>
      <w:pPr>
        <w:ind w:left="300" w:right="339" w:firstLine="360"/>
        <w:spacing w:after="0" w:line="290" w:lineRule="auto"/>
        <w:rPr>
          <w:sz w:val="20"/>
          <w:szCs w:val="20"/>
          <w:color w:val="auto"/>
        </w:rPr>
      </w:pPr>
      <w:r>
        <w:rPr>
          <w:rFonts w:ascii="Arial" w:cs="Arial" w:eastAsia="Arial" w:hAnsi="Arial"/>
          <w:sz w:val="16"/>
          <w:szCs w:val="16"/>
          <w:color w:val="auto"/>
        </w:rPr>
        <w:t>Sales of substantial amounts of our common stock in the public market or the perception that such sales might occur may adversely affect market prices of our common stock prevailing from time to time and could impair our future ability to raise capital through the sale of our equity or equity-related securities at a time and price that we deem appropriate. Furthermore, there may be sales of substantial amounts of our common stock in the public market after the existing legal and contractual restrictions lapse. This may adversely affect the prevailing market price and our ability to raise equity capital in the future. See “Risk Factors—Risks Related to this Offering and Ownership of Our Common Stock—Future sales, or the perception of future sales, by us or our existing stockholders in the public market following this offering could cause the market price of our common stock to decline.”</w:t>
      </w:r>
    </w:p>
    <w:p>
      <w:pPr>
        <w:spacing w:after="0" w:line="57"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color w:val="auto"/>
        </w:rPr>
        <w:t>Of the outstanding shares, following this offering (assuming that the price per share to be paid by us in connection with the concurrent share repurchase is $45.74, which is the closing sales price of our common stock as reported on the Nasdaq on September 10, 2021), approximately 77,475,583 shares will be freely tradable without restriction or further registration under the Securities Act, except that any shares held by our affiliates, as that term is defined under Rule 144, including our directors, executive officers and other affiliates (including our existing stockholders), may be sold only in compliance with the limitations described below.</w:t>
      </w:r>
    </w:p>
    <w:p>
      <w:pPr>
        <w:spacing w:after="0" w:line="70" w:lineRule="exact"/>
        <w:rPr>
          <w:sz w:val="20"/>
          <w:szCs w:val="20"/>
          <w:color w:val="auto"/>
        </w:rPr>
      </w:pPr>
    </w:p>
    <w:p>
      <w:pPr>
        <w:ind w:left="300" w:right="439" w:firstLine="360"/>
        <w:spacing w:after="0" w:line="271" w:lineRule="auto"/>
        <w:rPr>
          <w:sz w:val="20"/>
          <w:szCs w:val="20"/>
          <w:color w:val="auto"/>
        </w:rPr>
      </w:pPr>
      <w:r>
        <w:rPr>
          <w:rFonts w:ascii="Arial" w:cs="Arial" w:eastAsia="Arial" w:hAnsi="Arial"/>
          <w:sz w:val="17"/>
          <w:szCs w:val="17"/>
          <w:color w:val="auto"/>
        </w:rPr>
        <w:t>Following this offering, based on our outstanding shares of common stock as of July 31, 2021 (assuming that the price per share to be paid by us in connection with the concurrent share repurchase is $45.74, which is the closing sales price of our common stock as reported on the Nasdaq on September 10, 2021), the remaining outstanding approximately 11,035,417 shares of common stock held by our existing stockholders, representing approximately 12.5% of the total outstanding shares of our common stock,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 as described below.</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In general, under Rule 144, as currently in effect, a person (or persons whose shares are aggregated) who is not deemed to be or have been one of our affiliates for purposes of the Securities Act at any time during 90 days preceding a sale and who has beneficially owned the shares proposed to be sold for at least six months, including the holding period of any prior owner other than an affiliate, is entitled to sell such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w:t>
      </w:r>
    </w:p>
    <w:p>
      <w:pPr>
        <w:spacing w:after="0" w:line="70" w:lineRule="exact"/>
        <w:rPr>
          <w:sz w:val="20"/>
          <w:szCs w:val="20"/>
          <w:color w:val="auto"/>
        </w:rPr>
      </w:pPr>
    </w:p>
    <w:p>
      <w:pPr>
        <w:ind w:left="300" w:right="299" w:firstLine="360"/>
        <w:spacing w:after="0" w:line="259" w:lineRule="auto"/>
        <w:rPr>
          <w:sz w:val="20"/>
          <w:szCs w:val="20"/>
          <w:color w:val="auto"/>
        </w:rPr>
      </w:pPr>
      <w:r>
        <w:rPr>
          <w:rFonts w:ascii="Arial" w:cs="Arial" w:eastAsia="Arial" w:hAnsi="Arial"/>
          <w:sz w:val="18"/>
          <w:szCs w:val="18"/>
          <w:color w:val="auto"/>
        </w:rPr>
        <w:t>In general, under Rule 144, as currently in effect, our affiliates or persons selling shares of our common stock on behalf of our affiliates, who have met the six month holding period for beneficial ownership of “restricted shares” of our common stock, are entitled to sell, within any three-month period, a number of shares that does not exceed the greater of:</w:t>
      </w:r>
    </w:p>
    <w:p>
      <w:pPr>
        <w:spacing w:after="0" w:line="79" w:lineRule="exact"/>
        <w:rPr>
          <w:sz w:val="20"/>
          <w:szCs w:val="20"/>
          <w:color w:val="auto"/>
        </w:rPr>
      </w:pPr>
    </w:p>
    <w:p>
      <w:pPr>
        <w:ind w:left="1000" w:right="359" w:hanging="348"/>
        <w:spacing w:after="0" w:line="259"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885,110 shares immediately after this offering (assuming that the price per share to be paid by us in connection with the concurrent share repurchase is $45.74, which is the closing sales price of our common stock as reported on the Nasdaq on September 10, 2021); or</w:t>
      </w:r>
    </w:p>
    <w:p>
      <w:pPr>
        <w:spacing w:after="0" w:line="78" w:lineRule="exact"/>
        <w:rPr>
          <w:rFonts w:ascii="Arial" w:cs="Arial" w:eastAsia="Arial" w:hAnsi="Arial"/>
          <w:sz w:val="18"/>
          <w:szCs w:val="18"/>
          <w:color w:val="auto"/>
        </w:rPr>
      </w:pPr>
    </w:p>
    <w:p>
      <w:pPr>
        <w:ind w:left="1000" w:right="679" w:hanging="348"/>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average reported weekly trading volume of our common stock on Nasdaq during the four calendar weeks preceding the filing of a notice on Form 144 with respect to such sale.</w:t>
      </w:r>
    </w:p>
    <w:p>
      <w:pPr>
        <w:spacing w:after="0" w:line="62"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 The sale of these shares, or the perception that sales will be made, could adversely affect the price of our common stock after this offering because a great supply of shares would be, or would be perceived to be, available for sale in the public market.</w:t>
      </w:r>
    </w:p>
    <w:p>
      <w:pPr>
        <w:spacing w:after="0" w:line="80" w:lineRule="exact"/>
        <w:rPr>
          <w:sz w:val="20"/>
          <w:szCs w:val="20"/>
          <w:color w:val="auto"/>
        </w:rPr>
      </w:pPr>
    </w:p>
    <w:p>
      <w:pPr>
        <w:ind w:left="300" w:right="519" w:firstLine="360"/>
        <w:spacing w:after="0" w:line="308" w:lineRule="auto"/>
        <w:rPr>
          <w:sz w:val="20"/>
          <w:szCs w:val="20"/>
          <w:color w:val="auto"/>
        </w:rPr>
      </w:pPr>
      <w:r>
        <w:rPr>
          <w:rFonts w:ascii="Arial" w:cs="Arial" w:eastAsia="Arial" w:hAnsi="Arial"/>
          <w:sz w:val="17"/>
          <w:szCs w:val="17"/>
          <w:color w:val="auto"/>
        </w:rPr>
        <w:t>We are unable to estimate the number of shares that will be sold under Rule 144 since this will depend on the market price for our common stock, the personal circumstances of the stockholder and other factors.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In general, under Rule 701 as currently in effect, any of our employees, directors, officers, consultants or advisors who received shares of our common stock from us in connection with a compensatory stock or option plan or other written agreement before the effective date of the registration statement on form S-1 for the IPO are entitled to sell such shares 90 days after the effective date of the registration statement on form S-1 for the IPO in reliance on Rule 144, in the case of affiliates, without having to comply with the holding period requirements of Rule 144 and, in the case of non-affiliates, without having to comply with the public information, holding period, volume limitation or notice filing requirements of Rule 144.</w:t>
      </w:r>
    </w:p>
    <w:p>
      <w:pPr>
        <w:spacing w:after="0" w:line="33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Registration Statements on Form S-8</w:t>
      </w:r>
    </w:p>
    <w:p>
      <w:pPr>
        <w:spacing w:after="0" w:line="121" w:lineRule="exact"/>
        <w:rPr>
          <w:sz w:val="20"/>
          <w:szCs w:val="20"/>
          <w:color w:val="auto"/>
        </w:rPr>
      </w:pPr>
    </w:p>
    <w:p>
      <w:pPr>
        <w:ind w:left="300" w:right="499" w:firstLine="360"/>
        <w:spacing w:after="0" w:line="296" w:lineRule="auto"/>
        <w:rPr>
          <w:sz w:val="20"/>
          <w:szCs w:val="20"/>
          <w:color w:val="auto"/>
        </w:rPr>
      </w:pPr>
      <w:r>
        <w:rPr>
          <w:rFonts w:ascii="Arial" w:cs="Arial" w:eastAsia="Arial" w:hAnsi="Arial"/>
          <w:sz w:val="16"/>
          <w:szCs w:val="16"/>
          <w:color w:val="auto"/>
        </w:rPr>
        <w:t>We have filed a registration statement on Form S-8 under the Securities Act to register shares of our common stock or securities convertible into or exchangeable for shares of our common stock issued pursuant to our 2011 Equity Plan, our 2020 Equity Plan and the ESPP. Such Form S-8 registration statements automatically became effective upon filing. Accordingly, shares registered under such registration statement are available for sale in the open market. The initial registration statement on Form S-8 covered 15,983,311 shares of our common stock.</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AND ESTATE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CONSEQUENCES TO NON-U.S. HOLDERS</w:t>
      </w:r>
    </w:p>
    <w:p>
      <w:pPr>
        <w:spacing w:after="0" w:line="103"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following is a summary of certain U.S. federal income and estate tax consequences to a non-U.S. holder (as defined below) of the purchase, ownership and disposition of our common stock as of the date hereof. Except where noted, this summary deals only with common stock that is held as a capital asset.</w:t>
      </w:r>
    </w:p>
    <w:p>
      <w:pPr>
        <w:spacing w:after="0" w:line="57" w:lineRule="exact"/>
        <w:rPr>
          <w:sz w:val="20"/>
          <w:szCs w:val="20"/>
          <w:color w:val="auto"/>
        </w:rPr>
      </w:pPr>
    </w:p>
    <w:p>
      <w:pPr>
        <w:ind w:left="300" w:right="879" w:firstLine="360"/>
        <w:spacing w:after="0" w:line="263" w:lineRule="auto"/>
        <w:rPr>
          <w:sz w:val="20"/>
          <w:szCs w:val="20"/>
          <w:color w:val="auto"/>
        </w:rPr>
      </w:pPr>
      <w:r>
        <w:rPr>
          <w:rFonts w:ascii="Arial" w:cs="Arial" w:eastAsia="Arial" w:hAnsi="Arial"/>
          <w:sz w:val="18"/>
          <w:szCs w:val="18"/>
          <w:color w:val="auto"/>
        </w:rPr>
        <w:t>A “non-U.S. holder” means a beneficial owner of our common stock (other than an entity treated as a partnership for U.S. federal income tax purposes) that is not, for U.S. federal income tax purposes, any of the following:</w:t>
      </w:r>
    </w:p>
    <w:p>
      <w:pPr>
        <w:spacing w:after="0" w:line="76" w:lineRule="exact"/>
        <w:rPr>
          <w:sz w:val="20"/>
          <w:szCs w:val="20"/>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17" w:lineRule="exact"/>
        <w:rPr>
          <w:rFonts w:ascii="Arial" w:cs="Arial" w:eastAsia="Arial" w:hAnsi="Arial"/>
          <w:sz w:val="18"/>
          <w:szCs w:val="18"/>
          <w:color w:val="auto"/>
        </w:rPr>
      </w:pPr>
    </w:p>
    <w:p>
      <w:pPr>
        <w:ind w:left="1000" w:right="399" w:hanging="348"/>
        <w:spacing w:after="0" w:line="342" w:lineRule="auto"/>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corporation (or any other entity treated as a corporation for U.S. federal income tax purposes) created or organized in or under the laws of the United States, any state thereof or the District of Columbia;</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taxation regardless of its source; or</w:t>
      </w:r>
    </w:p>
    <w:p>
      <w:pPr>
        <w:spacing w:after="0" w:line="128" w:lineRule="exact"/>
        <w:rPr>
          <w:rFonts w:ascii="Arial" w:cs="Arial" w:eastAsia="Arial" w:hAnsi="Arial"/>
          <w:sz w:val="17"/>
          <w:szCs w:val="17"/>
          <w:color w:val="auto"/>
        </w:rPr>
      </w:pPr>
    </w:p>
    <w:p>
      <w:pPr>
        <w:ind w:left="1000" w:right="379" w:hanging="348"/>
        <w:spacing w:after="0" w:line="286"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w:t>
      </w:r>
    </w:p>
    <w:p>
      <w:pPr>
        <w:spacing w:after="0" w:line="57" w:lineRule="exact"/>
        <w:rPr>
          <w:sz w:val="20"/>
          <w:szCs w:val="20"/>
          <w:color w:val="auto"/>
        </w:rPr>
      </w:pPr>
    </w:p>
    <w:p>
      <w:pPr>
        <w:ind w:left="300" w:right="359" w:firstLine="360"/>
        <w:spacing w:after="0" w:line="286" w:lineRule="auto"/>
        <w:rPr>
          <w:sz w:val="20"/>
          <w:szCs w:val="20"/>
          <w:color w:val="auto"/>
        </w:rPr>
      </w:pPr>
      <w:r>
        <w:rPr>
          <w:rFonts w:ascii="Arial" w:cs="Arial" w:eastAsia="Arial" w:hAnsi="Arial"/>
          <w:sz w:val="16"/>
          <w:szCs w:val="16"/>
          <w:color w:val="auto"/>
        </w:rPr>
        <w:t>This summary is based upon provisions of the Internal Revenue Code of 1986, as amended, or the Code, and the Treasury Regulations promulgated thereunder, rulings and judicial decisions as of the date hereof. Those authorities may be changed, perhaps retroactively, so as to result in U.S. federal income and estate tax consequences different from those summarized below. We cannot assure you that such a change in law will not alter significantly the tax considerations we describe in this summary. This summary does not address all aspects of U.S. federal income and estate taxes and does not deal with foreign, state, local or other tax considerations that may be relevant to non-U.S. holders in light of their particular circumstances. In addition, it does not represent a detailed description of the U.S. federal income and estate tax consequences applicable to you if you are subject to special treatment under the U.S. federal income tax laws (including if you are a U.S. expatriate, foreign pension fund, financial institution, insurance company, tax-exempt organization, trader, broker or dealer in securities “controlled foreign corporation,” “passive foreign investment company,” a partnership or other pass-through entity for U.S. federal income tax purposes (or an investor in such a pass-through entity), a person who acquired shares of our common stock as compensation or otherwise in connection with the performance of services, or a person who has acquired shares of our common stock as part of a straddle, hedge, conversion transaction or other integrated investment).</w:t>
      </w:r>
    </w:p>
    <w:p>
      <w:pPr>
        <w:spacing w:after="0" w:line="63" w:lineRule="exact"/>
        <w:rPr>
          <w:sz w:val="20"/>
          <w:szCs w:val="20"/>
          <w:color w:val="auto"/>
        </w:rPr>
      </w:pPr>
    </w:p>
    <w:p>
      <w:pPr>
        <w:ind w:left="300" w:right="499" w:firstLine="360"/>
        <w:spacing w:after="0" w:line="259" w:lineRule="auto"/>
        <w:rPr>
          <w:sz w:val="20"/>
          <w:szCs w:val="20"/>
          <w:color w:val="auto"/>
        </w:rPr>
      </w:pPr>
      <w:r>
        <w:rPr>
          <w:rFonts w:ascii="Arial" w:cs="Arial" w:eastAsia="Arial" w:hAnsi="Arial"/>
          <w:sz w:val="18"/>
          <w:szCs w:val="18"/>
          <w:color w:val="auto"/>
        </w:rPr>
        <w:t>If a partnership (or other entity treated as a partnership for U.S. federal income tax purposes) holds our common stock, the tax treatment of a partner will generally depend upon the status of the partner and the activities of the partnership. If you are a partner of a partnership holding our common stock, you should consult your tax advisors.</w:t>
      </w:r>
    </w:p>
    <w:p>
      <w:pPr>
        <w:spacing w:after="0" w:line="75" w:lineRule="exact"/>
        <w:rPr>
          <w:sz w:val="20"/>
          <w:szCs w:val="20"/>
          <w:color w:val="auto"/>
        </w:rPr>
      </w:pPr>
    </w:p>
    <w:p>
      <w:pPr>
        <w:ind w:left="300" w:right="419" w:firstLine="360"/>
        <w:spacing w:after="0" w:line="261" w:lineRule="auto"/>
        <w:rPr>
          <w:sz w:val="20"/>
          <w:szCs w:val="20"/>
          <w:color w:val="auto"/>
        </w:rPr>
      </w:pPr>
      <w:r>
        <w:rPr>
          <w:rFonts w:ascii="Arial" w:cs="Arial" w:eastAsia="Arial" w:hAnsi="Arial"/>
          <w:sz w:val="18"/>
          <w:szCs w:val="18"/>
          <w:b w:val="1"/>
          <w:bCs w:val="1"/>
          <w:color w:val="auto"/>
        </w:rPr>
        <w:t>If you are considering the purchase of our common stock, you should consult your own tax advisors concerning the particular U.S. federal income and estate tax consequences to you of the purchase, ownership and disposition of our common stock, as well as the consequences to you arising under other U.S. federal tax laws and the laws of any other taxing jurisdiction.</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300" w:right="299" w:firstLine="360"/>
        <w:spacing w:after="0" w:line="269" w:lineRule="auto"/>
        <w:rPr>
          <w:sz w:val="20"/>
          <w:szCs w:val="20"/>
          <w:color w:val="auto"/>
        </w:rPr>
      </w:pPr>
      <w:r>
        <w:rPr>
          <w:rFonts w:ascii="Arial" w:cs="Arial" w:eastAsia="Arial" w:hAnsi="Arial"/>
          <w:sz w:val="17"/>
          <w:szCs w:val="17"/>
          <w:color w:val="auto"/>
        </w:rPr>
        <w:t>As discussed above under “Dividend Policy,” we do not currently anticipate paying cash dividends on shares of our common stock in the foreseeable future. If we make distributions of cash or other property (other than certain pro rata distributions of our stock) in respect of our common stock, the distribution will generally be treated as a dividend for U.S. federal income tax purposes to the extent it is paid from our current or accumulated earnings and profits, as determined under U.S. federal income tax principles. Any portion of a distribution that exceeds our current and accumulated earnings and profits generally will be treated first as a tax-free return of capital to the extent of the non-U.S. holder’s adjusted tax basis in our common stock, causing a reduction in the adjusted tax basis of a non-U.S. holder’s common stock, but not below zero. To the extent the amount of the distribution exceeds a non-U.S. holder’s adjusted basis in our common stock, the excess will be treated as described below under “—Gain on Disposition of Common Stock.”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firstLine="360"/>
        <w:spacing w:after="0" w:line="289" w:lineRule="auto"/>
        <w:rPr>
          <w:sz w:val="20"/>
          <w:szCs w:val="20"/>
          <w:color w:val="auto"/>
        </w:rPr>
      </w:pPr>
      <w:r>
        <w:rPr>
          <w:rFonts w:ascii="Arial" w:cs="Arial" w:eastAsia="Arial" w:hAnsi="Arial"/>
          <w:sz w:val="16"/>
          <w:szCs w:val="16"/>
          <w:color w:val="auto"/>
        </w:rPr>
        <w:t>Dividends paid to a non-U.S. holder of our common stock generally will be subject to withholding of U.S.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U.S. permanent establishment of the non-U.S. holder) are not subject to such withholding tax, provided certain certification and disclosure requirements are satisfied. Instead, such dividends are subject to U.S. federal income tax on a net income basis in the same manner as if the non-U.S. holder were a U.S.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58" w:lineRule="exact"/>
        <w:rPr>
          <w:sz w:val="20"/>
          <w:szCs w:val="20"/>
          <w:color w:val="auto"/>
        </w:rPr>
      </w:pPr>
    </w:p>
    <w:p>
      <w:pPr>
        <w:ind w:left="300" w:right="379" w:firstLine="360"/>
        <w:spacing w:after="0" w:line="291" w:lineRule="auto"/>
        <w:rPr>
          <w:sz w:val="20"/>
          <w:szCs w:val="20"/>
          <w:color w:val="auto"/>
        </w:rPr>
      </w:pPr>
      <w:r>
        <w:rPr>
          <w:rFonts w:ascii="Arial" w:cs="Arial" w:eastAsia="Arial" w:hAnsi="Arial"/>
          <w:sz w:val="16"/>
          <w:szCs w:val="16"/>
          <w:color w:val="auto"/>
        </w:rPr>
        <w:t>A non-U.S. holder of our common stock who wishes to claim the benefit of an applicable treaty rate and avoid backup withholding, as discussed below, for dividends will be required (a) to provide the applicable withholding agent with a properly executed Internal Revenue Service Form W-8BEN or Form W-8BEN-E (or other applicable form) certifying under penalty of perjury that such holder is not a U.S. person as defined under the Code and is eligible for treaty benefits or (b) if our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w:t>
      </w:r>
    </w:p>
    <w:p>
      <w:pPr>
        <w:spacing w:after="0" w:line="58" w:lineRule="exact"/>
        <w:rPr>
          <w:sz w:val="20"/>
          <w:szCs w:val="20"/>
          <w:color w:val="auto"/>
        </w:rPr>
      </w:pPr>
    </w:p>
    <w:p>
      <w:pPr>
        <w:ind w:left="300" w:right="439" w:firstLine="360"/>
        <w:spacing w:after="0" w:line="259" w:lineRule="auto"/>
        <w:rPr>
          <w:sz w:val="20"/>
          <w:szCs w:val="20"/>
          <w:color w:val="auto"/>
        </w:rPr>
      </w:pPr>
      <w:r>
        <w:rPr>
          <w:rFonts w:ascii="Arial" w:cs="Arial" w:eastAsia="Arial" w:hAnsi="Arial"/>
          <w:sz w:val="18"/>
          <w:szCs w:val="18"/>
          <w:color w:val="auto"/>
        </w:rPr>
        <w:t>A non-U.S. holder of our common stock eligible for a reduced rate of U.S. federal withholding tax pursuant to an income tax treaty may obtain a refund of any excess amounts withheld by timely filing an appropriate claim for refund with the Internal Revenue Service. Non-U.S. holders are urged to consult their own tax advisors regarding their entitlement to the benefits under any applicable income tax treaty.</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Gain on Disposition of Common Stock</w:t>
      </w:r>
    </w:p>
    <w:p>
      <w:pPr>
        <w:spacing w:after="0" w:line="121" w:lineRule="exact"/>
        <w:rPr>
          <w:sz w:val="20"/>
          <w:szCs w:val="20"/>
          <w:color w:val="auto"/>
        </w:rPr>
      </w:pPr>
    </w:p>
    <w:p>
      <w:pPr>
        <w:ind w:left="300" w:right="559" w:firstLine="360"/>
        <w:spacing w:after="0" w:line="342" w:lineRule="auto"/>
        <w:rPr>
          <w:sz w:val="20"/>
          <w:szCs w:val="20"/>
          <w:color w:val="auto"/>
        </w:rPr>
      </w:pPr>
      <w:r>
        <w:rPr>
          <w:rFonts w:ascii="Arial" w:cs="Arial" w:eastAsia="Arial" w:hAnsi="Arial"/>
          <w:sz w:val="16"/>
          <w:szCs w:val="16"/>
          <w:color w:val="auto"/>
        </w:rPr>
        <w:t>Subject to the discussion of backup withholding below, any gain realized by a non-U.S. holder on the sale or other taxable disposition of our common stock generally will not be subject to U.S. federal income tax unless:</w:t>
      </w:r>
    </w:p>
    <w:p>
      <w:pPr>
        <w:spacing w:after="0" w:line="16" w:lineRule="exact"/>
        <w:rPr>
          <w:sz w:val="20"/>
          <w:szCs w:val="20"/>
          <w:color w:val="auto"/>
        </w:rPr>
      </w:pPr>
    </w:p>
    <w:p>
      <w:pPr>
        <w:ind w:left="1000" w:right="339" w:hanging="348"/>
        <w:spacing w:after="0" w:line="26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of the non-U.S. holder in the United States (and, if required by an applicable income tax treaty, is attributable to a U.S. permanent establishment of the non-U.S. holder);</w:t>
      </w:r>
    </w:p>
    <w:p>
      <w:pPr>
        <w:spacing w:after="0" w:line="75"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the disposition, and certain other conditions are met; or</w:t>
      </w:r>
    </w:p>
    <w:p>
      <w:pPr>
        <w:spacing w:after="0" w:line="62" w:lineRule="exact"/>
        <w:rPr>
          <w:rFonts w:ascii="Arial" w:cs="Arial" w:eastAsia="Arial" w:hAnsi="Arial"/>
          <w:sz w:val="18"/>
          <w:szCs w:val="18"/>
          <w:color w:val="auto"/>
        </w:rPr>
      </w:pPr>
    </w:p>
    <w:p>
      <w:pPr>
        <w:ind w:left="1000" w:right="499" w:hanging="34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for U.S. federal income tax purposes and certain other conditions are met.</w:t>
      </w:r>
    </w:p>
    <w:p>
      <w:pPr>
        <w:spacing w:after="0" w:line="62" w:lineRule="exact"/>
        <w:rPr>
          <w:sz w:val="20"/>
          <w:szCs w:val="20"/>
          <w:color w:val="auto"/>
        </w:rPr>
      </w:pPr>
    </w:p>
    <w:p>
      <w:pPr>
        <w:ind w:left="300" w:right="359" w:firstLine="360"/>
        <w:spacing w:after="0" w:line="253" w:lineRule="auto"/>
        <w:rPr>
          <w:sz w:val="20"/>
          <w:szCs w:val="20"/>
          <w:color w:val="auto"/>
        </w:rPr>
      </w:pPr>
      <w:r>
        <w:rPr>
          <w:rFonts w:ascii="Arial" w:cs="Arial" w:eastAsia="Arial" w:hAnsi="Arial"/>
          <w:sz w:val="18"/>
          <w:szCs w:val="18"/>
          <w:color w:val="auto"/>
        </w:rPr>
        <w:t>A non-U.S. holder described in the first bullet point immediately above will be subject to tax on the gain derived from the sale under regular graduated U.S. federal income tax rates. In addition, if any non-U.S. holder described in the first bullet point immediately above is a foreign corporation, the gain realized by such non-U.S. holder may be subject to the branch profits at a 30% rate (or such lower rate as may be specified by an applicable income tax treaty). An individual non-U.S. holder described in the second bullet point immediately above will be subject to a tax equal to 30% (or such lower rate as may be specified by an applicable income tax treaty) on the gain derived from the sale, which may be offset by U.S. source capital losses, even though the individual is not considered a resident of the United States, provided that the individual has timely filed U.S. federal income tax returns with respect to such losses.</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believe we are not and do not anticipate becoming a “U.S. real property holding corporation” for U.S.</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federal income tax purposes.</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Federal Estate Tax</w:t>
      </w:r>
    </w:p>
    <w:p>
      <w:pPr>
        <w:spacing w:after="0" w:line="121" w:lineRule="exact"/>
        <w:rPr>
          <w:sz w:val="20"/>
          <w:szCs w:val="20"/>
          <w:color w:val="auto"/>
        </w:rPr>
      </w:pPr>
    </w:p>
    <w:p>
      <w:pPr>
        <w:ind w:left="300" w:right="679" w:firstLine="360"/>
        <w:spacing w:after="0" w:line="342" w:lineRule="auto"/>
        <w:rPr>
          <w:sz w:val="20"/>
          <w:szCs w:val="20"/>
          <w:color w:val="auto"/>
        </w:rPr>
      </w:pPr>
      <w:r>
        <w:rPr>
          <w:rFonts w:ascii="Arial" w:cs="Arial" w:eastAsia="Arial" w:hAnsi="Arial"/>
          <w:sz w:val="16"/>
          <w:szCs w:val="16"/>
          <w:color w:val="auto"/>
        </w:rPr>
        <w:t>Common stock held by an individual non-U.S. holder at the time of death will be included in such holder’s gross estate for U.S. federal estate tax purposes, unless an applicable estate tax treaty provides otherwise.</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jc w:val="center"/>
        <w:ind w:left="300" w:right="839"/>
        <w:spacing w:after="0" w:line="342" w:lineRule="auto"/>
        <w:rPr>
          <w:sz w:val="20"/>
          <w:szCs w:val="20"/>
          <w:color w:val="auto"/>
        </w:rPr>
      </w:pPr>
      <w:r>
        <w:rPr>
          <w:rFonts w:ascii="Arial" w:cs="Arial" w:eastAsia="Arial" w:hAnsi="Arial"/>
          <w:sz w:val="16"/>
          <w:szCs w:val="16"/>
          <w:color w:val="auto"/>
        </w:rPr>
        <w:t>We must report annually to the Internal Revenue Service and to each non-U.S. holder the amount of distributions paid to such holder and the tax withheld with respect to such distributions, regardless of whether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263" w:lineRule="auto"/>
        <w:rPr>
          <w:sz w:val="20"/>
          <w:szCs w:val="20"/>
          <w:color w:val="auto"/>
        </w:rPr>
      </w:pPr>
      <w:r>
        <w:rPr>
          <w:rFonts w:ascii="Arial" w:cs="Arial" w:eastAsia="Arial" w:hAnsi="Arial"/>
          <w:sz w:val="18"/>
          <w:szCs w:val="18"/>
          <w:color w:val="auto"/>
        </w:rPr>
        <w:t>withholding was required. Copies of the information returns reporting such distributions and any withholding may also be made available to the tax authorities in the country in which the non-U.S. holder resides under the provisions of an applicable income tax treaty.</w:t>
      </w:r>
    </w:p>
    <w:p>
      <w:pPr>
        <w:spacing w:after="0" w:line="76" w:lineRule="exact"/>
        <w:rPr>
          <w:sz w:val="20"/>
          <w:szCs w:val="20"/>
          <w:color w:val="auto"/>
        </w:rPr>
      </w:pPr>
    </w:p>
    <w:p>
      <w:pPr>
        <w:ind w:left="300" w:right="719" w:firstLine="360"/>
        <w:spacing w:after="0" w:line="259" w:lineRule="auto"/>
        <w:rPr>
          <w:sz w:val="20"/>
          <w:szCs w:val="20"/>
          <w:color w:val="auto"/>
        </w:rPr>
      </w:pPr>
      <w:r>
        <w:rPr>
          <w:rFonts w:ascii="Arial" w:cs="Arial" w:eastAsia="Arial" w:hAnsi="Arial"/>
          <w:sz w:val="18"/>
          <w:szCs w:val="18"/>
          <w:color w:val="auto"/>
        </w:rPr>
        <w:t>A non-U.S. holder will not be subject to backup withholding on dividends received if such holder certifies under penalty of perjury that it is a non-U.S. holder (and the payor does not have actual knowledge or reason to know that such holder is a U.S. person as defined under the Code), or such holder otherwise establishes an exemption.</w:t>
      </w:r>
    </w:p>
    <w:p>
      <w:pPr>
        <w:spacing w:after="0" w:line="79" w:lineRule="exact"/>
        <w:rPr>
          <w:sz w:val="20"/>
          <w:szCs w:val="20"/>
          <w:color w:val="auto"/>
        </w:rPr>
      </w:pPr>
    </w:p>
    <w:p>
      <w:pPr>
        <w:ind w:left="300" w:right="359" w:firstLine="360"/>
        <w:spacing w:after="0" w:line="275" w:lineRule="auto"/>
        <w:rPr>
          <w:sz w:val="20"/>
          <w:szCs w:val="20"/>
          <w:color w:val="auto"/>
        </w:rPr>
      </w:pPr>
      <w:r>
        <w:rPr>
          <w:rFonts w:ascii="Arial" w:cs="Arial" w:eastAsia="Arial" w:hAnsi="Arial"/>
          <w:sz w:val="17"/>
          <w:szCs w:val="17"/>
          <w:color w:val="auto"/>
        </w:rPr>
        <w:t>Information reporting and, depending on the circumstances, backup withholding will apply to the proceeds of a sale or other disposition of our common stock made within the United States or conducted through certain U.S.-related financial intermediaries, unless the beneficial owner certifies under penalty of perjury that it is a non-U.S. holder (and the payor does not have actual knowledge or reason to know that the beneficial owner is a U.S. person as defined under the Code), or such owner otherwise establishes an exemption.</w:t>
      </w:r>
    </w:p>
    <w:p>
      <w:pPr>
        <w:spacing w:after="0" w:line="68" w:lineRule="exact"/>
        <w:rPr>
          <w:sz w:val="20"/>
          <w:szCs w:val="20"/>
          <w:color w:val="auto"/>
        </w:rPr>
      </w:pPr>
    </w:p>
    <w:p>
      <w:pPr>
        <w:jc w:val="both"/>
        <w:ind w:left="300" w:right="339" w:firstLine="360"/>
        <w:spacing w:after="0" w:line="263" w:lineRule="auto"/>
        <w:rPr>
          <w:sz w:val="20"/>
          <w:szCs w:val="20"/>
          <w:color w:val="auto"/>
        </w:rPr>
      </w:pPr>
      <w:r>
        <w:rPr>
          <w:rFonts w:ascii="Arial" w:cs="Arial" w:eastAsia="Arial" w:hAnsi="Arial"/>
          <w:sz w:val="18"/>
          <w:szCs w:val="18"/>
          <w:color w:val="auto"/>
        </w:rPr>
        <w:t>Backup withholding is not an additional tax and any amounts withheld under the backup withholding rules may be allowed as a refund or a credit against a non-U.S. holder’s U.S. federal income tax liability provided the required information is timely furnished to the Internal Revenue Service.</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Additional Withholding Requirements</w:t>
      </w:r>
    </w:p>
    <w:p>
      <w:pPr>
        <w:spacing w:after="0" w:line="121" w:lineRule="exact"/>
        <w:rPr>
          <w:sz w:val="20"/>
          <w:szCs w:val="20"/>
          <w:color w:val="auto"/>
        </w:rPr>
      </w:pPr>
    </w:p>
    <w:p>
      <w:pPr>
        <w:ind w:left="300" w:right="339" w:firstLine="360"/>
        <w:spacing w:after="0" w:line="284" w:lineRule="auto"/>
        <w:rPr>
          <w:sz w:val="20"/>
          <w:szCs w:val="20"/>
          <w:color w:val="auto"/>
        </w:rPr>
      </w:pPr>
      <w:r>
        <w:rPr>
          <w:rFonts w:ascii="Arial" w:cs="Arial" w:eastAsia="Arial" w:hAnsi="Arial"/>
          <w:sz w:val="16"/>
          <w:szCs w:val="16"/>
          <w:color w:val="auto"/>
        </w:rPr>
        <w:t>Under Sections 1471 through 1474 of the Code (such Sections commonly referred to as “FATCA”), a 30% U.S. federal withholding tax may apply to any dividends paid on our common stock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w:t>
      </w:r>
    </w:p>
    <w:p>
      <w:pPr>
        <w:spacing w:after="0" w:line="2" w:lineRule="exact"/>
        <w:rPr>
          <w:sz w:val="20"/>
          <w:szCs w:val="20"/>
          <w:color w:val="auto"/>
        </w:rPr>
      </w:pPr>
    </w:p>
    <w:p>
      <w:pPr>
        <w:ind w:left="300" w:right="459" w:hanging="8"/>
        <w:spacing w:after="0" w:line="292" w:lineRule="auto"/>
        <w:tabs>
          <w:tab w:leader="none" w:pos="5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 exemption from FATCA, or (y) adequate information regarding certain substantial U.S. beneficial owners of such entity (if any). If a dividend payment is both subject to withholding under FATCA and subject to the withholding tax discussed above under “—Distributions,” the withholding under FATCA may be credited against, and therefore reduce, such other withholding tax. You should consult your own tax advisors regarding these requirements and whether they may be relevant to your ownership and disposition of our common stock.</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tbl>
      <w:tblPr>
        <w:tblLayout w:type="fixed"/>
        <w:tblInd w:w="300" w:type="dxa"/>
        <w:tblCellMar>
          <w:top w:w="0" w:type="dxa"/>
          <w:left w:w="0" w:type="dxa"/>
          <w:bottom w:w="0" w:type="dxa"/>
          <w:right w:w="0" w:type="dxa"/>
        </w:tblCellMar>
      </w:tblPr>
      <w:tr>
        <w:trPr>
          <w:trHeight w:val="161"/>
        </w:trPr>
        <w:tc>
          <w:tcPr>
            <w:tcW w:w="7200" w:type="dxa"/>
            <w:vAlign w:val="bottom"/>
            <w:gridSpan w:val="2"/>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980" w:type="dxa"/>
            <w:vAlign w:val="bottom"/>
          </w:tcPr>
          <w:p>
            <w:pPr>
              <w:spacing w:after="0"/>
              <w:rPr>
                <w:sz w:val="14"/>
                <w:szCs w:val="14"/>
                <w:color w:val="auto"/>
              </w:rPr>
            </w:pPr>
          </w:p>
        </w:tc>
      </w:tr>
      <w:tr>
        <w:trPr>
          <w:trHeight w:val="344"/>
        </w:trPr>
        <w:tc>
          <w:tcPr>
            <w:tcW w:w="1540" w:type="dxa"/>
            <w:vAlign w:val="bottom"/>
            <w:tcBorders>
              <w:top w:val="single" w:sz="8" w:color="0000EE"/>
            </w:tcBorders>
          </w:tcPr>
          <w:p>
            <w:pPr>
              <w:spacing w:after="0"/>
              <w:rPr>
                <w:sz w:val="24"/>
                <w:szCs w:val="24"/>
                <w:color w:val="auto"/>
              </w:rPr>
            </w:pPr>
          </w:p>
        </w:tc>
        <w:tc>
          <w:tcPr>
            <w:tcW w:w="5660" w:type="dxa"/>
            <w:vAlign w:val="bottom"/>
          </w:tcPr>
          <w:p>
            <w:pPr>
              <w:ind w:left="700"/>
              <w:spacing w:after="0"/>
              <w:rPr>
                <w:sz w:val="20"/>
                <w:szCs w:val="20"/>
                <w:color w:val="auto"/>
              </w:rPr>
            </w:pPr>
            <w:r>
              <w:rPr>
                <w:rFonts w:ascii="Arial" w:cs="Arial" w:eastAsia="Arial" w:hAnsi="Arial"/>
                <w:sz w:val="18"/>
                <w:szCs w:val="18"/>
                <w:b w:val="1"/>
                <w:bCs w:val="1"/>
                <w:color w:val="auto"/>
              </w:rPr>
              <w:t>UNDERWRITING (CONFLICTS OF INTEREST)</w:t>
            </w:r>
          </w:p>
        </w:tc>
        <w:tc>
          <w:tcPr>
            <w:tcW w:w="980" w:type="dxa"/>
            <w:vAlign w:val="bottom"/>
          </w:tcPr>
          <w:p>
            <w:pPr>
              <w:spacing w:after="0"/>
              <w:rPr>
                <w:sz w:val="24"/>
                <w:szCs w:val="24"/>
                <w:color w:val="auto"/>
              </w:rPr>
            </w:pPr>
          </w:p>
        </w:tc>
      </w:tr>
      <w:tr>
        <w:trPr>
          <w:trHeight w:val="324"/>
        </w:trPr>
        <w:tc>
          <w:tcPr>
            <w:tcW w:w="7200" w:type="dxa"/>
            <w:vAlign w:val="bottom"/>
            <w:gridSpan w:val="2"/>
          </w:tcPr>
          <w:p>
            <w:pPr>
              <w:ind w:left="360"/>
              <w:spacing w:after="0"/>
              <w:rPr>
                <w:sz w:val="20"/>
                <w:szCs w:val="20"/>
                <w:color w:val="auto"/>
              </w:rPr>
            </w:pPr>
            <w:r>
              <w:rPr>
                <w:rFonts w:ascii="Arial" w:cs="Arial" w:eastAsia="Arial" w:hAnsi="Arial"/>
                <w:sz w:val="18"/>
                <w:szCs w:val="18"/>
                <w:color w:val="auto"/>
                <w:w w:val="92"/>
              </w:rPr>
              <w:t>Under the terms and subject to the conditions contained in an underwriting agreement, dated</w:t>
            </w:r>
          </w:p>
        </w:tc>
        <w:tc>
          <w:tcPr>
            <w:tcW w:w="980" w:type="dxa"/>
            <w:vAlign w:val="bottom"/>
          </w:tcPr>
          <w:p>
            <w:pPr>
              <w:ind w:left="220"/>
              <w:spacing w:after="0"/>
              <w:rPr>
                <w:sz w:val="20"/>
                <w:szCs w:val="20"/>
                <w:color w:val="auto"/>
              </w:rPr>
            </w:pPr>
            <w:r>
              <w:rPr>
                <w:rFonts w:ascii="Arial" w:cs="Arial" w:eastAsia="Arial" w:hAnsi="Arial"/>
                <w:sz w:val="18"/>
                <w:szCs w:val="18"/>
                <w:color w:val="auto"/>
                <w:w w:val="86"/>
              </w:rPr>
              <w:t>, 2021, the</w:t>
            </w:r>
          </w:p>
        </w:tc>
      </w:tr>
    </w:tbl>
    <w:p>
      <w:pPr>
        <w:ind w:left="300" w:right="319"/>
        <w:spacing w:after="0" w:line="252" w:lineRule="auto"/>
        <w:rPr>
          <w:sz w:val="20"/>
          <w:szCs w:val="20"/>
          <w:color w:val="auto"/>
        </w:rPr>
      </w:pPr>
      <w:r>
        <w:rPr>
          <w:rFonts w:ascii="Arial" w:cs="Arial" w:eastAsia="Arial" w:hAnsi="Arial"/>
          <w:sz w:val="18"/>
          <w:szCs w:val="18"/>
          <w:color w:val="auto"/>
        </w:rPr>
        <w:t>selling stockholders have agreed to sell to the underwriters named below, for whom Credit Suisse Securities (USA) LLC is acting as representative, and the underwriters have agreed to purchase from the selling stockholders, the following respective numbers of shares of common stock which includes 4,372,540 shares of our common stock that we intend to repurchase from the underwriters in the concurrent share repurchase (assuming that the price per share to be paid by us is $45.74, which is the closing sales price of our common stock as reported on the Nasdaq on September 10, 2021):</w:t>
      </w:r>
    </w:p>
    <w:p>
      <w:pPr>
        <w:spacing w:after="0" w:line="158" w:lineRule="exact"/>
        <w:rPr>
          <w:sz w:val="20"/>
          <w:szCs w:val="20"/>
          <w:color w:val="auto"/>
        </w:rPr>
      </w:pPr>
    </w:p>
    <w:p>
      <w:pPr>
        <w:jc w:val="both"/>
        <w:ind w:left="3360"/>
        <w:spacing w:after="0"/>
        <w:tabs>
          <w:tab w:leader="none" w:pos="7580" w:val="left"/>
        </w:tabs>
        <w:rPr>
          <w:sz w:val="20"/>
          <w:szCs w:val="20"/>
          <w:color w:val="auto"/>
        </w:rPr>
      </w:pPr>
      <w:r>
        <w:rPr>
          <w:rFonts w:ascii="Arial" w:cs="Arial" w:eastAsia="Arial" w:hAnsi="Arial"/>
          <w:sz w:val="14"/>
          <w:szCs w:val="14"/>
          <w:b w:val="1"/>
          <w:bCs w:val="1"/>
          <w:color w:val="auto"/>
        </w:rPr>
        <w:t>Underwriter</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2228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349240" cy="222885"/>
                    </a:xfrm>
                    <a:prstGeom prst="rect">
                      <a:avLst/>
                    </a:prstGeom>
                    <a:noFill/>
                  </pic:spPr>
                </pic:pic>
              </a:graphicData>
            </a:graphic>
          </wp:anchor>
        </w:drawing>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Credit Suisse Securities (USA) LLC</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KKR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48895</wp:posOffset>
            </wp:positionV>
            <wp:extent cx="5349240" cy="2057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J.P. Morgan Securities LLC</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4917440</wp:posOffset>
            </wp:positionH>
            <wp:positionV relativeFrom="paragraph">
              <wp:posOffset>6350</wp:posOffset>
            </wp:positionV>
            <wp:extent cx="5143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71" w:lineRule="exact"/>
        <w:rPr>
          <w:sz w:val="20"/>
          <w:szCs w:val="20"/>
          <w:color w:val="auto"/>
        </w:rPr>
      </w:pPr>
    </w:p>
    <w:tbl>
      <w:tblPr>
        <w:tblLayout w:type="fixed"/>
        <w:tblInd w:w="300" w:type="dxa"/>
        <w:tblCellMar>
          <w:top w:w="0" w:type="dxa"/>
          <w:left w:w="0" w:type="dxa"/>
          <w:bottom w:w="0" w:type="dxa"/>
          <w:right w:w="0" w:type="dxa"/>
        </w:tblCellMar>
      </w:tblPr>
      <w:tr>
        <w:trPr>
          <w:trHeight w:val="318"/>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18,645,602</w:t>
            </w:r>
          </w:p>
        </w:tc>
        <w:tc>
          <w:tcPr>
            <w:tcW w:w="160" w:type="dxa"/>
            <w:vAlign w:val="bottom"/>
            <w:tcBorders>
              <w:bottom w:val="single" w:sz="8" w:color="CCEEFF"/>
            </w:tcBorders>
            <w:shd w:val="clear" w:color="auto" w:fill="CCEEFF"/>
          </w:tcPr>
          <w:p>
            <w:pPr>
              <w:spacing w:after="0"/>
              <w:rPr>
                <w:sz w:val="24"/>
                <w:szCs w:val="24"/>
                <w:color w:val="auto"/>
              </w:rPr>
            </w:pPr>
          </w:p>
        </w:tc>
      </w:tr>
    </w:tbl>
    <w:p>
      <w:pPr>
        <w:spacing w:after="0" w:line="94" w:lineRule="exact"/>
        <w:rPr>
          <w:sz w:val="20"/>
          <w:szCs w:val="20"/>
          <w:color w:val="auto"/>
        </w:rPr>
      </w:pPr>
    </w:p>
    <w:p>
      <w:pPr>
        <w:ind w:left="300" w:right="459" w:firstLine="360"/>
        <w:spacing w:after="0" w:line="254" w:lineRule="auto"/>
        <w:rPr>
          <w:sz w:val="20"/>
          <w:szCs w:val="20"/>
          <w:color w:val="auto"/>
        </w:rPr>
      </w:pPr>
      <w:r>
        <w:rPr>
          <w:rFonts w:ascii="Arial" w:cs="Arial" w:eastAsia="Arial" w:hAnsi="Arial"/>
          <w:sz w:val="18"/>
          <w:szCs w:val="18"/>
          <w:color w:val="auto"/>
        </w:rPr>
        <w:t>Subject to the completion of the offering, we intend to concurrently repurchase from the underwriters, out of the aggregate 18,645,602 shares of our common stock that are the subject of the offering, a number of shares (rounded down to the nearest whole share) having an aggregate purchase price of up to $200 million. The price per share to be paid by us will equal the price at which the underwriters will purchase the shares from the selling stockholders in the offering. The closing of the concurrent share repurchase is conditioned on the closing of the offering and therefore, there can be no assurance that the concurrent share repurchase will be completed. The offering is not conditioned upon the completion of the concurrent share repurchase. See “Summary—Concurrent Share Repurchase.”</w:t>
      </w:r>
    </w:p>
    <w:p>
      <w:pPr>
        <w:spacing w:after="0" w:line="84" w:lineRule="exact"/>
        <w:rPr>
          <w:sz w:val="20"/>
          <w:szCs w:val="20"/>
          <w:color w:val="auto"/>
        </w:rPr>
      </w:pPr>
    </w:p>
    <w:p>
      <w:pPr>
        <w:jc w:val="both"/>
        <w:ind w:left="300" w:right="419" w:firstLine="360"/>
        <w:spacing w:after="0" w:line="311" w:lineRule="auto"/>
        <w:rPr>
          <w:sz w:val="20"/>
          <w:szCs w:val="20"/>
          <w:color w:val="auto"/>
        </w:rPr>
      </w:pPr>
      <w:r>
        <w:rPr>
          <w:rFonts w:ascii="Arial" w:cs="Arial" w:eastAsia="Arial" w:hAnsi="Arial"/>
          <w:sz w:val="16"/>
          <w:szCs w:val="16"/>
          <w:color w:val="auto"/>
        </w:rPr>
        <w:t>The underwriting agreement provides that the underwriters are obligated to purchase all the shares of common stock in the offering if any are purchased. The underwriting agreement also provides that if an underwriter defaults the purchase commitments of non-defaulting underwriters may be increased or the offering may be terminated.</w:t>
      </w:r>
    </w:p>
    <w:p>
      <w:pPr>
        <w:spacing w:after="0" w:line="41" w:lineRule="exact"/>
        <w:rPr>
          <w:sz w:val="20"/>
          <w:szCs w:val="20"/>
          <w:color w:val="auto"/>
        </w:rPr>
      </w:pPr>
    </w:p>
    <w:p>
      <w:pPr>
        <w:ind w:left="300" w:right="559" w:firstLine="360"/>
        <w:spacing w:after="0" w:line="263" w:lineRule="auto"/>
        <w:rPr>
          <w:sz w:val="20"/>
          <w:szCs w:val="20"/>
          <w:color w:val="auto"/>
        </w:rPr>
      </w:pPr>
      <w:r>
        <w:rPr>
          <w:rFonts w:ascii="Arial" w:cs="Arial" w:eastAsia="Arial" w:hAnsi="Arial"/>
          <w:sz w:val="18"/>
          <w:szCs w:val="18"/>
          <w:color w:val="auto"/>
        </w:rPr>
        <w:t>We and the selling stockholders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76" w:lineRule="exact"/>
        <w:rPr>
          <w:sz w:val="20"/>
          <w:szCs w:val="20"/>
          <w:color w:val="auto"/>
        </w:rPr>
      </w:pPr>
    </w:p>
    <w:p>
      <w:pPr>
        <w:ind w:left="300" w:right="399" w:firstLine="360"/>
        <w:spacing w:after="0" w:line="291" w:lineRule="auto"/>
        <w:rPr>
          <w:sz w:val="20"/>
          <w:szCs w:val="20"/>
          <w:color w:val="auto"/>
        </w:rPr>
      </w:pPr>
      <w:r>
        <w:rPr>
          <w:rFonts w:ascii="Arial" w:cs="Arial" w:eastAsia="Arial" w:hAnsi="Arial"/>
          <w:sz w:val="16"/>
          <w:szCs w:val="16"/>
          <w:color w:val="auto"/>
        </w:rPr>
        <w:t>The underwriters propose to offer the shares of common stock that are not subject to the concurrent share repurchase initially at the public offering price on the cover page of this prospectus and to selling group members at</w:t>
      </w:r>
    </w:p>
    <w:p>
      <w:pPr>
        <w:ind w:left="300" w:right="459"/>
        <w:spacing w:after="0" w:line="260" w:lineRule="auto"/>
        <w:rPr>
          <w:sz w:val="20"/>
          <w:szCs w:val="20"/>
          <w:color w:val="auto"/>
        </w:rPr>
      </w:pPr>
      <w:r>
        <w:rPr>
          <w:rFonts w:ascii="Arial" w:cs="Arial" w:eastAsia="Arial" w:hAnsi="Arial"/>
          <w:sz w:val="18"/>
          <w:szCs w:val="18"/>
          <w:color w:val="auto"/>
        </w:rPr>
        <w:t>that price less a selling concession of up to $ per share. After the public offering, the representatives may change the public offering price and concession.</w:t>
      </w:r>
    </w:p>
    <w:p>
      <w:pPr>
        <w:spacing w:after="0" w:line="77" w:lineRule="exact"/>
        <w:rPr>
          <w:sz w:val="20"/>
          <w:szCs w:val="20"/>
          <w:color w:val="auto"/>
        </w:rPr>
      </w:pPr>
    </w:p>
    <w:p>
      <w:pPr>
        <w:ind w:left="300" w:right="459" w:firstLine="360"/>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discounts and commissions and proceeds to the selling stockholders.</w:t>
      </w:r>
    </w:p>
    <w:p>
      <w:pPr>
        <w:spacing w:after="0" w:line="109" w:lineRule="exact"/>
        <w:rPr>
          <w:sz w:val="20"/>
          <w:szCs w:val="20"/>
          <w:color w:val="auto"/>
        </w:rPr>
      </w:pPr>
    </w:p>
    <w:tbl>
      <w:tblPr>
        <w:tblLayout w:type="fixed"/>
        <w:tblInd w:w="534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7"/>
              </w:rPr>
              <w:t>Underwriting</w:t>
            </w:r>
          </w:p>
        </w:tc>
        <w:tc>
          <w:tcPr>
            <w:tcW w:w="920" w:type="dxa"/>
            <w:vAlign w:val="bottom"/>
          </w:tcPr>
          <w:p>
            <w:pPr>
              <w:jc w:val="center"/>
              <w:ind w:left="48"/>
              <w:spacing w:after="0"/>
              <w:rPr>
                <w:sz w:val="20"/>
                <w:szCs w:val="20"/>
                <w:color w:val="auto"/>
              </w:rPr>
            </w:pPr>
            <w:r>
              <w:rPr>
                <w:rFonts w:ascii="Arial" w:cs="Arial" w:eastAsia="Arial" w:hAnsi="Arial"/>
                <w:sz w:val="14"/>
                <w:szCs w:val="14"/>
                <w:b w:val="1"/>
                <w:bCs w:val="1"/>
                <w:color w:val="auto"/>
                <w:w w:val="89"/>
              </w:rPr>
              <w:t>Proceeds to</w:t>
            </w:r>
          </w:p>
        </w:tc>
        <w:tc>
          <w:tcPr>
            <w:tcW w:w="0" w:type="dxa"/>
            <w:vAlign w:val="bottom"/>
          </w:tcPr>
          <w:p>
            <w:pPr>
              <w:spacing w:after="0"/>
              <w:rPr>
                <w:sz w:val="1"/>
                <w:szCs w:val="1"/>
                <w:color w:val="auto"/>
              </w:rPr>
            </w:pPr>
          </w:p>
        </w:tc>
      </w:tr>
      <w:tr>
        <w:trPr>
          <w:trHeight w:val="145"/>
        </w:trPr>
        <w:tc>
          <w:tcPr>
            <w:tcW w:w="1180" w:type="dxa"/>
            <w:vAlign w:val="bottom"/>
            <w:vMerge w:val="restart"/>
          </w:tcPr>
          <w:p>
            <w:pPr>
              <w:spacing w:after="0"/>
              <w:rPr>
                <w:sz w:val="20"/>
                <w:szCs w:val="20"/>
                <w:color w:val="auto"/>
              </w:rPr>
            </w:pPr>
            <w:r>
              <w:rPr>
                <w:rFonts w:ascii="Arial" w:cs="Arial" w:eastAsia="Arial" w:hAnsi="Arial"/>
                <w:sz w:val="14"/>
                <w:szCs w:val="14"/>
                <w:b w:val="1"/>
                <w:bCs w:val="1"/>
                <w:color w:val="auto"/>
                <w:w w:val="99"/>
              </w:rPr>
              <w:t>Price to Public</w:t>
            </w:r>
            <w:r>
              <w:rPr>
                <w:rFonts w:ascii="Arial" w:cs="Arial" w:eastAsia="Arial" w:hAnsi="Arial"/>
                <w:sz w:val="23"/>
                <w:szCs w:val="23"/>
                <w:b w:val="1"/>
                <w:bCs w:val="1"/>
                <w:color w:val="auto"/>
                <w:w w:val="99"/>
                <w:vertAlign w:val="superscript"/>
              </w:rPr>
              <w:t>(1)</w:t>
            </w:r>
          </w:p>
        </w:tc>
        <w:tc>
          <w:tcPr>
            <w:tcW w:w="12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Discounts and</w:t>
            </w:r>
          </w:p>
        </w:tc>
        <w:tc>
          <w:tcPr>
            <w:tcW w:w="920" w:type="dxa"/>
            <w:vAlign w:val="bottom"/>
          </w:tcPr>
          <w:p>
            <w:pPr>
              <w:jc w:val="center"/>
              <w:ind w:left="48"/>
              <w:spacing w:after="0" w:line="145" w:lineRule="exact"/>
              <w:rPr>
                <w:sz w:val="20"/>
                <w:szCs w:val="20"/>
                <w:color w:val="auto"/>
              </w:rPr>
            </w:pPr>
            <w:r>
              <w:rPr>
                <w:rFonts w:ascii="Arial" w:cs="Arial" w:eastAsia="Arial" w:hAnsi="Arial"/>
                <w:sz w:val="14"/>
                <w:szCs w:val="14"/>
                <w:b w:val="1"/>
                <w:bCs w:val="1"/>
                <w:color w:val="auto"/>
                <w:w w:val="86"/>
              </w:rPr>
              <w:t>the selling</w:t>
            </w:r>
          </w:p>
        </w:tc>
        <w:tc>
          <w:tcPr>
            <w:tcW w:w="0" w:type="dxa"/>
            <w:vAlign w:val="bottom"/>
          </w:tcPr>
          <w:p>
            <w:pPr>
              <w:spacing w:after="0"/>
              <w:rPr>
                <w:sz w:val="1"/>
                <w:szCs w:val="1"/>
                <w:color w:val="auto"/>
              </w:rPr>
            </w:pPr>
          </w:p>
        </w:tc>
      </w:tr>
      <w:tr>
        <w:trPr>
          <w:trHeight w:val="242"/>
        </w:trPr>
        <w:tc>
          <w:tcPr>
            <w:tcW w:w="1180" w:type="dxa"/>
            <w:vAlign w:val="bottom"/>
            <w:vMerge w:val="continue"/>
          </w:tcPr>
          <w:p>
            <w:pPr>
              <w:spacing w:after="0"/>
              <w:rPr>
                <w:sz w:val="21"/>
                <w:szCs w:val="21"/>
                <w:color w:val="auto"/>
              </w:rPr>
            </w:pPr>
          </w:p>
        </w:tc>
        <w:tc>
          <w:tcPr>
            <w:tcW w:w="1240" w:type="dxa"/>
            <w:vAlign w:val="bottom"/>
          </w:tcPr>
          <w:p>
            <w:pPr>
              <w:jc w:val="center"/>
              <w:spacing w:after="0" w:line="242" w:lineRule="exact"/>
              <w:rPr>
                <w:sz w:val="20"/>
                <w:szCs w:val="20"/>
                <w:color w:val="auto"/>
              </w:rPr>
            </w:pPr>
            <w:r>
              <w:rPr>
                <w:rFonts w:ascii="Arial" w:cs="Arial" w:eastAsia="Arial" w:hAnsi="Arial"/>
                <w:sz w:val="14"/>
                <w:szCs w:val="14"/>
                <w:b w:val="1"/>
                <w:bCs w:val="1"/>
                <w:color w:val="auto"/>
                <w:w w:val="84"/>
              </w:rPr>
              <w:t>Commissions</w:t>
            </w:r>
            <w:r>
              <w:rPr>
                <w:rFonts w:ascii="Arial" w:cs="Arial" w:eastAsia="Arial" w:hAnsi="Arial"/>
                <w:sz w:val="23"/>
                <w:szCs w:val="23"/>
                <w:b w:val="1"/>
                <w:bCs w:val="1"/>
                <w:color w:val="auto"/>
                <w:w w:val="84"/>
                <w:vertAlign w:val="superscript"/>
              </w:rPr>
              <w:t>(2)</w:t>
            </w:r>
          </w:p>
        </w:tc>
        <w:tc>
          <w:tcPr>
            <w:tcW w:w="920" w:type="dxa"/>
            <w:vAlign w:val="bottom"/>
          </w:tcPr>
          <w:p>
            <w:pPr>
              <w:jc w:val="center"/>
              <w:ind w:left="68"/>
              <w:spacing w:after="0"/>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4831715</wp:posOffset>
            </wp:positionH>
            <wp:positionV relativeFrom="paragraph">
              <wp:posOffset>0</wp:posOffset>
            </wp:positionV>
            <wp:extent cx="1714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0</wp:posOffset>
            </wp:positionV>
            <wp:extent cx="1714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0</wp:posOffset>
            </wp:positionV>
            <wp:extent cx="857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311"/>
        </w:trPr>
        <w:tc>
          <w:tcPr>
            <w:tcW w:w="18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Per Share</w:t>
            </w:r>
          </w:p>
        </w:tc>
        <w:tc>
          <w:tcPr>
            <w:tcW w:w="2620" w:type="dxa"/>
            <w:vAlign w:val="bottom"/>
            <w:tcBorders>
              <w:top w:val="single" w:sz="8" w:color="CCEEFF"/>
              <w:bottom w:val="single" w:sz="8" w:color="CCEEFF"/>
            </w:tcBorders>
            <w:shd w:val="clear" w:color="auto" w:fill="CCEEFF"/>
          </w:tcPr>
          <w:p>
            <w:pPr>
              <w:spacing w:after="0"/>
              <w:rPr>
                <w:sz w:val="24"/>
                <w:szCs w:val="24"/>
                <w:color w:val="auto"/>
              </w:rPr>
            </w:pPr>
          </w:p>
        </w:tc>
        <w:tc>
          <w:tcPr>
            <w:tcW w:w="520" w:type="dxa"/>
            <w:vAlign w:val="bottom"/>
            <w:tcBorders>
              <w:top w:val="single" w:sz="8" w:color="CCEEFF"/>
              <w:bottom w:val="single" w:sz="8" w:color="CCEEFF"/>
            </w:tcBorders>
            <w:shd w:val="clear" w:color="auto" w:fill="CCEEFF"/>
          </w:tcPr>
          <w:p>
            <w:pPr>
              <w:spacing w:after="0"/>
              <w:rPr>
                <w:sz w:val="24"/>
                <w:szCs w:val="24"/>
                <w:color w:val="auto"/>
              </w:rPr>
            </w:pPr>
          </w:p>
        </w:tc>
        <w:tc>
          <w:tcPr>
            <w:tcW w:w="1060" w:type="dxa"/>
            <w:vAlign w:val="bottom"/>
            <w:tcBorders>
              <w:top w:val="single" w:sz="8" w:color="auto"/>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24"/>
                <w:szCs w:val="24"/>
                <w:color w:val="auto"/>
              </w:rPr>
            </w:pPr>
          </w:p>
        </w:tc>
        <w:tc>
          <w:tcPr>
            <w:tcW w:w="940" w:type="dxa"/>
            <w:vAlign w:val="bottom"/>
            <w:tcBorders>
              <w:top w:val="single" w:sz="8" w:color="auto"/>
              <w:bottom w:val="single" w:sz="8" w:color="CCEEFF"/>
            </w:tcBorders>
            <w:shd w:val="clear" w:color="auto" w:fill="CCEEFF"/>
          </w:tcPr>
          <w:p>
            <w:pPr>
              <w:jc w:val="center"/>
              <w:ind w:right="65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CCEEFF"/>
              <w:bottom w:val="single" w:sz="8" w:color="CCEEFF"/>
            </w:tcBorders>
            <w:shd w:val="clear" w:color="auto" w:fill="CCEEFF"/>
          </w:tcPr>
          <w:p>
            <w:pPr>
              <w:spacing w:after="0"/>
              <w:rPr>
                <w:sz w:val="24"/>
                <w:szCs w:val="24"/>
                <w:color w:val="auto"/>
              </w:rPr>
            </w:pPr>
          </w:p>
        </w:tc>
        <w:tc>
          <w:tcPr>
            <w:tcW w:w="840" w:type="dxa"/>
            <w:vAlign w:val="bottom"/>
            <w:tcBorders>
              <w:top w:val="single" w:sz="8" w:color="auto"/>
              <w:bottom w:val="single" w:sz="8" w:color="CCEEFF"/>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r>
      <w:tr>
        <w:trPr>
          <w:trHeight w:val="270"/>
        </w:trPr>
        <w:tc>
          <w:tcPr>
            <w:tcW w:w="1880" w:type="dxa"/>
            <w:vAlign w:val="bottom"/>
            <w:gridSpan w:val="3"/>
          </w:tcPr>
          <w:p>
            <w:pPr>
              <w:spacing w:after="0"/>
              <w:rPr>
                <w:sz w:val="20"/>
                <w:szCs w:val="20"/>
                <w:color w:val="auto"/>
              </w:rPr>
            </w:pPr>
            <w:r>
              <w:rPr>
                <w:rFonts w:ascii="Arial" w:cs="Arial" w:eastAsia="Arial" w:hAnsi="Arial"/>
                <w:sz w:val="18"/>
                <w:szCs w:val="18"/>
                <w:color w:val="auto"/>
              </w:rPr>
              <w:t>Total</w:t>
            </w:r>
          </w:p>
        </w:tc>
        <w:tc>
          <w:tcPr>
            <w:tcW w:w="2620" w:type="dxa"/>
            <w:vAlign w:val="bottom"/>
          </w:tcPr>
          <w:p>
            <w:pPr>
              <w:spacing w:after="0"/>
              <w:rPr>
                <w:sz w:val="23"/>
                <w:szCs w:val="23"/>
                <w:color w:val="auto"/>
              </w:rPr>
            </w:pPr>
          </w:p>
        </w:tc>
        <w:tc>
          <w:tcPr>
            <w:tcW w:w="158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40" w:type="dxa"/>
            <w:vAlign w:val="bottom"/>
          </w:tcPr>
          <w:p>
            <w:pPr>
              <w:jc w:val="center"/>
              <w:ind w:right="650"/>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23"/>
                <w:szCs w:val="23"/>
                <w:color w:val="auto"/>
              </w:rPr>
            </w:pPr>
          </w:p>
        </w:tc>
        <w:tc>
          <w:tcPr>
            <w:tcW w:w="840" w:type="dxa"/>
            <w:vAlign w:val="bottom"/>
          </w:tcPr>
          <w:p>
            <w:pPr>
              <w:jc w:val="right"/>
              <w:ind w:right="687"/>
              <w:spacing w:after="0"/>
              <w:rPr>
                <w:sz w:val="20"/>
                <w:szCs w:val="20"/>
                <w:color w:val="auto"/>
              </w:rPr>
            </w:pPr>
            <w:r>
              <w:rPr>
                <w:rFonts w:ascii="Arial" w:cs="Arial" w:eastAsia="Arial" w:hAnsi="Arial"/>
                <w:sz w:val="15"/>
                <w:szCs w:val="15"/>
                <w:color w:val="auto"/>
                <w:w w:val="71"/>
              </w:rPr>
              <w:t>$</w:t>
            </w:r>
          </w:p>
        </w:tc>
      </w:tr>
      <w:tr>
        <w:trPr>
          <w:trHeight w:val="203"/>
        </w:trPr>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220" w:type="dxa"/>
            <w:vAlign w:val="bottom"/>
            <w:gridSpan w:val="2"/>
          </w:tcPr>
          <w:p>
            <w:pPr>
              <w:spacing w:after="0"/>
              <w:rPr>
                <w:sz w:val="17"/>
                <w:szCs w:val="17"/>
                <w:color w:val="auto"/>
              </w:rPr>
            </w:pPr>
          </w:p>
        </w:tc>
        <w:tc>
          <w:tcPr>
            <w:tcW w:w="3920" w:type="dxa"/>
            <w:vAlign w:val="bottom"/>
            <w:gridSpan w:val="6"/>
          </w:tcPr>
          <w:p>
            <w:pPr>
              <w:spacing w:after="0"/>
              <w:rPr>
                <w:sz w:val="17"/>
                <w:szCs w:val="17"/>
                <w:color w:val="auto"/>
              </w:rPr>
            </w:pPr>
          </w:p>
        </w:tc>
      </w:tr>
      <w:tr>
        <w:trPr>
          <w:trHeight w:val="177"/>
        </w:trPr>
        <w:tc>
          <w:tcPr>
            <w:tcW w:w="260" w:type="dxa"/>
            <w:vAlign w:val="bottom"/>
          </w:tcPr>
          <w:p>
            <w:pPr>
              <w:spacing w:after="0"/>
              <w:rPr>
                <w:sz w:val="20"/>
                <w:szCs w:val="20"/>
                <w:color w:val="auto"/>
              </w:rPr>
            </w:pPr>
            <w:r>
              <w:rPr>
                <w:rFonts w:ascii="Arial" w:cs="Arial" w:eastAsia="Arial" w:hAnsi="Arial"/>
                <w:sz w:val="14"/>
                <w:szCs w:val="14"/>
                <w:color w:val="auto"/>
              </w:rPr>
              <w:t>(1)</w:t>
            </w:r>
          </w:p>
        </w:tc>
        <w:tc>
          <w:tcPr>
            <w:tcW w:w="4240" w:type="dxa"/>
            <w:vAlign w:val="bottom"/>
            <w:gridSpan w:val="3"/>
          </w:tcPr>
          <w:p>
            <w:pPr>
              <w:ind w:left="80"/>
              <w:spacing w:after="0"/>
              <w:rPr>
                <w:sz w:val="20"/>
                <w:szCs w:val="20"/>
                <w:color w:val="auto"/>
              </w:rPr>
            </w:pPr>
            <w:r>
              <w:rPr>
                <w:rFonts w:ascii="Arial" w:cs="Arial" w:eastAsia="Arial" w:hAnsi="Arial"/>
                <w:sz w:val="14"/>
                <w:szCs w:val="14"/>
                <w:color w:val="auto"/>
              </w:rPr>
              <w:t>The public offering price for the shares offered to the public was $</w:t>
            </w:r>
          </w:p>
        </w:tc>
        <w:tc>
          <w:tcPr>
            <w:tcW w:w="3920" w:type="dxa"/>
            <w:vAlign w:val="bottom"/>
            <w:gridSpan w:val="6"/>
          </w:tcPr>
          <w:p>
            <w:pPr>
              <w:jc w:val="center"/>
              <w:spacing w:after="0"/>
              <w:rPr>
                <w:sz w:val="20"/>
                <w:szCs w:val="20"/>
                <w:color w:val="auto"/>
              </w:rPr>
            </w:pPr>
            <w:r>
              <w:rPr>
                <w:rFonts w:ascii="Arial" w:cs="Arial" w:eastAsia="Arial" w:hAnsi="Arial"/>
                <w:sz w:val="14"/>
                <w:szCs w:val="14"/>
                <w:color w:val="auto"/>
                <w:w w:val="91"/>
              </w:rPr>
              <w:t>per share. The price for the shares we intend to repurchase from</w:t>
            </w:r>
          </w:p>
        </w:tc>
      </w:tr>
      <w:tr>
        <w:trPr>
          <w:trHeight w:val="182"/>
        </w:trPr>
        <w:tc>
          <w:tcPr>
            <w:tcW w:w="260" w:type="dxa"/>
            <w:vAlign w:val="bottom"/>
          </w:tcPr>
          <w:p>
            <w:pPr>
              <w:spacing w:after="0"/>
              <w:rPr>
                <w:sz w:val="15"/>
                <w:szCs w:val="15"/>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color w:val="auto"/>
              </w:rPr>
              <w:t>the underwriters was $</w:t>
            </w:r>
          </w:p>
        </w:tc>
        <w:tc>
          <w:tcPr>
            <w:tcW w:w="2620" w:type="dxa"/>
            <w:vAlign w:val="bottom"/>
          </w:tcPr>
          <w:p>
            <w:pPr>
              <w:ind w:left="240"/>
              <w:spacing w:after="0"/>
              <w:rPr>
                <w:sz w:val="20"/>
                <w:szCs w:val="20"/>
                <w:color w:val="auto"/>
              </w:rPr>
            </w:pPr>
            <w:r>
              <w:rPr>
                <w:rFonts w:ascii="Arial" w:cs="Arial" w:eastAsia="Arial" w:hAnsi="Arial"/>
                <w:sz w:val="14"/>
                <w:szCs w:val="14"/>
                <w:color w:val="auto"/>
              </w:rPr>
              <w:t>per share.</w:t>
            </w: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9"/>
        </w:trPr>
        <w:tc>
          <w:tcPr>
            <w:tcW w:w="260" w:type="dxa"/>
            <w:vAlign w:val="bottom"/>
          </w:tcPr>
          <w:p>
            <w:pPr>
              <w:spacing w:after="0"/>
              <w:rPr>
                <w:sz w:val="20"/>
                <w:szCs w:val="20"/>
                <w:color w:val="auto"/>
              </w:rPr>
            </w:pPr>
            <w:r>
              <w:rPr>
                <w:rFonts w:ascii="Arial" w:cs="Arial" w:eastAsia="Arial" w:hAnsi="Arial"/>
                <w:sz w:val="14"/>
                <w:szCs w:val="14"/>
                <w:color w:val="auto"/>
              </w:rPr>
              <w:t>(2)</w:t>
            </w:r>
          </w:p>
        </w:tc>
        <w:tc>
          <w:tcPr>
            <w:tcW w:w="4240" w:type="dxa"/>
            <w:vAlign w:val="bottom"/>
            <w:gridSpan w:val="3"/>
          </w:tcPr>
          <w:p>
            <w:pPr>
              <w:ind w:left="80"/>
              <w:spacing w:after="0"/>
              <w:rPr>
                <w:sz w:val="20"/>
                <w:szCs w:val="20"/>
                <w:color w:val="auto"/>
              </w:rPr>
            </w:pPr>
            <w:r>
              <w:rPr>
                <w:rFonts w:ascii="Arial" w:cs="Arial" w:eastAsia="Arial" w:hAnsi="Arial"/>
                <w:sz w:val="14"/>
                <w:szCs w:val="14"/>
                <w:color w:val="auto"/>
                <w:w w:val="99"/>
              </w:rPr>
              <w:t>The underwriting discount for the shares offered to the public was $</w:t>
            </w:r>
          </w:p>
        </w:tc>
        <w:tc>
          <w:tcPr>
            <w:tcW w:w="3920" w:type="dxa"/>
            <w:vAlign w:val="bottom"/>
            <w:gridSpan w:val="6"/>
          </w:tcPr>
          <w:p>
            <w:pPr>
              <w:jc w:val="right"/>
              <w:spacing w:after="0"/>
              <w:rPr>
                <w:sz w:val="20"/>
                <w:szCs w:val="20"/>
                <w:color w:val="auto"/>
              </w:rPr>
            </w:pPr>
            <w:r>
              <w:rPr>
                <w:rFonts w:ascii="Arial" w:cs="Arial" w:eastAsia="Arial" w:hAnsi="Arial"/>
                <w:sz w:val="14"/>
                <w:szCs w:val="14"/>
                <w:color w:val="auto"/>
                <w:w w:val="98"/>
              </w:rPr>
              <w:t>per share. No underwriting discount or commissions will be paid</w:t>
            </w:r>
          </w:p>
        </w:tc>
      </w:tr>
      <w:tr>
        <w:trPr>
          <w:trHeight w:val="182"/>
        </w:trPr>
        <w:tc>
          <w:tcPr>
            <w:tcW w:w="260" w:type="dxa"/>
            <w:vAlign w:val="bottom"/>
          </w:tcPr>
          <w:p>
            <w:pPr>
              <w:spacing w:after="0"/>
              <w:rPr>
                <w:sz w:val="15"/>
                <w:szCs w:val="15"/>
                <w:color w:val="auto"/>
              </w:rPr>
            </w:pPr>
          </w:p>
        </w:tc>
        <w:tc>
          <w:tcPr>
            <w:tcW w:w="4240" w:type="dxa"/>
            <w:vAlign w:val="bottom"/>
            <w:gridSpan w:val="3"/>
          </w:tcPr>
          <w:p>
            <w:pPr>
              <w:ind w:left="80"/>
              <w:spacing w:after="0"/>
              <w:rPr>
                <w:sz w:val="20"/>
                <w:szCs w:val="20"/>
                <w:color w:val="auto"/>
              </w:rPr>
            </w:pPr>
            <w:r>
              <w:rPr>
                <w:rFonts w:ascii="Arial" w:cs="Arial" w:eastAsia="Arial" w:hAnsi="Arial"/>
                <w:sz w:val="14"/>
                <w:szCs w:val="14"/>
                <w:color w:val="auto"/>
                <w:w w:val="94"/>
              </w:rPr>
              <w:t>to the underwriters with respect to the shares we intend to repurchase.</w:t>
            </w: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bl>
    <w:p>
      <w:pPr>
        <w:spacing w:after="0" w:line="79" w:lineRule="exact"/>
        <w:rPr>
          <w:sz w:val="20"/>
          <w:szCs w:val="20"/>
          <w:color w:val="auto"/>
        </w:rPr>
      </w:pPr>
    </w:p>
    <w:p>
      <w:pPr>
        <w:jc w:val="both"/>
        <w:ind w:left="300" w:right="419" w:firstLine="360"/>
        <w:spacing w:after="0" w:line="301" w:lineRule="auto"/>
        <w:rPr>
          <w:sz w:val="20"/>
          <w:szCs w:val="20"/>
          <w:color w:val="auto"/>
        </w:rPr>
      </w:pPr>
      <w:r>
        <w:rPr>
          <w:rFonts w:ascii="Arial" w:cs="Arial" w:eastAsia="Arial" w:hAnsi="Arial"/>
          <w:sz w:val="16"/>
          <w:szCs w:val="16"/>
          <w:color w:val="auto"/>
        </w:rPr>
        <w:t>The expenses of the offering, not including the underwriting discounts and commissions for which the selling stockholders are responsible, are estimated at $0.7 million and are payable by us. We have also agreed to reimburse the underwriters for up to $35,000 of expenses related to the review of this offering by FINRA. In accordance with FINRA Rule 5110, this reimbursed fee is deemed underwriting compensation for this offering.</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Nasdaq, under the symbol “ASO.”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47" w:name="page48"/>
    <w:bookmarkEnd w:id="4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76" w:lineRule="exact"/>
        <w:rPr>
          <w:sz w:val="20"/>
          <w:szCs w:val="20"/>
          <w:color w:val="auto"/>
        </w:rPr>
      </w:pPr>
    </w:p>
    <w:p>
      <w:pPr>
        <w:ind w:left="1000" w:right="499" w:hanging="348"/>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Stabilizing transactions permit bids to purchase the underlying security so long as the stabilizing bids do not exceed a specified maximum.</w:t>
      </w:r>
    </w:p>
    <w:p>
      <w:pPr>
        <w:spacing w:after="0" w:line="62" w:lineRule="exact"/>
        <w:rPr>
          <w:rFonts w:ascii="Arial" w:cs="Arial" w:eastAsia="Arial" w:hAnsi="Arial"/>
          <w:sz w:val="18"/>
          <w:szCs w:val="18"/>
          <w:color w:val="auto"/>
        </w:rPr>
      </w:pPr>
    </w:p>
    <w:p>
      <w:pPr>
        <w:ind w:left="1000" w:right="479" w:hanging="348"/>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Over-allotment involves sales by the underwriters of shares in excess of the number of shares the underwriters are obligated to purchase, which creates a syndicate short position. The underwriters would close out any short position by purchasing shares in the open market.</w:t>
      </w:r>
    </w:p>
    <w:p>
      <w:pPr>
        <w:spacing w:after="0" w:line="75" w:lineRule="exact"/>
        <w:rPr>
          <w:rFonts w:ascii="Arial" w:cs="Arial" w:eastAsia="Arial" w:hAnsi="Arial"/>
          <w:sz w:val="18"/>
          <w:szCs w:val="18"/>
          <w:color w:val="auto"/>
        </w:rPr>
      </w:pPr>
    </w:p>
    <w:p>
      <w:pPr>
        <w:ind w:left="1000" w:right="799" w:hanging="348"/>
        <w:spacing w:after="0" w:line="308" w:lineRule="auto"/>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Syndicate covering transactions involve purchases of the common stock in the open market after the distribution has been completed in order to cover syndicate short positions.</w:t>
      </w:r>
    </w:p>
    <w:p>
      <w:pPr>
        <w:spacing w:after="0" w:line="38" w:lineRule="exact"/>
        <w:rPr>
          <w:rFonts w:ascii="Arial" w:cs="Arial" w:eastAsia="Arial" w:hAnsi="Arial"/>
          <w:sz w:val="17"/>
          <w:szCs w:val="17"/>
          <w:color w:val="auto"/>
        </w:rPr>
      </w:pPr>
    </w:p>
    <w:p>
      <w:pPr>
        <w:ind w:left="1000" w:right="399" w:hanging="348"/>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Penalty bids permit the representatives to reclaim a selling concession from a syndicate member when the common stock originally sold by the syndicate member is purchased in a stabilizing transaction or a syndicate covering transaction to cover syndicate short positions.</w:t>
      </w:r>
    </w:p>
    <w:p>
      <w:pPr>
        <w:spacing w:after="0" w:line="75" w:lineRule="exact"/>
        <w:rPr>
          <w:rFonts w:ascii="Arial" w:cs="Arial" w:eastAsia="Arial" w:hAnsi="Arial"/>
          <w:sz w:val="18"/>
          <w:szCs w:val="18"/>
          <w:color w:val="auto"/>
        </w:rPr>
      </w:pPr>
    </w:p>
    <w:p>
      <w:pPr>
        <w:ind w:left="1000" w:right="359" w:hanging="348"/>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passive market making, market makers in the common stock who are underwriters or prospective underwriters may, subject to limitations, make bids for or purchases of our common stock until the time, if any, at which a stabilizing bid is made.</w:t>
      </w:r>
    </w:p>
    <w:p>
      <w:pPr>
        <w:spacing w:after="0" w:line="76"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effected on Nasdaq or otherwise and, if commenced, may be discontinued at any time.</w:t>
      </w:r>
    </w:p>
    <w:p>
      <w:pPr>
        <w:spacing w:after="0" w:line="80" w:lineRule="exact"/>
        <w:rPr>
          <w:sz w:val="20"/>
          <w:szCs w:val="20"/>
          <w:color w:val="auto"/>
        </w:rPr>
      </w:pPr>
    </w:p>
    <w:p>
      <w:pPr>
        <w:ind w:left="300" w:right="459" w:firstLine="360"/>
        <w:spacing w:after="0" w:line="273" w:lineRule="auto"/>
        <w:rPr>
          <w:sz w:val="20"/>
          <w:szCs w:val="20"/>
          <w:color w:val="auto"/>
        </w:rPr>
      </w:pPr>
      <w:r>
        <w:rPr>
          <w:rFonts w:ascii="Arial" w:cs="Arial" w:eastAsia="Arial" w:hAnsi="Arial"/>
          <w:sz w:val="17"/>
          <w:szCs w:val="17"/>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70"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300" w:right="359" w:firstLine="360"/>
        <w:spacing w:after="0" w:line="253" w:lineRule="auto"/>
        <w:rPr>
          <w:sz w:val="20"/>
          <w:szCs w:val="20"/>
          <w:color w:val="auto"/>
        </w:rPr>
      </w:pPr>
      <w:r>
        <w:rPr>
          <w:rFonts w:ascii="Arial" w:cs="Arial" w:eastAsia="Arial" w:hAnsi="Arial"/>
          <w:sz w:val="18"/>
          <w:szCs w:val="18"/>
          <w:color w:val="auto"/>
        </w:rPr>
        <w:t>The KKR Stockholders beneficially own in excess of 10% of our issued and outstanding common stock and will be selling stockholders in this offering and, as such, will receive in excess of 5% of the net proceeds of this offering. Because KKR Capital Markets LLC, an affiliate of the KKR Stockholders, is an underwriter in this offering, KKR Capital Markets LLC is deemed to have a “conflict of interest” under FINRA Rule 5121. Accordingly, this offering is being made in compliance with the requirements of FINRA Rule 5121. Pursuant to that rule, the appointment of a “qualified independent underwriter” is not required in connection with this offering, because a bona fide public market exists in the shares, as that term is defined in FINRA Rule 5121. KKR Capital Markets LLC will not confirm any sales to any account over which it exercises discretionary authority without the specific written approval of the account holder.</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w:t>
      </w:r>
    </w:p>
    <w:p>
      <w:pPr>
        <w:sectPr>
          <w:pgSz w:w="11900" w:h="16838" w:orient="portrait"/>
          <w:cols w:equalWidth="0" w:num="1">
            <w:col w:w="9019"/>
          </w:cols>
          <w:pgMar w:left="1440" w:top="265" w:right="1440"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8" w:name="page49"/>
    <w:bookmarkEnd w:id="4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99"/>
        <w:spacing w:after="0" w:line="263" w:lineRule="auto"/>
        <w:rPr>
          <w:sz w:val="20"/>
          <w:szCs w:val="20"/>
          <w:color w:val="auto"/>
        </w:rPr>
      </w:pPr>
      <w:r>
        <w:rPr>
          <w:rFonts w:ascii="Arial" w:cs="Arial" w:eastAsia="Arial" w:hAnsi="Arial"/>
          <w:sz w:val="18"/>
          <w:szCs w:val="18"/>
          <w:color w:val="auto"/>
        </w:rPr>
        <w:t>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left="300" w:right="419" w:firstLine="360"/>
        <w:spacing w:after="0" w:line="273" w:lineRule="auto"/>
        <w:rPr>
          <w:sz w:val="20"/>
          <w:szCs w:val="20"/>
          <w:color w:val="auto"/>
        </w:rPr>
      </w:pPr>
      <w:r>
        <w:rPr>
          <w:rFonts w:ascii="Arial" w:cs="Arial" w:eastAsia="Arial" w:hAnsi="Arial"/>
          <w:sz w:val="17"/>
          <w:szCs w:val="17"/>
          <w:color w:val="auto"/>
        </w:rPr>
        <w:t>In relation to each Member State of the European Economic Area, each a Member State, no securities have been offered or will be offered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70" w:lineRule="exact"/>
        <w:rPr>
          <w:sz w:val="20"/>
          <w:szCs w:val="20"/>
          <w:color w:val="auto"/>
        </w:rPr>
      </w:pPr>
    </w:p>
    <w:p>
      <w:pPr>
        <w:ind w:left="1000" w:hanging="34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7" w:lineRule="exact"/>
        <w:rPr>
          <w:rFonts w:ascii="Arial" w:cs="Arial" w:eastAsia="Arial" w:hAnsi="Arial"/>
          <w:sz w:val="18"/>
          <w:szCs w:val="18"/>
          <w:color w:val="auto"/>
        </w:rPr>
      </w:pPr>
    </w:p>
    <w:p>
      <w:pPr>
        <w:ind w:left="1000" w:right="499" w:hanging="348"/>
        <w:spacing w:after="0" w:line="342" w:lineRule="auto"/>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under the Prospectus Regulation), subject to obtaining the prior consent of the representatives for any such offer; or</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17" w:lineRule="exact"/>
        <w:rPr>
          <w:sz w:val="20"/>
          <w:szCs w:val="20"/>
          <w:color w:val="auto"/>
        </w:rPr>
      </w:pPr>
    </w:p>
    <w:p>
      <w:pPr>
        <w:ind w:left="300" w:right="459"/>
        <w:spacing w:after="0" w:line="263" w:lineRule="auto"/>
        <w:rPr>
          <w:sz w:val="20"/>
          <w:szCs w:val="20"/>
          <w:color w:val="auto"/>
        </w:rPr>
      </w:pPr>
      <w:r>
        <w:rPr>
          <w:rFonts w:ascii="Arial" w:cs="Arial" w:eastAsia="Arial" w:hAnsi="Arial"/>
          <w:sz w:val="18"/>
          <w:szCs w:val="18"/>
          <w:color w:val="auto"/>
        </w:rPr>
        <w:t>provided that no such offer of securities shall require the Issuer or any Manager to publish a prospectus pursuant to Article 3 of the Prospectus Regulation or supplement a prospectus pursuant to Article 23 of the Prospectus Regulation.</w:t>
      </w:r>
    </w:p>
    <w:p>
      <w:pPr>
        <w:spacing w:after="0" w:line="76"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For the purposes of this provision, the expression an “offer to the public” in relation to any securities in any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289" w:lineRule="exact"/>
        <w:rPr>
          <w:sz w:val="20"/>
          <w:szCs w:val="20"/>
          <w:color w:val="auto"/>
        </w:rPr>
      </w:pPr>
    </w:p>
    <w:p>
      <w:pPr>
        <w:ind w:left="660" w:right="2419" w:firstLine="1762"/>
        <w:spacing w:after="0" w:line="434" w:lineRule="auto"/>
        <w:rPr>
          <w:sz w:val="20"/>
          <w:szCs w:val="20"/>
          <w:color w:val="auto"/>
        </w:rPr>
      </w:pPr>
      <w:r>
        <w:rPr>
          <w:rFonts w:ascii="Arial" w:cs="Arial" w:eastAsia="Arial" w:hAnsi="Arial"/>
          <w:sz w:val="16"/>
          <w:szCs w:val="16"/>
          <w:b w:val="1"/>
          <w:bCs w:val="1"/>
          <w:color w:val="auto"/>
        </w:rPr>
        <w:t xml:space="preserve">Notice to Prospective Investors in the United Kingdom </w:t>
      </w:r>
      <w:r>
        <w:rPr>
          <w:rFonts w:ascii="Arial" w:cs="Arial" w:eastAsia="Arial" w:hAnsi="Arial"/>
          <w:sz w:val="16"/>
          <w:szCs w:val="16"/>
          <w:color w:val="auto"/>
        </w:rPr>
        <w:t>Each of the underwriters severally represents, warrants and agrees as follows:</w:t>
      </w:r>
    </w:p>
    <w:p>
      <w:pPr>
        <w:ind w:left="1000" w:right="319" w:hanging="348"/>
        <w:spacing w:after="0" w:line="301" w:lineRule="auto"/>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securities in circumstances in which Section 21 of the FSMA does not apply to us; and</w:t>
      </w:r>
    </w:p>
    <w:p>
      <w:pPr>
        <w:spacing w:after="0" w:line="49" w:lineRule="exact"/>
        <w:rPr>
          <w:rFonts w:ascii="Arial" w:cs="Arial" w:eastAsia="Arial" w:hAnsi="Arial"/>
          <w:sz w:val="16"/>
          <w:szCs w:val="16"/>
          <w:color w:val="auto"/>
        </w:rPr>
      </w:pPr>
    </w:p>
    <w:p>
      <w:pPr>
        <w:ind w:left="1000" w:right="359" w:hanging="348"/>
        <w:spacing w:after="0" w:line="308"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it has complied with, and will comply with all applicable provisions of the FSMA with respect to anything done by it in relation to the securities in, from or otherwise involving the United Kingdom.</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300" w:right="479" w:firstLine="360"/>
        <w:spacing w:after="0" w:line="255" w:lineRule="auto"/>
        <w:rPr>
          <w:sz w:val="20"/>
          <w:szCs w:val="20"/>
          <w:color w:val="auto"/>
        </w:rPr>
      </w:pPr>
      <w:r>
        <w:rPr>
          <w:rFonts w:ascii="Arial" w:cs="Arial" w:eastAsia="Arial" w:hAnsi="Arial"/>
          <w:sz w:val="18"/>
          <w:szCs w:val="18"/>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84"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84" w:lineRule="exact"/>
        <w:rPr>
          <w:sz w:val="20"/>
          <w:szCs w:val="20"/>
          <w:color w:val="auto"/>
        </w:rPr>
      </w:pPr>
    </w:p>
    <w:p>
      <w:pPr>
        <w:jc w:val="both"/>
        <w:ind w:left="300" w:right="399" w:firstLine="360"/>
        <w:spacing w:after="0" w:line="263"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300" w:right="339" w:firstLine="360"/>
        <w:spacing w:after="0" w:line="272" w:lineRule="auto"/>
        <w:rPr>
          <w:sz w:val="20"/>
          <w:szCs w:val="20"/>
          <w:color w:val="auto"/>
        </w:rPr>
      </w:pPr>
      <w:r>
        <w:rPr>
          <w:rFonts w:ascii="Arial" w:cs="Arial" w:eastAsia="Arial" w:hAnsi="Arial"/>
          <w:sz w:val="17"/>
          <w:szCs w:val="17"/>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300" w:right="299" w:firstLine="360"/>
        <w:spacing w:after="0" w:line="272"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69"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color w:val="auto"/>
        </w:rPr>
        <w:t>Neither this document nor any other offering or marketing material relating to the offering, the Company or the securities have been or will be filed with or approved by any Swiss regulatory authority. In particular, this document will not be filed with, and the offer of securities will not be supervised by, the Swiss Financial Market Supervisory Authority FINMA, or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300" w:right="379" w:firstLine="360"/>
        <w:spacing w:after="0" w:line="288" w:lineRule="auto"/>
        <w:rPr>
          <w:sz w:val="20"/>
          <w:szCs w:val="20"/>
          <w:color w:val="auto"/>
        </w:rPr>
      </w:pPr>
      <w:r>
        <w:rPr>
          <w:rFonts w:ascii="Arial" w:cs="Arial" w:eastAsia="Arial" w:hAnsi="Arial"/>
          <w:sz w:val="16"/>
          <w:szCs w:val="16"/>
          <w:color w:val="auto"/>
        </w:rPr>
        <w:t>The securities may not be offered or sold in Hong Kong by means of any document other than (i) to “professional investors” as defined in the Securities and Futures Ordinance (Cap.571) of Hong Kong and any rules made under that Ordinance, or (ii) in other circumstances which do not result in the document being a “prospectus” as defined in the Companies Ordinance (Cap.32) of Hong Kong or which do not constitute an offer to the public within the meaning of that Ordinance. No advertisement, invitation or document relating to the depositary securities may be issued or may be in the possession of any person for the purpose of issue, whether in Hong Kong or elsewhere, which is directed at, or the contents of which are likely to be accessed or read by, the public of Hong Kong (except if permitted to do so under the securities laws of Hong Kong) other than with respect to depositary securities which are or are intended to be disposed of only to persons outside Hong Kong or only to “professional investors” as defined in the Securities and Futures Ordinance and any rules made under that Ordinance.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securities may not be circulated or distributed, nor may the securities be offered or sold, or be made the subject of an invitation for subscription or purchase, whether directly or indirectly, to persons in Singapore other than:</w:t>
      </w:r>
    </w:p>
    <w:p>
      <w:pPr>
        <w:spacing w:after="0" w:line="80" w:lineRule="exact"/>
        <w:rPr>
          <w:sz w:val="20"/>
          <w:szCs w:val="20"/>
          <w:color w:val="auto"/>
        </w:rPr>
      </w:pPr>
    </w:p>
    <w:p>
      <w:pPr>
        <w:ind w:left="1000" w:right="379" w:hanging="348"/>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or SFA,</w:t>
      </w:r>
    </w:p>
    <w:p>
      <w:pPr>
        <w:spacing w:after="0" w:line="62" w:lineRule="exact"/>
        <w:rPr>
          <w:rFonts w:ascii="Arial" w:cs="Arial" w:eastAsia="Arial" w:hAnsi="Arial"/>
          <w:sz w:val="18"/>
          <w:szCs w:val="18"/>
          <w:color w:val="auto"/>
        </w:rPr>
      </w:pPr>
    </w:p>
    <w:p>
      <w:pPr>
        <w:ind w:left="1000" w:right="959" w:hanging="348"/>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a relevant person pursuant to Section 275(1), or any person pursuant to Section 275(1A), and in accordance with the conditions specified in Section 275, of the SFA,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otherwise pursuant to, and in accordance with the conditions of, any other applicable provision of the SFA.</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 the securities are subscribed or purchased under Section 275 of the SFA by a relevant person which is:</w:t>
      </w:r>
    </w:p>
    <w:p>
      <w:pPr>
        <w:spacing w:after="0" w:line="140" w:lineRule="exact"/>
        <w:rPr>
          <w:sz w:val="20"/>
          <w:szCs w:val="20"/>
          <w:color w:val="auto"/>
        </w:rPr>
      </w:pPr>
    </w:p>
    <w:p>
      <w:pPr>
        <w:jc w:val="both"/>
        <w:ind w:left="1000" w:right="379" w:hanging="348"/>
        <w:spacing w:after="0" w:line="263"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1000" w:right="359" w:hanging="348"/>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62" w:lineRule="exact"/>
        <w:rPr>
          <w:sz w:val="20"/>
          <w:szCs w:val="20"/>
          <w:color w:val="auto"/>
        </w:rPr>
      </w:pPr>
    </w:p>
    <w:p>
      <w:pPr>
        <w:ind w:left="300" w:right="479"/>
        <w:spacing w:after="0" w:line="286"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57" w:lineRule="exact"/>
        <w:rPr>
          <w:sz w:val="20"/>
          <w:szCs w:val="20"/>
          <w:color w:val="auto"/>
        </w:rPr>
      </w:pPr>
    </w:p>
    <w:p>
      <w:pPr>
        <w:ind w:left="1000" w:right="519" w:hanging="348"/>
        <w:spacing w:after="0" w:line="308" w:lineRule="auto"/>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rFonts w:ascii="Arial" w:cs="Arial" w:eastAsia="Arial" w:hAnsi="Arial"/>
          <w:sz w:val="18"/>
          <w:szCs w:val="18"/>
          <w:color w:val="auto"/>
        </w:rPr>
      </w:pPr>
    </w:p>
    <w:p>
      <w:pPr>
        <w:ind w:left="1000" w:right="1199" w:hanging="348"/>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left="300" w:right="339" w:firstLine="360"/>
        <w:spacing w:after="0" w:line="289" w:lineRule="auto"/>
        <w:rPr>
          <w:sz w:val="20"/>
          <w:szCs w:val="20"/>
          <w:color w:val="auto"/>
        </w:rPr>
      </w:pPr>
      <w:r>
        <w:rPr>
          <w:rFonts w:ascii="Arial" w:cs="Arial" w:eastAsia="Arial" w:hAnsi="Arial"/>
          <w:sz w:val="16"/>
          <w:szCs w:val="16"/>
          <w:color w:val="auto"/>
        </w:rPr>
        <w:t>This prospectus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(Cth)) for the purposes of Part 6D.2 of the Corporations Act 2001 (Cth) or in a product disclosure statement for the purposes of Part 7.9 of the Corporations Act 2001 (Cth), in either case, in relation to the securities. The securities are not being offered in Australia to “retail clients” as defined in sections 761G and 761GA of the Corporations Act 2001 (Cth). This offering is being made in Australia solely to “wholesale clients” for the purposes of section 761G of the Corporations Act 2001 (Cth) and, as such, no prospectus, product disclosure statement or other disclosure document in relation to the securities has been, or will be, prepared.</w:t>
      </w:r>
    </w:p>
    <w:p>
      <w:pPr>
        <w:spacing w:after="0" w:line="58" w:lineRule="exact"/>
        <w:rPr>
          <w:sz w:val="20"/>
          <w:szCs w:val="20"/>
          <w:color w:val="auto"/>
        </w:rPr>
      </w:pPr>
    </w:p>
    <w:p>
      <w:pPr>
        <w:ind w:left="300" w:right="299" w:firstLine="360"/>
        <w:spacing w:after="0" w:line="287" w:lineRule="auto"/>
        <w:rPr>
          <w:sz w:val="20"/>
          <w:szCs w:val="20"/>
          <w:color w:val="auto"/>
        </w:rPr>
      </w:pPr>
      <w:r>
        <w:rPr>
          <w:rFonts w:ascii="Arial" w:cs="Arial" w:eastAsia="Arial" w:hAnsi="Arial"/>
          <w:sz w:val="16"/>
          <w:szCs w:val="16"/>
          <w:color w:val="auto"/>
        </w:rPr>
        <w:t>This prospectus does not constitute an offer in Australia other than to persons who do not require disclosure under Part 6D.2 of the Corporations Act 2001 (Cth) and who are wholesale clients for the purposes of section 761G of the Corporations Act 2001 (Cth). By submitting an application for the securities, you represent and warrant to us that you are a person who does not require disclosure under Part 6D.2 and who is a wholesale client for the purposes of section 761G of the Corporations Act 2001 (Cth). If any recipient of this prospectus is not a wholesale client, no offer of, or invitation to apply for, the securities shall be deemed to be made to such recipient and no applications for such securities will be accepted from such recipient. Any offer to a recipient in Australia, and any agreement arising from acceptance of such offer, is personal and may only be accepted by the recipient. In addition, by applying for the securities you undertake to us that, for a period of twelve months from the date of issue of the securities, you will not transfer any interest in the securities to any person in Australia other than to a person who does not require disclosure under Part 6D.2 and who is a wholesale client.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The validity of the shares of common stock offered by this prospectus will be passed upon for us by Simpson Thacher &amp; Bartlett LLP, New York, New York. Certain legal matters relating to this offering will be passed upon for the underwriters by Latham &amp; Watkins LLP, New York, New York.</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The consolidated financial statements of Academy Sports and Outdoors, Inc. and subsidiaries incorporated in this prospectus by reference from the Company’s Annual Report on Form 10-K for the fiscal year ended January 30, 2021, have been audited by Deloitte &amp; Touche LLP, an independent registered public accounting firm, as stated in their report, which is incorporated herein by reference. Such consolidated financial statements have been so incorporated in reliance upon the report of such firm given upon their authority as experts in accounting and auditing.</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We have filed a registration statement on Form S-1 under the Securities Act with respect to the common stock offered by this prospectus with the SEC. This prospectus is a part of the registration statement and does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contained, or incorporated by reference, in this prospectus regarding the contents of any contract or other document referred to in those documents are not necessarily complete, and in each instance we refer you to the copy of the contract or other document filed as an exhibit to the registration statement or other document. Each of these statements is qualified in all respects by this reference.</w:t>
      </w:r>
    </w:p>
    <w:p>
      <w:pPr>
        <w:spacing w:after="0" w:line="73"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We are subject to the informational reporting requirements of the Exchange Act and, in accordance with the Exchange Act, we file annual, quarterly and current reports, proxy statements and other information with the SEC. Our filings with the SEC are available to the public on the SEC’s website at http://www.sec.gov. Those filings are available to the public on, or accessible through, our website (www.academy.com) under the heading “Investor Relations.” The information we file with the SEC or contained on or accessible through our corporate website or any other website that we may maintain is not part of this prospectus or the registration statement of which this prospectus is a part.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left="300" w:right="439" w:firstLine="360"/>
        <w:spacing w:after="0" w:line="255" w:lineRule="auto"/>
        <w:rPr>
          <w:sz w:val="20"/>
          <w:szCs w:val="20"/>
          <w:color w:val="auto"/>
        </w:rPr>
      </w:pPr>
      <w:r>
        <w:rPr>
          <w:rFonts w:ascii="Arial" w:cs="Arial" w:eastAsia="Arial" w:hAnsi="Arial"/>
          <w:sz w:val="18"/>
          <w:szCs w:val="18"/>
          <w:color w:val="auto"/>
        </w:rPr>
        <w:t>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Exchange Act, and applicable SEC rules, are not deemed “filed” under the Exchange Act):</w:t>
      </w:r>
    </w:p>
    <w:p>
      <w:pPr>
        <w:spacing w:after="0" w:line="84" w:lineRule="exact"/>
        <w:rPr>
          <w:sz w:val="20"/>
          <w:szCs w:val="20"/>
          <w:color w:val="auto"/>
        </w:rPr>
      </w:pPr>
    </w:p>
    <w:p>
      <w:pPr>
        <w:ind w:left="1000" w:right="339" w:hanging="348"/>
        <w:spacing w:after="0" w:line="286" w:lineRule="auto"/>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our Annual Report on Form 10-K for the fiscal year ended January 30, 2021, filed on </w:t>
      </w:r>
      <w:hyperlink r:id="rId106">
        <w:r>
          <w:rPr>
            <w:rFonts w:ascii="Arial" w:cs="Arial" w:eastAsia="Arial" w:hAnsi="Arial"/>
            <w:sz w:val="17"/>
            <w:szCs w:val="17"/>
            <w:u w:val="single" w:color="auto"/>
            <w:color w:val="0000EE"/>
          </w:rPr>
          <w:t>April 7, 2021</w:t>
        </w:r>
      </w:hyperlink>
      <w:r>
        <w:rPr>
          <w:rFonts w:ascii="Arial" w:cs="Arial" w:eastAsia="Arial" w:hAnsi="Arial"/>
          <w:sz w:val="17"/>
          <w:szCs w:val="17"/>
          <w:color w:val="auto"/>
        </w:rPr>
        <w:t xml:space="preserve"> (including information specifically incorporated by reference into such Annual Report on Form 10-K from our Proxy Statement for our 2021 Annual Meeting of Stockholders filed on </w:t>
      </w:r>
      <w:hyperlink r:id="rId107">
        <w:r>
          <w:rPr>
            <w:rFonts w:ascii="Arial" w:cs="Arial" w:eastAsia="Arial" w:hAnsi="Arial"/>
            <w:sz w:val="17"/>
            <w:szCs w:val="17"/>
            <w:u w:val="single" w:color="auto"/>
            <w:color w:val="0000EE"/>
          </w:rPr>
          <w:t>April 23, 2021</w:t>
        </w:r>
      </w:hyperlink>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our Quarterly Report on Form 10-Q for the quarter ended May 1, 2021, filed on </w:t>
      </w:r>
      <w:hyperlink r:id="rId108">
        <w:r>
          <w:rPr>
            <w:rFonts w:ascii="Arial" w:cs="Arial" w:eastAsia="Arial" w:hAnsi="Arial"/>
            <w:sz w:val="18"/>
            <w:szCs w:val="18"/>
            <w:u w:val="single" w:color="auto"/>
            <w:color w:val="0000EE"/>
          </w:rPr>
          <w:t>June 8, 2021</w:t>
        </w:r>
      </w:hyperlink>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our Quarterly Report on Form 10-Q for the quarter ended July 31, 2021, filed on </w:t>
      </w:r>
      <w:hyperlink r:id="rId109">
        <w:r>
          <w:rPr>
            <w:rFonts w:ascii="Arial" w:cs="Arial" w:eastAsia="Arial" w:hAnsi="Arial"/>
            <w:sz w:val="16"/>
            <w:szCs w:val="16"/>
            <w:u w:val="single" w:color="auto"/>
            <w:color w:val="0000EE"/>
          </w:rPr>
          <w:t>September 9, 2021</w:t>
        </w:r>
      </w:hyperlink>
      <w:r>
        <w:rPr>
          <w:rFonts w:ascii="Arial" w:cs="Arial" w:eastAsia="Arial" w:hAnsi="Arial"/>
          <w:sz w:val="16"/>
          <w:szCs w:val="16"/>
          <w:color w:val="auto"/>
        </w:rPr>
        <w:t>; and</w:t>
      </w:r>
    </w:p>
    <w:p>
      <w:pPr>
        <w:spacing w:after="0" w:line="140" w:lineRule="exact"/>
        <w:rPr>
          <w:rFonts w:ascii="Arial" w:cs="Arial" w:eastAsia="Arial" w:hAnsi="Arial"/>
          <w:sz w:val="16"/>
          <w:szCs w:val="16"/>
          <w:color w:val="auto"/>
        </w:rPr>
      </w:pPr>
    </w:p>
    <w:p>
      <w:pPr>
        <w:ind w:left="1000" w:right="339" w:hanging="348"/>
        <w:spacing w:after="0" w:line="277" w:lineRule="auto"/>
        <w:tabs>
          <w:tab w:leader="none" w:pos="1000" w:val="left"/>
        </w:tabs>
        <w:numPr>
          <w:ilvl w:val="0"/>
          <w:numId w:val="37"/>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on </w:t>
      </w:r>
      <w:hyperlink r:id="rId110">
        <w:r>
          <w:rPr>
            <w:rFonts w:ascii="Arial" w:cs="Arial" w:eastAsia="Arial" w:hAnsi="Arial"/>
            <w:sz w:val="18"/>
            <w:szCs w:val="18"/>
            <w:u w:val="single" w:color="auto"/>
            <w:color w:val="0000EE"/>
          </w:rPr>
          <w:t>February 1, 2021</w:t>
        </w:r>
      </w:hyperlink>
      <w:r>
        <w:rPr>
          <w:rFonts w:ascii="Arial" w:cs="Arial" w:eastAsia="Arial" w:hAnsi="Arial"/>
          <w:sz w:val="18"/>
          <w:szCs w:val="18"/>
          <w:color w:val="auto"/>
        </w:rPr>
        <w:t xml:space="preserve">, </w:t>
      </w:r>
      <w:hyperlink r:id="rId111">
        <w:r>
          <w:rPr>
            <w:rFonts w:ascii="Arial" w:cs="Arial" w:eastAsia="Arial" w:hAnsi="Arial"/>
            <w:sz w:val="18"/>
            <w:szCs w:val="18"/>
            <w:u w:val="single" w:color="auto"/>
            <w:color w:val="0000EE"/>
          </w:rPr>
          <w:t>March 4, 2021</w:t>
        </w:r>
      </w:hyperlink>
      <w:r>
        <w:rPr>
          <w:rFonts w:ascii="Arial" w:cs="Arial" w:eastAsia="Arial" w:hAnsi="Arial"/>
          <w:sz w:val="18"/>
          <w:szCs w:val="18"/>
          <w:color w:val="auto"/>
        </w:rPr>
        <w:t xml:space="preserve">, </w:t>
      </w:r>
      <w:hyperlink r:id="rId112">
        <w:r>
          <w:rPr>
            <w:rFonts w:ascii="Arial" w:cs="Arial" w:eastAsia="Arial" w:hAnsi="Arial"/>
            <w:sz w:val="18"/>
            <w:szCs w:val="18"/>
            <w:u w:val="single" w:color="auto"/>
            <w:color w:val="0000EE"/>
          </w:rPr>
          <w:t>May 10, 2021</w:t>
        </w:r>
      </w:hyperlink>
      <w:r>
        <w:rPr>
          <w:rFonts w:ascii="Arial" w:cs="Arial" w:eastAsia="Arial" w:hAnsi="Arial"/>
          <w:sz w:val="18"/>
          <w:szCs w:val="18"/>
          <w:color w:val="auto"/>
        </w:rPr>
        <w:t xml:space="preserve">, </w:t>
      </w:r>
      <w:hyperlink r:id="rId113">
        <w:r>
          <w:rPr>
            <w:rFonts w:ascii="Arial" w:cs="Arial" w:eastAsia="Arial" w:hAnsi="Arial"/>
            <w:sz w:val="18"/>
            <w:szCs w:val="18"/>
            <w:u w:val="single" w:color="auto"/>
            <w:color w:val="0000EE"/>
          </w:rPr>
          <w:t>May 25, 2021</w:t>
        </w:r>
      </w:hyperlink>
      <w:r>
        <w:rPr>
          <w:rFonts w:ascii="Arial" w:cs="Arial" w:eastAsia="Arial" w:hAnsi="Arial"/>
          <w:sz w:val="18"/>
          <w:szCs w:val="18"/>
          <w:color w:val="auto"/>
        </w:rPr>
        <w:t xml:space="preserve">, </w:t>
      </w:r>
      <w:hyperlink r:id="rId114">
        <w:r>
          <w:rPr>
            <w:rFonts w:ascii="Arial" w:cs="Arial" w:eastAsia="Arial" w:hAnsi="Arial"/>
            <w:sz w:val="18"/>
            <w:szCs w:val="18"/>
            <w:u w:val="single" w:color="auto"/>
            <w:color w:val="0000EE"/>
          </w:rPr>
          <w:t>June 7,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115">
        <w:r>
          <w:rPr>
            <w:rFonts w:ascii="Arial" w:cs="Arial" w:eastAsia="Arial" w:hAnsi="Arial"/>
            <w:sz w:val="18"/>
            <w:szCs w:val="18"/>
            <w:u w:val="single" w:color="auto"/>
            <w:color w:val="0000EE"/>
          </w:rPr>
          <w:t xml:space="preserve">August 5, 2021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116">
        <w:r>
          <w:rPr>
            <w:rFonts w:ascii="Arial" w:cs="Arial" w:eastAsia="Arial" w:hAnsi="Arial"/>
            <w:sz w:val="18"/>
            <w:szCs w:val="18"/>
            <w:u w:val="single" w:color="auto"/>
            <w:color w:val="0000EE"/>
          </w:rPr>
          <w:t xml:space="preserve">September 9, 2021 </w:t>
        </w:r>
      </w:hyperlink>
      <w:r>
        <w:rPr>
          <w:rFonts w:ascii="Arial" w:cs="Arial" w:eastAsia="Arial" w:hAnsi="Arial"/>
          <w:sz w:val="18"/>
          <w:szCs w:val="18"/>
          <w:color w:val="000000"/>
        </w:rPr>
        <w:t>(only</w:t>
      </w:r>
      <w:r>
        <w:rPr>
          <w:rFonts w:ascii="Arial" w:cs="Arial" w:eastAsia="Arial" w:hAnsi="Arial"/>
          <w:sz w:val="18"/>
          <w:szCs w:val="18"/>
          <w:color w:val="0000EE"/>
        </w:rPr>
        <w:t xml:space="preserve"> </w:t>
      </w:r>
      <w:r>
        <w:rPr>
          <w:rFonts w:ascii="Arial" w:cs="Arial" w:eastAsia="Arial" w:hAnsi="Arial"/>
          <w:sz w:val="18"/>
          <w:szCs w:val="18"/>
          <w:color w:val="000000"/>
        </w:rPr>
        <w:t>with respect to Item 8.01).</w:t>
      </w:r>
    </w:p>
    <w:p>
      <w:pPr>
        <w:spacing w:after="0" w:line="62" w:lineRule="exact"/>
        <w:rPr>
          <w:rFonts w:ascii="Arial" w:cs="Arial" w:eastAsia="Arial" w:hAnsi="Arial"/>
          <w:sz w:val="18"/>
          <w:szCs w:val="18"/>
          <w:color w:val="0000EE"/>
        </w:rPr>
      </w:pPr>
    </w:p>
    <w:p>
      <w:pPr>
        <w:ind w:left="300" w:right="619" w:firstLine="360"/>
        <w:spacing w:after="0" w:line="311" w:lineRule="auto"/>
        <w:rPr>
          <w:sz w:val="20"/>
          <w:szCs w:val="20"/>
          <w:color w:val="auto"/>
        </w:rPr>
      </w:pPr>
      <w:r>
        <w:rPr>
          <w:rFonts w:ascii="Arial" w:cs="Arial" w:eastAsia="Arial" w:hAnsi="Arial"/>
          <w:sz w:val="16"/>
          <w:szCs w:val="16"/>
          <w:color w:val="auto"/>
        </w:rPr>
        <w:t>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w:t>
      </w:r>
    </w:p>
    <w:p>
      <w:pPr>
        <w:spacing w:after="0" w:line="41" w:lineRule="exact"/>
        <w:rPr>
          <w:rFonts w:ascii="Arial" w:cs="Arial" w:eastAsia="Arial" w:hAnsi="Arial"/>
          <w:sz w:val="18"/>
          <w:szCs w:val="18"/>
          <w:color w:val="0000EE"/>
        </w:rPr>
      </w:pPr>
    </w:p>
    <w:p>
      <w:pPr>
        <w:ind w:left="300" w:right="319" w:firstLine="360"/>
        <w:spacing w:after="0" w:line="257" w:lineRule="auto"/>
        <w:rPr>
          <w:sz w:val="20"/>
          <w:szCs w:val="20"/>
          <w:color w:val="auto"/>
        </w:rPr>
      </w:pPr>
      <w:r>
        <w:rPr>
          <w:rFonts w:ascii="Arial" w:cs="Arial" w:eastAsia="Arial" w:hAnsi="Arial"/>
          <w:sz w:val="18"/>
          <w:szCs w:val="18"/>
          <w:color w:val="auto"/>
        </w:rPr>
        <w:t>We will provide without charge to each person, including any beneficial owner, to whom a copy of this prospectus is delivered, upon written or oral request of such person, a copy of any or all of the documents referred to above which have been incorporated by reference in this prospectus. You should direct requests for those documents to Academy Sports and Outdoors, Inc., 1800 North Mason Road, Katy, Texas 77449; Attention: Corporate Secretary (telephone: 281-646-5200).</w:t>
      </w:r>
    </w:p>
    <w:p>
      <w:pPr>
        <w:spacing w:after="0" w:line="80" w:lineRule="exact"/>
        <w:rPr>
          <w:rFonts w:ascii="Arial" w:cs="Arial" w:eastAsia="Arial" w:hAnsi="Arial"/>
          <w:sz w:val="18"/>
          <w:szCs w:val="18"/>
          <w:color w:val="0000EE"/>
        </w:rPr>
      </w:pPr>
    </w:p>
    <w:p>
      <w:pPr>
        <w:ind w:left="300" w:right="439" w:firstLine="360"/>
        <w:spacing w:after="0" w:line="277" w:lineRule="auto"/>
        <w:rPr>
          <w:sz w:val="20"/>
          <w:szCs w:val="20"/>
          <w:color w:val="auto"/>
        </w:rPr>
      </w:pPr>
      <w:r>
        <w:rPr>
          <w:rFonts w:ascii="Arial" w:cs="Arial" w:eastAsia="Arial" w:hAnsi="Arial"/>
          <w:sz w:val="18"/>
          <w:szCs w:val="18"/>
          <w:color w:val="auto"/>
        </w:rPr>
        <w:t>Exhibits to any documents incorporated by reference in this prospectus will not be sent, however, unless those exhibits have been specifically referenced in this prospectus.</w:t>
      </w:r>
    </w:p>
    <w:p>
      <w:pPr>
        <w:spacing w:after="0" w:line="170"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4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6376035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92075</wp:posOffset>
            </wp:positionV>
            <wp:extent cx="521208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169545</wp:posOffset>
            </wp:positionV>
            <wp:extent cx="52120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6178550</wp:posOffset>
            </wp:positionV>
            <wp:extent cx="52120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6238875</wp:posOffset>
            </wp:positionV>
            <wp:extent cx="521208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2586990</wp:posOffset>
            </wp:positionV>
            <wp:extent cx="3317240" cy="8229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3317240" cy="82296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left="300" w:right="659" w:firstLine="360"/>
        <w:spacing w:after="0" w:line="259" w:lineRule="auto"/>
        <w:rPr>
          <w:sz w:val="20"/>
          <w:szCs w:val="20"/>
          <w:color w:val="auto"/>
        </w:rPr>
      </w:pPr>
      <w:r>
        <w:rPr>
          <w:rFonts w:ascii="Arial" w:cs="Arial" w:eastAsia="Arial" w:hAnsi="Arial"/>
          <w:sz w:val="18"/>
          <w:szCs w:val="18"/>
          <w:color w:val="auto"/>
        </w:rPr>
        <w:t>The following table sets forth the expenses payable by the Registrant expected to be incurred in connection with the distribution of common stock being registered hereby (other than the underwriting discounts and commissions). All of such expenses are estimates, except for the Securities and Exchange Commission (SEC) registration fee and 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41910</wp:posOffset>
            </wp:positionV>
            <wp:extent cx="5349240" cy="2400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5349240" cy="240030"/>
                    </a:xfrm>
                    <a:prstGeom prst="rect">
                      <a:avLst/>
                    </a:prstGeom>
                    <a:noFill/>
                  </pic:spPr>
                </pic:pic>
              </a:graphicData>
            </a:graphic>
          </wp:anchor>
        </w:drawing>
      </w:r>
    </w:p>
    <w:p>
      <w:pPr>
        <w:spacing w:after="0" w:line="1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(dollars in thousands)</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SEC registration fee</w:t>
            </w:r>
          </w:p>
        </w:tc>
        <w:tc>
          <w:tcPr>
            <w:tcW w:w="680" w:type="dxa"/>
            <w:vAlign w:val="bottom"/>
          </w:tcPr>
          <w:p>
            <w:pPr>
              <w:jc w:val="right"/>
              <w:spacing w:after="0"/>
              <w:rPr>
                <w:sz w:val="20"/>
                <w:szCs w:val="20"/>
                <w:color w:val="auto"/>
              </w:rPr>
            </w:pPr>
            <w:r>
              <w:rPr>
                <w:rFonts w:ascii="Arial" w:cs="Arial" w:eastAsia="Arial" w:hAnsi="Arial"/>
                <w:sz w:val="18"/>
                <w:szCs w:val="18"/>
                <w:color w:val="auto"/>
                <w:w w:val="91"/>
              </w:rPr>
              <w:t>$ 85,967</w:t>
            </w:r>
          </w:p>
        </w:tc>
      </w:tr>
      <w:tr>
        <w:trPr>
          <w:trHeight w:val="54"/>
        </w:trPr>
        <w:tc>
          <w:tcPr>
            <w:tcW w:w="77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04"/>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118,695</w:t>
            </w:r>
          </w:p>
        </w:tc>
      </w:tr>
      <w:tr>
        <w:trPr>
          <w:trHeight w:val="270"/>
        </w:trPr>
        <w:tc>
          <w:tcPr>
            <w:tcW w:w="7740" w:type="dxa"/>
            <w:vAlign w:val="bottom"/>
          </w:tcPr>
          <w:p>
            <w:pPr>
              <w:spacing w:after="0"/>
              <w:rPr>
                <w:sz w:val="20"/>
                <w:szCs w:val="20"/>
                <w:color w:val="auto"/>
              </w:rPr>
            </w:pPr>
            <w:r>
              <w:rPr>
                <w:rFonts w:ascii="Arial" w:cs="Arial" w:eastAsia="Arial" w:hAnsi="Arial"/>
                <w:sz w:val="18"/>
                <w:szCs w:val="18"/>
                <w:color w:val="auto"/>
              </w:rPr>
              <w:t>Printing fees and expenses</w:t>
            </w:r>
          </w:p>
        </w:tc>
        <w:tc>
          <w:tcPr>
            <w:tcW w:w="68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54"/>
        </w:trPr>
        <w:tc>
          <w:tcPr>
            <w:tcW w:w="77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04"/>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225,000</w:t>
            </w:r>
          </w:p>
        </w:tc>
      </w:tr>
      <w:tr>
        <w:trPr>
          <w:trHeight w:val="270"/>
        </w:trPr>
        <w:tc>
          <w:tcPr>
            <w:tcW w:w="77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200,000</w:t>
            </w:r>
          </w:p>
        </w:tc>
      </w:tr>
      <w:tr>
        <w:trPr>
          <w:trHeight w:val="54"/>
        </w:trPr>
        <w:tc>
          <w:tcPr>
            <w:tcW w:w="77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04"/>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Blue Sky fees and expenses (including legal fees)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56"/>
        </w:trPr>
        <w:tc>
          <w:tcPr>
            <w:tcW w:w="774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r>
      <w:tr>
        <w:trPr>
          <w:trHeight w:val="61"/>
        </w:trPr>
        <w:tc>
          <w:tcPr>
            <w:tcW w:w="7740" w:type="dxa"/>
            <w:vAlign w:val="bottom"/>
          </w:tcPr>
          <w:p>
            <w:pPr>
              <w:spacing w:after="0"/>
              <w:rPr>
                <w:sz w:val="5"/>
                <w:szCs w:val="5"/>
                <w:color w:val="auto"/>
              </w:rPr>
            </w:pPr>
          </w:p>
        </w:tc>
        <w:tc>
          <w:tcPr>
            <w:tcW w:w="680" w:type="dxa"/>
            <w:vAlign w:val="bottom"/>
          </w:tcPr>
          <w:p>
            <w:pPr>
              <w:spacing w:after="0"/>
              <w:rPr>
                <w:sz w:val="5"/>
                <w:szCs w:val="5"/>
                <w:color w:val="auto"/>
              </w:rPr>
            </w:pPr>
          </w:p>
        </w:tc>
      </w:tr>
      <w:tr>
        <w:trPr>
          <w:trHeight w:val="318"/>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680,662</w:t>
            </w:r>
          </w:p>
        </w:tc>
      </w:tr>
    </w:tbl>
    <w:p>
      <w:pPr>
        <w:spacing w:after="0" w:line="198"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Section 102(b)(7) of the Delaware General Corporation Law, or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Our amended and restated certificate of incorporation provides for this limitation of liability.</w:t>
      </w:r>
    </w:p>
    <w:p>
      <w:pPr>
        <w:spacing w:after="0" w:line="87" w:lineRule="exact"/>
        <w:rPr>
          <w:sz w:val="20"/>
          <w:szCs w:val="20"/>
          <w:color w:val="auto"/>
        </w:rPr>
      </w:pPr>
    </w:p>
    <w:p>
      <w:pPr>
        <w:ind w:left="300" w:right="319" w:firstLine="360"/>
        <w:spacing w:after="0" w:line="285" w:lineRule="auto"/>
        <w:rPr>
          <w:sz w:val="20"/>
          <w:szCs w:val="20"/>
          <w:color w:val="auto"/>
        </w:rPr>
      </w:pPr>
      <w:r>
        <w:rPr>
          <w:rFonts w:ascii="Arial" w:cs="Arial" w:eastAsia="Arial" w:hAnsi="Arial"/>
          <w:sz w:val="16"/>
          <w:szCs w:val="16"/>
          <w:color w:val="auto"/>
        </w:rPr>
        <w:t>Section 145 of the DGCL, or Section 145,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w:t>
      </w:r>
    </w:p>
    <w:p>
      <w:pPr>
        <w:spacing w:after="0" w:line="61" w:lineRule="exact"/>
        <w:rPr>
          <w:sz w:val="20"/>
          <w:szCs w:val="20"/>
          <w:color w:val="auto"/>
        </w:rPr>
      </w:pPr>
    </w:p>
    <w:p>
      <w:pPr>
        <w:ind w:left="300" w:right="339" w:firstLine="360"/>
        <w:spacing w:after="0" w:line="296" w:lineRule="auto"/>
        <w:rPr>
          <w:sz w:val="20"/>
          <w:szCs w:val="20"/>
          <w:color w:val="auto"/>
        </w:rPr>
      </w:pPr>
      <w:r>
        <w:rPr>
          <w:rFonts w:ascii="Arial" w:cs="Arial" w:eastAsia="Arial" w:hAnsi="Arial"/>
          <w:sz w:val="16"/>
          <w:szCs w:val="16"/>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99" w:firstLine="360"/>
        <w:spacing w:after="0" w:line="263" w:lineRule="auto"/>
        <w:rPr>
          <w:sz w:val="20"/>
          <w:szCs w:val="20"/>
          <w:color w:val="auto"/>
        </w:rPr>
      </w:pPr>
      <w:r>
        <w:rPr>
          <w:rFonts w:ascii="Arial" w:cs="Arial" w:eastAsia="Arial" w:hAnsi="Arial"/>
          <w:sz w:val="18"/>
          <w:szCs w:val="18"/>
          <w:color w:val="auto"/>
        </w:rPr>
        <w:t>We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spacing w:after="0" w:line="76" w:lineRule="exact"/>
        <w:rPr>
          <w:sz w:val="20"/>
          <w:szCs w:val="20"/>
          <w:color w:val="auto"/>
        </w:rPr>
      </w:pPr>
    </w:p>
    <w:p>
      <w:pPr>
        <w:ind w:left="300" w:right="359" w:firstLine="360"/>
        <w:spacing w:after="0" w:line="275" w:lineRule="auto"/>
        <w:rPr>
          <w:sz w:val="20"/>
          <w:szCs w:val="20"/>
          <w:color w:val="auto"/>
        </w:rPr>
      </w:pPr>
      <w:r>
        <w:rPr>
          <w:rFonts w:ascii="Arial" w:cs="Arial" w:eastAsia="Arial" w:hAnsi="Arial"/>
          <w:sz w:val="17"/>
          <w:szCs w:val="17"/>
          <w:color w:val="auto"/>
        </w:rPr>
        <w:t>Our amended and restated bylaws provides that we must indemnify, and advance expenses to, our directors and officers to the full extent authorized by the DGCL. We have also entered into indemnification agreements with our directors,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68" w:lineRule="exact"/>
        <w:rPr>
          <w:sz w:val="20"/>
          <w:szCs w:val="20"/>
          <w:color w:val="auto"/>
        </w:rPr>
      </w:pPr>
    </w:p>
    <w:p>
      <w:pPr>
        <w:ind w:left="300" w:right="359" w:firstLine="360"/>
        <w:spacing w:after="0" w:line="254" w:lineRule="auto"/>
        <w:rPr>
          <w:sz w:val="20"/>
          <w:szCs w:val="20"/>
          <w:color w:val="auto"/>
        </w:rPr>
      </w:pPr>
      <w:r>
        <w:rPr>
          <w:rFonts w:ascii="Arial" w:cs="Arial" w:eastAsia="Arial" w:hAnsi="Arial"/>
          <w:sz w:val="18"/>
          <w:szCs w:val="18"/>
          <w:color w:val="auto"/>
        </w:rPr>
        <w:t>The indemnification rights set forth above shall not be exclusive of any other right which an indemnified person may have or hereafter acquire under any statute, provision of our amended and restated certificate of incorporation, our amended and restated bylaws, agreement, vote of stockholders or disinterested directors or otherwise. Notwithstanding the foregoing, we shall not be obligated to indemnify a director or officer in respect of a proceeding (or part thereof) instituted by such director or officer, unless such proceeding (or part thereof) has been authorized by our board of directors pursuant to the applicable procedure outlined in the amended and restated bylaws.</w:t>
      </w:r>
    </w:p>
    <w:p>
      <w:pPr>
        <w:spacing w:after="0" w:line="87"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84" w:lineRule="exact"/>
        <w:rPr>
          <w:sz w:val="20"/>
          <w:szCs w:val="20"/>
          <w:color w:val="auto"/>
        </w:rPr>
      </w:pPr>
    </w:p>
    <w:p>
      <w:pPr>
        <w:jc w:val="both"/>
        <w:ind w:left="300" w:right="879" w:firstLine="360"/>
        <w:spacing w:after="0" w:line="263" w:lineRule="auto"/>
        <w:rPr>
          <w:sz w:val="20"/>
          <w:szCs w:val="20"/>
          <w:color w:val="auto"/>
        </w:rPr>
      </w:pPr>
      <w:r>
        <w:rPr>
          <w:rFonts w:ascii="Arial" w:cs="Arial" w:eastAsia="Arial" w:hAnsi="Arial"/>
          <w:sz w:val="18"/>
          <w:szCs w:val="18"/>
          <w:color w:val="auto"/>
        </w:rPr>
        <w:t>The underwriting agreement provides for indemnification by the underwriters of us and our officers and directors, and by us of the underwriters, for certain liabilities arising under the Securities Act or otherwise in connection with this offering.</w:t>
      </w:r>
    </w:p>
    <w:p>
      <w:pPr>
        <w:spacing w:after="0" w:line="180"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Securities</w:t>
      </w:r>
    </w:p>
    <w:p>
      <w:pPr>
        <w:spacing w:after="0" w:line="121" w:lineRule="exact"/>
        <w:rPr>
          <w:sz w:val="20"/>
          <w:szCs w:val="20"/>
          <w:color w:val="auto"/>
        </w:rPr>
      </w:pPr>
    </w:p>
    <w:p>
      <w:pPr>
        <w:ind w:left="300" w:right="339" w:firstLine="360"/>
        <w:spacing w:after="0" w:line="277" w:lineRule="auto"/>
        <w:rPr>
          <w:sz w:val="20"/>
          <w:szCs w:val="20"/>
          <w:color w:val="auto"/>
        </w:rPr>
      </w:pPr>
      <w:r>
        <w:rPr>
          <w:rFonts w:ascii="Arial" w:cs="Arial" w:eastAsia="Arial" w:hAnsi="Arial"/>
          <w:sz w:val="18"/>
          <w:szCs w:val="18"/>
          <w:color w:val="auto"/>
        </w:rPr>
        <w:t>Within the past three years, the Registrant has granted or issued the following securities of the Registrant which were not registered under the Securities Act.</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Private Placement</w:t>
      </w:r>
    </w:p>
    <w:p>
      <w:pPr>
        <w:spacing w:after="0" w:line="117" w:lineRule="exact"/>
        <w:rPr>
          <w:sz w:val="20"/>
          <w:szCs w:val="20"/>
          <w:color w:val="auto"/>
        </w:rPr>
      </w:pPr>
    </w:p>
    <w:p>
      <w:pPr>
        <w:ind w:left="300" w:right="519" w:firstLine="360"/>
        <w:spacing w:after="0" w:line="301" w:lineRule="auto"/>
        <w:rPr>
          <w:sz w:val="20"/>
          <w:szCs w:val="20"/>
          <w:color w:val="auto"/>
        </w:rPr>
      </w:pPr>
      <w:r>
        <w:rPr>
          <w:rFonts w:ascii="Arial" w:cs="Arial" w:eastAsia="Arial" w:hAnsi="Arial"/>
          <w:sz w:val="16"/>
          <w:szCs w:val="16"/>
          <w:color w:val="auto"/>
        </w:rPr>
        <w:t>On June 30, 2020, the Registrant issued 100 shares of the Registrant’s common stock, par value $0.01 per share, to New Academy Holding Company, LLC for $1.00. The issuance of such shares of common stock was not registered under the Securities Act, because the shares were offered and sold in a transaction by the issuer not involving any public offering exempt from registration under Section 4(a)(2) of the Securities Act.</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Restricted Stock Units Grants and Vesting</w:t>
      </w:r>
    </w:p>
    <w:p>
      <w:pPr>
        <w:spacing w:after="0" w:line="117" w:lineRule="exact"/>
        <w:rPr>
          <w:sz w:val="20"/>
          <w:szCs w:val="20"/>
          <w:color w:val="auto"/>
        </w:rPr>
      </w:pPr>
    </w:p>
    <w:p>
      <w:pPr>
        <w:ind w:left="300" w:right="539" w:firstLine="360"/>
        <w:spacing w:after="0" w:line="277" w:lineRule="auto"/>
        <w:rPr>
          <w:sz w:val="20"/>
          <w:szCs w:val="20"/>
          <w:color w:val="auto"/>
        </w:rPr>
      </w:pPr>
      <w:r>
        <w:rPr>
          <w:rFonts w:ascii="Arial" w:cs="Arial" w:eastAsia="Arial" w:hAnsi="Arial"/>
          <w:sz w:val="18"/>
          <w:szCs w:val="18"/>
          <w:color w:val="auto"/>
        </w:rPr>
        <w:t>From October 1, 2020 to July 31, 2021, we issued 1,700,806 shares of our common stock upon settlement of certain vested restricted stock units that were granted under the 2011 Equity Plan.</w:t>
      </w:r>
    </w:p>
    <w:p>
      <w:pPr>
        <w:spacing w:after="0" w:line="62" w:lineRule="exact"/>
        <w:rPr>
          <w:sz w:val="20"/>
          <w:szCs w:val="20"/>
          <w:color w:val="auto"/>
        </w:rPr>
      </w:pPr>
    </w:p>
    <w:p>
      <w:pPr>
        <w:ind w:left="300" w:right="439" w:firstLine="360"/>
        <w:spacing w:after="0" w:line="293" w:lineRule="auto"/>
        <w:rPr>
          <w:sz w:val="20"/>
          <w:szCs w:val="20"/>
          <w:color w:val="auto"/>
        </w:rPr>
      </w:pPr>
      <w:r>
        <w:rPr>
          <w:rFonts w:ascii="Arial" w:cs="Arial" w:eastAsia="Arial" w:hAnsi="Arial"/>
          <w:sz w:val="16"/>
          <w:szCs w:val="16"/>
          <w:color w:val="auto"/>
        </w:rPr>
        <w:t>The issuances of restricted stock units and the shares of common stock issuable upon the settlement of restricted stock units described in this Item 15 were issued pursuant to written compensatory plans or arrangements with our employees and directors, in reliance on the exemption from the registration requirements of the Securities Act provided by Rule 701 promulgated under the Securities Act or the exemption set forth in Section 4(a)(2) under the Securities Act and Regulation D promulgated thereunder relative to transactions by an issuer not involving any public offering, to the extent an exemption from such registration was required.</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foregoing securities are deemed restricted securities for purposes of the Securities Act.</w:t>
      </w:r>
    </w:p>
    <w:p>
      <w:pPr>
        <w:spacing w:after="0" w:line="221"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Exhibits.</w:t>
      </w:r>
    </w:p>
    <w:p>
      <w:pPr>
        <w:spacing w:after="0" w:line="117" w:lineRule="exact"/>
        <w:rPr>
          <w:sz w:val="20"/>
          <w:szCs w:val="20"/>
          <w:color w:val="auto"/>
        </w:rPr>
      </w:pPr>
    </w:p>
    <w:p>
      <w:pPr>
        <w:ind w:left="300" w:right="419" w:firstLine="360"/>
        <w:spacing w:after="0" w:line="277" w:lineRule="auto"/>
        <w:rPr>
          <w:sz w:val="20"/>
          <w:szCs w:val="20"/>
          <w:color w:val="auto"/>
        </w:rPr>
      </w:pPr>
      <w:r>
        <w:rPr>
          <w:rFonts w:ascii="Arial" w:cs="Arial" w:eastAsia="Arial" w:hAnsi="Arial"/>
          <w:sz w:val="18"/>
          <w:szCs w:val="18"/>
          <w:color w:val="auto"/>
        </w:rPr>
        <w:t>See the Exhibit Index immediately preceding the signature pages hereto, which is incorporated by reference as if fully set forth herein.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right="5759" w:hanging="8"/>
        <w:spacing w:after="0" w:line="465" w:lineRule="auto"/>
        <w:tabs>
          <w:tab w:leader="none" w:pos="1011"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4"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1000" w:right="339" w:hanging="348"/>
        <w:spacing w:after="0" w:line="269" w:lineRule="auto"/>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73" w:lineRule="exact"/>
        <w:rPr>
          <w:rFonts w:ascii="Arial" w:cs="Arial" w:eastAsia="Arial" w:hAnsi="Arial"/>
          <w:sz w:val="17"/>
          <w:szCs w:val="17"/>
          <w:color w:val="auto"/>
        </w:rPr>
      </w:pPr>
    </w:p>
    <w:p>
      <w:pPr>
        <w:ind w:left="1000" w:hanging="34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17" w:lineRule="exact"/>
        <w:rPr>
          <w:rFonts w:ascii="Arial" w:cs="Arial" w:eastAsia="Arial" w:hAnsi="Arial"/>
          <w:sz w:val="18"/>
          <w:szCs w:val="18"/>
          <w:color w:val="auto"/>
        </w:rPr>
      </w:pPr>
    </w:p>
    <w:p>
      <w:pPr>
        <w:ind w:left="1360" w:right="399" w:hanging="348"/>
        <w:spacing w:after="0" w:line="257" w:lineRule="auto"/>
        <w:tabs>
          <w:tab w:leader="none" w:pos="13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79" w:lineRule="exact"/>
        <w:rPr>
          <w:rFonts w:ascii="Arial" w:cs="Arial" w:eastAsia="Arial" w:hAnsi="Arial"/>
          <w:sz w:val="18"/>
          <w:szCs w:val="18"/>
          <w:color w:val="auto"/>
        </w:rPr>
      </w:pPr>
    </w:p>
    <w:p>
      <w:pPr>
        <w:ind w:left="1360" w:right="399" w:hanging="348"/>
        <w:spacing w:after="0" w:line="259" w:lineRule="auto"/>
        <w:tabs>
          <w:tab w:leader="none" w:pos="13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ind w:left="30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15"/>
        </w:trPr>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7680" w:type="dxa"/>
            <w:vAlign w:val="bottom"/>
            <w:vMerge w:val="restart"/>
          </w:tcPr>
          <w:p>
            <w:pPr>
              <w:ind w:left="3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Number</w:t>
            </w:r>
          </w:p>
        </w:tc>
        <w:tc>
          <w:tcPr>
            <w:tcW w:w="7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40" w:type="dxa"/>
            <w:vAlign w:val="bottom"/>
            <w:gridSpan w:val="3"/>
            <w:shd w:val="clear" w:color="auto" w:fill="CCEEFF"/>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1.</w:t>
              </w:r>
              <w:r>
                <w:rPr>
                  <w:rFonts w:ascii="Arial" w:cs="Arial" w:eastAsia="Arial" w:hAnsi="Arial"/>
                  <w:sz w:val="18"/>
                  <w:szCs w:val="18"/>
                  <w:u w:val="single" w:color="auto"/>
                  <w:color w:val="0000EE"/>
                </w:rPr>
                <w:t>1*</w:t>
              </w:r>
            </w:hyperlink>
          </w:p>
        </w:tc>
        <w:tc>
          <w:tcPr>
            <w:tcW w:w="100" w:type="dxa"/>
            <w:vAlign w:val="bottom"/>
            <w:shd w:val="clear" w:color="auto" w:fill="CCEEFF"/>
          </w:tcPr>
          <w:p>
            <w:pPr>
              <w:spacing w:after="0"/>
              <w:rPr>
                <w:sz w:val="20"/>
                <w:szCs w:val="20"/>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61"/>
        </w:trPr>
        <w:tc>
          <w:tcPr>
            <w:tcW w:w="2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6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gridSpan w:val="2"/>
            <w:shd w:val="clear" w:color="auto" w:fill="CCEEFF"/>
          </w:tcPr>
          <w:p>
            <w:pPr>
              <w:spacing w:after="0"/>
              <w:rPr>
                <w:rFonts w:ascii="Arial" w:cs="Arial" w:eastAsia="Arial" w:hAnsi="Arial"/>
                <w:sz w:val="18"/>
                <w:szCs w:val="18"/>
                <w:color w:val="0000EE"/>
              </w:rPr>
            </w:pPr>
            <w:hyperlink r:id="rId128">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Amended and Restated Certificate of Incorporation of the Registrant (incorporated by reference to Exhibit</w:t>
            </w:r>
          </w:p>
        </w:tc>
        <w:tc>
          <w:tcPr>
            <w:tcW w:w="0" w:type="dxa"/>
            <w:vAlign w:val="bottom"/>
          </w:tcPr>
          <w:p>
            <w:pPr>
              <w:spacing w:after="0"/>
              <w:rPr>
                <w:sz w:val="1"/>
                <w:szCs w:val="1"/>
                <w:color w:val="auto"/>
              </w:rPr>
            </w:pPr>
          </w:p>
        </w:tc>
      </w:tr>
      <w:tr>
        <w:trPr>
          <w:trHeight w:val="257"/>
        </w:trPr>
        <w:tc>
          <w:tcPr>
            <w:tcW w:w="220" w:type="dxa"/>
            <w:vAlign w:val="bottom"/>
            <w:tcBorders>
              <w:top w:val="single" w:sz="8" w:color="0000EE"/>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3.1 to the Registrant’s Current Report on Form 8-K filed on October 6, 2020 (File No. 001-39589)).</w:t>
            </w: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gridSpan w:val="2"/>
            <w:shd w:val="clear" w:color="auto" w:fill="CCEEFF"/>
          </w:tcPr>
          <w:p>
            <w:pPr>
              <w:spacing w:after="0"/>
              <w:rPr>
                <w:rFonts w:ascii="Arial" w:cs="Arial" w:eastAsia="Arial" w:hAnsi="Arial"/>
                <w:sz w:val="18"/>
                <w:szCs w:val="18"/>
                <w:color w:val="0000EE"/>
              </w:rPr>
            </w:pPr>
            <w:hyperlink r:id="rId129">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Amended and Restated Bylaws of the Registrant (incorporated by reference to Exhibit 3.2 to the</w:t>
            </w:r>
          </w:p>
        </w:tc>
        <w:tc>
          <w:tcPr>
            <w:tcW w:w="0" w:type="dxa"/>
            <w:vAlign w:val="bottom"/>
          </w:tcPr>
          <w:p>
            <w:pPr>
              <w:spacing w:after="0"/>
              <w:rPr>
                <w:sz w:val="1"/>
                <w:szCs w:val="1"/>
                <w:color w:val="auto"/>
              </w:rPr>
            </w:pPr>
          </w:p>
        </w:tc>
      </w:tr>
      <w:tr>
        <w:trPr>
          <w:trHeight w:val="257"/>
        </w:trPr>
        <w:tc>
          <w:tcPr>
            <w:tcW w:w="220" w:type="dxa"/>
            <w:vAlign w:val="bottom"/>
            <w:tcBorders>
              <w:top w:val="single" w:sz="8" w:color="0000EE"/>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Registrant’s Current Report on Form 8-K filed on October 6, 2020 (File No. 001-39589)).</w:t>
            </w: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gridSpan w:val="2"/>
            <w:shd w:val="clear" w:color="auto" w:fill="CCEEFF"/>
          </w:tcPr>
          <w:p>
            <w:pPr>
              <w:spacing w:after="0"/>
              <w:rPr>
                <w:rFonts w:ascii="Arial" w:cs="Arial" w:eastAsia="Arial" w:hAnsi="Arial"/>
                <w:sz w:val="18"/>
                <w:szCs w:val="18"/>
                <w:color w:val="0000EE"/>
              </w:rPr>
            </w:pPr>
            <w:hyperlink r:id="rId130">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7"/>
              </w:rPr>
              <w:t>Amendment to the Registration Rights Agreement, dated as of October 6, 2020, by and among the</w:t>
            </w:r>
          </w:p>
        </w:tc>
        <w:tc>
          <w:tcPr>
            <w:tcW w:w="0" w:type="dxa"/>
            <w:vAlign w:val="bottom"/>
          </w:tcPr>
          <w:p>
            <w:pPr>
              <w:spacing w:after="0"/>
              <w:rPr>
                <w:sz w:val="1"/>
                <w:szCs w:val="1"/>
                <w:color w:val="auto"/>
              </w:rPr>
            </w:pPr>
          </w:p>
        </w:tc>
      </w:tr>
      <w:tr>
        <w:trPr>
          <w:trHeight w:val="222"/>
        </w:trPr>
        <w:tc>
          <w:tcPr>
            <w:tcW w:w="2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Registrant, Allstar LLC and New Academy Holding Company, LLC (incorporated by reference to Exhibit</w:t>
            </w:r>
          </w:p>
        </w:tc>
        <w:tc>
          <w:tcPr>
            <w:tcW w:w="0" w:type="dxa"/>
            <w:vAlign w:val="bottom"/>
          </w:tcPr>
          <w:p>
            <w:pPr>
              <w:spacing w:after="0"/>
              <w:rPr>
                <w:sz w:val="1"/>
                <w:szCs w:val="1"/>
                <w:color w:val="auto"/>
              </w:rPr>
            </w:pPr>
          </w:p>
        </w:tc>
      </w:tr>
      <w:tr>
        <w:trPr>
          <w:trHeight w:val="251"/>
        </w:trPr>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4.1 to the Registrant’s Current Report on Form 8-K filed on October 6, 2020 (File No. 001-39589)).</w:t>
            </w: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gridSpan w:val="2"/>
            <w:shd w:val="clear" w:color="auto" w:fill="CCEEFF"/>
          </w:tcPr>
          <w:p>
            <w:pPr>
              <w:spacing w:after="0"/>
              <w:rPr>
                <w:rFonts w:ascii="Arial" w:cs="Arial" w:eastAsia="Arial" w:hAnsi="Arial"/>
                <w:sz w:val="18"/>
                <w:szCs w:val="18"/>
                <w:color w:val="0000EE"/>
              </w:rPr>
            </w:pPr>
            <w:hyperlink r:id="rId131">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Indenture, dated as of November 6, 2020, by and among Academy, Ltd., as issuer, the guarantors named</w:t>
            </w:r>
          </w:p>
        </w:tc>
        <w:tc>
          <w:tcPr>
            <w:tcW w:w="0" w:type="dxa"/>
            <w:vAlign w:val="bottom"/>
          </w:tcPr>
          <w:p>
            <w:pPr>
              <w:spacing w:after="0"/>
              <w:rPr>
                <w:sz w:val="1"/>
                <w:szCs w:val="1"/>
                <w:color w:val="auto"/>
              </w:rPr>
            </w:pPr>
          </w:p>
        </w:tc>
      </w:tr>
      <w:tr>
        <w:trPr>
          <w:trHeight w:val="222"/>
        </w:trPr>
        <w:tc>
          <w:tcPr>
            <w:tcW w:w="2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therein and The Bank of New York Mellon Trust Company, N.A., as trustee and notes collateral agent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(incorporated by reference to Exhibit 4.1 to the Registrant’s Current Report on Form 8-K filed on</w:t>
            </w:r>
          </w:p>
        </w:tc>
        <w:tc>
          <w:tcPr>
            <w:tcW w:w="0" w:type="dxa"/>
            <w:vAlign w:val="bottom"/>
          </w:tcPr>
          <w:p>
            <w:pPr>
              <w:spacing w:after="0"/>
              <w:rPr>
                <w:sz w:val="1"/>
                <w:szCs w:val="1"/>
                <w:color w:val="auto"/>
              </w:rPr>
            </w:pPr>
          </w:p>
        </w:tc>
      </w:tr>
      <w:tr>
        <w:trPr>
          <w:trHeight w:val="251"/>
        </w:trPr>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November 6, 2020 (File No. 001-39589)).</w:t>
            </w: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gridSpan w:val="3"/>
            <w:shd w:val="clear" w:color="auto" w:fill="CCEEFF"/>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5.</w:t>
              </w:r>
              <w:r>
                <w:rPr>
                  <w:rFonts w:ascii="Arial" w:cs="Arial" w:eastAsia="Arial" w:hAnsi="Arial"/>
                  <w:sz w:val="18"/>
                  <w:szCs w:val="18"/>
                  <w:u w:val="single" w:color="auto"/>
                  <w:color w:val="0000EE"/>
                </w:rPr>
                <w:t>1*</w:t>
              </w:r>
            </w:hyperlink>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Opinion of Simpson Thacher &amp; Bartlett LLP.</w:t>
            </w:r>
          </w:p>
        </w:tc>
        <w:tc>
          <w:tcPr>
            <w:tcW w:w="0" w:type="dxa"/>
            <w:vAlign w:val="bottom"/>
          </w:tcPr>
          <w:p>
            <w:pPr>
              <w:spacing w:after="0"/>
              <w:rPr>
                <w:sz w:val="1"/>
                <w:szCs w:val="1"/>
                <w:color w:val="auto"/>
              </w:rPr>
            </w:pPr>
          </w:p>
        </w:tc>
      </w:tr>
      <w:tr>
        <w:trPr>
          <w:trHeight w:val="61"/>
        </w:trPr>
        <w:tc>
          <w:tcPr>
            <w:tcW w:w="2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6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gridSpan w:val="3"/>
            <w:shd w:val="clear" w:color="auto" w:fill="CCEEFF"/>
          </w:tcPr>
          <w:p>
            <w:pPr>
              <w:spacing w:after="0"/>
              <w:rPr>
                <w:rFonts w:ascii="Arial" w:cs="Arial" w:eastAsia="Arial" w:hAnsi="Arial"/>
                <w:sz w:val="18"/>
                <w:szCs w:val="18"/>
                <w:color w:val="0000EE"/>
              </w:rPr>
            </w:pPr>
            <w:hyperlink r:id="rId132">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0"/>
              </w:rPr>
              <w:t>Second Amended and Restated Credit Agreement, dated as of November 6, 2020, among Academy, Ltd.,</w:t>
            </w:r>
          </w:p>
        </w:tc>
        <w:tc>
          <w:tcPr>
            <w:tcW w:w="0" w:type="dxa"/>
            <w:vAlign w:val="bottom"/>
          </w:tcPr>
          <w:p>
            <w:pPr>
              <w:spacing w:after="0"/>
              <w:rPr>
                <w:sz w:val="1"/>
                <w:szCs w:val="1"/>
                <w:color w:val="auto"/>
              </w:rPr>
            </w:pPr>
          </w:p>
        </w:tc>
      </w:tr>
      <w:tr>
        <w:trPr>
          <w:trHeight w:val="222"/>
        </w:trPr>
        <w:tc>
          <w:tcPr>
            <w:tcW w:w="2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as Borrower, New Academy Holding Company, LLC, as Holdings, Associated Investors L.L.C. and</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4"/>
              </w:rPr>
              <w:t>Academy Managing Co., L.L.C., as Texas Intermediate Holdcos, the several lenders from time to time</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party thereto, Credit Suisse AG, Cayman Islands Branch, as the administrative agent and collateral agent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and the several other parties named therein (incorporated by reference to Exhibit 10.1 to the Registrant’s</w:t>
            </w:r>
          </w:p>
        </w:tc>
        <w:tc>
          <w:tcPr>
            <w:tcW w:w="0" w:type="dxa"/>
            <w:vAlign w:val="bottom"/>
          </w:tcPr>
          <w:p>
            <w:pPr>
              <w:spacing w:after="0"/>
              <w:rPr>
                <w:sz w:val="1"/>
                <w:szCs w:val="1"/>
                <w:color w:val="auto"/>
              </w:rPr>
            </w:pPr>
          </w:p>
        </w:tc>
      </w:tr>
      <w:tr>
        <w:trPr>
          <w:trHeight w:val="251"/>
        </w:trPr>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Report on Form 8-K filed on November 6, 2020 (File No. 001-39589)).</w:t>
            </w: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gridSpan w:val="3"/>
            <w:shd w:val="clear" w:color="auto" w:fill="CCEEFF"/>
          </w:tcPr>
          <w:p>
            <w:pPr>
              <w:spacing w:after="0"/>
              <w:rPr>
                <w:rFonts w:ascii="Arial" w:cs="Arial" w:eastAsia="Arial" w:hAnsi="Arial"/>
                <w:sz w:val="18"/>
                <w:szCs w:val="18"/>
                <w:color w:val="0000EE"/>
              </w:rPr>
            </w:pPr>
            <w:hyperlink r:id="rId133">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Amended and Restated Term Loan Security Agreement, dated as of July 2, 2015, among Academy, Ltd.,</w:t>
            </w:r>
          </w:p>
        </w:tc>
        <w:tc>
          <w:tcPr>
            <w:tcW w:w="0" w:type="dxa"/>
            <w:vAlign w:val="bottom"/>
          </w:tcPr>
          <w:p>
            <w:pPr>
              <w:spacing w:after="0"/>
              <w:rPr>
                <w:sz w:val="1"/>
                <w:szCs w:val="1"/>
                <w:color w:val="auto"/>
              </w:rPr>
            </w:pPr>
          </w:p>
        </w:tc>
      </w:tr>
      <w:tr>
        <w:trPr>
          <w:trHeight w:val="222"/>
        </w:trPr>
        <w:tc>
          <w:tcPr>
            <w:tcW w:w="2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as Borrower, each of the subsidiaries listed on the signature pages thereto, and Morgan Stanley Senior</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7"/>
              </w:rPr>
              <w:t>Funding, Inc., as collateral agent for the benefit of the secured parties (incorporated by reference to</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4"/>
              </w:rPr>
              <w:t>Exhibit 10.2 to the Registrant’s Registration Statement on Form S-1 filed on September 23, 2020 (File</w:t>
            </w:r>
          </w:p>
        </w:tc>
        <w:tc>
          <w:tcPr>
            <w:tcW w:w="0" w:type="dxa"/>
            <w:vAlign w:val="bottom"/>
          </w:tcPr>
          <w:p>
            <w:pPr>
              <w:spacing w:after="0"/>
              <w:rPr>
                <w:sz w:val="1"/>
                <w:szCs w:val="1"/>
                <w:color w:val="auto"/>
              </w:rPr>
            </w:pPr>
          </w:p>
        </w:tc>
      </w:tr>
      <w:tr>
        <w:trPr>
          <w:trHeight w:val="251"/>
        </w:trPr>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 333-248683)).</w:t>
            </w: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gridSpan w:val="3"/>
            <w:shd w:val="clear" w:color="auto" w:fill="CCEEFF"/>
          </w:tcPr>
          <w:p>
            <w:pPr>
              <w:spacing w:after="0"/>
              <w:rPr>
                <w:rFonts w:ascii="Arial" w:cs="Arial" w:eastAsia="Arial" w:hAnsi="Arial"/>
                <w:sz w:val="18"/>
                <w:szCs w:val="18"/>
                <w:color w:val="0000EE"/>
              </w:rPr>
            </w:pPr>
            <w:hyperlink r:id="rId134">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Amended and Restated Term Loan Pledge Agreement, dated as of July 2, 2015, among New Academy</w:t>
            </w:r>
          </w:p>
        </w:tc>
        <w:tc>
          <w:tcPr>
            <w:tcW w:w="0" w:type="dxa"/>
            <w:vAlign w:val="bottom"/>
          </w:tcPr>
          <w:p>
            <w:pPr>
              <w:spacing w:after="0"/>
              <w:rPr>
                <w:sz w:val="1"/>
                <w:szCs w:val="1"/>
                <w:color w:val="auto"/>
              </w:rPr>
            </w:pPr>
          </w:p>
        </w:tc>
      </w:tr>
      <w:tr>
        <w:trPr>
          <w:trHeight w:val="222"/>
        </w:trPr>
        <w:tc>
          <w:tcPr>
            <w:tcW w:w="2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Holding Company, LLC, as Holdings, Associated Investors L.L.C. and Academy Managing Co., L.L.C,</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8"/>
              </w:rPr>
              <w:t>as Texas Intermediate Holdcos, Academy, Ltd., as Borrower, each of the subsidiaries listed on the</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0"/>
              </w:rPr>
              <w:t>signature pages thereto and Morgan Stanley Senior Funding, Inc., as collateral agent for the benefit of the</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secured parties (incorporated by reference to Exhibit 10.3 to the Registrant’s Registration Statement on</w:t>
            </w:r>
          </w:p>
        </w:tc>
        <w:tc>
          <w:tcPr>
            <w:tcW w:w="0" w:type="dxa"/>
            <w:vAlign w:val="bottom"/>
          </w:tcPr>
          <w:p>
            <w:pPr>
              <w:spacing w:after="0"/>
              <w:rPr>
                <w:sz w:val="1"/>
                <w:szCs w:val="1"/>
                <w:color w:val="auto"/>
              </w:rPr>
            </w:pPr>
          </w:p>
        </w:tc>
      </w:tr>
      <w:tr>
        <w:trPr>
          <w:trHeight w:val="251"/>
        </w:trPr>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 S-1 filed on September 23, 2020 (File No. 333-248683)).</w:t>
            </w:r>
          </w:p>
        </w:tc>
        <w:tc>
          <w:tcPr>
            <w:tcW w:w="0" w:type="dxa"/>
            <w:vAlign w:val="bottom"/>
          </w:tcPr>
          <w:p>
            <w:pPr>
              <w:spacing w:after="0"/>
              <w:rPr>
                <w:sz w:val="1"/>
                <w:szCs w:val="1"/>
                <w:color w:val="auto"/>
              </w:rPr>
            </w:pPr>
          </w:p>
        </w:tc>
      </w:tr>
      <w:tr>
        <w:trPr>
          <w:trHeight w:val="513"/>
        </w:trPr>
        <w:tc>
          <w:tcPr>
            <w:tcW w:w="640" w:type="dxa"/>
            <w:vAlign w:val="bottom"/>
            <w:gridSpan w:val="3"/>
          </w:tcPr>
          <w:p>
            <w:pPr>
              <w:spacing w:after="0"/>
              <w:rPr>
                <w:rFonts w:ascii="Arial" w:cs="Arial" w:eastAsia="Arial" w:hAnsi="Arial"/>
                <w:sz w:val="18"/>
                <w:szCs w:val="18"/>
                <w:color w:val="0000EE"/>
              </w:rPr>
            </w:pPr>
            <w:hyperlink r:id="rId135">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100" w:type="dxa"/>
            <w:vAlign w:val="bottom"/>
          </w:tcPr>
          <w:p>
            <w:pPr>
              <w:spacing w:after="0"/>
              <w:rPr>
                <w:sz w:val="24"/>
                <w:szCs w:val="24"/>
                <w:color w:val="auto"/>
              </w:rPr>
            </w:pPr>
          </w:p>
        </w:tc>
        <w:tc>
          <w:tcPr>
            <w:tcW w:w="7680" w:type="dxa"/>
            <w:vAlign w:val="bottom"/>
          </w:tcPr>
          <w:p>
            <w:pPr>
              <w:spacing w:after="0"/>
              <w:rPr>
                <w:sz w:val="20"/>
                <w:szCs w:val="20"/>
                <w:color w:val="auto"/>
              </w:rPr>
            </w:pPr>
            <w:r>
              <w:rPr>
                <w:rFonts w:ascii="Arial" w:cs="Arial" w:eastAsia="Arial" w:hAnsi="Arial"/>
                <w:sz w:val="18"/>
                <w:szCs w:val="18"/>
                <w:color w:val="auto"/>
                <w:w w:val="93"/>
              </w:rPr>
              <w:t>ABL Intercreditor Agreement, dated July 2, 2015, among JPMorgan Chase Bank, N.A., as agent for the</w:t>
            </w:r>
          </w:p>
        </w:tc>
        <w:tc>
          <w:tcPr>
            <w:tcW w:w="0" w:type="dxa"/>
            <w:vAlign w:val="bottom"/>
          </w:tcPr>
          <w:p>
            <w:pPr>
              <w:spacing w:after="0"/>
              <w:rPr>
                <w:sz w:val="1"/>
                <w:szCs w:val="1"/>
                <w:color w:val="auto"/>
              </w:rPr>
            </w:pPr>
          </w:p>
        </w:tc>
      </w:tr>
      <w:tr>
        <w:trPr>
          <w:trHeight w:val="236"/>
        </w:trPr>
        <w:tc>
          <w:tcPr>
            <w:tcW w:w="2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Arial" w:cs="Arial" w:eastAsia="Arial" w:hAnsi="Arial"/>
                <w:sz w:val="18"/>
                <w:szCs w:val="18"/>
                <w:color w:val="auto"/>
                <w:w w:val="94"/>
              </w:rPr>
              <w:t>ABL Secured Parties referred to therein, Morgan Stanley Senior Funding, Inc., as administrative agent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-299085</wp:posOffset>
            </wp:positionV>
            <wp:extent cx="5349240" cy="10115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6">
                      <a:extLst>
                        <a:ext uri="{28A0092B-C50C-407E-A947-70E740481C1C}"/>
                      </a:extLst>
                    </a:blip>
                    <a:srcRect/>
                    <a:stretch>
                      <a:fillRect/>
                    </a:stretch>
                  </pic:blipFill>
                  <pic:spPr bwMode="auto">
                    <a:xfrm>
                      <a:off x="0" y="0"/>
                      <a:ext cx="5349240" cy="10115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-6600190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1040" w:right="359"/>
        <w:spacing w:after="0" w:line="292" w:lineRule="auto"/>
        <w:rPr>
          <w:sz w:val="20"/>
          <w:szCs w:val="20"/>
          <w:color w:val="auto"/>
        </w:rPr>
      </w:pPr>
      <w:r>
        <w:rPr>
          <w:rFonts w:ascii="Arial" w:cs="Arial" w:eastAsia="Arial" w:hAnsi="Arial"/>
          <w:sz w:val="16"/>
          <w:szCs w:val="16"/>
          <w:color w:val="auto"/>
        </w:rPr>
        <w:t>and collateral agent for the Term Loan Secured Parties referred to therein, New Academy Holding Company, LLC, as Holdings, Associated Investors L.L.C. and Academy Managing Co., L.L.C, as Texas Intermediate Holdcos, Academy, Ltd., as Borrower, and each of the subsidiaries of the Borrower listed on the signature pages thereto (incorporated by reference to Exhibit 10.4 to the Registrant’s Registration Statement on Form S-1 filed on September 23, 2020 (File No. 333-248683)).</w:t>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8" w:name="page59"/>
    <w:bookmarkEnd w:id="58"/>
    <w:tbl>
      <w:tblPr>
        <w:tblLayout w:type="fixed"/>
        <w:tblInd w:w="300" w:type="dxa"/>
        <w:tblCellMar>
          <w:top w:w="0" w:type="dxa"/>
          <w:left w:w="0" w:type="dxa"/>
          <w:bottom w:w="0" w:type="dxa"/>
          <w:right w:w="0" w:type="dxa"/>
        </w:tblCellMar>
      </w:tblPr>
      <w:tr>
        <w:trPr>
          <w:trHeight w:val="186"/>
        </w:trPr>
        <w:tc>
          <w:tcPr>
            <w:tcW w:w="2880" w:type="dxa"/>
            <w:vAlign w:val="bottom"/>
          </w:tcPr>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8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060" w:type="dxa"/>
            <w:vAlign w:val="bottom"/>
            <w:vMerge w:val="restart"/>
          </w:tcPr>
          <w:p>
            <w:pPr>
              <w:ind w:left="134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28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5349240" cy="9004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9">
                      <a:extLst>
                        <a:ext uri="{28A0092B-C50C-407E-A947-70E740481C1C}"/>
                      </a:extLst>
                    </a:blip>
                    <a:srcRect/>
                    <a:stretch>
                      <a:fillRect/>
                    </a:stretch>
                  </pic:blipFill>
                  <pic:spPr bwMode="auto">
                    <a:xfrm>
                      <a:off x="0" y="0"/>
                      <a:ext cx="5349240" cy="900430"/>
                    </a:xfrm>
                    <a:prstGeom prst="rect">
                      <a:avLst/>
                    </a:prstGeom>
                    <a:noFill/>
                  </pic:spPr>
                </pic:pic>
              </a:graphicData>
            </a:graphic>
          </wp:anchor>
        </w:drawing>
      </w:r>
    </w:p>
    <w:p>
      <w:pPr>
        <w:spacing w:after="0" w:line="99" w:lineRule="exact"/>
        <w:rPr>
          <w:sz w:val="20"/>
          <w:szCs w:val="20"/>
          <w:color w:val="auto"/>
        </w:rPr>
      </w:pPr>
    </w:p>
    <w:p>
      <w:pPr>
        <w:ind w:left="1040" w:right="339" w:hanging="755"/>
        <w:spacing w:after="0" w:line="255" w:lineRule="auto"/>
        <w:tabs>
          <w:tab w:leader="none" w:pos="1020" w:val="left"/>
        </w:tabs>
        <w:rPr>
          <w:rFonts w:ascii="Arial" w:cs="Arial" w:eastAsia="Arial" w:hAnsi="Arial"/>
          <w:sz w:val="18"/>
          <w:szCs w:val="18"/>
          <w:color w:val="0000EE"/>
        </w:rPr>
      </w:pPr>
      <w:hyperlink r:id="rId140">
        <w:r>
          <w:rPr>
            <w:rFonts w:ascii="Arial" w:cs="Arial" w:eastAsia="Arial" w:hAnsi="Arial"/>
            <w:sz w:val="18"/>
            <w:szCs w:val="18"/>
            <w:u w:val="single" w:color="auto"/>
            <w:color w:val="0000EE"/>
          </w:rPr>
          <w:t>10.5</w:t>
        </w:r>
      </w:hyperlink>
      <w:r>
        <w:rPr>
          <w:rFonts w:ascii="Arial" w:cs="Arial" w:eastAsia="Arial" w:hAnsi="Arial"/>
          <w:sz w:val="18"/>
          <w:szCs w:val="18"/>
          <w:color w:val="0000EE"/>
        </w:rPr>
        <w:tab/>
        <w:t>Joinder to ABL Intercreditor Agreement, dated November 6, 2020, among JPMorgan Chase Bank, N.A., as agent for the ABL Secured Parties referred to therein, Credit Suisse AG, Cayman Islands Branch, as agent for the Term Loan Secured Parties referred to therein, and The Bank of New York Mellon Trust Company, N.A., as collateral agent for the Additional Debt Secured Parties referred to therein (incorporated by reference to Exhibit 10.5 to the Registrant’s Registration Statement on Form S-1 filed on January 25, 2021 (File No. 333-252390).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208280</wp:posOffset>
            </wp:positionV>
            <wp:extent cx="5349240" cy="6000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1">
                      <a:extLst>
                        <a:ext uri="{28A0092B-C50C-407E-A947-70E740481C1C}"/>
                      </a:extLst>
                    </a:blip>
                    <a:srcRect/>
                    <a:stretch>
                      <a:fillRect/>
                    </a:stretch>
                  </pic:blipFill>
                  <pic:spPr bwMode="auto">
                    <a:xfrm>
                      <a:off x="0" y="0"/>
                      <a:ext cx="5349240" cy="600075"/>
                    </a:xfrm>
                    <a:prstGeom prst="rect">
                      <a:avLst/>
                    </a:prstGeom>
                    <a:noFill/>
                  </pic:spPr>
                </pic:pic>
              </a:graphicData>
            </a:graphic>
          </wp:anchor>
        </w:drawing>
      </w:r>
    </w:p>
    <w:p>
      <w:pPr>
        <w:spacing w:after="0" w:line="334" w:lineRule="exact"/>
        <w:rPr>
          <w:sz w:val="20"/>
          <w:szCs w:val="20"/>
          <w:color w:val="auto"/>
        </w:rPr>
      </w:pPr>
    </w:p>
    <w:p>
      <w:pPr>
        <w:jc w:val="both"/>
        <w:ind w:left="1040" w:right="419" w:hanging="755"/>
        <w:spacing w:after="0" w:line="301" w:lineRule="auto"/>
        <w:tabs>
          <w:tab w:leader="none" w:pos="1020" w:val="left"/>
        </w:tabs>
        <w:rPr>
          <w:rFonts w:ascii="Arial" w:cs="Arial" w:eastAsia="Arial" w:hAnsi="Arial"/>
          <w:sz w:val="18"/>
          <w:szCs w:val="18"/>
          <w:color w:val="0000EE"/>
        </w:rPr>
      </w:pPr>
      <w:hyperlink r:id="rId142">
        <w:r>
          <w:rPr>
            <w:rFonts w:ascii="Arial" w:cs="Arial" w:eastAsia="Arial" w:hAnsi="Arial"/>
            <w:sz w:val="18"/>
            <w:szCs w:val="18"/>
            <w:u w:val="single" w:color="auto"/>
            <w:color w:val="0000EE"/>
          </w:rPr>
          <w:t>10.6</w:t>
        </w:r>
      </w:hyperlink>
      <w:r>
        <w:rPr>
          <w:rFonts w:ascii="Arial" w:cs="Arial" w:eastAsia="Arial" w:hAnsi="Arial"/>
          <w:sz w:val="18"/>
          <w:szCs w:val="18"/>
          <w:color w:val="0000EE"/>
        </w:rPr>
        <w:tab/>
      </w:r>
      <w:r>
        <w:rPr>
          <w:rFonts w:ascii="Arial" w:cs="Arial" w:eastAsia="Arial" w:hAnsi="Arial"/>
          <w:sz w:val="16"/>
          <w:szCs w:val="16"/>
          <w:color w:val="0000EE"/>
        </w:rPr>
        <w:t>Joinder to ABL Intercreditor Agreement, dated November 6, 2020, among JPMorgan Chase Bank, N.A., as agent for the ABL Secured Parties referred to therein, and Credit Suisse AG, Cayman Islands Branch, as agent for the Term Loan Secured Parties referred to therein (incorporated by reference to Exhibit 10.6 to the Registrant’s Registration Statement on Form S-1 filed on January 25, 2021 (File No. 333-252390).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186055</wp:posOffset>
            </wp:positionV>
            <wp:extent cx="5349240" cy="8743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3">
                      <a:extLst>
                        <a:ext uri="{28A0092B-C50C-407E-A947-70E740481C1C}"/>
                      </a:extLst>
                    </a:blip>
                    <a:srcRect/>
                    <a:stretch>
                      <a:fillRect/>
                    </a:stretch>
                  </pic:blipFill>
                  <pic:spPr bwMode="auto">
                    <a:xfrm>
                      <a:off x="0" y="0"/>
                      <a:ext cx="5349240" cy="874395"/>
                    </a:xfrm>
                    <a:prstGeom prst="rect">
                      <a:avLst/>
                    </a:prstGeom>
                    <a:noFill/>
                  </pic:spPr>
                </pic:pic>
              </a:graphicData>
            </a:graphic>
          </wp:anchor>
        </w:drawing>
      </w:r>
    </w:p>
    <w:p>
      <w:pPr>
        <w:spacing w:after="0" w:line="299" w:lineRule="exact"/>
        <w:rPr>
          <w:sz w:val="20"/>
          <w:szCs w:val="20"/>
          <w:color w:val="auto"/>
        </w:rPr>
      </w:pPr>
    </w:p>
    <w:p>
      <w:pPr>
        <w:ind w:left="1040" w:right="299" w:hanging="755"/>
        <w:spacing w:after="0" w:line="293" w:lineRule="auto"/>
        <w:tabs>
          <w:tab w:leader="none" w:pos="1020" w:val="left"/>
        </w:tabs>
        <w:rPr>
          <w:rFonts w:ascii="Arial" w:cs="Arial" w:eastAsia="Arial" w:hAnsi="Arial"/>
          <w:sz w:val="18"/>
          <w:szCs w:val="18"/>
          <w:color w:val="0000EE"/>
        </w:rPr>
      </w:pPr>
      <w:hyperlink r:id="rId144">
        <w:r>
          <w:rPr>
            <w:rFonts w:ascii="Arial" w:cs="Arial" w:eastAsia="Arial" w:hAnsi="Arial"/>
            <w:sz w:val="18"/>
            <w:szCs w:val="18"/>
            <w:u w:val="single" w:color="auto"/>
            <w:color w:val="0000EE"/>
          </w:rPr>
          <w:t>10.7</w:t>
        </w:r>
      </w:hyperlink>
      <w:r>
        <w:rPr>
          <w:rFonts w:ascii="Arial" w:cs="Arial" w:eastAsia="Arial" w:hAnsi="Arial"/>
          <w:sz w:val="18"/>
          <w:szCs w:val="18"/>
          <w:color w:val="0000EE"/>
        </w:rPr>
        <w:tab/>
      </w:r>
      <w:r>
        <w:rPr>
          <w:rFonts w:ascii="Arial" w:cs="Arial" w:eastAsia="Arial" w:hAnsi="Arial"/>
          <w:sz w:val="16"/>
          <w:szCs w:val="16"/>
          <w:color w:val="0000EE"/>
        </w:rPr>
        <w:t>First Lien Intercreditor Agreement, dated November 6, 2020, among Credit Suisse AG, Cayman Islands Branch, as First Lien Collateral Agent and Authorized Representative for the Credit Agreement Secured Parties referred to therein, The Bank of New York Mellon Trust Company, N.A., as Initial Additional First Lien Collateral Agent and Initial Additional Authorized Representative, and each of the subsidiaries of the Borrower listed on the signature pages thereto (incorporated by reference to Exhibit 10.7 to the Registrant’s Registration Statement on Form S-1 filed on January 25, 2021 (File No. 333-252390).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190500</wp:posOffset>
            </wp:positionV>
            <wp:extent cx="5349240" cy="8743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5">
                      <a:extLst>
                        <a:ext uri="{28A0092B-C50C-407E-A947-70E740481C1C}"/>
                      </a:extLst>
                    </a:blip>
                    <a:srcRect/>
                    <a:stretch>
                      <a:fillRect/>
                    </a:stretch>
                  </pic:blipFill>
                  <pic:spPr bwMode="auto">
                    <a:xfrm>
                      <a:off x="0" y="0"/>
                      <a:ext cx="5349240" cy="874395"/>
                    </a:xfrm>
                    <a:prstGeom prst="rect">
                      <a:avLst/>
                    </a:prstGeom>
                    <a:noFill/>
                  </pic:spPr>
                </pic:pic>
              </a:graphicData>
            </a:graphic>
          </wp:anchor>
        </w:drawing>
      </w:r>
    </w:p>
    <w:p>
      <w:pPr>
        <w:spacing w:after="0" w:line="306" w:lineRule="exact"/>
        <w:rPr>
          <w:sz w:val="20"/>
          <w:szCs w:val="20"/>
          <w:color w:val="auto"/>
        </w:rPr>
      </w:pPr>
    </w:p>
    <w:p>
      <w:pPr>
        <w:ind w:left="1040" w:right="339" w:hanging="755"/>
        <w:spacing w:after="0" w:line="293" w:lineRule="auto"/>
        <w:tabs>
          <w:tab w:leader="none" w:pos="1020" w:val="left"/>
        </w:tabs>
        <w:rPr>
          <w:rFonts w:ascii="Arial" w:cs="Arial" w:eastAsia="Arial" w:hAnsi="Arial"/>
          <w:sz w:val="18"/>
          <w:szCs w:val="18"/>
          <w:color w:val="0000EE"/>
        </w:rPr>
      </w:pPr>
      <w:hyperlink r:id="rId146">
        <w:r>
          <w:rPr>
            <w:rFonts w:ascii="Arial" w:cs="Arial" w:eastAsia="Arial" w:hAnsi="Arial"/>
            <w:sz w:val="18"/>
            <w:szCs w:val="18"/>
            <w:u w:val="single" w:color="auto"/>
            <w:color w:val="0000EE"/>
          </w:rPr>
          <w:t>10.8</w:t>
        </w:r>
      </w:hyperlink>
      <w:r>
        <w:rPr>
          <w:rFonts w:ascii="Arial" w:cs="Arial" w:eastAsia="Arial" w:hAnsi="Arial"/>
          <w:sz w:val="18"/>
          <w:szCs w:val="18"/>
          <w:color w:val="0000EE"/>
        </w:rPr>
        <w:tab/>
      </w:r>
      <w:r>
        <w:rPr>
          <w:rFonts w:ascii="Arial" w:cs="Arial" w:eastAsia="Arial" w:hAnsi="Arial"/>
          <w:sz w:val="16"/>
          <w:szCs w:val="16"/>
          <w:color w:val="0000EE"/>
        </w:rPr>
        <w:t>First Amended and Restated ABL Credit Agreement, dated July 2, 2015, among Academy, Ltd., as Borrower, New Academy Holding Company, LLC, as Holdings, Associated Investors L.L.C. and Academy Managing Co., L.L.C, as Texas Intermediate Holdcos, the lending institutions from time to time party thereto and JPMorgan Chase Bank, N.A., as the Administrative Agent, the Collateral Agent, the Letter of Credit Issuer and the Swingline Lender (incorporated by reference to Exhibit 10.5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190500</wp:posOffset>
            </wp:positionV>
            <wp:extent cx="5349240" cy="10115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5349240" cy="1011555"/>
                    </a:xfrm>
                    <a:prstGeom prst="rect">
                      <a:avLst/>
                    </a:prstGeom>
                    <a:noFill/>
                  </pic:spPr>
                </pic:pic>
              </a:graphicData>
            </a:graphic>
          </wp:anchor>
        </w:drawing>
      </w:r>
    </w:p>
    <w:p>
      <w:pPr>
        <w:spacing w:after="0" w:line="306" w:lineRule="exact"/>
        <w:rPr>
          <w:sz w:val="20"/>
          <w:szCs w:val="20"/>
          <w:color w:val="auto"/>
        </w:rPr>
      </w:pPr>
    </w:p>
    <w:p>
      <w:pPr>
        <w:ind w:left="1040" w:right="339" w:hanging="755"/>
        <w:spacing w:after="0" w:line="254" w:lineRule="auto"/>
        <w:tabs>
          <w:tab w:leader="none" w:pos="1020" w:val="left"/>
        </w:tabs>
        <w:rPr>
          <w:rFonts w:ascii="Arial" w:cs="Arial" w:eastAsia="Arial" w:hAnsi="Arial"/>
          <w:sz w:val="18"/>
          <w:szCs w:val="18"/>
          <w:color w:val="0000EE"/>
        </w:rPr>
      </w:pPr>
      <w:hyperlink r:id="rId148">
        <w:r>
          <w:rPr>
            <w:rFonts w:ascii="Arial" w:cs="Arial" w:eastAsia="Arial" w:hAnsi="Arial"/>
            <w:sz w:val="18"/>
            <w:szCs w:val="18"/>
            <w:u w:val="single" w:color="auto"/>
            <w:color w:val="0000EE"/>
          </w:rPr>
          <w:t>10.9</w:t>
        </w:r>
      </w:hyperlink>
      <w:r>
        <w:rPr>
          <w:rFonts w:ascii="Arial" w:cs="Arial" w:eastAsia="Arial" w:hAnsi="Arial"/>
          <w:sz w:val="18"/>
          <w:szCs w:val="18"/>
          <w:color w:val="0000EE"/>
        </w:rPr>
        <w:tab/>
        <w:t>Amendment No. 1 to First Amended and Restated ABL Credit Agreement, dated as of May 22, 2018, among Academy, Ltd., as Borrower, New Academy Holding Company, LLC, as Holdings, Associated Investors L.L.C. and Academy Managing Co., L.L.C, as Texas Intermediate Holdcos, each of the Guarantors party thereto, each of the lenders party thereto and JPMorgan Chase Bank, N.A., as the Administrative Agent, the Collateral Agent, the Letter of Credit Issuer and the Swingline Lender (incorporated by reference to Exhibit 10.6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209550</wp:posOffset>
            </wp:positionV>
            <wp:extent cx="5349240" cy="8743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9">
                      <a:extLst>
                        <a:ext uri="{28A0092B-C50C-407E-A947-70E740481C1C}"/>
                      </a:extLst>
                    </a:blip>
                    <a:srcRect/>
                    <a:stretch>
                      <a:fillRect/>
                    </a:stretch>
                  </pic:blipFill>
                  <pic:spPr bwMode="auto">
                    <a:xfrm>
                      <a:off x="0" y="0"/>
                      <a:ext cx="5349240" cy="874395"/>
                    </a:xfrm>
                    <a:prstGeom prst="rect">
                      <a:avLst/>
                    </a:prstGeom>
                    <a:noFill/>
                  </pic:spPr>
                </pic:pic>
              </a:graphicData>
            </a:graphic>
          </wp:anchor>
        </w:drawing>
      </w:r>
    </w:p>
    <w:p>
      <w:pPr>
        <w:spacing w:after="0" w:line="337" w:lineRule="exact"/>
        <w:rPr>
          <w:sz w:val="20"/>
          <w:szCs w:val="20"/>
          <w:color w:val="auto"/>
        </w:rPr>
      </w:pPr>
    </w:p>
    <w:p>
      <w:pPr>
        <w:ind w:left="1040" w:right="319" w:hanging="755"/>
        <w:spacing w:after="0" w:line="273" w:lineRule="auto"/>
        <w:tabs>
          <w:tab w:leader="none" w:pos="1020" w:val="left"/>
        </w:tabs>
        <w:rPr>
          <w:rFonts w:ascii="Arial" w:cs="Arial" w:eastAsia="Arial" w:hAnsi="Arial"/>
          <w:sz w:val="18"/>
          <w:szCs w:val="18"/>
          <w:color w:val="0000EE"/>
        </w:rPr>
      </w:pPr>
      <w:hyperlink r:id="rId150">
        <w:r>
          <w:rPr>
            <w:rFonts w:ascii="Arial" w:cs="Arial" w:eastAsia="Arial" w:hAnsi="Arial"/>
            <w:sz w:val="18"/>
            <w:szCs w:val="18"/>
            <w:u w:val="single" w:color="auto"/>
            <w:color w:val="0000EE"/>
          </w:rPr>
          <w:t>10.10</w:t>
        </w:r>
      </w:hyperlink>
      <w:r>
        <w:rPr>
          <w:rFonts w:ascii="Arial" w:cs="Arial" w:eastAsia="Arial" w:hAnsi="Arial"/>
          <w:sz w:val="18"/>
          <w:szCs w:val="18"/>
          <w:color w:val="0000EE"/>
        </w:rPr>
        <w:tab/>
      </w:r>
      <w:r>
        <w:rPr>
          <w:rFonts w:ascii="Arial" w:cs="Arial" w:eastAsia="Arial" w:hAnsi="Arial"/>
          <w:sz w:val="17"/>
          <w:szCs w:val="17"/>
          <w:color w:val="0000EE"/>
        </w:rPr>
        <w:t>Amendment No. 2 to First Amended and Restated ABL Credit Agreement, dated as of November 6, 2020, among Academy, Ltd., as Borrower, New Academy Holding Company, LLC, as Holdings, Associated Investors, L.L.C. and Academy Managing Co., L.L.C., as Texas Intermediate Holdcos, the several lenders from time to time party thereto, JPMorgan Chase Bank, N.A., as the letter of credit issuer, administrative agent and collateral agent (incorporated by reference to Exhibit 10.2 to the Registrant’s Current Report on Form 8-K filed on November 6, 2020 (File No. 001-39589)).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199390</wp:posOffset>
            </wp:positionV>
            <wp:extent cx="5349240" cy="6000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5349240" cy="600075"/>
                    </a:xfrm>
                    <a:prstGeom prst="rect">
                      <a:avLst/>
                    </a:prstGeom>
                    <a:noFill/>
                  </pic:spPr>
                </pic:pic>
              </a:graphicData>
            </a:graphic>
          </wp:anchor>
        </w:drawing>
      </w:r>
    </w:p>
    <w:p>
      <w:pPr>
        <w:spacing w:after="0" w:line="320" w:lineRule="exact"/>
        <w:rPr>
          <w:sz w:val="20"/>
          <w:szCs w:val="20"/>
          <w:color w:val="auto"/>
        </w:rPr>
      </w:pPr>
    </w:p>
    <w:p>
      <w:pPr>
        <w:ind w:left="1040" w:right="359" w:hanging="755"/>
        <w:spacing w:after="0" w:line="301" w:lineRule="auto"/>
        <w:tabs>
          <w:tab w:leader="none" w:pos="1020" w:val="left"/>
        </w:tabs>
        <w:rPr>
          <w:rFonts w:ascii="Arial" w:cs="Arial" w:eastAsia="Arial" w:hAnsi="Arial"/>
          <w:sz w:val="18"/>
          <w:szCs w:val="18"/>
          <w:color w:val="0000EE"/>
        </w:rPr>
      </w:pPr>
      <w:hyperlink r:id="rId152">
        <w:r>
          <w:rPr>
            <w:rFonts w:ascii="Arial" w:cs="Arial" w:eastAsia="Arial" w:hAnsi="Arial"/>
            <w:sz w:val="18"/>
            <w:szCs w:val="18"/>
            <w:u w:val="single" w:color="auto"/>
            <w:color w:val="0000EE"/>
          </w:rPr>
          <w:t>10.11</w:t>
        </w:r>
      </w:hyperlink>
      <w:r>
        <w:rPr>
          <w:rFonts w:ascii="Arial" w:cs="Arial" w:eastAsia="Arial" w:hAnsi="Arial"/>
          <w:sz w:val="18"/>
          <w:szCs w:val="18"/>
          <w:color w:val="0000EE"/>
        </w:rPr>
        <w:tab/>
      </w:r>
      <w:r>
        <w:rPr>
          <w:rFonts w:ascii="Arial" w:cs="Arial" w:eastAsia="Arial" w:hAnsi="Arial"/>
          <w:sz w:val="16"/>
          <w:szCs w:val="16"/>
          <w:color w:val="0000EE"/>
        </w:rPr>
        <w:t>Amended and Restated ABL Security Agreement, dated as of July 2, 2015, among Academy, Ltd., as Borrower, each of the subsidiaries listed on the signature pages thereto, and JPMorgan Chase Bank, N.A., as collateral agent for the benefit of the secured parties (incorporated by reference to Exhibit 10.7 to the Registrant’s Registration Statement on Form S-1 filed on September 23, 2020 (File No. 333-248683)).</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tbl>
      <w:tblPr>
        <w:tblLayout w:type="fixed"/>
        <w:tblInd w:w="300" w:type="dxa"/>
        <w:tblCellMar>
          <w:top w:w="0" w:type="dxa"/>
          <w:left w:w="0" w:type="dxa"/>
          <w:bottom w:w="0" w:type="dxa"/>
          <w:right w:w="0" w:type="dxa"/>
        </w:tblCellMar>
      </w:tblPr>
      <w:tr>
        <w:trPr>
          <w:trHeight w:val="186"/>
        </w:trPr>
        <w:tc>
          <w:tcPr>
            <w:tcW w:w="2880" w:type="dxa"/>
            <w:vAlign w:val="bottom"/>
          </w:tcPr>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8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060" w:type="dxa"/>
            <w:vAlign w:val="bottom"/>
            <w:vMerge w:val="restart"/>
          </w:tcPr>
          <w:p>
            <w:pPr>
              <w:ind w:left="134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28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5349240" cy="9004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4">
                      <a:extLst>
                        <a:ext uri="{28A0092B-C50C-407E-A947-70E740481C1C}"/>
                      </a:extLst>
                    </a:blip>
                    <a:srcRect/>
                    <a:stretch>
                      <a:fillRect/>
                    </a:stretch>
                  </pic:blipFill>
                  <pic:spPr bwMode="auto">
                    <a:xfrm>
                      <a:off x="0" y="0"/>
                      <a:ext cx="5349240" cy="900430"/>
                    </a:xfrm>
                    <a:prstGeom prst="rect">
                      <a:avLst/>
                    </a:prstGeom>
                    <a:noFill/>
                  </pic:spPr>
                </pic:pic>
              </a:graphicData>
            </a:graphic>
          </wp:anchor>
        </w:drawing>
      </w:r>
    </w:p>
    <w:p>
      <w:pPr>
        <w:spacing w:after="0" w:line="99" w:lineRule="exact"/>
        <w:rPr>
          <w:sz w:val="20"/>
          <w:szCs w:val="20"/>
          <w:color w:val="auto"/>
        </w:rPr>
      </w:pPr>
    </w:p>
    <w:p>
      <w:pPr>
        <w:ind w:left="1040" w:right="339" w:hanging="755"/>
        <w:spacing w:after="0" w:line="255" w:lineRule="auto"/>
        <w:tabs>
          <w:tab w:leader="none" w:pos="1020" w:val="left"/>
        </w:tabs>
        <w:rPr>
          <w:rFonts w:ascii="Arial" w:cs="Arial" w:eastAsia="Arial" w:hAnsi="Arial"/>
          <w:sz w:val="18"/>
          <w:szCs w:val="18"/>
          <w:color w:val="0000EE"/>
        </w:rPr>
      </w:pPr>
      <w:hyperlink r:id="rId155">
        <w:r>
          <w:rPr>
            <w:rFonts w:ascii="Arial" w:cs="Arial" w:eastAsia="Arial" w:hAnsi="Arial"/>
            <w:sz w:val="18"/>
            <w:szCs w:val="18"/>
            <w:u w:val="single" w:color="auto"/>
            <w:color w:val="0000EE"/>
          </w:rPr>
          <w:t>10.12</w:t>
        </w:r>
      </w:hyperlink>
      <w:r>
        <w:rPr>
          <w:rFonts w:ascii="Arial" w:cs="Arial" w:eastAsia="Arial" w:hAnsi="Arial"/>
          <w:sz w:val="18"/>
          <w:szCs w:val="18"/>
          <w:color w:val="0000EE"/>
        </w:rPr>
        <w:tab/>
        <w:t>Amended and Restated ABL Pledge Agreement, dated July 2, 2015, among New Academy Holding Company, LLC, as Holdings, Associated Investors L.L.C. and Academy Managing Co., L.L.C, as Texas Intermediate Holdcos, Academy, Ltd., as Borrower, each of the subsidiaries listed on the signature pages thereto and JPMorgan Chase Bank, N.A., as collateral agent for the benefit of the secured parties (incorporated by reference to Exhibit 10.8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208280</wp:posOffset>
            </wp:positionV>
            <wp:extent cx="5349240" cy="7372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5349240" cy="737235"/>
                    </a:xfrm>
                    <a:prstGeom prst="rect">
                      <a:avLst/>
                    </a:prstGeom>
                    <a:noFill/>
                  </pic:spPr>
                </pic:pic>
              </a:graphicData>
            </a:graphic>
          </wp:anchor>
        </w:drawing>
      </w:r>
    </w:p>
    <w:p>
      <w:pPr>
        <w:spacing w:after="0" w:line="334" w:lineRule="exact"/>
        <w:rPr>
          <w:sz w:val="20"/>
          <w:szCs w:val="20"/>
          <w:color w:val="auto"/>
        </w:rPr>
      </w:pPr>
    </w:p>
    <w:p>
      <w:pPr>
        <w:ind w:left="1040" w:right="299" w:hanging="755"/>
        <w:spacing w:after="0" w:line="257" w:lineRule="auto"/>
        <w:tabs>
          <w:tab w:leader="none" w:pos="1020" w:val="left"/>
        </w:tabs>
        <w:rPr>
          <w:rFonts w:ascii="Arial" w:cs="Arial" w:eastAsia="Arial" w:hAnsi="Arial"/>
          <w:sz w:val="18"/>
          <w:szCs w:val="18"/>
          <w:color w:val="0000EE"/>
        </w:rPr>
      </w:pPr>
      <w:hyperlink r:id="rId157">
        <w:r>
          <w:rPr>
            <w:rFonts w:ascii="Arial" w:cs="Arial" w:eastAsia="Arial" w:hAnsi="Arial"/>
            <w:sz w:val="18"/>
            <w:szCs w:val="18"/>
            <w:u w:val="single" w:color="auto"/>
            <w:color w:val="0000EE"/>
          </w:rPr>
          <w:t>10.13</w:t>
        </w:r>
      </w:hyperlink>
      <w:r>
        <w:rPr>
          <w:rFonts w:ascii="Arial" w:cs="Arial" w:eastAsia="Arial" w:hAnsi="Arial"/>
          <w:sz w:val="18"/>
          <w:szCs w:val="18"/>
          <w:color w:val="0000EE"/>
        </w:rPr>
        <w:tab/>
        <w:t>Notes Security Agreement, dated as of November 6, 2020, among Academy, Ltd., as Issuer, each of the guarantors listed on the signature pages thereto, and The Bank of New York Mellon Trust Company, N.A., as collateral agent for the benefit of the Secured Parties referred to therein (incorporated by reference to Exhibit 10.13 to the Registrant’s Registration Statement on Form S-1 filed on January 25, 2021 (File No. 333-252390).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205740</wp:posOffset>
            </wp:positionV>
            <wp:extent cx="5349240" cy="7372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8">
                      <a:extLst>
                        <a:ext uri="{28A0092B-C50C-407E-A947-70E740481C1C}"/>
                      </a:extLst>
                    </a:blip>
                    <a:srcRect/>
                    <a:stretch>
                      <a:fillRect/>
                    </a:stretch>
                  </pic:blipFill>
                  <pic:spPr bwMode="auto">
                    <a:xfrm>
                      <a:off x="0" y="0"/>
                      <a:ext cx="5349240" cy="737235"/>
                    </a:xfrm>
                    <a:prstGeom prst="rect">
                      <a:avLst/>
                    </a:prstGeom>
                    <a:noFill/>
                  </pic:spPr>
                </pic:pic>
              </a:graphicData>
            </a:graphic>
          </wp:anchor>
        </w:drawing>
      </w:r>
    </w:p>
    <w:p>
      <w:pPr>
        <w:spacing w:after="0" w:line="330" w:lineRule="exact"/>
        <w:rPr>
          <w:sz w:val="20"/>
          <w:szCs w:val="20"/>
          <w:color w:val="auto"/>
        </w:rPr>
      </w:pPr>
    </w:p>
    <w:p>
      <w:pPr>
        <w:ind w:left="1040" w:right="299" w:hanging="755"/>
        <w:spacing w:after="0" w:line="257" w:lineRule="auto"/>
        <w:tabs>
          <w:tab w:leader="none" w:pos="1020" w:val="left"/>
        </w:tabs>
        <w:rPr>
          <w:rFonts w:ascii="Arial" w:cs="Arial" w:eastAsia="Arial" w:hAnsi="Arial"/>
          <w:sz w:val="18"/>
          <w:szCs w:val="18"/>
          <w:color w:val="0000EE"/>
        </w:rPr>
      </w:pPr>
      <w:hyperlink r:id="rId159">
        <w:r>
          <w:rPr>
            <w:rFonts w:ascii="Arial" w:cs="Arial" w:eastAsia="Arial" w:hAnsi="Arial"/>
            <w:sz w:val="18"/>
            <w:szCs w:val="18"/>
            <w:u w:val="single" w:color="auto"/>
            <w:color w:val="0000EE"/>
          </w:rPr>
          <w:t>10.14</w:t>
        </w:r>
      </w:hyperlink>
      <w:r>
        <w:rPr>
          <w:rFonts w:ascii="Arial" w:cs="Arial" w:eastAsia="Arial" w:hAnsi="Arial"/>
          <w:sz w:val="18"/>
          <w:szCs w:val="18"/>
          <w:color w:val="0000EE"/>
        </w:rPr>
        <w:tab/>
        <w:t>Notes Pledge Agreement, dated as of November 6, 2020, among Academy, Ltd., as Issuer, each of the guarantors listed on the signature pages thereto, and The Bank of New York Mellon Trust Company, N.A., as collateral agent for the benefit of the Secured Parties referred to therein (incorporated by reference to Exhibit 10.14 to the Registrant’s Registration Statement on Form S-1 filed on January 25, 2021 (File No. 333-252390).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205740</wp:posOffset>
            </wp:positionV>
            <wp:extent cx="5349240" cy="3257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0">
                      <a:extLst>
                        <a:ext uri="{28A0092B-C50C-407E-A947-70E740481C1C}"/>
                      </a:extLst>
                    </a:blip>
                    <a:srcRect/>
                    <a:stretch>
                      <a:fillRect/>
                    </a:stretch>
                  </pic:blipFill>
                  <pic:spPr bwMode="auto">
                    <a:xfrm>
                      <a:off x="0" y="0"/>
                      <a:ext cx="5349240" cy="325755"/>
                    </a:xfrm>
                    <a:prstGeom prst="rect">
                      <a:avLst/>
                    </a:prstGeom>
                    <a:noFill/>
                  </pic:spPr>
                </pic:pic>
              </a:graphicData>
            </a:graphic>
          </wp:anchor>
        </w:drawing>
      </w:r>
    </w:p>
    <w:p>
      <w:pPr>
        <w:spacing w:after="0" w:line="330" w:lineRule="exact"/>
        <w:rPr>
          <w:sz w:val="20"/>
          <w:szCs w:val="20"/>
          <w:color w:val="auto"/>
        </w:rPr>
      </w:pPr>
    </w:p>
    <w:p>
      <w:pPr>
        <w:ind w:left="1040" w:right="659" w:hanging="755"/>
        <w:spacing w:after="0" w:line="277" w:lineRule="auto"/>
        <w:tabs>
          <w:tab w:leader="none" w:pos="1020" w:val="left"/>
        </w:tabs>
        <w:rPr>
          <w:rFonts w:ascii="Arial" w:cs="Arial" w:eastAsia="Arial" w:hAnsi="Arial"/>
          <w:sz w:val="18"/>
          <w:szCs w:val="18"/>
          <w:color w:val="0000EE"/>
        </w:rPr>
      </w:pPr>
      <w:hyperlink r:id="rId161">
        <w:r>
          <w:rPr>
            <w:rFonts w:ascii="Arial" w:cs="Arial" w:eastAsia="Arial" w:hAnsi="Arial"/>
            <w:sz w:val="18"/>
            <w:szCs w:val="18"/>
            <w:u w:val="single" w:color="auto"/>
            <w:color w:val="0000EE"/>
          </w:rPr>
          <w:t>10.15†</w:t>
        </w:r>
      </w:hyperlink>
      <w:r>
        <w:rPr>
          <w:rFonts w:ascii="Arial" w:cs="Arial" w:eastAsia="Arial" w:hAnsi="Arial"/>
          <w:sz w:val="18"/>
          <w:szCs w:val="18"/>
          <w:color w:val="0000EE"/>
        </w:rPr>
        <w:tab/>
        <w:t>2020 Omnibus Incentive Plan (incorporated by reference to Exhibit 10.2 to the Registrant’s Quarterly Report on Form 10-Q filed on December 10, 2020 (File No. 001-39589)).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194310</wp:posOffset>
            </wp:positionV>
            <wp:extent cx="5349240" cy="4629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2">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12" w:lineRule="exact"/>
        <w:rPr>
          <w:sz w:val="20"/>
          <w:szCs w:val="20"/>
          <w:color w:val="auto"/>
        </w:rPr>
      </w:pPr>
    </w:p>
    <w:p>
      <w:pPr>
        <w:ind w:left="1040" w:right="479" w:hanging="755"/>
        <w:spacing w:after="0" w:line="263" w:lineRule="auto"/>
        <w:tabs>
          <w:tab w:leader="none" w:pos="1020" w:val="left"/>
        </w:tabs>
        <w:rPr>
          <w:rFonts w:ascii="Arial" w:cs="Arial" w:eastAsia="Arial" w:hAnsi="Arial"/>
          <w:sz w:val="18"/>
          <w:szCs w:val="18"/>
          <w:color w:val="0000EE"/>
        </w:rPr>
      </w:pPr>
      <w:hyperlink r:id="rId163">
        <w:r>
          <w:rPr>
            <w:rFonts w:ascii="Arial" w:cs="Arial" w:eastAsia="Arial" w:hAnsi="Arial"/>
            <w:sz w:val="18"/>
            <w:szCs w:val="18"/>
            <w:u w:val="single" w:color="auto"/>
            <w:color w:val="0000EE"/>
          </w:rPr>
          <w:t>10.16†</w:t>
        </w:r>
      </w:hyperlink>
      <w:r>
        <w:rPr>
          <w:rFonts w:ascii="Arial" w:cs="Arial" w:eastAsia="Arial" w:hAnsi="Arial"/>
          <w:sz w:val="18"/>
          <w:szCs w:val="18"/>
          <w:color w:val="0000EE"/>
        </w:rPr>
        <w:tab/>
        <w:t>Form of Time-Based Option Agreement under 2020 Omnibus Incentive Plan (incorporated by reference to Exhibit 10.10 to Amendment No. 1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629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4">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040" w:right="519" w:hanging="755"/>
        <w:spacing w:after="0" w:line="286" w:lineRule="auto"/>
        <w:tabs>
          <w:tab w:leader="none" w:pos="1020" w:val="left"/>
        </w:tabs>
        <w:rPr>
          <w:rFonts w:ascii="Arial" w:cs="Arial" w:eastAsia="Arial" w:hAnsi="Arial"/>
          <w:sz w:val="18"/>
          <w:szCs w:val="18"/>
          <w:color w:val="0000EE"/>
        </w:rPr>
      </w:pPr>
      <w:hyperlink r:id="rId165">
        <w:r>
          <w:rPr>
            <w:rFonts w:ascii="Arial" w:cs="Arial" w:eastAsia="Arial" w:hAnsi="Arial"/>
            <w:sz w:val="18"/>
            <w:szCs w:val="18"/>
            <w:u w:val="single" w:color="auto"/>
            <w:color w:val="0000EE"/>
          </w:rPr>
          <w:t>10.17†</w:t>
        </w:r>
      </w:hyperlink>
      <w:r>
        <w:rPr>
          <w:rFonts w:ascii="Arial" w:cs="Arial" w:eastAsia="Arial" w:hAnsi="Arial"/>
          <w:sz w:val="18"/>
          <w:szCs w:val="18"/>
          <w:color w:val="0000EE"/>
        </w:rPr>
        <w:tab/>
      </w:r>
      <w:r>
        <w:rPr>
          <w:rFonts w:ascii="Arial" w:cs="Arial" w:eastAsia="Arial" w:hAnsi="Arial"/>
          <w:sz w:val="17"/>
          <w:szCs w:val="17"/>
          <w:color w:val="0000EE"/>
        </w:rPr>
        <w:t>Form of Non-Employee Director Restricted Stock Unit Agreement under 2020 Omnibus Incentive Plan (incorporated by reference to Exhibit 10.11 to Amendment No. 1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191135</wp:posOffset>
            </wp:positionV>
            <wp:extent cx="5349240" cy="4629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6">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07" w:lineRule="exact"/>
        <w:rPr>
          <w:sz w:val="20"/>
          <w:szCs w:val="20"/>
          <w:color w:val="auto"/>
        </w:rPr>
      </w:pPr>
    </w:p>
    <w:p>
      <w:pPr>
        <w:ind w:left="1040" w:right="439" w:hanging="755"/>
        <w:spacing w:after="0" w:line="286" w:lineRule="auto"/>
        <w:tabs>
          <w:tab w:leader="none" w:pos="1020" w:val="left"/>
        </w:tabs>
        <w:rPr>
          <w:rFonts w:ascii="Arial" w:cs="Arial" w:eastAsia="Arial" w:hAnsi="Arial"/>
          <w:sz w:val="18"/>
          <w:szCs w:val="18"/>
          <w:color w:val="0000EE"/>
        </w:rPr>
      </w:pPr>
      <w:hyperlink r:id="rId167">
        <w:r>
          <w:rPr>
            <w:rFonts w:ascii="Arial" w:cs="Arial" w:eastAsia="Arial" w:hAnsi="Arial"/>
            <w:sz w:val="18"/>
            <w:szCs w:val="18"/>
            <w:u w:val="single" w:color="auto"/>
            <w:color w:val="0000EE"/>
          </w:rPr>
          <w:t>10.18†</w:t>
        </w:r>
      </w:hyperlink>
      <w:r>
        <w:rPr>
          <w:rFonts w:ascii="Arial" w:cs="Arial" w:eastAsia="Arial" w:hAnsi="Arial"/>
          <w:sz w:val="18"/>
          <w:szCs w:val="18"/>
          <w:color w:val="0000EE"/>
        </w:rPr>
        <w:tab/>
      </w:r>
      <w:r>
        <w:rPr>
          <w:rFonts w:ascii="Arial" w:cs="Arial" w:eastAsia="Arial" w:hAnsi="Arial"/>
          <w:sz w:val="17"/>
          <w:szCs w:val="17"/>
          <w:color w:val="0000EE"/>
        </w:rPr>
        <w:t>2020 Form of Performance-Based Restricted Stock Unit Agreement under 2020 Omnibus Incentive Plan (incorporated by reference to Exhibit 10.12 to Amendment No. 1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191135</wp:posOffset>
            </wp:positionV>
            <wp:extent cx="5349240" cy="4629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07" w:lineRule="exact"/>
        <w:rPr>
          <w:sz w:val="20"/>
          <w:szCs w:val="20"/>
          <w:color w:val="auto"/>
        </w:rPr>
      </w:pPr>
    </w:p>
    <w:p>
      <w:pPr>
        <w:ind w:left="1040" w:right="439" w:hanging="755"/>
        <w:spacing w:after="0" w:line="263" w:lineRule="auto"/>
        <w:tabs>
          <w:tab w:leader="none" w:pos="1020" w:val="left"/>
        </w:tabs>
        <w:rPr>
          <w:rFonts w:ascii="Arial" w:cs="Arial" w:eastAsia="Arial" w:hAnsi="Arial"/>
          <w:sz w:val="18"/>
          <w:szCs w:val="18"/>
          <w:color w:val="0000EE"/>
        </w:rPr>
      </w:pPr>
      <w:hyperlink r:id="rId169">
        <w:r>
          <w:rPr>
            <w:rFonts w:ascii="Arial" w:cs="Arial" w:eastAsia="Arial" w:hAnsi="Arial"/>
            <w:sz w:val="18"/>
            <w:szCs w:val="18"/>
            <w:u w:val="single" w:color="auto"/>
            <w:color w:val="0000EE"/>
          </w:rPr>
          <w:t>10.19†</w:t>
        </w:r>
      </w:hyperlink>
      <w:r>
        <w:rPr>
          <w:rFonts w:ascii="Arial" w:cs="Arial" w:eastAsia="Arial" w:hAnsi="Arial"/>
          <w:sz w:val="18"/>
          <w:szCs w:val="18"/>
          <w:color w:val="0000EE"/>
        </w:rPr>
        <w:tab/>
        <w:t>2021 Form of Performance-Based Restricted Stock Unit Agreement under the 2020 Omnibus Incentive Plan (incorporated by reference to Exhibit 10.19 to the Registrant’s Annual Report on Form 10-K for the fiscal year ended January 30, 2021 (File No. 001-39589)).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3257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0">
                      <a:extLst>
                        <a:ext uri="{28A0092B-C50C-407E-A947-70E740481C1C}"/>
                      </a:extLst>
                    </a:blip>
                    <a:srcRect/>
                    <a:stretch>
                      <a:fillRect/>
                    </a:stretch>
                  </pic:blipFill>
                  <pic:spPr bwMode="auto">
                    <a:xfrm>
                      <a:off x="0" y="0"/>
                      <a:ext cx="5349240" cy="325755"/>
                    </a:xfrm>
                    <a:prstGeom prst="rect">
                      <a:avLst/>
                    </a:prstGeom>
                    <a:noFill/>
                  </pic:spPr>
                </pic:pic>
              </a:graphicData>
            </a:graphic>
          </wp:anchor>
        </w:drawing>
      </w:r>
    </w:p>
    <w:p>
      <w:pPr>
        <w:spacing w:after="0" w:line="326" w:lineRule="exact"/>
        <w:rPr>
          <w:sz w:val="20"/>
          <w:szCs w:val="20"/>
          <w:color w:val="auto"/>
        </w:rPr>
      </w:pPr>
    </w:p>
    <w:p>
      <w:pPr>
        <w:ind w:left="1040" w:right="739" w:hanging="755"/>
        <w:spacing w:after="0" w:line="277" w:lineRule="auto"/>
        <w:tabs>
          <w:tab w:leader="none" w:pos="1020" w:val="left"/>
        </w:tabs>
        <w:rPr>
          <w:rFonts w:ascii="Arial" w:cs="Arial" w:eastAsia="Arial" w:hAnsi="Arial"/>
          <w:sz w:val="18"/>
          <w:szCs w:val="18"/>
          <w:color w:val="0000EE"/>
        </w:rPr>
      </w:pPr>
      <w:hyperlink r:id="rId171">
        <w:r>
          <w:rPr>
            <w:rFonts w:ascii="Arial" w:cs="Arial" w:eastAsia="Arial" w:hAnsi="Arial"/>
            <w:sz w:val="18"/>
            <w:szCs w:val="18"/>
            <w:u w:val="single" w:color="auto"/>
            <w:color w:val="0000EE"/>
          </w:rPr>
          <w:t>10.20†</w:t>
        </w:r>
      </w:hyperlink>
      <w:r>
        <w:rPr>
          <w:rFonts w:ascii="Arial" w:cs="Arial" w:eastAsia="Arial" w:hAnsi="Arial"/>
          <w:sz w:val="18"/>
          <w:szCs w:val="18"/>
          <w:color w:val="0000EE"/>
        </w:rPr>
        <w:tab/>
        <w:t>2011 Unit Incentive Plan (incorporated by reference to Exhibit 10.13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194310</wp:posOffset>
            </wp:positionV>
            <wp:extent cx="5349240" cy="4629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2">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12" w:lineRule="exact"/>
        <w:rPr>
          <w:sz w:val="20"/>
          <w:szCs w:val="20"/>
          <w:color w:val="auto"/>
        </w:rPr>
      </w:pPr>
    </w:p>
    <w:p>
      <w:pPr>
        <w:ind w:left="1040" w:right="519" w:hanging="755"/>
        <w:spacing w:after="0" w:line="263" w:lineRule="auto"/>
        <w:tabs>
          <w:tab w:leader="none" w:pos="1020" w:val="left"/>
        </w:tabs>
        <w:rPr>
          <w:rFonts w:ascii="Arial" w:cs="Arial" w:eastAsia="Arial" w:hAnsi="Arial"/>
          <w:sz w:val="18"/>
          <w:szCs w:val="18"/>
          <w:color w:val="0000EE"/>
        </w:rPr>
      </w:pPr>
      <w:hyperlink r:id="rId173">
        <w:r>
          <w:rPr>
            <w:rFonts w:ascii="Arial" w:cs="Arial" w:eastAsia="Arial" w:hAnsi="Arial"/>
            <w:sz w:val="18"/>
            <w:szCs w:val="18"/>
            <w:u w:val="single" w:color="auto"/>
            <w:color w:val="0000EE"/>
          </w:rPr>
          <w:t>10.21†</w:t>
        </w:r>
      </w:hyperlink>
      <w:r>
        <w:rPr>
          <w:rFonts w:ascii="Arial" w:cs="Arial" w:eastAsia="Arial" w:hAnsi="Arial"/>
          <w:sz w:val="18"/>
          <w:szCs w:val="18"/>
          <w:color w:val="0000EE"/>
        </w:rPr>
        <w:tab/>
        <w:t>Form of 2020 CEO Option Agreement under 2011 Unit Incentive Plan (incorporated by reference to Exhibit 10.14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629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4">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040" w:right="399" w:hanging="755"/>
        <w:spacing w:after="0" w:line="263" w:lineRule="auto"/>
        <w:tabs>
          <w:tab w:leader="none" w:pos="1020" w:val="left"/>
        </w:tabs>
        <w:rPr>
          <w:rFonts w:ascii="Arial" w:cs="Arial" w:eastAsia="Arial" w:hAnsi="Arial"/>
          <w:sz w:val="18"/>
          <w:szCs w:val="18"/>
          <w:color w:val="0000EE"/>
        </w:rPr>
      </w:pPr>
      <w:hyperlink r:id="rId175">
        <w:r>
          <w:rPr>
            <w:rFonts w:ascii="Arial" w:cs="Arial" w:eastAsia="Arial" w:hAnsi="Arial"/>
            <w:sz w:val="18"/>
            <w:szCs w:val="18"/>
            <w:u w:val="single" w:color="auto"/>
            <w:color w:val="0000EE"/>
          </w:rPr>
          <w:t>10.22†</w:t>
        </w:r>
      </w:hyperlink>
      <w:r>
        <w:rPr>
          <w:rFonts w:ascii="Arial" w:cs="Arial" w:eastAsia="Arial" w:hAnsi="Arial"/>
          <w:sz w:val="18"/>
          <w:szCs w:val="18"/>
          <w:color w:val="0000EE"/>
        </w:rPr>
        <w:tab/>
        <w:t>Form of 2020 Executive Option Agreement under 2011 Unit Incentive Plan (incorporated by reference to Exhibit 10.15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718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6">
                      <a:extLst>
                        <a:ext uri="{28A0092B-C50C-407E-A947-70E740481C1C}"/>
                      </a:extLst>
                    </a:blip>
                    <a:srcRect/>
                    <a:stretch>
                      <a:fillRect/>
                    </a:stretch>
                  </pic:blipFill>
                  <pic:spPr bwMode="auto">
                    <a:xfrm>
                      <a:off x="0" y="0"/>
                      <a:ext cx="5349240" cy="471805"/>
                    </a:xfrm>
                    <a:prstGeom prst="rect">
                      <a:avLst/>
                    </a:prstGeom>
                    <a:noFill/>
                  </pic:spPr>
                </pic:pic>
              </a:graphicData>
            </a:graphic>
          </wp:anchor>
        </w:drawing>
      </w:r>
    </w:p>
    <w:p>
      <w:pPr>
        <w:spacing w:after="0" w:line="326" w:lineRule="exact"/>
        <w:rPr>
          <w:sz w:val="20"/>
          <w:szCs w:val="20"/>
          <w:color w:val="auto"/>
        </w:rPr>
      </w:pPr>
    </w:p>
    <w:p>
      <w:pPr>
        <w:ind w:left="1040" w:right="759" w:hanging="755"/>
        <w:spacing w:after="0" w:line="263" w:lineRule="auto"/>
        <w:tabs>
          <w:tab w:leader="none" w:pos="1020" w:val="left"/>
        </w:tabs>
        <w:rPr>
          <w:rFonts w:ascii="Arial" w:cs="Arial" w:eastAsia="Arial" w:hAnsi="Arial"/>
          <w:sz w:val="18"/>
          <w:szCs w:val="18"/>
          <w:color w:val="0000EE"/>
        </w:rPr>
      </w:pPr>
      <w:hyperlink r:id="rId177">
        <w:r>
          <w:rPr>
            <w:rFonts w:ascii="Arial" w:cs="Arial" w:eastAsia="Arial" w:hAnsi="Arial"/>
            <w:sz w:val="18"/>
            <w:szCs w:val="18"/>
            <w:u w:val="single" w:color="auto"/>
            <w:color w:val="0000EE"/>
          </w:rPr>
          <w:t>10.23†</w:t>
        </w:r>
      </w:hyperlink>
      <w:r>
        <w:rPr>
          <w:rFonts w:ascii="Arial" w:cs="Arial" w:eastAsia="Arial" w:hAnsi="Arial"/>
          <w:sz w:val="18"/>
          <w:szCs w:val="18"/>
          <w:color w:val="0000EE"/>
        </w:rPr>
        <w:tab/>
        <w:t>Form of 2019 CEO Option Agreement under 2011 Unit Incentive Plan (incorporated by reference to Exhibit 10.16 to the Registrant’s Registration Statement on Form S-1 filed on September 23, 2020 (File No. 333-248683)).</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tbl>
      <w:tblPr>
        <w:tblLayout w:type="fixed"/>
        <w:tblInd w:w="300" w:type="dxa"/>
        <w:tblCellMar>
          <w:top w:w="0" w:type="dxa"/>
          <w:left w:w="0" w:type="dxa"/>
          <w:bottom w:w="0" w:type="dxa"/>
          <w:right w:w="0" w:type="dxa"/>
        </w:tblCellMar>
      </w:tblPr>
      <w:tr>
        <w:trPr>
          <w:trHeight w:val="186"/>
        </w:trPr>
        <w:tc>
          <w:tcPr>
            <w:tcW w:w="2880" w:type="dxa"/>
            <w:vAlign w:val="bottom"/>
          </w:tcPr>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8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060" w:type="dxa"/>
            <w:vAlign w:val="bottom"/>
            <w:vMerge w:val="restart"/>
          </w:tcPr>
          <w:p>
            <w:pPr>
              <w:ind w:left="134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28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5349240" cy="4883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9">
                      <a:extLst>
                        <a:ext uri="{28A0092B-C50C-407E-A947-70E740481C1C}"/>
                      </a:extLst>
                    </a:blip>
                    <a:srcRect/>
                    <a:stretch>
                      <a:fillRect/>
                    </a:stretch>
                  </pic:blipFill>
                  <pic:spPr bwMode="auto">
                    <a:xfrm>
                      <a:off x="0" y="0"/>
                      <a:ext cx="5349240" cy="488315"/>
                    </a:xfrm>
                    <a:prstGeom prst="rect">
                      <a:avLst/>
                    </a:prstGeom>
                    <a:noFill/>
                  </pic:spPr>
                </pic:pic>
              </a:graphicData>
            </a:graphic>
          </wp:anchor>
        </w:drawing>
      </w:r>
    </w:p>
    <w:p>
      <w:pPr>
        <w:spacing w:after="0" w:line="99" w:lineRule="exact"/>
        <w:rPr>
          <w:sz w:val="20"/>
          <w:szCs w:val="20"/>
          <w:color w:val="auto"/>
        </w:rPr>
      </w:pPr>
    </w:p>
    <w:p>
      <w:pPr>
        <w:ind w:left="1040" w:right="399" w:hanging="755"/>
        <w:spacing w:after="0" w:line="263" w:lineRule="auto"/>
        <w:tabs>
          <w:tab w:leader="none" w:pos="1020" w:val="left"/>
        </w:tabs>
        <w:rPr>
          <w:rFonts w:ascii="Arial" w:cs="Arial" w:eastAsia="Arial" w:hAnsi="Arial"/>
          <w:sz w:val="18"/>
          <w:szCs w:val="18"/>
          <w:color w:val="0000EE"/>
        </w:rPr>
      </w:pPr>
      <w:hyperlink r:id="rId180">
        <w:r>
          <w:rPr>
            <w:rFonts w:ascii="Arial" w:cs="Arial" w:eastAsia="Arial" w:hAnsi="Arial"/>
            <w:sz w:val="18"/>
            <w:szCs w:val="18"/>
            <w:u w:val="single" w:color="auto"/>
            <w:color w:val="0000EE"/>
          </w:rPr>
          <w:t>10.24†</w:t>
        </w:r>
      </w:hyperlink>
      <w:r>
        <w:rPr>
          <w:rFonts w:ascii="Arial" w:cs="Arial" w:eastAsia="Arial" w:hAnsi="Arial"/>
          <w:sz w:val="18"/>
          <w:szCs w:val="18"/>
          <w:color w:val="0000EE"/>
        </w:rPr>
        <w:tab/>
        <w:t>Form of 2019 Executive Option Agreement under 2011 Unit Incentive Plan (incorporated by reference to Exhibit 10.17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629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1">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040" w:right="519" w:hanging="755"/>
        <w:spacing w:after="0" w:line="263" w:lineRule="auto"/>
        <w:tabs>
          <w:tab w:leader="none" w:pos="1020" w:val="left"/>
        </w:tabs>
        <w:rPr>
          <w:rFonts w:ascii="Arial" w:cs="Arial" w:eastAsia="Arial" w:hAnsi="Arial"/>
          <w:sz w:val="18"/>
          <w:szCs w:val="18"/>
          <w:color w:val="0000EE"/>
        </w:rPr>
      </w:pPr>
      <w:hyperlink r:id="rId182">
        <w:r>
          <w:rPr>
            <w:rFonts w:ascii="Arial" w:cs="Arial" w:eastAsia="Arial" w:hAnsi="Arial"/>
            <w:sz w:val="18"/>
            <w:szCs w:val="18"/>
            <w:u w:val="single" w:color="auto"/>
            <w:color w:val="0000EE"/>
          </w:rPr>
          <w:t>10.25†</w:t>
        </w:r>
      </w:hyperlink>
      <w:r>
        <w:rPr>
          <w:rFonts w:ascii="Arial" w:cs="Arial" w:eastAsia="Arial" w:hAnsi="Arial"/>
          <w:sz w:val="18"/>
          <w:szCs w:val="18"/>
          <w:color w:val="0000EE"/>
        </w:rPr>
        <w:tab/>
        <w:t>Form of 2018 CEO Option Agreement under 2011 Unit Incentive Plan (incorporated by reference to Exhibit 10.18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629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3">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040" w:right="399" w:hanging="755"/>
        <w:spacing w:after="0" w:line="263" w:lineRule="auto"/>
        <w:tabs>
          <w:tab w:leader="none" w:pos="1020" w:val="left"/>
        </w:tabs>
        <w:rPr>
          <w:rFonts w:ascii="Arial" w:cs="Arial" w:eastAsia="Arial" w:hAnsi="Arial"/>
          <w:sz w:val="18"/>
          <w:szCs w:val="18"/>
          <w:color w:val="0000EE"/>
        </w:rPr>
      </w:pPr>
      <w:hyperlink r:id="rId184">
        <w:r>
          <w:rPr>
            <w:rFonts w:ascii="Arial" w:cs="Arial" w:eastAsia="Arial" w:hAnsi="Arial"/>
            <w:sz w:val="18"/>
            <w:szCs w:val="18"/>
            <w:u w:val="single" w:color="auto"/>
            <w:color w:val="0000EE"/>
          </w:rPr>
          <w:t>10.26†</w:t>
        </w:r>
      </w:hyperlink>
      <w:r>
        <w:rPr>
          <w:rFonts w:ascii="Arial" w:cs="Arial" w:eastAsia="Arial" w:hAnsi="Arial"/>
          <w:sz w:val="18"/>
          <w:szCs w:val="18"/>
          <w:color w:val="0000EE"/>
        </w:rPr>
        <w:tab/>
        <w:t>Form of 2018 Executive Option Agreement under 2011 Unit Incentive Plan (incorporated by reference to Exhibit 10.19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629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5">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040" w:right="779" w:hanging="755"/>
        <w:spacing w:after="0" w:line="263" w:lineRule="auto"/>
        <w:tabs>
          <w:tab w:leader="none" w:pos="1020" w:val="left"/>
        </w:tabs>
        <w:rPr>
          <w:rFonts w:ascii="Arial" w:cs="Arial" w:eastAsia="Arial" w:hAnsi="Arial"/>
          <w:sz w:val="18"/>
          <w:szCs w:val="18"/>
          <w:color w:val="0000EE"/>
        </w:rPr>
      </w:pPr>
      <w:hyperlink r:id="rId186">
        <w:r>
          <w:rPr>
            <w:rFonts w:ascii="Arial" w:cs="Arial" w:eastAsia="Arial" w:hAnsi="Arial"/>
            <w:sz w:val="18"/>
            <w:szCs w:val="18"/>
            <w:u w:val="single" w:color="auto"/>
            <w:color w:val="0000EE"/>
          </w:rPr>
          <w:t>10.27†</w:t>
        </w:r>
      </w:hyperlink>
      <w:r>
        <w:rPr>
          <w:rFonts w:ascii="Arial" w:cs="Arial" w:eastAsia="Arial" w:hAnsi="Arial"/>
          <w:sz w:val="18"/>
          <w:szCs w:val="18"/>
          <w:color w:val="0000EE"/>
        </w:rPr>
        <w:tab/>
        <w:t>Form of 2018 Non Executive Option Agreement under 2011 Unit Incentive Plan (incorporated by reference to Exhibit 10.27 to the Registrant’s Annual Report on Form 10-K for the fiscal year ended January 30, 2021 (File No. 001-39589)).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629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7">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040" w:right="399" w:hanging="755"/>
        <w:spacing w:after="0" w:line="263" w:lineRule="auto"/>
        <w:tabs>
          <w:tab w:leader="none" w:pos="1020" w:val="left"/>
        </w:tabs>
        <w:rPr>
          <w:rFonts w:ascii="Arial" w:cs="Arial" w:eastAsia="Arial" w:hAnsi="Arial"/>
          <w:sz w:val="18"/>
          <w:szCs w:val="18"/>
          <w:color w:val="0000EE"/>
        </w:rPr>
      </w:pPr>
      <w:hyperlink r:id="rId188">
        <w:r>
          <w:rPr>
            <w:rFonts w:ascii="Arial" w:cs="Arial" w:eastAsia="Arial" w:hAnsi="Arial"/>
            <w:sz w:val="18"/>
            <w:szCs w:val="18"/>
            <w:u w:val="single" w:color="auto"/>
            <w:color w:val="0000EE"/>
          </w:rPr>
          <w:t>10.28†</w:t>
        </w:r>
      </w:hyperlink>
      <w:r>
        <w:rPr>
          <w:rFonts w:ascii="Arial" w:cs="Arial" w:eastAsia="Arial" w:hAnsi="Arial"/>
          <w:sz w:val="18"/>
          <w:szCs w:val="18"/>
          <w:color w:val="0000EE"/>
        </w:rPr>
        <w:tab/>
        <w:t>Form of 2017 Executive Option Agreement under 2011 Unit Incentive Plan (incorporated by reference to Exhibit 10.20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629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9">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040" w:right="399" w:hanging="755"/>
        <w:spacing w:after="0" w:line="263" w:lineRule="auto"/>
        <w:tabs>
          <w:tab w:leader="none" w:pos="1020" w:val="left"/>
        </w:tabs>
        <w:rPr>
          <w:rFonts w:ascii="Arial" w:cs="Arial" w:eastAsia="Arial" w:hAnsi="Arial"/>
          <w:sz w:val="18"/>
          <w:szCs w:val="18"/>
          <w:color w:val="0000EE"/>
        </w:rPr>
      </w:pPr>
      <w:hyperlink r:id="rId190">
        <w:r>
          <w:rPr>
            <w:rFonts w:ascii="Arial" w:cs="Arial" w:eastAsia="Arial" w:hAnsi="Arial"/>
            <w:sz w:val="18"/>
            <w:szCs w:val="18"/>
            <w:u w:val="single" w:color="auto"/>
            <w:color w:val="0000EE"/>
          </w:rPr>
          <w:t>10.29†</w:t>
        </w:r>
      </w:hyperlink>
      <w:r>
        <w:rPr>
          <w:rFonts w:ascii="Arial" w:cs="Arial" w:eastAsia="Arial" w:hAnsi="Arial"/>
          <w:sz w:val="18"/>
          <w:szCs w:val="18"/>
          <w:color w:val="0000EE"/>
        </w:rPr>
        <w:tab/>
        <w:t>Form of 2016 Executive Option Agreement under 2011 Unit Incentive Plan (incorporated by reference to Exhibit 10.21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629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1">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040" w:right="419" w:hanging="755"/>
        <w:spacing w:after="0" w:line="263" w:lineRule="auto"/>
        <w:tabs>
          <w:tab w:leader="none" w:pos="1020" w:val="left"/>
        </w:tabs>
        <w:rPr>
          <w:rFonts w:ascii="Arial" w:cs="Arial" w:eastAsia="Arial" w:hAnsi="Arial"/>
          <w:sz w:val="18"/>
          <w:szCs w:val="18"/>
          <w:color w:val="0000EE"/>
        </w:rPr>
      </w:pPr>
      <w:hyperlink r:id="rId192">
        <w:r>
          <w:rPr>
            <w:rFonts w:ascii="Arial" w:cs="Arial" w:eastAsia="Arial" w:hAnsi="Arial"/>
            <w:sz w:val="18"/>
            <w:szCs w:val="18"/>
            <w:u w:val="single" w:color="auto"/>
            <w:color w:val="0000EE"/>
          </w:rPr>
          <w:t>10.30†</w:t>
        </w:r>
      </w:hyperlink>
      <w:r>
        <w:rPr>
          <w:rFonts w:ascii="Arial" w:cs="Arial" w:eastAsia="Arial" w:hAnsi="Arial"/>
          <w:sz w:val="18"/>
          <w:szCs w:val="18"/>
          <w:color w:val="0000EE"/>
        </w:rPr>
        <w:tab/>
        <w:t>Form of August 2020 Restricted Unit Agreement under 2011 Unit Incentive Plan (incorporated by reference to Exhibit 10.22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629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3">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jc w:val="both"/>
        <w:ind w:left="1040" w:right="339" w:hanging="755"/>
        <w:spacing w:after="0" w:line="263" w:lineRule="auto"/>
        <w:tabs>
          <w:tab w:leader="none" w:pos="1020" w:val="left"/>
        </w:tabs>
        <w:rPr>
          <w:rFonts w:ascii="Arial" w:cs="Arial" w:eastAsia="Arial" w:hAnsi="Arial"/>
          <w:sz w:val="18"/>
          <w:szCs w:val="18"/>
          <w:color w:val="0000EE"/>
        </w:rPr>
      </w:pPr>
      <w:hyperlink r:id="rId194">
        <w:r>
          <w:rPr>
            <w:rFonts w:ascii="Arial" w:cs="Arial" w:eastAsia="Arial" w:hAnsi="Arial"/>
            <w:sz w:val="18"/>
            <w:szCs w:val="18"/>
            <w:u w:val="single" w:color="auto"/>
            <w:color w:val="0000EE"/>
          </w:rPr>
          <w:t>10.31†</w:t>
        </w:r>
      </w:hyperlink>
      <w:r>
        <w:rPr>
          <w:rFonts w:ascii="Arial" w:cs="Arial" w:eastAsia="Arial" w:hAnsi="Arial"/>
          <w:sz w:val="18"/>
          <w:szCs w:val="18"/>
          <w:color w:val="0000EE"/>
        </w:rPr>
        <w:tab/>
        <w:t>Form of 2020 CEO Restricted Unit Agreement under 2011 Unit Incentive Plan (incorporated by reference to Exhibit 10.23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629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5">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040" w:right="419" w:hanging="755"/>
        <w:spacing w:after="0" w:line="263" w:lineRule="auto"/>
        <w:tabs>
          <w:tab w:leader="none" w:pos="1020" w:val="left"/>
        </w:tabs>
        <w:rPr>
          <w:rFonts w:ascii="Arial" w:cs="Arial" w:eastAsia="Arial" w:hAnsi="Arial"/>
          <w:sz w:val="18"/>
          <w:szCs w:val="18"/>
          <w:color w:val="0000EE"/>
        </w:rPr>
      </w:pPr>
      <w:hyperlink r:id="rId196">
        <w:r>
          <w:rPr>
            <w:rFonts w:ascii="Arial" w:cs="Arial" w:eastAsia="Arial" w:hAnsi="Arial"/>
            <w:sz w:val="18"/>
            <w:szCs w:val="18"/>
            <w:u w:val="single" w:color="auto"/>
            <w:color w:val="0000EE"/>
          </w:rPr>
          <w:t>10.32†</w:t>
        </w:r>
      </w:hyperlink>
      <w:r>
        <w:rPr>
          <w:rFonts w:ascii="Arial" w:cs="Arial" w:eastAsia="Arial" w:hAnsi="Arial"/>
          <w:sz w:val="18"/>
          <w:szCs w:val="18"/>
          <w:color w:val="0000EE"/>
        </w:rPr>
        <w:tab/>
        <w:t>Form of 2020 Executive Restricted Unit Agreement under 2011 Unit Incentive Plan (incorporated by reference to Exhibit 10.24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629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7">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040" w:right="419" w:hanging="755"/>
        <w:spacing w:after="0" w:line="263" w:lineRule="auto"/>
        <w:tabs>
          <w:tab w:leader="none" w:pos="1020" w:val="left"/>
        </w:tabs>
        <w:rPr>
          <w:rFonts w:ascii="Arial" w:cs="Arial" w:eastAsia="Arial" w:hAnsi="Arial"/>
          <w:sz w:val="18"/>
          <w:szCs w:val="18"/>
          <w:color w:val="0000EE"/>
        </w:rPr>
      </w:pPr>
      <w:hyperlink r:id="rId198">
        <w:r>
          <w:rPr>
            <w:rFonts w:ascii="Arial" w:cs="Arial" w:eastAsia="Arial" w:hAnsi="Arial"/>
            <w:sz w:val="18"/>
            <w:szCs w:val="18"/>
            <w:u w:val="single" w:color="auto"/>
            <w:color w:val="0000EE"/>
          </w:rPr>
          <w:t>10.33†</w:t>
        </w:r>
      </w:hyperlink>
      <w:r>
        <w:rPr>
          <w:rFonts w:ascii="Arial" w:cs="Arial" w:eastAsia="Arial" w:hAnsi="Arial"/>
          <w:sz w:val="18"/>
          <w:szCs w:val="18"/>
          <w:color w:val="0000EE"/>
        </w:rPr>
        <w:tab/>
        <w:t>Form of 2019 Executive Restricted Unit Agreement under 2011 Unit Incentive Plan (incorporated by reference to Exhibit 10.25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629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9">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040" w:right="479" w:hanging="755"/>
        <w:spacing w:after="0" w:line="263" w:lineRule="auto"/>
        <w:tabs>
          <w:tab w:leader="none" w:pos="1020" w:val="left"/>
        </w:tabs>
        <w:rPr>
          <w:rFonts w:ascii="Arial" w:cs="Arial" w:eastAsia="Arial" w:hAnsi="Arial"/>
          <w:sz w:val="18"/>
          <w:szCs w:val="18"/>
          <w:color w:val="0000EE"/>
        </w:rPr>
      </w:pPr>
      <w:hyperlink r:id="rId200">
        <w:r>
          <w:rPr>
            <w:rFonts w:ascii="Arial" w:cs="Arial" w:eastAsia="Arial" w:hAnsi="Arial"/>
            <w:sz w:val="18"/>
            <w:szCs w:val="18"/>
            <w:u w:val="single" w:color="auto"/>
            <w:color w:val="0000EE"/>
          </w:rPr>
          <w:t>10.34†</w:t>
        </w:r>
      </w:hyperlink>
      <w:r>
        <w:rPr>
          <w:rFonts w:ascii="Arial" w:cs="Arial" w:eastAsia="Arial" w:hAnsi="Arial"/>
          <w:sz w:val="18"/>
          <w:szCs w:val="18"/>
          <w:color w:val="0000EE"/>
        </w:rPr>
        <w:tab/>
        <w:t>Form of 2018 CEO Restricted Unit Agreement under 2011 Unit Incentive Plan (as amended) (incorporated by reference to Exhibit 10.26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629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1">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040" w:right="379" w:hanging="755"/>
        <w:spacing w:after="0" w:line="263" w:lineRule="auto"/>
        <w:tabs>
          <w:tab w:leader="none" w:pos="1020" w:val="left"/>
        </w:tabs>
        <w:rPr>
          <w:rFonts w:ascii="Arial" w:cs="Arial" w:eastAsia="Arial" w:hAnsi="Arial"/>
          <w:sz w:val="18"/>
          <w:szCs w:val="18"/>
          <w:color w:val="0000EE"/>
        </w:rPr>
      </w:pPr>
      <w:hyperlink r:id="rId202">
        <w:r>
          <w:rPr>
            <w:rFonts w:ascii="Arial" w:cs="Arial" w:eastAsia="Arial" w:hAnsi="Arial"/>
            <w:sz w:val="18"/>
            <w:szCs w:val="18"/>
            <w:u w:val="single" w:color="auto"/>
            <w:color w:val="0000EE"/>
          </w:rPr>
          <w:t>10.35†</w:t>
        </w:r>
      </w:hyperlink>
      <w:r>
        <w:rPr>
          <w:rFonts w:ascii="Arial" w:cs="Arial" w:eastAsia="Arial" w:hAnsi="Arial"/>
          <w:sz w:val="18"/>
          <w:szCs w:val="18"/>
          <w:color w:val="0000EE"/>
        </w:rPr>
        <w:tab/>
        <w:t>Form of Independent Non-Employee Director Restricted Unit Agreement under 2011 Unit Incentive Plan (incorporated by reference to Exhibit 10.27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629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3">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040" w:right="419" w:hanging="755"/>
        <w:spacing w:after="0" w:line="263" w:lineRule="auto"/>
        <w:tabs>
          <w:tab w:leader="none" w:pos="1020" w:val="left"/>
        </w:tabs>
        <w:rPr>
          <w:rFonts w:ascii="Arial" w:cs="Arial" w:eastAsia="Arial" w:hAnsi="Arial"/>
          <w:sz w:val="18"/>
          <w:szCs w:val="18"/>
          <w:color w:val="0000EE"/>
        </w:rPr>
      </w:pPr>
      <w:hyperlink r:id="rId204">
        <w:r>
          <w:rPr>
            <w:rFonts w:ascii="Arial" w:cs="Arial" w:eastAsia="Arial" w:hAnsi="Arial"/>
            <w:sz w:val="18"/>
            <w:szCs w:val="18"/>
            <w:u w:val="single" w:color="auto"/>
            <w:color w:val="0000EE"/>
          </w:rPr>
          <w:t>10.36†</w:t>
        </w:r>
      </w:hyperlink>
      <w:r>
        <w:rPr>
          <w:rFonts w:ascii="Arial" w:cs="Arial" w:eastAsia="Arial" w:hAnsi="Arial"/>
          <w:sz w:val="18"/>
          <w:szCs w:val="18"/>
          <w:color w:val="0000EE"/>
        </w:rPr>
        <w:tab/>
        <w:t>Form of 2018 Executive Restricted Unit Agreement under 2011 Unit Incentive Plan (incorporated by reference to Exhibit 10.28 to the Registrant’s Registration Statement on Form S-1 filed on September 23, 2020 (File No. 333-248683)).</w:t>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1" w:name="page62"/>
    <w:bookmarkEnd w:id="61"/>
    <w:tbl>
      <w:tblPr>
        <w:tblLayout w:type="fixed"/>
        <w:tblInd w:w="300" w:type="dxa"/>
        <w:tblCellMar>
          <w:top w:w="0" w:type="dxa"/>
          <w:left w:w="0" w:type="dxa"/>
          <w:bottom w:w="0" w:type="dxa"/>
          <w:right w:w="0" w:type="dxa"/>
        </w:tblCellMar>
      </w:tblPr>
      <w:tr>
        <w:trPr>
          <w:trHeight w:val="186"/>
        </w:trPr>
        <w:tc>
          <w:tcPr>
            <w:tcW w:w="2880" w:type="dxa"/>
            <w:vAlign w:val="bottom"/>
          </w:tcPr>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8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060" w:type="dxa"/>
            <w:vAlign w:val="bottom"/>
            <w:vMerge w:val="restart"/>
          </w:tcPr>
          <w:p>
            <w:pPr>
              <w:ind w:left="134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28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5349240" cy="4889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6">
                      <a:extLst>
                        <a:ext uri="{28A0092B-C50C-407E-A947-70E740481C1C}"/>
                      </a:extLst>
                    </a:blip>
                    <a:srcRect/>
                    <a:stretch>
                      <a:fillRect/>
                    </a:stretch>
                  </pic:blipFill>
                  <pic:spPr bwMode="auto">
                    <a:xfrm>
                      <a:off x="0" y="0"/>
                      <a:ext cx="5349240" cy="488950"/>
                    </a:xfrm>
                    <a:prstGeom prst="rect">
                      <a:avLst/>
                    </a:prstGeom>
                    <a:noFill/>
                  </pic:spPr>
                </pic:pic>
              </a:graphicData>
            </a:graphic>
          </wp:anchor>
        </w:drawing>
      </w:r>
    </w:p>
    <w:p>
      <w:pPr>
        <w:spacing w:after="0" w:line="99" w:lineRule="exact"/>
        <w:rPr>
          <w:sz w:val="20"/>
          <w:szCs w:val="20"/>
          <w:color w:val="auto"/>
        </w:rPr>
      </w:pPr>
    </w:p>
    <w:p>
      <w:pPr>
        <w:ind w:left="1040" w:right="379" w:hanging="755"/>
        <w:spacing w:after="0" w:line="263" w:lineRule="auto"/>
        <w:tabs>
          <w:tab w:leader="none" w:pos="1020" w:val="left"/>
        </w:tabs>
        <w:rPr>
          <w:rFonts w:ascii="Arial" w:cs="Arial" w:eastAsia="Arial" w:hAnsi="Arial"/>
          <w:sz w:val="18"/>
          <w:szCs w:val="18"/>
          <w:color w:val="0000EE"/>
        </w:rPr>
      </w:pPr>
      <w:hyperlink r:id="rId207">
        <w:r>
          <w:rPr>
            <w:rFonts w:ascii="Arial" w:cs="Arial" w:eastAsia="Arial" w:hAnsi="Arial"/>
            <w:sz w:val="18"/>
            <w:szCs w:val="18"/>
            <w:u w:val="single" w:color="auto"/>
            <w:color w:val="0000EE"/>
          </w:rPr>
          <w:t>10.37†</w:t>
        </w:r>
      </w:hyperlink>
      <w:r>
        <w:rPr>
          <w:rFonts w:ascii="Arial" w:cs="Arial" w:eastAsia="Arial" w:hAnsi="Arial"/>
          <w:sz w:val="18"/>
          <w:szCs w:val="18"/>
          <w:color w:val="0000EE"/>
        </w:rPr>
        <w:tab/>
        <w:t>Ken C. Hicks Employment Agreement, dated August 2, 2018 (incorporated by reference to Exhibit 10.29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629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8">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040" w:right="339" w:hanging="755"/>
        <w:spacing w:after="0" w:line="263" w:lineRule="auto"/>
        <w:tabs>
          <w:tab w:leader="none" w:pos="1020" w:val="left"/>
        </w:tabs>
        <w:rPr>
          <w:rFonts w:ascii="Arial" w:cs="Arial" w:eastAsia="Arial" w:hAnsi="Arial"/>
          <w:sz w:val="18"/>
          <w:szCs w:val="18"/>
          <w:color w:val="0000EE"/>
        </w:rPr>
      </w:pPr>
      <w:hyperlink r:id="rId209">
        <w:r>
          <w:rPr>
            <w:rFonts w:ascii="Arial" w:cs="Arial" w:eastAsia="Arial" w:hAnsi="Arial"/>
            <w:sz w:val="18"/>
            <w:szCs w:val="18"/>
            <w:u w:val="single" w:color="auto"/>
            <w:color w:val="0000EE"/>
          </w:rPr>
          <w:t>10.38†</w:t>
        </w:r>
      </w:hyperlink>
      <w:r>
        <w:rPr>
          <w:rFonts w:ascii="Arial" w:cs="Arial" w:eastAsia="Arial" w:hAnsi="Arial"/>
          <w:sz w:val="18"/>
          <w:szCs w:val="18"/>
          <w:color w:val="0000EE"/>
        </w:rPr>
        <w:tab/>
        <w:t>Michael P. Mullican Employment Agreement, dated January 6, 2017 and amended on December 21, 2017 (incorporated by reference to Exhibit 10.30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629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0">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040" w:right="339" w:hanging="755"/>
        <w:spacing w:after="0" w:line="263" w:lineRule="auto"/>
        <w:tabs>
          <w:tab w:leader="none" w:pos="1020" w:val="left"/>
        </w:tabs>
        <w:rPr>
          <w:rFonts w:ascii="Arial" w:cs="Arial" w:eastAsia="Arial" w:hAnsi="Arial"/>
          <w:sz w:val="18"/>
          <w:szCs w:val="18"/>
          <w:color w:val="0000EE"/>
        </w:rPr>
      </w:pPr>
      <w:hyperlink r:id="rId211">
        <w:r>
          <w:rPr>
            <w:rFonts w:ascii="Arial" w:cs="Arial" w:eastAsia="Arial" w:hAnsi="Arial"/>
            <w:sz w:val="18"/>
            <w:szCs w:val="18"/>
            <w:u w:val="single" w:color="auto"/>
            <w:color w:val="0000EE"/>
          </w:rPr>
          <w:t>10.39†</w:t>
        </w:r>
      </w:hyperlink>
      <w:r>
        <w:rPr>
          <w:rFonts w:ascii="Arial" w:cs="Arial" w:eastAsia="Arial" w:hAnsi="Arial"/>
          <w:sz w:val="18"/>
          <w:szCs w:val="18"/>
          <w:color w:val="0000EE"/>
        </w:rPr>
        <w:tab/>
        <w:t>Steven (Steve) P. Lawrence Employment Agreement, dated January 29, 2019 (incorporated by reference to Exhibit 10.31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629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2">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jc w:val="both"/>
        <w:ind w:left="1040" w:right="519" w:hanging="755"/>
        <w:spacing w:after="0" w:line="263" w:lineRule="auto"/>
        <w:tabs>
          <w:tab w:leader="none" w:pos="1020" w:val="left"/>
        </w:tabs>
        <w:rPr>
          <w:rFonts w:ascii="Arial" w:cs="Arial" w:eastAsia="Arial" w:hAnsi="Arial"/>
          <w:sz w:val="18"/>
          <w:szCs w:val="18"/>
          <w:color w:val="0000EE"/>
        </w:rPr>
      </w:pPr>
      <w:hyperlink r:id="rId213">
        <w:r>
          <w:rPr>
            <w:rFonts w:ascii="Arial" w:cs="Arial" w:eastAsia="Arial" w:hAnsi="Arial"/>
            <w:sz w:val="18"/>
            <w:szCs w:val="18"/>
            <w:u w:val="single" w:color="auto"/>
            <w:color w:val="0000EE"/>
          </w:rPr>
          <w:t>10.40†</w:t>
        </w:r>
      </w:hyperlink>
      <w:r>
        <w:rPr>
          <w:rFonts w:ascii="Arial" w:cs="Arial" w:eastAsia="Arial" w:hAnsi="Arial"/>
          <w:sz w:val="18"/>
          <w:szCs w:val="18"/>
          <w:color w:val="0000EE"/>
        </w:rPr>
        <w:tab/>
        <w:t>Samuel (Sam) J. Johnson Employment Agreement, dated April 17, 2017 (incorporated by reference to Exhibit 10.32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629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4">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jc w:val="both"/>
        <w:ind w:left="1040" w:right="299" w:hanging="755"/>
        <w:spacing w:after="0" w:line="263" w:lineRule="auto"/>
        <w:tabs>
          <w:tab w:leader="none" w:pos="1020" w:val="left"/>
        </w:tabs>
        <w:rPr>
          <w:rFonts w:ascii="Arial" w:cs="Arial" w:eastAsia="Arial" w:hAnsi="Arial"/>
          <w:sz w:val="18"/>
          <w:szCs w:val="18"/>
          <w:color w:val="0000EE"/>
        </w:rPr>
      </w:pPr>
      <w:hyperlink r:id="rId215">
        <w:r>
          <w:rPr>
            <w:rFonts w:ascii="Arial" w:cs="Arial" w:eastAsia="Arial" w:hAnsi="Arial"/>
            <w:sz w:val="18"/>
            <w:szCs w:val="18"/>
            <w:u w:val="single" w:color="auto"/>
            <w:color w:val="0000EE"/>
          </w:rPr>
          <w:t>10.41†</w:t>
        </w:r>
      </w:hyperlink>
      <w:r>
        <w:rPr>
          <w:rFonts w:ascii="Arial" w:cs="Arial" w:eastAsia="Arial" w:hAnsi="Arial"/>
          <w:sz w:val="18"/>
          <w:szCs w:val="18"/>
          <w:color w:val="0000EE"/>
        </w:rPr>
        <w:tab/>
        <w:t>Jamey Rutherford Traywick Employment Agreement, dated October 1, 2018 (incorporated by reference to Exhibit 10.41 to the Registrant’s Annual Report on Form 10-K for the fiscal year ended January 30, 2021 (File No. 001-39589)).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629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6">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jc w:val="both"/>
        <w:ind w:left="1040" w:right="419" w:hanging="755"/>
        <w:spacing w:after="0" w:line="263" w:lineRule="auto"/>
        <w:tabs>
          <w:tab w:leader="none" w:pos="1020" w:val="left"/>
        </w:tabs>
        <w:rPr>
          <w:rFonts w:ascii="Arial" w:cs="Arial" w:eastAsia="Arial" w:hAnsi="Arial"/>
          <w:sz w:val="18"/>
          <w:szCs w:val="18"/>
          <w:color w:val="0000EE"/>
        </w:rPr>
      </w:pPr>
      <w:hyperlink r:id="rId217">
        <w:r>
          <w:rPr>
            <w:rFonts w:ascii="Arial" w:cs="Arial" w:eastAsia="Arial" w:hAnsi="Arial"/>
            <w:sz w:val="18"/>
            <w:szCs w:val="18"/>
            <w:u w:val="single" w:color="auto"/>
            <w:color w:val="0000EE"/>
          </w:rPr>
          <w:t>10.42†</w:t>
        </w:r>
      </w:hyperlink>
      <w:r>
        <w:rPr>
          <w:rFonts w:ascii="Arial" w:cs="Arial" w:eastAsia="Arial" w:hAnsi="Arial"/>
          <w:sz w:val="18"/>
          <w:szCs w:val="18"/>
          <w:color w:val="0000EE"/>
        </w:rPr>
        <w:tab/>
        <w:t>Form of 2020 Employee Stock Purchase Plan (incorporated by reference to Exhibit 10.34 to Amendment No. 1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629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8">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040" w:right="339" w:hanging="755"/>
        <w:spacing w:after="0" w:line="286" w:lineRule="auto"/>
        <w:tabs>
          <w:tab w:leader="none" w:pos="1020" w:val="left"/>
        </w:tabs>
        <w:rPr>
          <w:rFonts w:ascii="Arial" w:cs="Arial" w:eastAsia="Arial" w:hAnsi="Arial"/>
          <w:sz w:val="18"/>
          <w:szCs w:val="18"/>
          <w:color w:val="0000EE"/>
        </w:rPr>
      </w:pPr>
      <w:hyperlink r:id="rId219">
        <w:r>
          <w:rPr>
            <w:rFonts w:ascii="Arial" w:cs="Arial" w:eastAsia="Arial" w:hAnsi="Arial"/>
            <w:sz w:val="18"/>
            <w:szCs w:val="18"/>
            <w:u w:val="single" w:color="auto"/>
            <w:color w:val="0000EE"/>
          </w:rPr>
          <w:t>10.43</w:t>
        </w:r>
      </w:hyperlink>
      <w:r>
        <w:rPr>
          <w:rFonts w:ascii="Arial" w:cs="Arial" w:eastAsia="Arial" w:hAnsi="Arial"/>
          <w:sz w:val="18"/>
          <w:szCs w:val="18"/>
          <w:color w:val="0000EE"/>
        </w:rPr>
        <w:tab/>
      </w:r>
      <w:r>
        <w:rPr>
          <w:rFonts w:ascii="Arial" w:cs="Arial" w:eastAsia="Arial" w:hAnsi="Arial"/>
          <w:sz w:val="17"/>
          <w:szCs w:val="17"/>
          <w:color w:val="0000EE"/>
        </w:rPr>
        <w:t>Stockholders Agreement, dated as of October 6, 2020, by and among the Registrant, Allstar LLC, KKR 2006 Allstar Blocker L.P. and Allstar Co-Invest Blocker L.P. (incorporated by reference to Exhibit 10.1 to the Registrant’s Current Report on Form 8-K filed on October 6, 2020 (File No. 001-39589)).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191135</wp:posOffset>
            </wp:positionV>
            <wp:extent cx="5349240" cy="4629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0">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07" w:lineRule="exact"/>
        <w:rPr>
          <w:sz w:val="20"/>
          <w:szCs w:val="20"/>
          <w:color w:val="auto"/>
        </w:rPr>
      </w:pPr>
    </w:p>
    <w:p>
      <w:pPr>
        <w:jc w:val="both"/>
        <w:ind w:left="1040" w:right="499" w:hanging="755"/>
        <w:spacing w:after="0" w:line="263" w:lineRule="auto"/>
        <w:tabs>
          <w:tab w:leader="none" w:pos="1020" w:val="left"/>
        </w:tabs>
        <w:rPr>
          <w:rFonts w:ascii="Arial" w:cs="Arial" w:eastAsia="Arial" w:hAnsi="Arial"/>
          <w:sz w:val="18"/>
          <w:szCs w:val="18"/>
          <w:color w:val="0000EE"/>
        </w:rPr>
      </w:pPr>
      <w:hyperlink r:id="rId221">
        <w:r>
          <w:rPr>
            <w:rFonts w:ascii="Arial" w:cs="Arial" w:eastAsia="Arial" w:hAnsi="Arial"/>
            <w:sz w:val="18"/>
            <w:szCs w:val="18"/>
            <w:u w:val="single" w:color="auto"/>
            <w:color w:val="0000EE"/>
          </w:rPr>
          <w:t>10.44†</w:t>
        </w:r>
      </w:hyperlink>
      <w:r>
        <w:rPr>
          <w:rFonts w:ascii="Arial" w:cs="Arial" w:eastAsia="Arial" w:hAnsi="Arial"/>
          <w:sz w:val="18"/>
          <w:szCs w:val="18"/>
          <w:color w:val="0000EE"/>
        </w:rPr>
        <w:tab/>
        <w:t>Form of Director and Officer Indemnification Agreement (incorporated by reference to Exhibit 10.37 to Amendment No. 1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7372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2">
                      <a:extLst>
                        <a:ext uri="{28A0092B-C50C-407E-A947-70E740481C1C}"/>
                      </a:extLst>
                    </a:blip>
                    <a:srcRect/>
                    <a:stretch>
                      <a:fillRect/>
                    </a:stretch>
                  </pic:blipFill>
                  <pic:spPr bwMode="auto">
                    <a:xfrm>
                      <a:off x="0" y="0"/>
                      <a:ext cx="5349240" cy="737235"/>
                    </a:xfrm>
                    <a:prstGeom prst="rect">
                      <a:avLst/>
                    </a:prstGeom>
                    <a:noFill/>
                  </pic:spPr>
                </pic:pic>
              </a:graphicData>
            </a:graphic>
          </wp:anchor>
        </w:drawing>
      </w:r>
    </w:p>
    <w:p>
      <w:pPr>
        <w:spacing w:after="0" w:line="326" w:lineRule="exact"/>
        <w:rPr>
          <w:sz w:val="20"/>
          <w:szCs w:val="20"/>
          <w:color w:val="auto"/>
        </w:rPr>
      </w:pPr>
    </w:p>
    <w:p>
      <w:pPr>
        <w:ind w:left="1040" w:right="339" w:hanging="755"/>
        <w:spacing w:after="0" w:line="257" w:lineRule="auto"/>
        <w:tabs>
          <w:tab w:leader="none" w:pos="1020" w:val="left"/>
        </w:tabs>
        <w:rPr>
          <w:rFonts w:ascii="Arial" w:cs="Arial" w:eastAsia="Arial" w:hAnsi="Arial"/>
          <w:sz w:val="18"/>
          <w:szCs w:val="18"/>
          <w:color w:val="0000EE"/>
        </w:rPr>
      </w:pPr>
      <w:hyperlink r:id="rId223">
        <w:r>
          <w:rPr>
            <w:rFonts w:ascii="Arial" w:cs="Arial" w:eastAsia="Arial" w:hAnsi="Arial"/>
            <w:sz w:val="18"/>
            <w:szCs w:val="18"/>
            <w:u w:val="single" w:color="auto"/>
            <w:color w:val="0000EE"/>
          </w:rPr>
          <w:t>10.45</w:t>
        </w:r>
      </w:hyperlink>
      <w:r>
        <w:rPr>
          <w:rFonts w:ascii="Arial" w:cs="Arial" w:eastAsia="Arial" w:hAnsi="Arial"/>
          <w:sz w:val="18"/>
          <w:szCs w:val="18"/>
          <w:color w:val="0000EE"/>
        </w:rPr>
        <w:tab/>
        <w:t>Amendment No. 4, dated May 25, 2021, to the Second Amended and Restated Credit Agreement among Academy, Ltd., as Borrower, Credit Suisse AG, Cayman Islands Branch, as the administrative agent and collateral agent, the several lenders party thereto and the several other parties named therein (incorporated by reference to Exhibit 10.1 to the Registrant’s Current Report on Form 8-K filed on May 25, 2021 (File No. 001-39589)).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205740</wp:posOffset>
            </wp:positionV>
            <wp:extent cx="5349240" cy="3257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4">
                      <a:extLst>
                        <a:ext uri="{28A0092B-C50C-407E-A947-70E740481C1C}"/>
                      </a:extLst>
                    </a:blip>
                    <a:srcRect/>
                    <a:stretch>
                      <a:fillRect/>
                    </a:stretch>
                  </pic:blipFill>
                  <pic:spPr bwMode="auto">
                    <a:xfrm>
                      <a:off x="0" y="0"/>
                      <a:ext cx="5349240" cy="325755"/>
                    </a:xfrm>
                    <a:prstGeom prst="rect">
                      <a:avLst/>
                    </a:prstGeom>
                    <a:noFill/>
                  </pic:spPr>
                </pic:pic>
              </a:graphicData>
            </a:graphic>
          </wp:anchor>
        </w:drawing>
      </w:r>
    </w:p>
    <w:p>
      <w:pPr>
        <w:spacing w:after="0" w:line="330" w:lineRule="exact"/>
        <w:rPr>
          <w:sz w:val="20"/>
          <w:szCs w:val="20"/>
          <w:color w:val="auto"/>
        </w:rPr>
      </w:pPr>
    </w:p>
    <w:p>
      <w:pPr>
        <w:ind w:left="1040" w:right="319" w:hanging="755"/>
        <w:spacing w:after="0" w:line="277" w:lineRule="auto"/>
        <w:tabs>
          <w:tab w:leader="none" w:pos="1020" w:val="left"/>
        </w:tabs>
        <w:rPr>
          <w:rFonts w:ascii="Arial" w:cs="Arial" w:eastAsia="Arial" w:hAnsi="Arial"/>
          <w:sz w:val="18"/>
          <w:szCs w:val="18"/>
          <w:color w:val="0000EE"/>
        </w:rPr>
      </w:pPr>
      <w:hyperlink r:id="rId225">
        <w:r>
          <w:rPr>
            <w:rFonts w:ascii="Arial" w:cs="Arial" w:eastAsia="Arial" w:hAnsi="Arial"/>
            <w:sz w:val="18"/>
            <w:szCs w:val="18"/>
            <w:u w:val="single" w:color="auto"/>
            <w:color w:val="0000EE"/>
          </w:rPr>
          <w:t>21.1</w:t>
        </w:r>
      </w:hyperlink>
      <w:r>
        <w:rPr>
          <w:rFonts w:ascii="Arial" w:cs="Arial" w:eastAsia="Arial" w:hAnsi="Arial"/>
          <w:sz w:val="18"/>
          <w:szCs w:val="18"/>
          <w:color w:val="0000EE"/>
        </w:rPr>
        <w:tab/>
        <w:t>Subsidiaries of the Registrant (incorporated by reference to Exhibit 21.1 to the Registrant’s Annual Report on Form 10-K for the fiscal year ended January 30, 2021 (File No. 001-39589)).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194310</wp:posOffset>
            </wp:positionV>
            <wp:extent cx="5349240"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6">
                      <a:extLst>
                        <a:ext uri="{28A0092B-C50C-407E-A947-70E740481C1C}"/>
                      </a:extLst>
                    </a:blip>
                    <a:srcRect/>
                    <a:stretch>
                      <a:fillRect/>
                    </a:stretch>
                  </pic:blipFill>
                  <pic:spPr bwMode="auto">
                    <a:xfrm>
                      <a:off x="0" y="0"/>
                      <a:ext cx="5349240" cy="188595"/>
                    </a:xfrm>
                    <a:prstGeom prst="rect">
                      <a:avLst/>
                    </a:prstGeom>
                    <a:noFill/>
                  </pic:spPr>
                </pic:pic>
              </a:graphicData>
            </a:graphic>
          </wp:anchor>
        </w:drawing>
      </w:r>
    </w:p>
    <w:p>
      <w:pPr>
        <w:spacing w:after="0" w:line="312" w:lineRule="exact"/>
        <w:rPr>
          <w:sz w:val="20"/>
          <w:szCs w:val="20"/>
          <w:color w:val="auto"/>
        </w:rPr>
      </w:pPr>
    </w:p>
    <w:p>
      <w:pPr>
        <w:ind w:left="300"/>
        <w:spacing w:after="0"/>
        <w:tabs>
          <w:tab w:leader="none" w:pos="1020" w:val="left"/>
        </w:tabs>
        <w:rPr>
          <w:rFonts w:ascii="Arial" w:cs="Arial" w:eastAsia="Arial" w:hAnsi="Arial"/>
          <w:sz w:val="18"/>
          <w:szCs w:val="18"/>
          <w:color w:val="0000EE"/>
        </w:rPr>
      </w:pPr>
      <w:hyperlink w:anchor="page107">
        <w:r>
          <w:rPr>
            <w:rFonts w:ascii="Arial" w:cs="Arial" w:eastAsia="Arial" w:hAnsi="Arial"/>
            <w:sz w:val="18"/>
            <w:szCs w:val="18"/>
            <w:u w:val="single" w:color="auto"/>
            <w:color w:val="0000EE"/>
          </w:rPr>
          <w:t>23.1*</w:t>
        </w:r>
      </w:hyperlink>
      <w:r>
        <w:rPr>
          <w:rFonts w:ascii="Arial" w:cs="Arial" w:eastAsia="Arial" w:hAnsi="Arial"/>
          <w:sz w:val="18"/>
          <w:szCs w:val="18"/>
          <w:color w:val="0000EE"/>
        </w:rPr>
        <w:tab/>
      </w:r>
      <w:r>
        <w:rPr>
          <w:rFonts w:ascii="Arial" w:cs="Arial" w:eastAsia="Arial" w:hAnsi="Arial"/>
          <w:sz w:val="16"/>
          <w:szCs w:val="16"/>
          <w:color w:val="0000EE"/>
        </w:rPr>
        <w:t>Consent of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229235</wp:posOffset>
            </wp:positionV>
            <wp:extent cx="5349240" cy="1885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7">
                      <a:extLst>
                        <a:ext uri="{28A0092B-C50C-407E-A947-70E740481C1C}"/>
                      </a:extLst>
                    </a:blip>
                    <a:srcRect/>
                    <a:stretch>
                      <a:fillRect/>
                    </a:stretch>
                  </pic:blipFill>
                  <pic:spPr bwMode="auto">
                    <a:xfrm>
                      <a:off x="0" y="0"/>
                      <a:ext cx="5349240" cy="188595"/>
                    </a:xfrm>
                    <a:prstGeom prst="rect">
                      <a:avLst/>
                    </a:prstGeom>
                    <a:noFill/>
                  </pic:spPr>
                </pic:pic>
              </a:graphicData>
            </a:graphic>
          </wp:anchor>
        </w:drawing>
      </w:r>
    </w:p>
    <w:p>
      <w:pPr>
        <w:spacing w:after="0" w:line="367" w:lineRule="exact"/>
        <w:rPr>
          <w:sz w:val="20"/>
          <w:szCs w:val="20"/>
          <w:color w:val="auto"/>
        </w:rPr>
      </w:pPr>
    </w:p>
    <w:p>
      <w:pPr>
        <w:ind w:left="300"/>
        <w:spacing w:after="0"/>
        <w:tabs>
          <w:tab w:leader="none" w:pos="1020" w:val="left"/>
        </w:tabs>
        <w:rPr>
          <w:rFonts w:ascii="Arial" w:cs="Arial" w:eastAsia="Arial" w:hAnsi="Arial"/>
          <w:sz w:val="18"/>
          <w:szCs w:val="18"/>
          <w:color w:val="0000EE"/>
        </w:rPr>
      </w:pPr>
      <w:hyperlink w:anchor="page106">
        <w:r>
          <w:rPr>
            <w:rFonts w:ascii="Arial" w:cs="Arial" w:eastAsia="Arial" w:hAnsi="Arial"/>
            <w:sz w:val="18"/>
            <w:szCs w:val="18"/>
            <w:u w:val="single" w:color="auto"/>
            <w:color w:val="0000EE"/>
          </w:rPr>
          <w:t>23.2*</w:t>
        </w:r>
      </w:hyperlink>
      <w:r>
        <w:rPr>
          <w:rFonts w:ascii="Arial" w:cs="Arial" w:eastAsia="Arial" w:hAnsi="Arial"/>
          <w:sz w:val="18"/>
          <w:szCs w:val="18"/>
          <w:color w:val="0000EE"/>
        </w:rPr>
        <w:tab/>
      </w:r>
      <w:r>
        <w:rPr>
          <w:rFonts w:ascii="Arial" w:cs="Arial" w:eastAsia="Arial" w:hAnsi="Arial"/>
          <w:sz w:val="16"/>
          <w:szCs w:val="16"/>
          <w:color w:val="0000EE"/>
        </w:rPr>
        <w:t>Consent of Simpson Thacher &amp; Bartlett LLP (included as part of 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229235</wp:posOffset>
            </wp:positionV>
            <wp:extent cx="5349240" cy="1968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8">
                      <a:extLst>
                        <a:ext uri="{28A0092B-C50C-407E-A947-70E740481C1C}"/>
                      </a:extLst>
                    </a:blip>
                    <a:srcRect/>
                    <a:stretch>
                      <a:fillRect/>
                    </a:stretch>
                  </pic:blipFill>
                  <pic:spPr bwMode="auto">
                    <a:xfrm>
                      <a:off x="0" y="0"/>
                      <a:ext cx="5349240" cy="196850"/>
                    </a:xfrm>
                    <a:prstGeom prst="rect">
                      <a:avLst/>
                    </a:prstGeom>
                    <a:noFill/>
                  </pic:spPr>
                </pic:pic>
              </a:graphicData>
            </a:graphic>
          </wp:anchor>
        </w:drawing>
      </w:r>
    </w:p>
    <w:p>
      <w:pPr>
        <w:spacing w:after="0" w:line="367" w:lineRule="exact"/>
        <w:rPr>
          <w:sz w:val="20"/>
          <w:szCs w:val="20"/>
          <w:color w:val="auto"/>
        </w:rPr>
      </w:pPr>
    </w:p>
    <w:p>
      <w:pPr>
        <w:ind w:left="300"/>
        <w:spacing w:after="0"/>
        <w:tabs>
          <w:tab w:leader="none" w:pos="1020" w:val="left"/>
        </w:tabs>
        <w:rPr>
          <w:rFonts w:ascii="Arial" w:cs="Arial" w:eastAsia="Arial" w:hAnsi="Arial"/>
          <w:sz w:val="18"/>
          <w:szCs w:val="18"/>
          <w:color w:val="0000EE"/>
        </w:rPr>
      </w:pPr>
      <w:hyperlink w:anchor="page63">
        <w:r>
          <w:rPr>
            <w:rFonts w:ascii="Arial" w:cs="Arial" w:eastAsia="Arial" w:hAnsi="Arial"/>
            <w:sz w:val="18"/>
            <w:szCs w:val="18"/>
            <w:u w:val="single" w:color="auto"/>
            <w:color w:val="0000EE"/>
          </w:rPr>
          <w:t>24.1*</w:t>
        </w:r>
      </w:hyperlink>
      <w:r>
        <w:rPr>
          <w:rFonts w:ascii="Arial" w:cs="Arial" w:eastAsia="Arial" w:hAnsi="Arial"/>
          <w:sz w:val="18"/>
          <w:szCs w:val="18"/>
          <w:color w:val="0000EE"/>
        </w:rPr>
        <w:tab/>
      </w:r>
      <w:r>
        <w:rPr>
          <w:rFonts w:ascii="Arial" w:cs="Arial" w:eastAsia="Arial" w:hAnsi="Arial"/>
          <w:sz w:val="16"/>
          <w:szCs w:val="16"/>
          <w:color w:val="0000EE"/>
        </w:rPr>
        <w:t>Power of Attorney (included on signature pages to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237490</wp:posOffset>
            </wp:positionV>
            <wp:extent cx="82296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640" w:hanging="348"/>
        <w:spacing w:after="0"/>
        <w:tabs>
          <w:tab w:leader="none" w:pos="6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42" w:lineRule="exact"/>
        <w:rPr>
          <w:sz w:val="20"/>
          <w:szCs w:val="20"/>
          <w:color w:val="auto"/>
        </w:rPr>
      </w:pPr>
    </w:p>
    <w:p>
      <w:pPr>
        <w:ind w:left="640" w:hanging="348"/>
        <w:spacing w:after="0"/>
        <w:tabs>
          <w:tab w:leader="none" w:pos="6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Compensatory arrangements for director(s) and/or executive officer(s).</w:t>
      </w:r>
    </w:p>
    <w:p>
      <w:pPr>
        <w:sectPr>
          <w:pgSz w:w="11900" w:h="16838" w:orient="portrait"/>
          <w:cols w:equalWidth="0" w:num="1">
            <w:col w:w="9019"/>
          </w:cols>
          <w:pgMar w:left="1440" w:top="265" w:right="1440"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2" w:name="page63"/>
    <w:bookmarkEnd w:id="62"/>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1300" w:right="1500" w:firstLine="36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Katy, State of Texas, on September 13, 2021.</w:t>
      </w:r>
    </w:p>
    <w:p>
      <w:pPr>
        <w:spacing w:after="0" w:line="15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Academy Sports and Outdoors, Inc.</w:t>
      </w:r>
    </w:p>
    <w:p>
      <w:pPr>
        <w:spacing w:after="0" w:line="200" w:lineRule="exact"/>
        <w:rPr>
          <w:sz w:val="20"/>
          <w:szCs w:val="20"/>
          <w:color w:val="auto"/>
        </w:rPr>
      </w:pPr>
    </w:p>
    <w:p>
      <w:pPr>
        <w:spacing w:after="0" w:line="245" w:lineRule="exact"/>
        <w:rPr>
          <w:sz w:val="20"/>
          <w:szCs w:val="20"/>
          <w:color w:val="auto"/>
        </w:rPr>
      </w:pPr>
    </w:p>
    <w:p>
      <w:pPr>
        <w:jc w:val="center"/>
        <w:ind w:left="3200"/>
        <w:spacing w:after="0"/>
        <w:tabs>
          <w:tab w:leader="none" w:pos="180" w:val="left"/>
        </w:tabs>
        <w:rPr>
          <w:sz w:val="20"/>
          <w:szCs w:val="20"/>
          <w:color w:val="auto"/>
        </w:rPr>
      </w:pPr>
      <w:r>
        <w:rPr>
          <w:rFonts w:ascii="Arial" w:cs="Arial" w:eastAsia="Arial" w:hAnsi="Arial"/>
          <w:sz w:val="18"/>
          <w:szCs w:val="18"/>
          <w:color w:val="auto"/>
        </w:rPr>
        <w:t>By:</w:t>
        <w:tab/>
        <w:t>/s/ 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3280410</wp:posOffset>
            </wp:positionH>
            <wp:positionV relativeFrom="paragraph">
              <wp:posOffset>57785</wp:posOffset>
            </wp:positionV>
            <wp:extent cx="221170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1">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158"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Rene G. Casares</w:t>
      </w:r>
    </w:p>
    <w:p>
      <w:pPr>
        <w:spacing w:after="0" w:line="151" w:lineRule="exact"/>
        <w:rPr>
          <w:sz w:val="20"/>
          <w:szCs w:val="20"/>
          <w:color w:val="auto"/>
        </w:rPr>
      </w:pPr>
    </w:p>
    <w:p>
      <w:pPr>
        <w:sectPr>
          <w:pgSz w:w="11900" w:h="16838" w:orient="portrait"/>
          <w:cols w:equalWidth="0" w:num="2">
            <w:col w:w="5640" w:space="200"/>
            <w:col w:w="5180"/>
          </w:cols>
          <w:pgMar w:left="440" w:top="265" w:right="439" w:bottom="1440" w:gutter="0" w:footer="0" w:header="0"/>
          <w:type w:val="continuous"/>
        </w:sectPr>
      </w:pPr>
    </w:p>
    <w:p>
      <w:pPr>
        <w:ind w:left="51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General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Counsel and Secretary</w:t>
      </w:r>
    </w:p>
    <w:p>
      <w:pPr>
        <w:spacing w:after="0" w:line="200" w:lineRule="exact"/>
        <w:rPr>
          <w:sz w:val="20"/>
          <w:szCs w:val="20"/>
          <w:color w:val="auto"/>
        </w:rPr>
      </w:pPr>
    </w:p>
    <w:p>
      <w:pPr>
        <w:sectPr>
          <w:pgSz w:w="11900" w:h="16838" w:orient="portrait"/>
          <w:cols w:equalWidth="0" w:num="2">
            <w:col w:w="5560" w:space="280"/>
            <w:col w:w="5180"/>
          </w:cols>
          <w:pgMar w:left="440" w:top="265" w:right="439" w:bottom="1440" w:gutter="0" w:footer="0" w:header="0"/>
          <w:type w:val="continuous"/>
        </w:sectPr>
      </w:pP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left="1300" w:right="1360" w:firstLine="360"/>
        <w:spacing w:after="0" w:line="286"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Ken C. Hicks, Michael P. Mullican and Rene G. Casares and each of them, the true and lawful attorneys-in-fact and agents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of the Registrant, including any filings pursuant to Rule 462(b) under the Securities Act of 1933, as amended, and to file the same, with all exhibits thereto, and all other documents in connection therewith, with the Securities and Exchange Commission, and hereby grants to such attorneys-in-fact and agents, and each of them, full power and authority to do and perform each and every act and anything necessary to be done to enable the Registrant to comply with the provisions of the Securities Act and all the requirements of the Securities and Exchange Commission, as fully to all intents and purposes as the undersigned might or could do in person, hereby ratifying and confirming all that said attorneys-in-fact and agents, or any of them, or their or his or her substitute, or substitutes, may lawfully do or cause to be done by virtue hereof.</w:t>
      </w:r>
    </w:p>
    <w:p>
      <w:pPr>
        <w:spacing w:after="0" w:line="66" w:lineRule="exact"/>
        <w:rPr>
          <w:sz w:val="20"/>
          <w:szCs w:val="20"/>
          <w:color w:val="auto"/>
        </w:rPr>
      </w:pPr>
    </w:p>
    <w:p>
      <w:pPr>
        <w:ind w:left="1300" w:right="1640"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21" w:lineRule="exact"/>
        <w:rPr>
          <w:sz w:val="20"/>
          <w:szCs w:val="20"/>
          <w:color w:val="auto"/>
        </w:rPr>
      </w:pPr>
    </w:p>
    <w:p>
      <w:pPr>
        <w:ind w:left="3020"/>
        <w:spacing w:after="0"/>
        <w:tabs>
          <w:tab w:leader="none" w:pos="7500" w:val="left"/>
        </w:tabs>
        <w:rPr>
          <w:sz w:val="20"/>
          <w:szCs w:val="20"/>
          <w:color w:val="auto"/>
        </w:rPr>
      </w:pPr>
      <w:r>
        <w:rPr>
          <w:rFonts w:ascii="Arial" w:cs="Arial" w:eastAsia="Arial" w:hAnsi="Arial"/>
          <w:sz w:val="14"/>
          <w:szCs w:val="14"/>
          <w:b w:val="1"/>
          <w:bCs w:val="1"/>
          <w:color w:val="auto"/>
        </w:rPr>
        <w:t>Signatures</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49530</wp:posOffset>
            </wp:positionV>
            <wp:extent cx="534924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3480" w:type="dxa"/>
            <w:vAlign w:val="bottom"/>
          </w:tcPr>
          <w:p>
            <w:pPr>
              <w:jc w:val="center"/>
              <w:ind w:left="530"/>
              <w:spacing w:after="0"/>
              <w:rPr>
                <w:sz w:val="20"/>
                <w:szCs w:val="20"/>
                <w:color w:val="auto"/>
              </w:rPr>
            </w:pPr>
            <w:r>
              <w:rPr>
                <w:rFonts w:ascii="Arial" w:cs="Arial" w:eastAsia="Arial" w:hAnsi="Arial"/>
                <w:sz w:val="18"/>
                <w:szCs w:val="18"/>
                <w:color w:val="auto"/>
                <w:w w:val="92"/>
              </w:rPr>
              <w:t>/s/ Ken C. Hicks</w:t>
            </w:r>
          </w:p>
        </w:tc>
        <w:tc>
          <w:tcPr>
            <w:tcW w:w="620" w:type="dxa"/>
            <w:vAlign w:val="bottom"/>
          </w:tcPr>
          <w:p>
            <w:pPr>
              <w:spacing w:after="0"/>
              <w:rPr>
                <w:sz w:val="18"/>
                <w:szCs w:val="18"/>
                <w:color w:val="auto"/>
              </w:rPr>
            </w:pPr>
          </w:p>
        </w:tc>
        <w:tc>
          <w:tcPr>
            <w:tcW w:w="5620" w:type="dxa"/>
            <w:vAlign w:val="bottom"/>
          </w:tcPr>
          <w:p>
            <w:pPr>
              <w:jc w:val="center"/>
              <w:ind w:right="1050"/>
              <w:spacing w:after="0"/>
              <w:rPr>
                <w:sz w:val="20"/>
                <w:szCs w:val="20"/>
                <w:color w:val="auto"/>
              </w:rPr>
            </w:pPr>
            <w:r>
              <w:rPr>
                <w:rFonts w:ascii="Arial" w:cs="Arial" w:eastAsia="Arial" w:hAnsi="Arial"/>
                <w:sz w:val="18"/>
                <w:szCs w:val="18"/>
                <w:color w:val="auto"/>
                <w:w w:val="91"/>
              </w:rPr>
              <w:t>Chairman, President and Chief Executive Officer</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34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5620" w:type="dxa"/>
            <w:vAlign w:val="bottom"/>
            <w:vMerge w:val="restart"/>
          </w:tcPr>
          <w:p>
            <w:pPr>
              <w:jc w:val="center"/>
              <w:ind w:right="990"/>
              <w:spacing w:after="0"/>
              <w:rPr>
                <w:sz w:val="20"/>
                <w:szCs w:val="20"/>
                <w:color w:val="auto"/>
              </w:rPr>
            </w:pPr>
            <w:r>
              <w:rPr>
                <w:rFonts w:ascii="Arial" w:cs="Arial" w:eastAsia="Arial" w:hAnsi="Arial"/>
                <w:sz w:val="18"/>
                <w:szCs w:val="18"/>
                <w:color w:val="auto"/>
                <w:w w:val="94"/>
              </w:rPr>
              <w:t>(principal executive officer)</w:t>
            </w:r>
          </w:p>
        </w:tc>
        <w:tc>
          <w:tcPr>
            <w:tcW w:w="0" w:type="dxa"/>
            <w:vAlign w:val="bottom"/>
          </w:tcPr>
          <w:p>
            <w:pPr>
              <w:spacing w:after="0"/>
              <w:rPr>
                <w:sz w:val="1"/>
                <w:szCs w:val="1"/>
                <w:color w:val="auto"/>
              </w:rPr>
            </w:pPr>
          </w:p>
        </w:tc>
      </w:tr>
      <w:tr>
        <w:trPr>
          <w:trHeight w:val="129"/>
        </w:trPr>
        <w:tc>
          <w:tcPr>
            <w:tcW w:w="1300" w:type="dxa"/>
            <w:vAlign w:val="bottom"/>
          </w:tcPr>
          <w:p>
            <w:pPr>
              <w:spacing w:after="0"/>
              <w:rPr>
                <w:sz w:val="11"/>
                <w:szCs w:val="11"/>
                <w:color w:val="auto"/>
              </w:rPr>
            </w:pPr>
          </w:p>
        </w:tc>
        <w:tc>
          <w:tcPr>
            <w:tcW w:w="3480" w:type="dxa"/>
            <w:vAlign w:val="bottom"/>
            <w:vMerge w:val="restart"/>
          </w:tcPr>
          <w:p>
            <w:pPr>
              <w:spacing w:after="0"/>
              <w:rPr>
                <w:sz w:val="20"/>
                <w:szCs w:val="20"/>
                <w:color w:val="auto"/>
              </w:rPr>
            </w:pPr>
            <w:r>
              <w:rPr>
                <w:rFonts w:ascii="Arial" w:cs="Arial" w:eastAsia="Arial" w:hAnsi="Arial"/>
                <w:sz w:val="18"/>
                <w:szCs w:val="18"/>
                <w:color w:val="auto"/>
              </w:rPr>
              <w:t>Date: September 9, 2021</w:t>
            </w:r>
          </w:p>
        </w:tc>
        <w:tc>
          <w:tcPr>
            <w:tcW w:w="620" w:type="dxa"/>
            <w:vAlign w:val="bottom"/>
          </w:tcPr>
          <w:p>
            <w:pPr>
              <w:spacing w:after="0"/>
              <w:rPr>
                <w:sz w:val="11"/>
                <w:szCs w:val="11"/>
                <w:color w:val="auto"/>
              </w:rPr>
            </w:pPr>
          </w:p>
        </w:tc>
        <w:tc>
          <w:tcPr>
            <w:tcW w:w="5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300" w:type="dxa"/>
            <w:vAlign w:val="bottom"/>
          </w:tcPr>
          <w:p>
            <w:pPr>
              <w:spacing w:after="0"/>
              <w:rPr>
                <w:sz w:val="11"/>
                <w:szCs w:val="11"/>
                <w:color w:val="auto"/>
              </w:rPr>
            </w:pPr>
          </w:p>
        </w:tc>
        <w:tc>
          <w:tcPr>
            <w:tcW w:w="348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Ken C. Hicks</w:t>
            </w:r>
          </w:p>
        </w:tc>
        <w:tc>
          <w:tcPr>
            <w:tcW w:w="6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1300" w:type="dxa"/>
            <w:vAlign w:val="bottom"/>
          </w:tcPr>
          <w:p>
            <w:pPr>
              <w:spacing w:after="0"/>
              <w:rPr>
                <w:sz w:val="24"/>
                <w:szCs w:val="24"/>
                <w:color w:val="auto"/>
              </w:rPr>
            </w:pPr>
          </w:p>
        </w:tc>
        <w:tc>
          <w:tcPr>
            <w:tcW w:w="3480" w:type="dxa"/>
            <w:vAlign w:val="bottom"/>
          </w:tcPr>
          <w:p>
            <w:pPr>
              <w:jc w:val="center"/>
              <w:ind w:left="530"/>
              <w:spacing w:after="0"/>
              <w:rPr>
                <w:sz w:val="20"/>
                <w:szCs w:val="20"/>
                <w:color w:val="auto"/>
              </w:rPr>
            </w:pPr>
            <w:r>
              <w:rPr>
                <w:rFonts w:ascii="Arial" w:cs="Arial" w:eastAsia="Arial" w:hAnsi="Arial"/>
                <w:sz w:val="18"/>
                <w:szCs w:val="18"/>
                <w:color w:val="auto"/>
                <w:w w:val="92"/>
              </w:rPr>
              <w:t>/s/ Michael P. Mullican</w:t>
            </w:r>
          </w:p>
        </w:tc>
        <w:tc>
          <w:tcPr>
            <w:tcW w:w="620" w:type="dxa"/>
            <w:vAlign w:val="bottom"/>
          </w:tcPr>
          <w:p>
            <w:pPr>
              <w:spacing w:after="0"/>
              <w:rPr>
                <w:sz w:val="24"/>
                <w:szCs w:val="24"/>
                <w:color w:val="auto"/>
              </w:rPr>
            </w:pPr>
          </w:p>
        </w:tc>
        <w:tc>
          <w:tcPr>
            <w:tcW w:w="5620" w:type="dxa"/>
            <w:vAlign w:val="bottom"/>
          </w:tcPr>
          <w:p>
            <w:pPr>
              <w:jc w:val="center"/>
              <w:ind w:right="1050"/>
              <w:spacing w:after="0"/>
              <w:rPr>
                <w:sz w:val="20"/>
                <w:szCs w:val="20"/>
                <w:color w:val="auto"/>
              </w:rPr>
            </w:pPr>
            <w:r>
              <w:rPr>
                <w:rFonts w:ascii="Arial" w:cs="Arial" w:eastAsia="Arial" w:hAnsi="Arial"/>
                <w:sz w:val="18"/>
                <w:szCs w:val="18"/>
                <w:color w:val="auto"/>
                <w:w w:val="92"/>
              </w:rPr>
              <w:t>Executive Vice President and Chief Financial Officer</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34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5620" w:type="dxa"/>
            <w:vAlign w:val="bottom"/>
            <w:vMerge w:val="restart"/>
          </w:tcPr>
          <w:p>
            <w:pPr>
              <w:jc w:val="center"/>
              <w:ind w:right="1010"/>
              <w:spacing w:after="0"/>
              <w:rPr>
                <w:sz w:val="20"/>
                <w:szCs w:val="20"/>
                <w:color w:val="auto"/>
              </w:rPr>
            </w:pPr>
            <w:r>
              <w:rPr>
                <w:rFonts w:ascii="Arial" w:cs="Arial" w:eastAsia="Arial" w:hAnsi="Arial"/>
                <w:sz w:val="18"/>
                <w:szCs w:val="18"/>
                <w:color w:val="auto"/>
                <w:w w:val="96"/>
              </w:rPr>
              <w:t>(principal financial officer)</w:t>
            </w:r>
          </w:p>
        </w:tc>
        <w:tc>
          <w:tcPr>
            <w:tcW w:w="0" w:type="dxa"/>
            <w:vAlign w:val="bottom"/>
          </w:tcPr>
          <w:p>
            <w:pPr>
              <w:spacing w:after="0"/>
              <w:rPr>
                <w:sz w:val="1"/>
                <w:szCs w:val="1"/>
                <w:color w:val="auto"/>
              </w:rPr>
            </w:pPr>
          </w:p>
        </w:tc>
      </w:tr>
      <w:tr>
        <w:trPr>
          <w:trHeight w:val="129"/>
        </w:trPr>
        <w:tc>
          <w:tcPr>
            <w:tcW w:w="1300" w:type="dxa"/>
            <w:vAlign w:val="bottom"/>
          </w:tcPr>
          <w:p>
            <w:pPr>
              <w:spacing w:after="0"/>
              <w:rPr>
                <w:sz w:val="11"/>
                <w:szCs w:val="11"/>
                <w:color w:val="auto"/>
              </w:rPr>
            </w:pPr>
          </w:p>
        </w:tc>
        <w:tc>
          <w:tcPr>
            <w:tcW w:w="3480" w:type="dxa"/>
            <w:vAlign w:val="bottom"/>
            <w:vMerge w:val="restart"/>
          </w:tcPr>
          <w:p>
            <w:pPr>
              <w:spacing w:after="0"/>
              <w:rPr>
                <w:sz w:val="20"/>
                <w:szCs w:val="20"/>
                <w:color w:val="auto"/>
              </w:rPr>
            </w:pPr>
            <w:r>
              <w:rPr>
                <w:rFonts w:ascii="Arial" w:cs="Arial" w:eastAsia="Arial" w:hAnsi="Arial"/>
                <w:sz w:val="18"/>
                <w:szCs w:val="18"/>
                <w:color w:val="auto"/>
              </w:rPr>
              <w:t>Date: September 9, 2021</w:t>
            </w:r>
          </w:p>
        </w:tc>
        <w:tc>
          <w:tcPr>
            <w:tcW w:w="620" w:type="dxa"/>
            <w:vAlign w:val="bottom"/>
          </w:tcPr>
          <w:p>
            <w:pPr>
              <w:spacing w:after="0"/>
              <w:rPr>
                <w:sz w:val="11"/>
                <w:szCs w:val="11"/>
                <w:color w:val="auto"/>
              </w:rPr>
            </w:pPr>
          </w:p>
        </w:tc>
        <w:tc>
          <w:tcPr>
            <w:tcW w:w="5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300" w:type="dxa"/>
            <w:vAlign w:val="bottom"/>
          </w:tcPr>
          <w:p>
            <w:pPr>
              <w:spacing w:after="0"/>
              <w:rPr>
                <w:sz w:val="11"/>
                <w:szCs w:val="11"/>
                <w:color w:val="auto"/>
              </w:rPr>
            </w:pPr>
          </w:p>
        </w:tc>
        <w:tc>
          <w:tcPr>
            <w:tcW w:w="348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Michael P. Mullican</w:t>
            </w:r>
          </w:p>
        </w:tc>
        <w:tc>
          <w:tcPr>
            <w:tcW w:w="6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1300" w:type="dxa"/>
            <w:vAlign w:val="bottom"/>
          </w:tcPr>
          <w:p>
            <w:pPr>
              <w:spacing w:after="0"/>
              <w:rPr>
                <w:sz w:val="24"/>
                <w:szCs w:val="24"/>
                <w:color w:val="auto"/>
              </w:rPr>
            </w:pPr>
          </w:p>
        </w:tc>
        <w:tc>
          <w:tcPr>
            <w:tcW w:w="3480" w:type="dxa"/>
            <w:vAlign w:val="bottom"/>
          </w:tcPr>
          <w:p>
            <w:pPr>
              <w:jc w:val="center"/>
              <w:ind w:left="530"/>
              <w:spacing w:after="0"/>
              <w:rPr>
                <w:sz w:val="20"/>
                <w:szCs w:val="20"/>
                <w:color w:val="auto"/>
              </w:rPr>
            </w:pPr>
            <w:r>
              <w:rPr>
                <w:rFonts w:ascii="Arial" w:cs="Arial" w:eastAsia="Arial" w:hAnsi="Arial"/>
                <w:sz w:val="18"/>
                <w:szCs w:val="18"/>
                <w:color w:val="auto"/>
                <w:w w:val="91"/>
              </w:rPr>
              <w:t>/s/ Heather A. Davis</w:t>
            </w:r>
          </w:p>
        </w:tc>
        <w:tc>
          <w:tcPr>
            <w:tcW w:w="620" w:type="dxa"/>
            <w:vAlign w:val="bottom"/>
          </w:tcPr>
          <w:p>
            <w:pPr>
              <w:spacing w:after="0"/>
              <w:rPr>
                <w:sz w:val="24"/>
                <w:szCs w:val="24"/>
                <w:color w:val="auto"/>
              </w:rPr>
            </w:pPr>
          </w:p>
        </w:tc>
        <w:tc>
          <w:tcPr>
            <w:tcW w:w="5620" w:type="dxa"/>
            <w:vAlign w:val="bottom"/>
          </w:tcPr>
          <w:p>
            <w:pPr>
              <w:jc w:val="center"/>
              <w:ind w:right="1050"/>
              <w:spacing w:after="0"/>
              <w:rPr>
                <w:sz w:val="20"/>
                <w:szCs w:val="20"/>
                <w:color w:val="auto"/>
              </w:rPr>
            </w:pPr>
            <w:r>
              <w:rPr>
                <w:rFonts w:ascii="Arial" w:cs="Arial" w:eastAsia="Arial" w:hAnsi="Arial"/>
                <w:sz w:val="18"/>
                <w:szCs w:val="18"/>
                <w:color w:val="auto"/>
                <w:w w:val="91"/>
              </w:rPr>
              <w:t>Senior Vice President, Accounting, Treasury &amp; Tax</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34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5620" w:type="dxa"/>
            <w:vAlign w:val="bottom"/>
            <w:vMerge w:val="restart"/>
          </w:tcPr>
          <w:p>
            <w:pPr>
              <w:jc w:val="center"/>
              <w:ind w:right="1010"/>
              <w:spacing w:after="0"/>
              <w:rPr>
                <w:sz w:val="20"/>
                <w:szCs w:val="20"/>
                <w:color w:val="auto"/>
              </w:rPr>
            </w:pPr>
            <w:r>
              <w:rPr>
                <w:rFonts w:ascii="Arial" w:cs="Arial" w:eastAsia="Arial" w:hAnsi="Arial"/>
                <w:sz w:val="18"/>
                <w:szCs w:val="18"/>
                <w:color w:val="auto"/>
                <w:w w:val="94"/>
              </w:rPr>
              <w:t>(principal accounting officer)</w:t>
            </w:r>
          </w:p>
        </w:tc>
        <w:tc>
          <w:tcPr>
            <w:tcW w:w="0" w:type="dxa"/>
            <w:vAlign w:val="bottom"/>
          </w:tcPr>
          <w:p>
            <w:pPr>
              <w:spacing w:after="0"/>
              <w:rPr>
                <w:sz w:val="1"/>
                <w:szCs w:val="1"/>
                <w:color w:val="auto"/>
              </w:rPr>
            </w:pPr>
          </w:p>
        </w:tc>
      </w:tr>
      <w:tr>
        <w:trPr>
          <w:trHeight w:val="129"/>
        </w:trPr>
        <w:tc>
          <w:tcPr>
            <w:tcW w:w="1300" w:type="dxa"/>
            <w:vAlign w:val="bottom"/>
          </w:tcPr>
          <w:p>
            <w:pPr>
              <w:spacing w:after="0"/>
              <w:rPr>
                <w:sz w:val="11"/>
                <w:szCs w:val="11"/>
                <w:color w:val="auto"/>
              </w:rPr>
            </w:pPr>
          </w:p>
        </w:tc>
        <w:tc>
          <w:tcPr>
            <w:tcW w:w="3480" w:type="dxa"/>
            <w:vAlign w:val="bottom"/>
            <w:vMerge w:val="restart"/>
          </w:tcPr>
          <w:p>
            <w:pPr>
              <w:spacing w:after="0"/>
              <w:rPr>
                <w:sz w:val="20"/>
                <w:szCs w:val="20"/>
                <w:color w:val="auto"/>
              </w:rPr>
            </w:pPr>
            <w:r>
              <w:rPr>
                <w:rFonts w:ascii="Arial" w:cs="Arial" w:eastAsia="Arial" w:hAnsi="Arial"/>
                <w:sz w:val="18"/>
                <w:szCs w:val="18"/>
                <w:color w:val="auto"/>
              </w:rPr>
              <w:t>Date: September 9, 2021</w:t>
            </w:r>
          </w:p>
        </w:tc>
        <w:tc>
          <w:tcPr>
            <w:tcW w:w="620" w:type="dxa"/>
            <w:vAlign w:val="bottom"/>
          </w:tcPr>
          <w:p>
            <w:pPr>
              <w:spacing w:after="0"/>
              <w:rPr>
                <w:sz w:val="11"/>
                <w:szCs w:val="11"/>
                <w:color w:val="auto"/>
              </w:rPr>
            </w:pPr>
          </w:p>
        </w:tc>
        <w:tc>
          <w:tcPr>
            <w:tcW w:w="5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300" w:type="dxa"/>
            <w:vAlign w:val="bottom"/>
          </w:tcPr>
          <w:p>
            <w:pPr>
              <w:spacing w:after="0"/>
              <w:rPr>
                <w:sz w:val="11"/>
                <w:szCs w:val="11"/>
                <w:color w:val="auto"/>
              </w:rPr>
            </w:pPr>
          </w:p>
        </w:tc>
        <w:tc>
          <w:tcPr>
            <w:tcW w:w="348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Heather A. Davis</w:t>
            </w:r>
          </w:p>
        </w:tc>
        <w:tc>
          <w:tcPr>
            <w:tcW w:w="6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300" w:type="dxa"/>
            <w:vAlign w:val="bottom"/>
          </w:tcPr>
          <w:p>
            <w:pPr>
              <w:spacing w:after="0"/>
              <w:rPr>
                <w:sz w:val="24"/>
                <w:szCs w:val="24"/>
                <w:color w:val="auto"/>
              </w:rPr>
            </w:pPr>
          </w:p>
        </w:tc>
        <w:tc>
          <w:tcPr>
            <w:tcW w:w="3480" w:type="dxa"/>
            <w:vAlign w:val="bottom"/>
          </w:tcPr>
          <w:p>
            <w:pPr>
              <w:jc w:val="center"/>
              <w:ind w:left="530"/>
              <w:spacing w:after="0"/>
              <w:rPr>
                <w:sz w:val="20"/>
                <w:szCs w:val="20"/>
                <w:color w:val="auto"/>
              </w:rPr>
            </w:pPr>
            <w:r>
              <w:rPr>
                <w:rFonts w:ascii="Arial" w:cs="Arial" w:eastAsia="Arial" w:hAnsi="Arial"/>
                <w:sz w:val="18"/>
                <w:szCs w:val="18"/>
                <w:color w:val="auto"/>
                <w:w w:val="91"/>
              </w:rPr>
              <w:t>/s/ Wendy A. Beck</w:t>
            </w:r>
          </w:p>
        </w:tc>
        <w:tc>
          <w:tcPr>
            <w:tcW w:w="620" w:type="dxa"/>
            <w:vAlign w:val="bottom"/>
          </w:tcPr>
          <w:p>
            <w:pPr>
              <w:spacing w:after="0"/>
              <w:rPr>
                <w:sz w:val="24"/>
                <w:szCs w:val="24"/>
                <w:color w:val="auto"/>
              </w:rPr>
            </w:pPr>
          </w:p>
        </w:tc>
        <w:tc>
          <w:tcPr>
            <w:tcW w:w="5620" w:type="dxa"/>
            <w:vAlign w:val="bottom"/>
          </w:tcPr>
          <w:p>
            <w:pPr>
              <w:jc w:val="center"/>
              <w:ind w:right="101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34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5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300" w:type="dxa"/>
            <w:vAlign w:val="bottom"/>
          </w:tcPr>
          <w:p>
            <w:pPr>
              <w:spacing w:after="0"/>
              <w:rPr>
                <w:sz w:val="22"/>
                <w:szCs w:val="22"/>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Date: September 8, 2021</w:t>
            </w:r>
          </w:p>
        </w:tc>
        <w:tc>
          <w:tcPr>
            <w:tcW w:w="620" w:type="dxa"/>
            <w:vAlign w:val="bottom"/>
          </w:tcPr>
          <w:p>
            <w:pPr>
              <w:spacing w:after="0"/>
              <w:rPr>
                <w:sz w:val="22"/>
                <w:szCs w:val="22"/>
                <w:color w:val="auto"/>
              </w:rPr>
            </w:pPr>
          </w:p>
        </w:tc>
        <w:tc>
          <w:tcPr>
            <w:tcW w:w="5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Wendy A. Beck</w:t>
            </w:r>
          </w:p>
        </w:tc>
        <w:tc>
          <w:tcPr>
            <w:tcW w:w="6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300" w:type="dxa"/>
            <w:vAlign w:val="bottom"/>
          </w:tcPr>
          <w:p>
            <w:pPr>
              <w:spacing w:after="0"/>
              <w:rPr>
                <w:sz w:val="24"/>
                <w:szCs w:val="24"/>
                <w:color w:val="auto"/>
              </w:rPr>
            </w:pPr>
          </w:p>
        </w:tc>
        <w:tc>
          <w:tcPr>
            <w:tcW w:w="3480" w:type="dxa"/>
            <w:vAlign w:val="bottom"/>
          </w:tcPr>
          <w:p>
            <w:pPr>
              <w:jc w:val="center"/>
              <w:ind w:left="530"/>
              <w:spacing w:after="0"/>
              <w:rPr>
                <w:sz w:val="20"/>
                <w:szCs w:val="20"/>
                <w:color w:val="auto"/>
              </w:rPr>
            </w:pPr>
            <w:r>
              <w:rPr>
                <w:rFonts w:ascii="Arial" w:cs="Arial" w:eastAsia="Arial" w:hAnsi="Arial"/>
                <w:sz w:val="18"/>
                <w:szCs w:val="18"/>
                <w:color w:val="auto"/>
                <w:w w:val="94"/>
              </w:rPr>
              <w:t>/s/ Brian T. Marley</w:t>
            </w:r>
          </w:p>
        </w:tc>
        <w:tc>
          <w:tcPr>
            <w:tcW w:w="620" w:type="dxa"/>
            <w:vAlign w:val="bottom"/>
          </w:tcPr>
          <w:p>
            <w:pPr>
              <w:spacing w:after="0"/>
              <w:rPr>
                <w:sz w:val="24"/>
                <w:szCs w:val="24"/>
                <w:color w:val="auto"/>
              </w:rPr>
            </w:pPr>
          </w:p>
        </w:tc>
        <w:tc>
          <w:tcPr>
            <w:tcW w:w="5620" w:type="dxa"/>
            <w:vAlign w:val="bottom"/>
          </w:tcPr>
          <w:p>
            <w:pPr>
              <w:jc w:val="center"/>
              <w:ind w:right="101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34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5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300" w:type="dxa"/>
            <w:vAlign w:val="bottom"/>
          </w:tcPr>
          <w:p>
            <w:pPr>
              <w:spacing w:after="0"/>
              <w:rPr>
                <w:sz w:val="22"/>
                <w:szCs w:val="22"/>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Date: September 8, 2021</w:t>
            </w:r>
          </w:p>
        </w:tc>
        <w:tc>
          <w:tcPr>
            <w:tcW w:w="620" w:type="dxa"/>
            <w:vAlign w:val="bottom"/>
          </w:tcPr>
          <w:p>
            <w:pPr>
              <w:spacing w:after="0"/>
              <w:rPr>
                <w:sz w:val="22"/>
                <w:szCs w:val="22"/>
                <w:color w:val="auto"/>
              </w:rPr>
            </w:pPr>
          </w:p>
        </w:tc>
        <w:tc>
          <w:tcPr>
            <w:tcW w:w="5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Brian T. Marley</w:t>
            </w:r>
          </w:p>
        </w:tc>
        <w:tc>
          <w:tcPr>
            <w:tcW w:w="6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240" w:type="dxa"/>
            <w:vAlign w:val="bottom"/>
            <w:gridSpan w:val="2"/>
          </w:tcPr>
          <w:p>
            <w:pPr>
              <w:ind w:left="580"/>
              <w:spacing w:after="0"/>
              <w:rPr>
                <w:sz w:val="20"/>
                <w:szCs w:val="20"/>
                <w:color w:val="auto"/>
              </w:rPr>
            </w:pPr>
            <w:r>
              <w:rPr>
                <w:rFonts w:ascii="Arial" w:cs="Arial" w:eastAsia="Arial" w:hAnsi="Arial"/>
                <w:sz w:val="18"/>
                <w:szCs w:val="18"/>
                <w:color w:val="auto"/>
              </w:rPr>
              <w:t>II-9</w:t>
            </w: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5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type w:val="continuous"/>
        </w:sectPr>
      </w:pPr>
    </w:p>
    <w:bookmarkStart w:id="63" w:name="page64"/>
    <w:bookmarkEnd w:id="6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ind w:left="2020"/>
        <w:spacing w:after="0"/>
        <w:tabs>
          <w:tab w:leader="none" w:pos="6500" w:val="left"/>
        </w:tabs>
        <w:rPr>
          <w:sz w:val="20"/>
          <w:szCs w:val="20"/>
          <w:color w:val="auto"/>
        </w:rPr>
      </w:pPr>
      <w:r>
        <w:rPr>
          <w:rFonts w:ascii="Arial" w:cs="Arial" w:eastAsia="Arial" w:hAnsi="Arial"/>
          <w:sz w:val="14"/>
          <w:szCs w:val="14"/>
          <w:b w:val="1"/>
          <w:bCs w:val="1"/>
          <w:color w:val="auto"/>
        </w:rPr>
        <w:t>Signatures</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ind w:right="2059"/>
        <w:spacing w:after="0"/>
        <w:tabs>
          <w:tab w:leader="none" w:pos="580" w:val="left"/>
        </w:tabs>
        <w:rPr>
          <w:sz w:val="20"/>
          <w:szCs w:val="20"/>
          <w:color w:val="auto"/>
        </w:rPr>
      </w:pPr>
      <w:r>
        <w:rPr>
          <w:rFonts w:ascii="Arial" w:cs="Arial" w:eastAsia="Arial" w:hAnsi="Arial"/>
          <w:sz w:val="18"/>
          <w:szCs w:val="18"/>
          <w:color w:val="auto"/>
        </w:rPr>
        <w:t>/s/ Thomas M. Nealon</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57785</wp:posOffset>
            </wp:positionV>
            <wp:extent cx="261429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4">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Date: September 8, 2021</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Thomas M. Nealon</w:t>
      </w:r>
    </w:p>
    <w:p>
      <w:pPr>
        <w:spacing w:after="0" w:line="373" w:lineRule="exact"/>
        <w:rPr>
          <w:sz w:val="20"/>
          <w:szCs w:val="20"/>
          <w:color w:val="auto"/>
        </w:rPr>
      </w:pPr>
    </w:p>
    <w:p>
      <w:pPr>
        <w:jc w:val="right"/>
        <w:ind w:right="2059"/>
        <w:spacing w:after="0"/>
        <w:tabs>
          <w:tab w:leader="none" w:pos="580" w:val="left"/>
        </w:tabs>
        <w:rPr>
          <w:sz w:val="20"/>
          <w:szCs w:val="20"/>
          <w:color w:val="auto"/>
        </w:rPr>
      </w:pPr>
      <w:r>
        <w:rPr>
          <w:rFonts w:ascii="Arial" w:cs="Arial" w:eastAsia="Arial" w:hAnsi="Arial"/>
          <w:sz w:val="18"/>
          <w:szCs w:val="18"/>
          <w:color w:val="auto"/>
        </w:rPr>
        <w:t>/s/ Allen I. Questrom</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57785</wp:posOffset>
            </wp:positionV>
            <wp:extent cx="261429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5">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Date: September 9, 2021</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Allen I. Questrom</w:t>
      </w:r>
    </w:p>
    <w:p>
      <w:pPr>
        <w:spacing w:after="0" w:line="373" w:lineRule="exact"/>
        <w:rPr>
          <w:sz w:val="20"/>
          <w:szCs w:val="20"/>
          <w:color w:val="auto"/>
        </w:rPr>
      </w:pPr>
    </w:p>
    <w:p>
      <w:pPr>
        <w:jc w:val="right"/>
        <w:ind w:right="2059"/>
        <w:spacing w:after="0"/>
        <w:tabs>
          <w:tab w:leader="none" w:pos="580" w:val="left"/>
        </w:tabs>
        <w:rPr>
          <w:sz w:val="20"/>
          <w:szCs w:val="20"/>
          <w:color w:val="auto"/>
        </w:rPr>
      </w:pPr>
      <w:r>
        <w:rPr>
          <w:rFonts w:ascii="Arial" w:cs="Arial" w:eastAsia="Arial" w:hAnsi="Arial"/>
          <w:sz w:val="18"/>
          <w:szCs w:val="18"/>
          <w:color w:val="auto"/>
        </w:rPr>
        <w:t>/s/ Beryl B. Raff</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57785</wp:posOffset>
            </wp:positionV>
            <wp:extent cx="261429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6">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Date: September 8, 2021</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Beryl B. Raff</w:t>
      </w:r>
    </w:p>
    <w:p>
      <w:pPr>
        <w:spacing w:after="0" w:line="373" w:lineRule="exact"/>
        <w:rPr>
          <w:sz w:val="20"/>
          <w:szCs w:val="20"/>
          <w:color w:val="auto"/>
        </w:rPr>
      </w:pPr>
    </w:p>
    <w:p>
      <w:pPr>
        <w:jc w:val="right"/>
        <w:ind w:right="2059"/>
        <w:spacing w:after="0"/>
        <w:tabs>
          <w:tab w:leader="none" w:pos="580" w:val="left"/>
        </w:tabs>
        <w:rPr>
          <w:sz w:val="20"/>
          <w:szCs w:val="20"/>
          <w:color w:val="auto"/>
        </w:rPr>
      </w:pPr>
      <w:r>
        <w:rPr>
          <w:rFonts w:ascii="Arial" w:cs="Arial" w:eastAsia="Arial" w:hAnsi="Arial"/>
          <w:sz w:val="18"/>
          <w:szCs w:val="18"/>
          <w:color w:val="auto"/>
        </w:rPr>
        <w:t>/s/ Nathaniel H. Taylor</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57785</wp:posOffset>
            </wp:positionV>
            <wp:extent cx="261429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7">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Date: September 8, 2021</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Nathaniel H. Taylor</w:t>
      </w:r>
    </w:p>
    <w:p>
      <w:pPr>
        <w:spacing w:after="0" w:line="373" w:lineRule="exact"/>
        <w:rPr>
          <w:sz w:val="20"/>
          <w:szCs w:val="20"/>
          <w:color w:val="auto"/>
        </w:rPr>
      </w:pPr>
    </w:p>
    <w:p>
      <w:pPr>
        <w:jc w:val="right"/>
        <w:ind w:right="2059"/>
        <w:spacing w:after="0"/>
        <w:tabs>
          <w:tab w:leader="none" w:pos="580" w:val="left"/>
        </w:tabs>
        <w:rPr>
          <w:sz w:val="20"/>
          <w:szCs w:val="20"/>
          <w:color w:val="auto"/>
        </w:rPr>
      </w:pPr>
      <w:r>
        <w:rPr>
          <w:rFonts w:ascii="Arial" w:cs="Arial" w:eastAsia="Arial" w:hAnsi="Arial"/>
          <w:sz w:val="18"/>
          <w:szCs w:val="18"/>
          <w:color w:val="auto"/>
        </w:rPr>
        <w:t>/s/ Sharen J. Turney</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57785</wp:posOffset>
            </wp:positionV>
            <wp:extent cx="261429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Date: September 9, 2021</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Sharen J. Turney</w:t>
      </w:r>
    </w:p>
    <w:p>
      <w:pPr>
        <w:spacing w:after="0" w:line="373" w:lineRule="exact"/>
        <w:rPr>
          <w:sz w:val="20"/>
          <w:szCs w:val="20"/>
          <w:color w:val="auto"/>
        </w:rPr>
      </w:pPr>
    </w:p>
    <w:p>
      <w:pPr>
        <w:jc w:val="right"/>
        <w:ind w:right="2059"/>
        <w:spacing w:after="0"/>
        <w:tabs>
          <w:tab w:leader="none" w:pos="580" w:val="left"/>
        </w:tabs>
        <w:rPr>
          <w:sz w:val="20"/>
          <w:szCs w:val="20"/>
          <w:color w:val="auto"/>
        </w:rPr>
      </w:pPr>
      <w:r>
        <w:rPr>
          <w:rFonts w:ascii="Arial" w:cs="Arial" w:eastAsia="Arial" w:hAnsi="Arial"/>
          <w:sz w:val="18"/>
          <w:szCs w:val="18"/>
          <w:color w:val="auto"/>
        </w:rPr>
        <w:t>/s/ Jeffrey C. Tweedy</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57785</wp:posOffset>
            </wp:positionV>
            <wp:extent cx="261429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9">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Date: September 9, 2021</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Jeffrey C. Tweedy</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II-10</w:t>
      </w:r>
    </w:p>
    <w:p>
      <w:pPr>
        <w:sectPr>
          <w:pgSz w:w="11900" w:h="16838" w:orient="portrait"/>
          <w:cols w:equalWidth="0" w:num="1">
            <w:col w:w="9019"/>
          </w:cols>
          <w:pgMar w:left="1440" w:top="265" w:right="1440" w:bottom="1440" w:gutter="0" w:footer="0" w:header="0"/>
        </w:sectPr>
      </w:pPr>
    </w:p>
    <w:bookmarkStart w:id="64" w:name="page65"/>
    <w:bookmarkEnd w:id="6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Academy Sports and Outdoors, Inc.</w:t>
      </w:r>
    </w:p>
    <w:p>
      <w:pPr>
        <w:spacing w:after="0" w:line="233" w:lineRule="exact"/>
        <w:rPr>
          <w:sz w:val="20"/>
          <w:szCs w:val="20"/>
          <w:color w:val="auto"/>
        </w:rPr>
      </w:pPr>
    </w:p>
    <w:p>
      <w:pPr>
        <w:ind w:left="4940" w:right="4940" w:firstLine="178"/>
        <w:spacing w:after="0" w:line="276" w:lineRule="auto"/>
        <w:tabs>
          <w:tab w:leader="none" w:pos="5235" w:val="left"/>
        </w:tabs>
        <w:numPr>
          <w:ilvl w:val="0"/>
          <w:numId w:val="42"/>
        </w:numPr>
        <w:rPr>
          <w:rFonts w:ascii="Arial" w:cs="Arial" w:eastAsia="Arial" w:hAnsi="Arial"/>
          <w:sz w:val="19"/>
          <w:szCs w:val="19"/>
          <w:color w:val="auto"/>
        </w:rPr>
      </w:pPr>
      <w:r>
        <w:rPr>
          <w:rFonts w:ascii="Arial" w:cs="Arial" w:eastAsia="Arial" w:hAnsi="Arial"/>
          <w:sz w:val="19"/>
          <w:szCs w:val="19"/>
          <w:color w:val="auto"/>
        </w:rPr>
        <w:t>● ] Shares Common Stock</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($0.01 par value)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Underwriting Agreement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September [ ● ], 2021</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Credit Suisse Securities (USA) LLC</w:t>
      </w:r>
    </w:p>
    <w:p>
      <w:pPr>
        <w:spacing w:after="0" w:line="200" w:lineRule="exact"/>
        <w:rPr>
          <w:sz w:val="20"/>
          <w:szCs w:val="20"/>
          <w:color w:val="auto"/>
        </w:rPr>
      </w:pPr>
    </w:p>
    <w:p>
      <w:pPr>
        <w:spacing w:after="0" w:line="258" w:lineRule="exact"/>
        <w:rPr>
          <w:sz w:val="20"/>
          <w:szCs w:val="20"/>
          <w:color w:val="auto"/>
        </w:rPr>
      </w:pPr>
    </w:p>
    <w:p>
      <w:pPr>
        <w:ind w:right="4480"/>
        <w:spacing w:after="0" w:line="239" w:lineRule="auto"/>
        <w:rPr>
          <w:sz w:val="20"/>
          <w:szCs w:val="20"/>
          <w:color w:val="auto"/>
        </w:rPr>
      </w:pPr>
      <w:r>
        <w:rPr>
          <w:rFonts w:ascii="Arial" w:cs="Arial" w:eastAsia="Arial" w:hAnsi="Arial"/>
          <w:sz w:val="22"/>
          <w:szCs w:val="22"/>
          <w:color w:val="auto"/>
        </w:rPr>
        <w:t>As Representative of the several Underwriters named in Schedule I(A) hereto, c/o Credit Suisse Securities (USA) LLC,</w:t>
      </w:r>
    </w:p>
    <w:p>
      <w:pPr>
        <w:ind w:left="660"/>
        <w:spacing w:after="0" w:line="230" w:lineRule="auto"/>
        <w:rPr>
          <w:sz w:val="20"/>
          <w:szCs w:val="20"/>
          <w:color w:val="auto"/>
        </w:rPr>
      </w:pPr>
      <w:r>
        <w:rPr>
          <w:rFonts w:ascii="Arial" w:cs="Arial" w:eastAsia="Arial" w:hAnsi="Arial"/>
          <w:sz w:val="22"/>
          <w:szCs w:val="22"/>
          <w:color w:val="auto"/>
        </w:rPr>
        <w:t>Eleven Madison Avenue,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New York, N.Y. 10010-3629</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ind w:right="60" w:firstLine="1296"/>
        <w:spacing w:after="0" w:line="279" w:lineRule="auto"/>
        <w:rPr>
          <w:sz w:val="20"/>
          <w:szCs w:val="20"/>
          <w:color w:val="auto"/>
        </w:rPr>
      </w:pPr>
      <w:r>
        <w:rPr>
          <w:rFonts w:ascii="Arial" w:cs="Arial" w:eastAsia="Arial" w:hAnsi="Arial"/>
          <w:sz w:val="19"/>
          <w:szCs w:val="19"/>
          <w:color w:val="auto"/>
        </w:rPr>
        <w:t>Each of Allstar LLC, Allstar Co-Invest Blocker L.P. and KKR 2006 Allstar Blocker L.P. (collectively, the “Selling Stockholders”), as a stockholder of Academy Sports and Outdoors, Inc., a Delaware corporation (the “Company”), proposes to sell to the several underwriters named in Schedule I(A) hereto (the “Underwriters”), for whom you (the “Representative”) are acting as representative, the number of shares of the Company’s common stock, $0.01 par value (“Common Stock”), set forth next to such Selling Stockholder’s name on Schedule I(B) hereto. The aggregate [ ● ] shares to be sold by the Selling Stockholders are herein called the “Securities.” Certain capitalized terms used herein are defined in Section 25 hereof.</w:t>
      </w:r>
    </w:p>
    <w:p>
      <w:pPr>
        <w:spacing w:after="0" w:line="177" w:lineRule="exact"/>
        <w:rPr>
          <w:sz w:val="20"/>
          <w:szCs w:val="20"/>
          <w:color w:val="auto"/>
        </w:rPr>
      </w:pPr>
    </w:p>
    <w:p>
      <w:pPr>
        <w:ind w:right="220" w:firstLine="648"/>
        <w:spacing w:after="0" w:line="238" w:lineRule="auto"/>
        <w:rPr>
          <w:sz w:val="20"/>
          <w:szCs w:val="20"/>
          <w:color w:val="auto"/>
        </w:rPr>
      </w:pPr>
      <w:r>
        <w:rPr>
          <w:rFonts w:ascii="Arial" w:cs="Arial" w:eastAsia="Arial" w:hAnsi="Arial"/>
          <w:sz w:val="22"/>
          <w:szCs w:val="22"/>
          <w:color w:val="auto"/>
        </w:rPr>
        <w:t>Subject to the sale of the Securities by the Selling Stockholders to the Underwriters in compliance with the terms of this Agreement, the Underwriters have agreed to sell to the Company, and the Company has agreed to herein to purchase from the Underwriters (the “Share Repurchase”), an aggregate of [ ● ] shares of Securities (the “Repurchase Securities”) pursuant to Section 3 of this Agreement.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Company and the Selling Stockholders hereby confirm their respective agreements with the Underwriters as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215" w:lineRule="exact"/>
        <w:rPr>
          <w:sz w:val="20"/>
          <w:szCs w:val="20"/>
          <w:color w:val="auto"/>
        </w:rPr>
      </w:pPr>
    </w:p>
    <w:p>
      <w:pPr>
        <w:ind w:right="40" w:firstLine="656"/>
        <w:spacing w:after="0" w:line="250" w:lineRule="auto"/>
        <w:tabs>
          <w:tab w:leader="none" w:pos="135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 of the Company</w:t>
      </w:r>
      <w:r>
        <w:rPr>
          <w:rFonts w:ascii="Arial" w:cs="Arial" w:eastAsia="Arial" w:hAnsi="Arial"/>
          <w:sz w:val="22"/>
          <w:szCs w:val="22"/>
          <w:color w:val="auto"/>
        </w:rPr>
        <w:t>. The Company represents and warrants to, and agrees with, each Underwriter as set forth below in this Section 1.</w:t>
      </w:r>
    </w:p>
    <w:p>
      <w:pPr>
        <w:spacing w:after="0" w:line="202" w:lineRule="exact"/>
        <w:rPr>
          <w:sz w:val="20"/>
          <w:szCs w:val="20"/>
          <w:color w:val="auto"/>
        </w:rPr>
      </w:pPr>
    </w:p>
    <w:p>
      <w:pPr>
        <w:ind w:right="160" w:firstLine="656"/>
        <w:spacing w:after="0" w:line="249" w:lineRule="auto"/>
        <w:tabs>
          <w:tab w:leader="none" w:pos="1428" w:val="left"/>
        </w:tabs>
        <w:numPr>
          <w:ilvl w:val="0"/>
          <w:numId w:val="44"/>
        </w:numPr>
        <w:rPr>
          <w:rFonts w:ascii="Arial" w:cs="Arial" w:eastAsia="Arial" w:hAnsi="Arial"/>
          <w:sz w:val="21"/>
          <w:szCs w:val="21"/>
          <w:color w:val="auto"/>
        </w:rPr>
      </w:pPr>
      <w:r>
        <w:rPr>
          <w:rFonts w:ascii="Arial" w:cs="Arial" w:eastAsia="Arial" w:hAnsi="Arial"/>
          <w:sz w:val="21"/>
          <w:szCs w:val="21"/>
          <w:color w:val="auto"/>
        </w:rPr>
        <w:t>The Company has prepared and filed with the Commission a registration statement (file number 333-[ ● ]) on Form S-1, including a related preliminary prospectus, for registration under the Act of the offering and sale of the Securities. Such Registration Statement, including any amendments thereto filed prior to the Execution Time, has become effective. No order suspending the effectiveness of the Registration Statement has been issued by the Commission, and no proceeding for that purpose or pursuant to Section 8A of the Act against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5" w:name="page66"/>
    <w:bookmarkEnd w:id="65"/>
    <w:p>
      <w:pPr>
        <w:ind w:right="80" w:firstLine="648"/>
        <w:spacing w:after="0" w:line="246" w:lineRule="auto"/>
        <w:rPr>
          <w:sz w:val="20"/>
          <w:szCs w:val="20"/>
          <w:color w:val="auto"/>
        </w:rPr>
      </w:pPr>
      <w:r>
        <w:rPr>
          <w:rFonts w:ascii="Arial" w:cs="Arial" w:eastAsia="Arial" w:hAnsi="Arial"/>
          <w:sz w:val="21"/>
          <w:szCs w:val="21"/>
          <w:color w:val="auto"/>
        </w:rPr>
        <w:t>Company or related to the offering of the Securities has been initiated or threatened by the Commission. The Company may have filed one or more amendments thereto, including a related preliminary prospectus, each of which has previously been furnished to you. The Company will file with the Commission a final prospectus in accordance with Rule 424(b). As filed, such final prospectus shall contain all information required by the Act and the rules thereunder and, except to the extent the Representative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latest Preliminary Prospectus) as the Company has advised you, prior to the Execution Time, will be included or made therein.</w:t>
      </w:r>
    </w:p>
    <w:p>
      <w:pPr>
        <w:spacing w:after="0" w:line="207" w:lineRule="exact"/>
        <w:rPr>
          <w:sz w:val="20"/>
          <w:szCs w:val="20"/>
          <w:color w:val="auto"/>
        </w:rPr>
      </w:pPr>
    </w:p>
    <w:p>
      <w:pPr>
        <w:ind w:firstLine="656"/>
        <w:spacing w:after="0" w:line="272" w:lineRule="auto"/>
        <w:tabs>
          <w:tab w:leader="none" w:pos="14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 xml:space="preserve">On the Effective Date, the Registration Statement did, and when the Prospectus is first filed in accordance with Rule 424(b) and on the Closing Date (as defined below), the Prospectus (and any supplement thereto) will, comply in all material respects with the applicable requirements of the Act and the rules thereunder; on the Effective Date, at the Execution Time and on the Closing Date, the Registration Statement did not and will not contain any untrue statement of a material fact or omit to state any material fact required to be stated therein or necessary to make the statements therein not misleading; and on the date of any filing pursuant to Rule 424(b) and on the Closing Date, the Prospectus (together with any supplement thereto) will not include any untrue statement of a material fact or omit to state any material fact necessary in order to make the statements therein, in the light of the circumstances under which they were made, not misleading;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Company makes no representations or warranties as to the information contained in or omitted from the Registration Statement or the Prospectus (or any supplement thereto) in reliance upon and in conformity with information furnished in writing to the Company by or on behalf of any Underwriter through the Representative specifically for inclusion in the Registration Statement or the Prospectus (or any supplement thereto).</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ind w:right="40" w:firstLine="656"/>
        <w:spacing w:after="0" w:line="235" w:lineRule="auto"/>
        <w:tabs>
          <w:tab w:leader="none" w:pos="1428" w:val="left"/>
        </w:tabs>
        <w:numPr>
          <w:ilvl w:val="0"/>
          <w:numId w:val="45"/>
        </w:numPr>
        <w:rPr>
          <w:rFonts w:ascii="Arial" w:cs="Arial" w:eastAsia="Arial" w:hAnsi="Arial"/>
          <w:sz w:val="22"/>
          <w:szCs w:val="22"/>
          <w:color w:val="auto"/>
        </w:rPr>
      </w:pPr>
      <w:r>
        <w:rPr>
          <w:rFonts w:ascii="Arial" w:cs="Arial" w:eastAsia="Arial" w:hAnsi="Arial"/>
          <w:sz w:val="22"/>
          <w:szCs w:val="22"/>
          <w:color w:val="auto"/>
        </w:rPr>
        <w:t>(i) The Disclosure Package, and (ii) each electronic road show, when taken together as a whole with the Disclosure Package,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or any electronic roadshow based upon and in conformity with written information furnished to the Company by or on behalf of any Underwriter through the Representative specifically for use therein.</w:t>
      </w:r>
    </w:p>
    <w:p>
      <w:pPr>
        <w:spacing w:after="0" w:line="214" w:lineRule="exact"/>
        <w:rPr>
          <w:rFonts w:ascii="Arial" w:cs="Arial" w:eastAsia="Arial" w:hAnsi="Arial"/>
          <w:sz w:val="22"/>
          <w:szCs w:val="22"/>
          <w:color w:val="auto"/>
        </w:rPr>
      </w:pPr>
    </w:p>
    <w:p>
      <w:pPr>
        <w:ind w:right="80" w:firstLine="656"/>
        <w:spacing w:after="0" w:line="238" w:lineRule="auto"/>
        <w:tabs>
          <w:tab w:leader="none" w:pos="1440" w:val="left"/>
        </w:tabs>
        <w:numPr>
          <w:ilvl w:val="0"/>
          <w:numId w:val="45"/>
        </w:numPr>
        <w:rPr>
          <w:rFonts w:ascii="Arial" w:cs="Arial" w:eastAsia="Arial" w:hAnsi="Arial"/>
          <w:sz w:val="22"/>
          <w:szCs w:val="22"/>
          <w:color w:val="auto"/>
        </w:rPr>
      </w:pPr>
      <w:r>
        <w:rPr>
          <w:rFonts w:ascii="Arial" w:cs="Arial" w:eastAsia="Arial" w:hAnsi="Arial"/>
          <w:sz w:val="22"/>
          <w:szCs w:val="22"/>
          <w:color w:val="auto"/>
        </w:rPr>
        <w:t>(i) At the time of filing the Registration Statement and (ii) as of the Execution Time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spacing w:after="0" w:line="211" w:lineRule="exact"/>
        <w:rPr>
          <w:rFonts w:ascii="Arial" w:cs="Arial" w:eastAsia="Arial" w:hAnsi="Arial"/>
          <w:sz w:val="22"/>
          <w:szCs w:val="22"/>
          <w:color w:val="auto"/>
        </w:rPr>
      </w:pPr>
    </w:p>
    <w:p>
      <w:pPr>
        <w:ind w:right="60" w:firstLine="656"/>
        <w:spacing w:after="0" w:line="252" w:lineRule="auto"/>
        <w:tabs>
          <w:tab w:leader="none" w:pos="1428" w:val="left"/>
        </w:tabs>
        <w:numPr>
          <w:ilvl w:val="0"/>
          <w:numId w:val="45"/>
        </w:numPr>
        <w:rPr>
          <w:rFonts w:ascii="Arial" w:cs="Arial" w:eastAsia="Arial" w:hAnsi="Arial"/>
          <w:sz w:val="21"/>
          <w:szCs w:val="21"/>
          <w:color w:val="auto"/>
        </w:rPr>
      </w:pPr>
      <w:r>
        <w:rPr>
          <w:rFonts w:ascii="Arial" w:cs="Arial" w:eastAsia="Arial" w:hAnsi="Arial"/>
          <w:sz w:val="21"/>
          <w:szCs w:val="21"/>
          <w:color w:val="auto"/>
        </w:rPr>
        <w:t>Each Issuer Free Writing Prospectus does not include any information that conflicts with the information contained in the Registration Statement. The foregoing sentence does not apply to statements in or omissions from any Issuer Free Writing Prospectus based upon and in conformity with written information furnished to the Company by or on behalf of any Underwriter through the Representative specifically for use therein.</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ind w:left="1400" w:hanging="764"/>
        <w:spacing w:after="0"/>
        <w:tabs>
          <w:tab w:leader="none" w:pos="14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20" w:right="40" w:firstLine="656"/>
        <w:spacing w:after="0" w:line="257" w:lineRule="auto"/>
        <w:tabs>
          <w:tab w:leader="none" w:pos="1420" w:val="left"/>
        </w:tabs>
        <w:numPr>
          <w:ilvl w:val="0"/>
          <w:numId w:val="46"/>
        </w:numPr>
        <w:rPr>
          <w:rFonts w:ascii="Arial" w:cs="Arial" w:eastAsia="Arial" w:hAnsi="Arial"/>
          <w:sz w:val="21"/>
          <w:szCs w:val="21"/>
          <w:color w:val="auto"/>
        </w:rPr>
      </w:pPr>
      <w:r>
        <w:rPr>
          <w:rFonts w:ascii="Arial" w:cs="Arial" w:eastAsia="Arial" w:hAnsi="Arial"/>
          <w:sz w:val="21"/>
          <w:szCs w:val="21"/>
          <w:color w:val="auto"/>
        </w:rPr>
        <w:t>None of the Company or any Significant Subsidiary (as defined below) is, nor after giving effect to the Share Repurchase as herein contemplated will be, an “investment company” as defined in the Investment Company Act, without taking account of any exemption arising out of the number of holders of the Company’s securities.</w:t>
      </w:r>
    </w:p>
    <w:p>
      <w:pPr>
        <w:spacing w:after="0" w:line="196" w:lineRule="exact"/>
        <w:rPr>
          <w:rFonts w:ascii="Arial" w:cs="Arial" w:eastAsia="Arial" w:hAnsi="Arial"/>
          <w:sz w:val="21"/>
          <w:szCs w:val="21"/>
          <w:color w:val="auto"/>
        </w:rPr>
      </w:pPr>
    </w:p>
    <w:p>
      <w:pPr>
        <w:ind w:left="-20" w:right="280" w:firstLine="656"/>
        <w:spacing w:after="0" w:line="250" w:lineRule="auto"/>
        <w:tabs>
          <w:tab w:leader="none" w:pos="1420" w:val="left"/>
        </w:tabs>
        <w:numPr>
          <w:ilvl w:val="0"/>
          <w:numId w:val="46"/>
        </w:numPr>
        <w:rPr>
          <w:rFonts w:ascii="Arial" w:cs="Arial" w:eastAsia="Arial" w:hAnsi="Arial"/>
          <w:sz w:val="22"/>
          <w:szCs w:val="22"/>
          <w:color w:val="auto"/>
        </w:rPr>
      </w:pPr>
      <w:r>
        <w:rPr>
          <w:rFonts w:ascii="Arial" w:cs="Arial" w:eastAsia="Arial" w:hAnsi="Arial"/>
          <w:sz w:val="22"/>
          <w:szCs w:val="22"/>
          <w:color w:val="auto"/>
        </w:rPr>
        <w:t>Neither the Company nor any of its subsidiaries has paid or agreed to pay to any person any compensation for soliciting another to purchase any Securities (except as contemplated in this Agreement).</w:t>
      </w:r>
    </w:p>
    <w:p>
      <w:pPr>
        <w:spacing w:after="0" w:line="201" w:lineRule="exact"/>
        <w:rPr>
          <w:rFonts w:ascii="Arial" w:cs="Arial" w:eastAsia="Arial" w:hAnsi="Arial"/>
          <w:sz w:val="22"/>
          <w:szCs w:val="22"/>
          <w:color w:val="auto"/>
        </w:rPr>
      </w:pPr>
    </w:p>
    <w:p>
      <w:pPr>
        <w:ind w:left="-20" w:firstLine="656"/>
        <w:spacing w:after="0" w:line="238" w:lineRule="auto"/>
        <w:tabs>
          <w:tab w:leader="none" w:pos="1372" w:val="left"/>
        </w:tabs>
        <w:numPr>
          <w:ilvl w:val="0"/>
          <w:numId w:val="46"/>
        </w:numPr>
        <w:rPr>
          <w:rFonts w:ascii="Arial" w:cs="Arial" w:eastAsia="Arial" w:hAnsi="Arial"/>
          <w:sz w:val="22"/>
          <w:szCs w:val="22"/>
          <w:color w:val="auto"/>
        </w:rPr>
      </w:pPr>
      <w:r>
        <w:rPr>
          <w:rFonts w:ascii="Arial" w:cs="Arial" w:eastAsia="Arial" w:hAnsi="Arial"/>
          <w:sz w:val="22"/>
          <w:szCs w:val="22"/>
          <w:color w:val="auto"/>
        </w:rPr>
        <w:t>None of the Company or any of its subsidiaries or any of their respective Affiliates has taken or will take, directly or indirectly, any action designed to or that has constituted or that would reasonably be expected to cause or result, under the Exchange Act or otherwise, in stabilization or manipulation of the price of any security of the Company or any of its subsidiaries to facilitate the sale or resale of the Securities.</w:t>
      </w:r>
    </w:p>
    <w:p>
      <w:pPr>
        <w:spacing w:after="0" w:line="211" w:lineRule="exact"/>
        <w:rPr>
          <w:rFonts w:ascii="Arial" w:cs="Arial" w:eastAsia="Arial" w:hAnsi="Arial"/>
          <w:sz w:val="22"/>
          <w:szCs w:val="22"/>
          <w:color w:val="auto"/>
        </w:rPr>
      </w:pPr>
    </w:p>
    <w:p>
      <w:pPr>
        <w:ind w:left="-20" w:right="40" w:firstLine="656"/>
        <w:spacing w:after="0" w:line="274" w:lineRule="auto"/>
        <w:tabs>
          <w:tab w:leader="none" w:pos="1372" w:val="left"/>
        </w:tabs>
        <w:numPr>
          <w:ilvl w:val="0"/>
          <w:numId w:val="46"/>
        </w:numPr>
        <w:rPr>
          <w:rFonts w:ascii="Arial" w:cs="Arial" w:eastAsia="Arial" w:hAnsi="Arial"/>
          <w:sz w:val="19"/>
          <w:szCs w:val="19"/>
          <w:color w:val="auto"/>
        </w:rPr>
      </w:pPr>
      <w:r>
        <w:rPr>
          <w:rFonts w:ascii="Arial" w:cs="Arial" w:eastAsia="Arial" w:hAnsi="Arial"/>
          <w:sz w:val="19"/>
          <w:szCs w:val="19"/>
          <w:color w:val="auto"/>
        </w:rPr>
        <w:t>Each of the Company and its subsidiaries (i) has been duly organized and is validly existing as an entity in good standing under the laws of the jurisdiction in which it is chartered or organized, (ii) has full corporate or other organizational power and authority to own or lease, as the case may be, and to operate its properties and conduct its business as described in the Disclosure Package and the Prospectus, and (iii) is duly qualified to do business as a foreign corporation or other entity and is in good standing under the laws of each jurisdiction where the ownership or leasing of its properties or the conduct of its business requires such qualification except, in the case of its subsidiaries, and solely with respect to clause (iii), the Company, where the failure to be so organized or qualified, have such power or authority or be in good standing would not have a material adverse effect, or reasonably be expected to have a prospective material adverse effect, on the condition (financial or otherwise), business or results of operations of the Company and its subsidiaries, taken as a whole (a “Material Adverse Effect”).</w:t>
      </w:r>
    </w:p>
    <w:p>
      <w:pPr>
        <w:spacing w:after="0" w:line="185" w:lineRule="exact"/>
        <w:rPr>
          <w:rFonts w:ascii="Arial" w:cs="Arial" w:eastAsia="Arial" w:hAnsi="Arial"/>
          <w:sz w:val="19"/>
          <w:szCs w:val="19"/>
          <w:color w:val="auto"/>
        </w:rPr>
      </w:pPr>
    </w:p>
    <w:p>
      <w:pPr>
        <w:ind w:left="-20" w:firstLine="656"/>
        <w:spacing w:after="0" w:line="250" w:lineRule="auto"/>
        <w:tabs>
          <w:tab w:leader="none" w:pos="142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Company has no “significant subsidiary,” as defined in Rule 1-02(w) of Regulation S-X under the Act, other than those subsidiaries listed on Schedule III (each, a “Significant Subsidiary”).</w:t>
      </w:r>
    </w:p>
    <w:p>
      <w:pPr>
        <w:spacing w:after="0" w:line="201" w:lineRule="exact"/>
        <w:rPr>
          <w:rFonts w:ascii="Arial" w:cs="Arial" w:eastAsia="Arial" w:hAnsi="Arial"/>
          <w:sz w:val="22"/>
          <w:szCs w:val="22"/>
          <w:color w:val="auto"/>
        </w:rPr>
      </w:pPr>
    </w:p>
    <w:p>
      <w:pPr>
        <w:ind w:left="-20" w:right="100" w:firstLine="656"/>
        <w:spacing w:after="0" w:line="246" w:lineRule="auto"/>
        <w:tabs>
          <w:tab w:leader="none" w:pos="1372" w:val="left"/>
        </w:tabs>
        <w:numPr>
          <w:ilvl w:val="0"/>
          <w:numId w:val="46"/>
        </w:numPr>
        <w:rPr>
          <w:rFonts w:ascii="Arial" w:cs="Arial" w:eastAsia="Arial" w:hAnsi="Arial"/>
          <w:sz w:val="21"/>
          <w:szCs w:val="21"/>
          <w:color w:val="auto"/>
        </w:rPr>
      </w:pPr>
      <w:r>
        <w:rPr>
          <w:rFonts w:ascii="Arial" w:cs="Arial" w:eastAsia="Arial" w:hAnsi="Arial"/>
          <w:sz w:val="21"/>
          <w:szCs w:val="21"/>
          <w:color w:val="auto"/>
        </w:rPr>
        <w:t>As of [ ● ], 2021, all the outstanding membership interests or shares of capital stock, as applicable, of the Company (including the Securities to be sold by the Selling Stockholders) and each subsidiary listed on Exhibit 21 of the Company’s Annual Report on Form 10-K for the fiscal year ended January 30, 2021 (the “Annual Report”) incorporated by reference into the Registration Statement have been duly authorized and validly issued, are fully paid and nonassessable, if applicable, and were not issued in violation of any preemptive or similar rights and, except as otherwise set forth in the Disclosure Package and the Prospectus, as of the Closing Date, all outstanding shares of capital stock or membership interests of the subsidiaries held by the Company are owned either directly or indirectly free and clear of any security interest, claim, lien or encumbrance (other than liens, encumbrances and restrictions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361" w:right="359" w:bottom="1440" w:gutter="0" w:footer="0" w:header="0"/>
        </w:sectPr>
      </w:pPr>
    </w:p>
    <w:bookmarkStart w:id="67" w:name="page68"/>
    <w:bookmarkEnd w:id="67"/>
    <w:p>
      <w:pPr>
        <w:ind w:firstLine="648"/>
        <w:spacing w:after="0" w:line="268" w:lineRule="auto"/>
        <w:rPr>
          <w:sz w:val="20"/>
          <w:szCs w:val="20"/>
          <w:color w:val="auto"/>
        </w:rPr>
      </w:pPr>
      <w:r>
        <w:rPr>
          <w:rFonts w:ascii="Arial" w:cs="Arial" w:eastAsia="Arial" w:hAnsi="Arial"/>
          <w:sz w:val="19"/>
          <w:szCs w:val="19"/>
          <w:color w:val="auto"/>
        </w:rPr>
        <w:t>imposed in connection with (A) that certain Indenture, dated as of November 6, 2020 (the “Indenture”), by and among Academy, Ltd., as issuer, the guarantors named therein and The Bank of New York Mellon Trust Company, N.A., as trustee and notes collateral agent, (B) that certain Second Amended and Restated Credit Agreement, dated as of November 6, 2020, among Academy, Ltd., as Borrower, New Academy Holding Company, LLC, as Holdings, Associated Investors L.L.C. and Academy Managing Co., L.L.C, as Texas Intermediate Holdcos, the several lenders from time to time party thereto and Credit Suisse AG, Cayman Islands Branch, as the Administrative Agent and the Collateral Agent and the several other parties named therein (as amended, the “Term Loan Facility”) and (C) that certain First Amended and Restated ABL Credit Agreement, dated as of July 2, 2015, among Academy, Ltd., as Borrower, New Academy Holding Company, LLC, as Holdings, Associated Investors L.L.C. and Academy Managing Co., L.L.C, as Texas Intermediate Holdcos, the lending institutions from time to time party thereto and JPMorgan Chase Bank, N.A., as the Administrative Agent, the Collateral Agent, the Letter of Credit Issuer and the Swingline Lender (as amended, the “ABL Facility” and, together with the Indenture and the Term Loan Facility, the “Debt Documents”) or permitted under the Debt Documents or by the Act). Except as disclosed in the Disclosure Package and the Prospectus, or except in connection with equity investments by, or awards of stock options or other equity-based awards to, members of management or other employees of the Company, or any directors, contractors or agents of the Company, as described in the Disclosure Package and the Prospectus, there will be, on the Closing Date, no (i) outstanding options, warrants or other rights to purchase,</w:t>
      </w:r>
    </w:p>
    <w:p>
      <w:pPr>
        <w:spacing w:after="0" w:line="4" w:lineRule="exact"/>
        <w:rPr>
          <w:sz w:val="20"/>
          <w:szCs w:val="20"/>
          <w:color w:val="auto"/>
        </w:rPr>
      </w:pPr>
    </w:p>
    <w:p>
      <w:pPr>
        <w:ind w:right="420" w:firstLine="8"/>
        <w:spacing w:after="0" w:line="236" w:lineRule="auto"/>
        <w:tabs>
          <w:tab w:leader="none" w:pos="318" w:val="left"/>
        </w:tabs>
        <w:numPr>
          <w:ilvl w:val="0"/>
          <w:numId w:val="47"/>
        </w:numPr>
        <w:rPr>
          <w:rFonts w:ascii="Arial" w:cs="Arial" w:eastAsia="Arial" w:hAnsi="Arial"/>
          <w:sz w:val="22"/>
          <w:szCs w:val="22"/>
          <w:color w:val="auto"/>
        </w:rPr>
      </w:pPr>
      <w:r>
        <w:rPr>
          <w:rFonts w:ascii="Arial" w:cs="Arial" w:eastAsia="Arial" w:hAnsi="Arial"/>
          <w:sz w:val="22"/>
          <w:szCs w:val="22"/>
          <w:color w:val="auto"/>
        </w:rPr>
        <w:t>agreements or other obligations to issue or (iii) other rights to convert any obligation into, or exchange any securities for, shares of capital stock of or ownership interests in the Company or any of its subsidiaries.</w:t>
      </w:r>
    </w:p>
    <w:p>
      <w:pPr>
        <w:spacing w:after="0" w:line="213" w:lineRule="exact"/>
        <w:rPr>
          <w:rFonts w:ascii="Arial" w:cs="Arial" w:eastAsia="Arial" w:hAnsi="Arial"/>
          <w:sz w:val="22"/>
          <w:szCs w:val="22"/>
          <w:color w:val="auto"/>
        </w:rPr>
      </w:pPr>
    </w:p>
    <w:p>
      <w:pPr>
        <w:ind w:left="1500" w:hanging="844"/>
        <w:spacing w:after="0"/>
        <w:tabs>
          <w:tab w:leader="none" w:pos="1500"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This Agreement has been duly authorized, executed and delivered by the Company.</w:t>
      </w:r>
    </w:p>
    <w:p>
      <w:pPr>
        <w:spacing w:after="0" w:line="233" w:lineRule="exact"/>
        <w:rPr>
          <w:rFonts w:ascii="Arial" w:cs="Arial" w:eastAsia="Arial" w:hAnsi="Arial"/>
          <w:sz w:val="22"/>
          <w:szCs w:val="22"/>
          <w:color w:val="auto"/>
        </w:rPr>
      </w:pPr>
    </w:p>
    <w:p>
      <w:pPr>
        <w:ind w:right="160" w:firstLine="656"/>
        <w:spacing w:after="0" w:line="271" w:lineRule="auto"/>
        <w:tabs>
          <w:tab w:leader="none" w:pos="1440" w:val="left"/>
        </w:tabs>
        <w:numPr>
          <w:ilvl w:val="1"/>
          <w:numId w:val="47"/>
        </w:numPr>
        <w:rPr>
          <w:rFonts w:ascii="Arial" w:cs="Arial" w:eastAsia="Arial" w:hAnsi="Arial"/>
          <w:sz w:val="19"/>
          <w:szCs w:val="19"/>
          <w:color w:val="auto"/>
        </w:rPr>
      </w:pPr>
      <w:r>
        <w:rPr>
          <w:rFonts w:ascii="Arial" w:cs="Arial" w:eastAsia="Arial" w:hAnsi="Arial"/>
          <w:sz w:val="19"/>
          <w:szCs w:val="19"/>
          <w:color w:val="auto"/>
        </w:rPr>
        <w:t>No consent, approval, authorization, filing with or order of any United States (or any political subdivision thereof) court or governmental agency or body, or to the knowledge of the Company, any non-United States court or governmental agency or body, in either case is required in connection with the execution, delivery and performance of this Agreement or the consummation of the transactions contemplated hereby, except (i) registration of the Securities under the Act,</w:t>
      </w:r>
    </w:p>
    <w:p>
      <w:pPr>
        <w:spacing w:after="0" w:line="3" w:lineRule="exact"/>
        <w:rPr>
          <w:rFonts w:ascii="Arial" w:cs="Arial" w:eastAsia="Arial" w:hAnsi="Arial"/>
          <w:sz w:val="19"/>
          <w:szCs w:val="19"/>
          <w:color w:val="auto"/>
        </w:rPr>
      </w:pPr>
    </w:p>
    <w:p>
      <w:pPr>
        <w:ind w:right="40" w:firstLine="8"/>
        <w:spacing w:after="0" w:line="233" w:lineRule="auto"/>
        <w:tabs>
          <w:tab w:leader="none" w:pos="318" w:val="left"/>
        </w:tabs>
        <w:numPr>
          <w:ilvl w:val="0"/>
          <w:numId w:val="48"/>
        </w:numPr>
        <w:rPr>
          <w:rFonts w:ascii="Arial" w:cs="Arial" w:eastAsia="Arial" w:hAnsi="Arial"/>
          <w:sz w:val="22"/>
          <w:szCs w:val="22"/>
          <w:color w:val="auto"/>
        </w:rPr>
      </w:pPr>
      <w:r>
        <w:rPr>
          <w:rFonts w:ascii="Arial" w:cs="Arial" w:eastAsia="Arial" w:hAnsi="Arial"/>
          <w:sz w:val="22"/>
          <w:szCs w:val="22"/>
          <w:color w:val="auto"/>
        </w:rPr>
        <w:t>such as may be required under the blue sky laws of any jurisdiction in which the Securities are offered and sold in connection with the transactions contemplated hereby or under the Conduct Rules of the Financial Industry Regulatory Authority, Inc. (“FINRA”), (iii) filings with the Commission pursuant to Rule 424(b), (iv) filings with the Commission under the Exchange Act, or (v) as shall have been obtained or made prior to the Closing Date.</w:t>
      </w:r>
    </w:p>
    <w:p>
      <w:pPr>
        <w:spacing w:after="0" w:line="214" w:lineRule="exact"/>
        <w:rPr>
          <w:rFonts w:ascii="Arial" w:cs="Arial" w:eastAsia="Arial" w:hAnsi="Arial"/>
          <w:sz w:val="22"/>
          <w:szCs w:val="22"/>
          <w:color w:val="auto"/>
        </w:rPr>
      </w:pPr>
    </w:p>
    <w:p>
      <w:pPr>
        <w:ind w:right="260" w:firstLine="656"/>
        <w:spacing w:after="0" w:line="270" w:lineRule="auto"/>
        <w:tabs>
          <w:tab w:leader="none" w:pos="1440" w:val="left"/>
        </w:tabs>
        <w:numPr>
          <w:ilvl w:val="1"/>
          <w:numId w:val="48"/>
        </w:numPr>
        <w:rPr>
          <w:rFonts w:ascii="Arial" w:cs="Arial" w:eastAsia="Arial" w:hAnsi="Arial"/>
          <w:sz w:val="19"/>
          <w:szCs w:val="19"/>
          <w:color w:val="auto"/>
        </w:rPr>
      </w:pPr>
      <w:r>
        <w:rPr>
          <w:rFonts w:ascii="Arial" w:cs="Arial" w:eastAsia="Arial" w:hAnsi="Arial"/>
          <w:sz w:val="19"/>
          <w:szCs w:val="19"/>
          <w:color w:val="auto"/>
        </w:rPr>
        <w:t>Neither the consummation of the transactions contemplated hereby (including the Share Repurchase), nor the fulfillment of the terms hereof, will conflict with, result in a breach or violation of or imposition of any lien, charge or encumbrance upon any property or assets of the Company or any of its subsidiaries pursuant to (i) the terms of any indenture, contract, lease, mortgage, deed of trust, note agreement, loan agreement or other agreement, obligation, condition, covenant or instrument to which the Company or any of its subsidiaries is a party or bound or to which its or their property is subject; or</w:t>
      </w:r>
    </w:p>
    <w:p>
      <w:pPr>
        <w:spacing w:after="0" w:line="4" w:lineRule="exact"/>
        <w:rPr>
          <w:rFonts w:ascii="Arial" w:cs="Arial" w:eastAsia="Arial" w:hAnsi="Arial"/>
          <w:sz w:val="19"/>
          <w:szCs w:val="19"/>
          <w:color w:val="auto"/>
        </w:rPr>
      </w:pPr>
    </w:p>
    <w:p>
      <w:pPr>
        <w:ind w:right="1160" w:firstLine="8"/>
        <w:spacing w:after="0" w:line="308" w:lineRule="auto"/>
        <w:tabs>
          <w:tab w:leader="none" w:pos="318" w:val="left"/>
        </w:tabs>
        <w:numPr>
          <w:ilvl w:val="0"/>
          <w:numId w:val="49"/>
        </w:numPr>
        <w:rPr>
          <w:rFonts w:ascii="Arial" w:cs="Arial" w:eastAsia="Arial" w:hAnsi="Arial"/>
          <w:sz w:val="19"/>
          <w:szCs w:val="19"/>
          <w:color w:val="auto"/>
        </w:rPr>
      </w:pPr>
      <w:r>
        <w:rPr>
          <w:rFonts w:ascii="Arial" w:cs="Arial" w:eastAsia="Arial" w:hAnsi="Arial"/>
          <w:sz w:val="19"/>
          <w:szCs w:val="19"/>
          <w:color w:val="auto"/>
        </w:rPr>
        <w:t>any statute, law, rule, regulation, judgment, order or decree of any court, regulatory body, administrative agency, governmental body, arbitrator or other authority having jurisdiction over the Company or any of its subsidiaries</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8" w:name="page69"/>
    <w:bookmarkEnd w:id="68"/>
    <w:p>
      <w:pPr>
        <w:ind w:right="60" w:firstLine="648"/>
        <w:spacing w:after="0" w:line="297" w:lineRule="auto"/>
        <w:rPr>
          <w:sz w:val="20"/>
          <w:szCs w:val="20"/>
          <w:color w:val="auto"/>
        </w:rPr>
      </w:pPr>
      <w:r>
        <w:rPr>
          <w:rFonts w:ascii="Arial" w:cs="Arial" w:eastAsia="Arial" w:hAnsi="Arial"/>
          <w:sz w:val="19"/>
          <w:szCs w:val="19"/>
          <w:color w:val="auto"/>
        </w:rPr>
        <w:t>or any of its or their properties, other than in the cases of clauses (i) and (ii), such breaches, violations, liens, charges, or encumbrances that would not reasonably be expected to, individually or in the aggregate, have a Material Adverse Effect; or result in the violation of the charter, bylaws or any equivalent organizational document of the Company or any of its subsidiaries.</w:t>
      </w:r>
    </w:p>
    <w:p>
      <w:pPr>
        <w:spacing w:after="0" w:line="161" w:lineRule="exact"/>
        <w:rPr>
          <w:sz w:val="20"/>
          <w:szCs w:val="20"/>
          <w:color w:val="auto"/>
        </w:rPr>
      </w:pPr>
    </w:p>
    <w:p>
      <w:pPr>
        <w:jc w:val="both"/>
        <w:ind w:right="200" w:firstLine="656"/>
        <w:spacing w:after="0" w:line="273" w:lineRule="auto"/>
        <w:tabs>
          <w:tab w:leader="none" w:pos="14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There is no contract or other document of a character required to be described in the Registration Statement or Prospectus, or to be filed as an exhibit thereto, which is not described or filed as required. The statements in (i) the Preliminary Prospectus and the Prospectus under the heading “Material U.S. Federal Income and Estate Tax Consequences to Non-U.S.</w:t>
      </w:r>
    </w:p>
    <w:p>
      <w:pPr>
        <w:spacing w:after="0" w:line="1" w:lineRule="exact"/>
        <w:rPr>
          <w:rFonts w:ascii="Arial" w:cs="Arial" w:eastAsia="Arial" w:hAnsi="Arial"/>
          <w:sz w:val="19"/>
          <w:szCs w:val="19"/>
          <w:color w:val="auto"/>
        </w:rPr>
      </w:pPr>
    </w:p>
    <w:p>
      <w:pPr>
        <w:ind w:right="60"/>
        <w:spacing w:after="0" w:line="233" w:lineRule="auto"/>
        <w:rPr>
          <w:rFonts w:ascii="Arial" w:cs="Arial" w:eastAsia="Arial" w:hAnsi="Arial"/>
          <w:sz w:val="19"/>
          <w:szCs w:val="19"/>
          <w:color w:val="auto"/>
        </w:rPr>
      </w:pPr>
      <w:r>
        <w:rPr>
          <w:rFonts w:ascii="Arial" w:cs="Arial" w:eastAsia="Arial" w:hAnsi="Arial"/>
          <w:sz w:val="22"/>
          <w:szCs w:val="22"/>
          <w:color w:val="auto"/>
        </w:rPr>
        <w:t>Holders” and (ii) the Annual Report, incorporated by reference into the Preliminary Prospectus and the Prospectus, under the headings “Business—Governmental Regulations,” “Legal Proceedings” and “Business—Intellectual Property” insofar as such statements summarize legal matters, agreements, documents or proceedings discussed therein, are accurate and fair summaries of such legal matters, agreements, documents or proceedings.</w:t>
      </w:r>
    </w:p>
    <w:p>
      <w:pPr>
        <w:spacing w:after="0" w:line="214" w:lineRule="exact"/>
        <w:rPr>
          <w:rFonts w:ascii="Arial" w:cs="Arial" w:eastAsia="Arial" w:hAnsi="Arial"/>
          <w:sz w:val="19"/>
          <w:szCs w:val="19"/>
          <w:color w:val="auto"/>
        </w:rPr>
      </w:pPr>
    </w:p>
    <w:p>
      <w:pPr>
        <w:ind w:right="180" w:firstLine="656"/>
        <w:spacing w:after="0" w:line="238" w:lineRule="auto"/>
        <w:tabs>
          <w:tab w:leader="none" w:pos="1440" w:val="left"/>
        </w:tabs>
        <w:numPr>
          <w:ilvl w:val="0"/>
          <w:numId w:val="50"/>
        </w:numPr>
        <w:rPr>
          <w:rFonts w:ascii="Arial" w:cs="Arial" w:eastAsia="Arial" w:hAnsi="Arial"/>
          <w:sz w:val="22"/>
          <w:szCs w:val="22"/>
          <w:color w:val="auto"/>
        </w:rPr>
      </w:pPr>
      <w:r>
        <w:rPr>
          <w:rFonts w:ascii="Arial" w:cs="Arial" w:eastAsia="Arial" w:hAnsi="Arial"/>
          <w:sz w:val="22"/>
          <w:szCs w:val="22"/>
          <w:color w:val="auto"/>
        </w:rPr>
        <w:t>No holders of securities of the Company have rights to the registration of such securities under the Registration Statement, other than as required by the Amended and Restated Registration Rights Agreement, dated as of October 6, 2020, among the Company and the shareholders party thereto (as amended, supplemented or otherwise modified from time to time prior to the date hereof).</w:t>
      </w:r>
    </w:p>
    <w:p>
      <w:pPr>
        <w:spacing w:after="0" w:line="211" w:lineRule="exact"/>
        <w:rPr>
          <w:rFonts w:ascii="Arial" w:cs="Arial" w:eastAsia="Arial" w:hAnsi="Arial"/>
          <w:sz w:val="22"/>
          <w:szCs w:val="22"/>
          <w:color w:val="auto"/>
        </w:rPr>
      </w:pPr>
    </w:p>
    <w:p>
      <w:pPr>
        <w:ind w:firstLine="656"/>
        <w:spacing w:after="0" w:line="246" w:lineRule="auto"/>
        <w:tabs>
          <w:tab w:leader="none" w:pos="1404" w:val="left"/>
        </w:tabs>
        <w:numPr>
          <w:ilvl w:val="0"/>
          <w:numId w:val="50"/>
        </w:numPr>
        <w:rPr>
          <w:rFonts w:ascii="Arial" w:cs="Arial" w:eastAsia="Arial" w:hAnsi="Arial"/>
          <w:sz w:val="21"/>
          <w:szCs w:val="21"/>
          <w:color w:val="auto"/>
        </w:rPr>
      </w:pPr>
      <w:r>
        <w:rPr>
          <w:rFonts w:ascii="Arial" w:cs="Arial" w:eastAsia="Arial" w:hAnsi="Arial"/>
          <w:sz w:val="21"/>
          <w:szCs w:val="21"/>
          <w:color w:val="auto"/>
        </w:rPr>
        <w:t>Except as set forth in the Disclosure Package and the Prospectus, the consolidated historical financial statements included or incorporated by reference in the Disclosure Package and the Prospectus present fairly in all material respects the consolidated financial position, results of operations and cash flows of the entities to which they relate as of the dates and for the periods indicated and have been prepared in conformity with United States generally accepted accounting principles applied on a consistent basis throughout the periods involved (except as otherwise noted therein); and the summary historical financial data set forth under the heading “Summary—Summary Historical Consolidated Financial and Other Data” in the Disclosure Package and the Prospectus fairly presents in all material respects, on the basis stated in the Disclosure Package and the Prospectus, the information included therein.</w:t>
      </w:r>
    </w:p>
    <w:p>
      <w:pPr>
        <w:spacing w:after="0" w:line="206" w:lineRule="exact"/>
        <w:rPr>
          <w:rFonts w:ascii="Arial" w:cs="Arial" w:eastAsia="Arial" w:hAnsi="Arial"/>
          <w:sz w:val="21"/>
          <w:szCs w:val="21"/>
          <w:color w:val="auto"/>
        </w:rPr>
      </w:pPr>
    </w:p>
    <w:p>
      <w:pPr>
        <w:ind w:right="100" w:firstLine="656"/>
        <w:spacing w:after="0" w:line="246" w:lineRule="auto"/>
        <w:tabs>
          <w:tab w:leader="none" w:pos="1416" w:val="left"/>
        </w:tabs>
        <w:numPr>
          <w:ilvl w:val="0"/>
          <w:numId w:val="50"/>
        </w:numPr>
        <w:rPr>
          <w:rFonts w:ascii="Arial" w:cs="Arial" w:eastAsia="Arial" w:hAnsi="Arial"/>
          <w:sz w:val="21"/>
          <w:szCs w:val="21"/>
          <w:color w:val="auto"/>
        </w:rPr>
      </w:pPr>
      <w:r>
        <w:rPr>
          <w:rFonts w:ascii="Arial" w:cs="Arial" w:eastAsia="Arial" w:hAnsi="Arial"/>
          <w:sz w:val="21"/>
          <w:szCs w:val="21"/>
          <w:color w:val="auto"/>
        </w:rPr>
        <w:t>Except as otherwise set forth therein, since the respective dates as of which information is given in the Disclosure Package or the Prospectus, (i) there has not occurred any material adverse change or development that could reasonably be expected to involve a prospective material adverse change, in the condition (financial or otherwise), business or results of operations of the Company and its subsidiaries, taken as a whole, (ii) there have been no transactions entered into by the Company or any of its subsidiaries, other than those in the ordinary course of business, which are material with respect to the Company and its subsidiaries, taken as a whole, and (iii) there has been no dividend or distribution of any kind declared, paid or made by the Company on any class of its capital stock.</w:t>
      </w:r>
    </w:p>
    <w:p>
      <w:pPr>
        <w:spacing w:after="0" w:line="211" w:lineRule="exact"/>
        <w:rPr>
          <w:rFonts w:ascii="Arial" w:cs="Arial" w:eastAsia="Arial" w:hAnsi="Arial"/>
          <w:sz w:val="21"/>
          <w:szCs w:val="21"/>
          <w:color w:val="auto"/>
        </w:rPr>
      </w:pPr>
    </w:p>
    <w:p>
      <w:pPr>
        <w:ind w:firstLine="656"/>
        <w:spacing w:after="0" w:line="297" w:lineRule="auto"/>
        <w:tabs>
          <w:tab w:leader="none" w:pos="1392" w:val="left"/>
        </w:tabs>
        <w:numPr>
          <w:ilvl w:val="0"/>
          <w:numId w:val="50"/>
        </w:numPr>
        <w:rPr>
          <w:rFonts w:ascii="Arial" w:cs="Arial" w:eastAsia="Arial" w:hAnsi="Arial"/>
          <w:sz w:val="19"/>
          <w:szCs w:val="19"/>
          <w:color w:val="auto"/>
        </w:rPr>
      </w:pPr>
      <w:r>
        <w:rPr>
          <w:rFonts w:ascii="Arial" w:cs="Arial" w:eastAsia="Arial" w:hAnsi="Arial"/>
          <w:sz w:val="19"/>
          <w:szCs w:val="19"/>
          <w:color w:val="auto"/>
        </w:rPr>
        <w:t>Except as set forth in or contemplated in the Disclosure Package and the Prospectus (exclusive of any supplement thereto), no action, suit, proceeding, investigation or audit by or before any court or governmental agency, authority or body or any arbitrator involving the Company or any of its subsidiaries or their respective property is pending or, to the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jc w:val="both"/>
        <w:ind w:right="140" w:firstLine="648"/>
        <w:spacing w:after="0"/>
        <w:rPr>
          <w:sz w:val="20"/>
          <w:szCs w:val="20"/>
          <w:color w:val="auto"/>
        </w:rPr>
      </w:pPr>
      <w:r>
        <w:rPr>
          <w:rFonts w:ascii="Arial" w:cs="Arial" w:eastAsia="Arial" w:hAnsi="Arial"/>
          <w:sz w:val="22"/>
          <w:szCs w:val="22"/>
          <w:color w:val="auto"/>
        </w:rPr>
        <w:t>knowledge of the Company, threatened or contemplated that (i) would reasonably be expected to have a material adverse effect on the performance of this Agreement or the consummation of any of the transactions contemplated hereby, or (ii) would reasonably be expected to have a Material Adverse Effect.</w:t>
      </w:r>
    </w:p>
    <w:p>
      <w:pPr>
        <w:spacing w:after="0" w:line="214" w:lineRule="exact"/>
        <w:rPr>
          <w:sz w:val="20"/>
          <w:szCs w:val="20"/>
          <w:color w:val="auto"/>
        </w:rPr>
      </w:pPr>
    </w:p>
    <w:p>
      <w:pPr>
        <w:ind w:right="20" w:firstLine="656"/>
        <w:spacing w:after="0" w:line="248" w:lineRule="auto"/>
        <w:tabs>
          <w:tab w:leader="none" w:pos="1440" w:val="left"/>
        </w:tabs>
        <w:numPr>
          <w:ilvl w:val="0"/>
          <w:numId w:val="51"/>
        </w:numPr>
        <w:rPr>
          <w:rFonts w:ascii="Arial" w:cs="Arial" w:eastAsia="Arial" w:hAnsi="Arial"/>
          <w:sz w:val="21"/>
          <w:szCs w:val="21"/>
          <w:color w:val="auto"/>
        </w:rPr>
      </w:pPr>
      <w:r>
        <w:rPr>
          <w:rFonts w:ascii="Arial" w:cs="Arial" w:eastAsia="Arial" w:hAnsi="Arial"/>
          <w:sz w:val="21"/>
          <w:szCs w:val="21"/>
          <w:color w:val="auto"/>
        </w:rPr>
        <w:t>The Company and its subsidiaries have good and marketable title in fee simple to all real property owned by them and good and marketable title to all personal property owned by them, in each case free and clear of all liens, encumbrances and defects except (i) pursuant to the Debt Documents or (ii) where failure to have such good and marketable title or free and clear title would not reasonably be expected to have a Material Adverse Effect; and any real property and buildings held under lease by the Company and its subsidiaries are held by them under valid, subsisting and enforceable leases with such exceptions as would not reasonably be expected to have a Material Adverse Effect.</w:t>
      </w:r>
    </w:p>
    <w:p>
      <w:pPr>
        <w:spacing w:after="0" w:line="203" w:lineRule="exact"/>
        <w:rPr>
          <w:rFonts w:ascii="Arial" w:cs="Arial" w:eastAsia="Arial" w:hAnsi="Arial"/>
          <w:sz w:val="21"/>
          <w:szCs w:val="21"/>
          <w:color w:val="auto"/>
        </w:rPr>
      </w:pPr>
    </w:p>
    <w:p>
      <w:pPr>
        <w:ind w:right="100" w:firstLine="656"/>
        <w:spacing w:after="0" w:line="274" w:lineRule="auto"/>
        <w:tabs>
          <w:tab w:leader="none" w:pos="1440" w:val="left"/>
        </w:tabs>
        <w:numPr>
          <w:ilvl w:val="0"/>
          <w:numId w:val="51"/>
        </w:numPr>
        <w:rPr>
          <w:rFonts w:ascii="Arial" w:cs="Arial" w:eastAsia="Arial" w:hAnsi="Arial"/>
          <w:sz w:val="19"/>
          <w:szCs w:val="19"/>
          <w:color w:val="auto"/>
        </w:rPr>
      </w:pPr>
      <w:r>
        <w:rPr>
          <w:rFonts w:ascii="Arial" w:cs="Arial" w:eastAsia="Arial" w:hAnsi="Arial"/>
          <w:sz w:val="19"/>
          <w:szCs w:val="19"/>
          <w:color w:val="auto"/>
        </w:rPr>
        <w:t>Except as set forth in or contemplated in the Disclosure Package and the Prospectus (exclusive of any supplement thereto), none of the Company or any of its subsidiaries is in violation or default of (i) any provision of its charter, bylaws or any equivalent organizational document;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applicable to the Company or any its subsidiaries of any court, regulatory body, administrative agency, governmental body, arbitrator or other authority having jurisdiction over the Company, its subsidiaries or any of their respective properties, as applicable, other than in the cases of clauses (i) (if such entity is not the Company or a Significant Subsidiary), (ii) and (iii), such violations and defaults that would not reasonably be expected to have a Material Adverse Effect.</w:t>
      </w:r>
    </w:p>
    <w:p>
      <w:pPr>
        <w:spacing w:after="0" w:line="185" w:lineRule="exact"/>
        <w:rPr>
          <w:rFonts w:ascii="Arial" w:cs="Arial" w:eastAsia="Arial" w:hAnsi="Arial"/>
          <w:sz w:val="19"/>
          <w:szCs w:val="19"/>
          <w:color w:val="auto"/>
        </w:rPr>
      </w:pPr>
    </w:p>
    <w:p>
      <w:pPr>
        <w:ind w:firstLine="656"/>
        <w:spacing w:after="0" w:line="236" w:lineRule="auto"/>
        <w:tabs>
          <w:tab w:leader="none" w:pos="1488" w:val="left"/>
        </w:tabs>
        <w:numPr>
          <w:ilvl w:val="0"/>
          <w:numId w:val="51"/>
        </w:numPr>
        <w:rPr>
          <w:rFonts w:ascii="Arial" w:cs="Arial" w:eastAsia="Arial" w:hAnsi="Arial"/>
          <w:sz w:val="22"/>
          <w:szCs w:val="22"/>
          <w:color w:val="auto"/>
        </w:rPr>
      </w:pPr>
      <w:r>
        <w:rPr>
          <w:rFonts w:ascii="Arial" w:cs="Arial" w:eastAsia="Arial" w:hAnsi="Arial"/>
          <w:sz w:val="22"/>
          <w:szCs w:val="22"/>
          <w:color w:val="auto"/>
        </w:rPr>
        <w:t>Deloitte &amp; Touche LLP, who has audited the consolidated financial statements of Academy Sports and Outdoors, Inc. and its subsidiaries as of January 30, 2021 and February 1, 2020 and for each of the three years in the period ended January 30, 2021, each included in the Disclosure Package and the Prospectus, are independent registered public accountants with respect to the Company within the meaning of the Exchange Act and the rules of the Public Company Accounting Oversight Board.</w:t>
      </w:r>
    </w:p>
    <w:p>
      <w:pPr>
        <w:spacing w:after="0" w:line="214" w:lineRule="exact"/>
        <w:rPr>
          <w:rFonts w:ascii="Arial" w:cs="Arial" w:eastAsia="Arial" w:hAnsi="Arial"/>
          <w:sz w:val="22"/>
          <w:szCs w:val="22"/>
          <w:color w:val="auto"/>
        </w:rPr>
      </w:pPr>
    </w:p>
    <w:p>
      <w:pPr>
        <w:ind w:right="40" w:firstLine="656"/>
        <w:spacing w:after="0" w:line="234" w:lineRule="auto"/>
        <w:tabs>
          <w:tab w:leader="none" w:pos="1440" w:val="left"/>
        </w:tabs>
        <w:numPr>
          <w:ilvl w:val="0"/>
          <w:numId w:val="51"/>
        </w:numPr>
        <w:rPr>
          <w:rFonts w:ascii="Arial" w:cs="Arial" w:eastAsia="Arial" w:hAnsi="Arial"/>
          <w:sz w:val="22"/>
          <w:szCs w:val="22"/>
          <w:color w:val="auto"/>
        </w:rPr>
      </w:pPr>
      <w:r>
        <w:rPr>
          <w:rFonts w:ascii="Arial" w:cs="Arial" w:eastAsia="Arial" w:hAnsi="Arial"/>
          <w:sz w:val="22"/>
          <w:szCs w:val="22"/>
          <w:color w:val="auto"/>
        </w:rPr>
        <w:t>Except as set forth in or contemplated in the Disclosure Package and the Prospectus (exclusive of any supplement thereto), the Company and its subsidiaries (i) have filed all non-U.S., U.S. federal, state and local tax returns that are required to be filed or have requested extensions thereof, except in any case in which the failure to file would not reasonably be expected to have a Material Adverse Effect, and (ii) have paid all taxes required to be paid by them and any other tax assessment, fine or penalty levied against them, to the extent that any of the foregoing is due and payable, except for any such tax, tax assessment, fine or penalty that is currently being contested in good faith or as would not reasonably be expected to have a Material Adverse Effect.</w:t>
      </w:r>
    </w:p>
    <w:p>
      <w:pPr>
        <w:spacing w:after="0" w:line="217" w:lineRule="exact"/>
        <w:rPr>
          <w:rFonts w:ascii="Arial" w:cs="Arial" w:eastAsia="Arial" w:hAnsi="Arial"/>
          <w:sz w:val="22"/>
          <w:szCs w:val="22"/>
          <w:color w:val="auto"/>
        </w:rPr>
      </w:pPr>
    </w:p>
    <w:p>
      <w:pPr>
        <w:ind w:right="260" w:firstLine="656"/>
        <w:spacing w:after="0"/>
        <w:tabs>
          <w:tab w:leader="none" w:pos="1440" w:val="left"/>
        </w:tabs>
        <w:numPr>
          <w:ilvl w:val="0"/>
          <w:numId w:val="51"/>
        </w:numPr>
        <w:rPr>
          <w:rFonts w:ascii="Arial" w:cs="Arial" w:eastAsia="Arial" w:hAnsi="Arial"/>
          <w:sz w:val="22"/>
          <w:szCs w:val="22"/>
          <w:color w:val="auto"/>
        </w:rPr>
      </w:pPr>
      <w:r>
        <w:rPr>
          <w:rFonts w:ascii="Arial" w:cs="Arial" w:eastAsia="Arial" w:hAnsi="Arial"/>
          <w:sz w:val="22"/>
          <w:szCs w:val="22"/>
          <w:color w:val="auto"/>
        </w:rPr>
        <w:t>No labor problem or dispute with the employees of the Company or any of its subsidiaries exists or to the Company’s knowledge, is threatened, and the Company is unaware of any existing labor problem or dispute, that, in each case, would reasonably be expected to have a Material Adverse Effect.</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ind w:left="-8" w:right="140" w:firstLine="656"/>
        <w:spacing w:after="0" w:line="282" w:lineRule="auto"/>
        <w:tabs>
          <w:tab w:leader="none" w:pos="1420"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Company and its subsidiaries, take as a whole, have insurance in amounts and against such losses and risks as such party believes to be customary for companies engaged in similar business in similar industries and markets; and neither the Company nor any of its subsidiaries has received written notice from any insurer or agent of such insurer that capital improvements or other expenditures are required or necessary to be made in order to continue such insurance, except, in each case, that would not reasonably be expected to have a Material Adverse Effect.</w:t>
      </w:r>
    </w:p>
    <w:p>
      <w:pPr>
        <w:spacing w:after="0" w:line="174" w:lineRule="exact"/>
        <w:rPr>
          <w:sz w:val="20"/>
          <w:szCs w:val="20"/>
          <w:color w:val="auto"/>
        </w:rPr>
      </w:pPr>
    </w:p>
    <w:p>
      <w:pPr>
        <w:ind w:left="-8" w:right="160" w:firstLine="656"/>
        <w:spacing w:after="0" w:line="275" w:lineRule="auto"/>
        <w:tabs>
          <w:tab w:leader="none" w:pos="1516" w:val="left"/>
        </w:tabs>
        <w:numPr>
          <w:ilvl w:val="1"/>
          <w:numId w:val="53"/>
        </w:numPr>
        <w:rPr>
          <w:rFonts w:ascii="Arial" w:cs="Arial" w:eastAsia="Arial" w:hAnsi="Arial"/>
          <w:sz w:val="19"/>
          <w:szCs w:val="19"/>
          <w:color w:val="auto"/>
        </w:rPr>
      </w:pPr>
      <w:r>
        <w:rPr>
          <w:rFonts w:ascii="Arial" w:cs="Arial" w:eastAsia="Arial" w:hAnsi="Arial"/>
          <w:sz w:val="19"/>
          <w:szCs w:val="19"/>
          <w:color w:val="auto"/>
        </w:rPr>
        <w:t>No subsidiary of the Company is prohibited, directly or indirectly, from paying any dividends to the Company or any other subsidiary (except as may be limited by applicable state or foreign corporation, limited liability company, limited partnership, partnership, insurance or other applicable regulatory law), from making any other distribution on such subsidiary’s capital stock or membership interests (except as may be limited by applicable state or foreign corporation, limited liability company, limited partnership, partnership, insurance or other applicable regulatory law), from repaying to the Company or any other subsidiary any loans or advances to such subsidiary from the Company or any other subsidiary or from transferring any of such subsidiary’s property or assets to the Company or any other subsidiary of the Company, except as described in the Disclosure Package and the Prospectus (exclusive of any supplement thereto) or contemplated pursuant to the Debt Documents.</w:t>
      </w:r>
    </w:p>
    <w:p>
      <w:pPr>
        <w:spacing w:after="0" w:line="184" w:lineRule="exact"/>
        <w:rPr>
          <w:rFonts w:ascii="Arial" w:cs="Arial" w:eastAsia="Arial" w:hAnsi="Arial"/>
          <w:sz w:val="19"/>
          <w:szCs w:val="19"/>
          <w:color w:val="auto"/>
        </w:rPr>
      </w:pPr>
    </w:p>
    <w:p>
      <w:pPr>
        <w:ind w:left="-8" w:firstLine="656"/>
        <w:spacing w:after="0" w:line="277" w:lineRule="auto"/>
        <w:tabs>
          <w:tab w:leader="none" w:pos="1540" w:val="left"/>
        </w:tabs>
        <w:numPr>
          <w:ilvl w:val="1"/>
          <w:numId w:val="53"/>
        </w:numPr>
        <w:rPr>
          <w:rFonts w:ascii="Arial" w:cs="Arial" w:eastAsia="Arial" w:hAnsi="Arial"/>
          <w:sz w:val="19"/>
          <w:szCs w:val="19"/>
          <w:color w:val="auto"/>
        </w:rPr>
      </w:pPr>
      <w:r>
        <w:rPr>
          <w:rFonts w:ascii="Arial" w:cs="Arial" w:eastAsia="Arial" w:hAnsi="Arial"/>
          <w:sz w:val="19"/>
          <w:szCs w:val="19"/>
          <w:color w:val="auto"/>
        </w:rPr>
        <w:t>Except as set forth in or contemplated in the Disclosure Package and the Prospectus (exclusive of any supplement thereto), (i) the Company and its subsidiaries possess all licenses, certificates, permits and other authorizations issued by the appropriate U.S. federal, state or non-U.S. regulatory authorities necessary to conduct their respective businesses, except where the failure to possess such licenses, certificates, permits and other authorizations would not reasonably be expected to have a Material Adverse Effect, and (ii) none of the Company or any of its subsidiaries has received any notice of proceedings relating to the revocation or modification of any such certificate, authorization or permit that, individually or in the aggregate, if the subject of an unfavorable decision, ruling or finding, would reasonably be expected to have a Material Adverse Effect.</w:t>
      </w:r>
    </w:p>
    <w:p>
      <w:pPr>
        <w:spacing w:after="0" w:line="178" w:lineRule="exact"/>
        <w:rPr>
          <w:rFonts w:ascii="Arial" w:cs="Arial" w:eastAsia="Arial" w:hAnsi="Arial"/>
          <w:sz w:val="19"/>
          <w:szCs w:val="19"/>
          <w:color w:val="auto"/>
        </w:rPr>
      </w:pPr>
    </w:p>
    <w:p>
      <w:pPr>
        <w:ind w:left="-8" w:right="560" w:firstLine="656"/>
        <w:spacing w:after="0" w:line="276" w:lineRule="auto"/>
        <w:tabs>
          <w:tab w:leader="none" w:pos="1516" w:val="left"/>
        </w:tabs>
        <w:numPr>
          <w:ilvl w:val="1"/>
          <w:numId w:val="53"/>
        </w:numPr>
        <w:rPr>
          <w:rFonts w:ascii="Arial" w:cs="Arial" w:eastAsia="Arial" w:hAnsi="Arial"/>
          <w:sz w:val="19"/>
          <w:szCs w:val="19"/>
          <w:color w:val="auto"/>
        </w:rPr>
      </w:pPr>
      <w:r>
        <w:rPr>
          <w:rFonts w:ascii="Arial" w:cs="Arial" w:eastAsia="Arial" w:hAnsi="Arial"/>
          <w:sz w:val="19"/>
          <w:szCs w:val="19"/>
          <w:color w:val="auto"/>
        </w:rPr>
        <w:t>The Company and its subsidiaries maintain a system of internal accounting controls sufficient to provide reasonable assurance that (i) transactions are executed in accordance with management’s general or specific authorizations;</w:t>
      </w:r>
    </w:p>
    <w:p>
      <w:pPr>
        <w:spacing w:after="0" w:line="1" w:lineRule="exact"/>
        <w:rPr>
          <w:rFonts w:ascii="Arial" w:cs="Arial" w:eastAsia="Arial" w:hAnsi="Arial"/>
          <w:sz w:val="19"/>
          <w:szCs w:val="19"/>
          <w:color w:val="auto"/>
        </w:rPr>
      </w:pPr>
    </w:p>
    <w:p>
      <w:pPr>
        <w:ind w:left="-8" w:right="40" w:firstLine="8"/>
        <w:spacing w:after="0" w:line="232" w:lineRule="auto"/>
        <w:tabs>
          <w:tab w:leader="none" w:pos="310" w:val="left"/>
        </w:tabs>
        <w:numPr>
          <w:ilvl w:val="0"/>
          <w:numId w:val="54"/>
        </w:numPr>
        <w:rPr>
          <w:rFonts w:ascii="Arial" w:cs="Arial" w:eastAsia="Arial" w:hAnsi="Arial"/>
          <w:sz w:val="22"/>
          <w:szCs w:val="22"/>
          <w:color w:val="auto"/>
        </w:rPr>
      </w:pPr>
      <w:r>
        <w:rPr>
          <w:rFonts w:ascii="Arial" w:cs="Arial" w:eastAsia="Arial" w:hAnsi="Arial"/>
          <w:sz w:val="22"/>
          <w:szCs w:val="22"/>
          <w:color w:val="auto"/>
        </w:rPr>
        <w:t>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set forth in the Disclosure Package and the Prospectus, the Company is not aware of any material weakness in the Company and its subsidiaries’ internal controls over financial reporting.</w:t>
      </w:r>
    </w:p>
    <w:p>
      <w:pPr>
        <w:spacing w:after="0" w:line="151"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361" w:right="359" w:bottom="1440" w:gutter="0" w:footer="0" w:header="0"/>
        </w:sectPr>
      </w:pPr>
    </w:p>
    <w:bookmarkStart w:id="71" w:name="page72"/>
    <w:bookmarkEnd w:id="71"/>
    <w:p>
      <w:pPr>
        <w:ind w:left="-8" w:right="380" w:firstLine="656"/>
        <w:spacing w:after="0" w:line="250" w:lineRule="auto"/>
        <w:tabs>
          <w:tab w:leader="none" w:pos="1540" w:val="left"/>
        </w:tabs>
        <w:numPr>
          <w:ilvl w:val="1"/>
          <w:numId w:val="55"/>
        </w:numPr>
        <w:rPr>
          <w:rFonts w:ascii="Arial" w:cs="Arial" w:eastAsia="Arial" w:hAnsi="Arial"/>
          <w:sz w:val="22"/>
          <w:szCs w:val="22"/>
          <w:color w:val="auto"/>
        </w:rPr>
      </w:pPr>
      <w:r>
        <w:rPr>
          <w:rFonts w:ascii="Arial" w:cs="Arial" w:eastAsia="Arial" w:hAnsi="Arial"/>
          <w:sz w:val="22"/>
          <w:szCs w:val="22"/>
          <w:color w:val="auto"/>
        </w:rPr>
        <w:t>The Company and its subsidiaries maintain “disclosure controls and procedures” (as such term is defined in Rule 13a-15(e) under the Exchange Act); such disclosure controls and procedures are effective.</w:t>
      </w:r>
    </w:p>
    <w:p>
      <w:pPr>
        <w:spacing w:after="0" w:line="201" w:lineRule="exact"/>
        <w:rPr>
          <w:rFonts w:ascii="Arial" w:cs="Arial" w:eastAsia="Arial" w:hAnsi="Arial"/>
          <w:sz w:val="22"/>
          <w:szCs w:val="22"/>
          <w:color w:val="auto"/>
        </w:rPr>
      </w:pPr>
    </w:p>
    <w:p>
      <w:pPr>
        <w:ind w:left="-8" w:firstLine="656"/>
        <w:spacing w:after="0" w:line="269" w:lineRule="auto"/>
        <w:tabs>
          <w:tab w:leader="none" w:pos="1516" w:val="left"/>
        </w:tabs>
        <w:numPr>
          <w:ilvl w:val="1"/>
          <w:numId w:val="55"/>
        </w:numPr>
        <w:rPr>
          <w:rFonts w:ascii="Arial" w:cs="Arial" w:eastAsia="Arial" w:hAnsi="Arial"/>
          <w:sz w:val="19"/>
          <w:szCs w:val="19"/>
          <w:color w:val="auto"/>
        </w:rPr>
      </w:pPr>
      <w:r>
        <w:rPr>
          <w:rFonts w:ascii="Arial" w:cs="Arial" w:eastAsia="Arial" w:hAnsi="Arial"/>
          <w:sz w:val="19"/>
          <w:szCs w:val="19"/>
          <w:color w:val="auto"/>
        </w:rPr>
        <w:t>Except as set forth in or contemplated in the Disclosure Package and the Prospectus (exclusive of any supplement thereto), the Company and its subsidiaries (i) are in compliance with any and all applicable non-U.S., U.S. federal, state and local laws and regulations relating to the protection of human health and safety (as such is affected by hazardous or toxic substances or wastes (including, without limitation, medical waste), pollutants or contaminants), or of the environment or the release of hazardous or toxic substances or wastes, pollutants or contaminants (“Environmental Laws”); (ii) have received and are in compliance with all permits, licenses or other approvals required of them under applicable Environmental Laws to conduct their respective businesses; (iii) have not received notice of any actual or potential liability under any Environmental Law; and</w:t>
      </w:r>
    </w:p>
    <w:p>
      <w:pPr>
        <w:spacing w:after="0" w:line="4" w:lineRule="exact"/>
        <w:rPr>
          <w:rFonts w:ascii="Arial" w:cs="Arial" w:eastAsia="Arial" w:hAnsi="Arial"/>
          <w:sz w:val="19"/>
          <w:szCs w:val="19"/>
          <w:color w:val="auto"/>
        </w:rPr>
      </w:pPr>
    </w:p>
    <w:p>
      <w:pPr>
        <w:ind w:left="-8" w:right="40" w:firstLine="8"/>
        <w:spacing w:after="0" w:line="280" w:lineRule="auto"/>
        <w:tabs>
          <w:tab w:leader="none" w:pos="358" w:val="left"/>
        </w:tabs>
        <w:numPr>
          <w:ilvl w:val="0"/>
          <w:numId w:val="56"/>
        </w:numPr>
        <w:rPr>
          <w:rFonts w:ascii="Arial" w:cs="Arial" w:eastAsia="Arial" w:hAnsi="Arial"/>
          <w:sz w:val="19"/>
          <w:szCs w:val="19"/>
          <w:color w:val="auto"/>
        </w:rPr>
      </w:pPr>
      <w:r>
        <w:rPr>
          <w:rFonts w:ascii="Arial" w:cs="Arial" w:eastAsia="Arial" w:hAnsi="Arial"/>
          <w:sz w:val="19"/>
          <w:szCs w:val="19"/>
          <w:color w:val="auto"/>
        </w:rPr>
        <w:t>have not been named as a “potentially responsible party” under the Comprehensive Environmental Response, Compensation, and Liability Act of 1980, as amended, except where such non-compliance with Environmental Laws, failure to receive or comply with such required permits, licenses or other approvals, such liability or status as a potentially responsible party would not reasonably be expected to, individually or in the aggregate, have a Material Adverse Effect.</w:t>
      </w:r>
    </w:p>
    <w:p>
      <w:pPr>
        <w:spacing w:after="0" w:line="177" w:lineRule="exact"/>
        <w:rPr>
          <w:rFonts w:ascii="Arial" w:cs="Arial" w:eastAsia="Arial" w:hAnsi="Arial"/>
          <w:sz w:val="19"/>
          <w:szCs w:val="19"/>
          <w:color w:val="auto"/>
        </w:rPr>
      </w:pPr>
    </w:p>
    <w:p>
      <w:pPr>
        <w:jc w:val="both"/>
        <w:ind w:left="-8" w:right="420" w:firstLine="656"/>
        <w:spacing w:after="0" w:line="257" w:lineRule="auto"/>
        <w:tabs>
          <w:tab w:leader="none" w:pos="1464" w:val="left"/>
        </w:tabs>
        <w:numPr>
          <w:ilvl w:val="1"/>
          <w:numId w:val="56"/>
        </w:numPr>
        <w:rPr>
          <w:rFonts w:ascii="Arial" w:cs="Arial" w:eastAsia="Arial" w:hAnsi="Arial"/>
          <w:sz w:val="21"/>
          <w:szCs w:val="21"/>
          <w:color w:val="auto"/>
        </w:rPr>
      </w:pPr>
      <w:r>
        <w:rPr>
          <w:rFonts w:ascii="Arial" w:cs="Arial" w:eastAsia="Arial" w:hAnsi="Arial"/>
          <w:sz w:val="21"/>
          <w:szCs w:val="21"/>
          <w:color w:val="auto"/>
        </w:rPr>
        <w:t>Neither the Company nor any of its subsidiaries has established or maintains a “pension plan” (as defined in Section 3(2) of the Employee Retirement Income Security Act of 1974, as amended (“ERISA”)) that is subject to Title IV of ERISA or Section 412 or Section 4971 of the Internal Revenue Code of 1986, as amended.</w:t>
      </w:r>
    </w:p>
    <w:p>
      <w:pPr>
        <w:spacing w:after="0" w:line="196" w:lineRule="exact"/>
        <w:rPr>
          <w:rFonts w:ascii="Arial" w:cs="Arial" w:eastAsia="Arial" w:hAnsi="Arial"/>
          <w:sz w:val="21"/>
          <w:szCs w:val="21"/>
          <w:color w:val="auto"/>
        </w:rPr>
      </w:pPr>
    </w:p>
    <w:p>
      <w:pPr>
        <w:ind w:left="-8" w:right="60" w:firstLine="656"/>
        <w:spacing w:after="0" w:line="271" w:lineRule="auto"/>
        <w:tabs>
          <w:tab w:leader="none" w:pos="1540" w:val="left"/>
        </w:tabs>
        <w:numPr>
          <w:ilvl w:val="1"/>
          <w:numId w:val="56"/>
        </w:numPr>
        <w:rPr>
          <w:rFonts w:ascii="Arial" w:cs="Arial" w:eastAsia="Arial" w:hAnsi="Arial"/>
          <w:sz w:val="19"/>
          <w:szCs w:val="19"/>
          <w:color w:val="auto"/>
        </w:rPr>
      </w:pPr>
      <w:r>
        <w:rPr>
          <w:rFonts w:ascii="Arial" w:cs="Arial" w:eastAsia="Arial" w:hAnsi="Arial"/>
          <w:sz w:val="19"/>
          <w:szCs w:val="19"/>
          <w:color w:val="auto"/>
        </w:rPr>
        <w:t>The Company and its subsidiaries own, possess, license or have other rights to use all patents, trademarks and service marks, trade names, copyrights, domain names (in each case including all registrations and applications to register same), inventions, trade secrets, technology, know-how and other intellectual property (collectively, the “Intellectual Property”) necessary for the conduct of their respective businesses as now conducted or as proposed in the Disclosure Package and the Prospectus to be conducted, except where the failure to own, possess, license or otherwise have such rights would not reasonably be expected to have a Material Adverse Effect. Except as set forth in the Disclosure Package and the Prospectus, or except as would not reasonably be expected to have a Material Adverse Effect, (i) the Company and its subsidiaries own, or have rights to use under license or otherwise, all such Intellectual Property free and clear in all respects of all adverse claims, liens or other encumbrances, except for claims, liens or other encumbrances pursuant to the Debt Documents; (ii) to the knowledge of the Company, there is no infringement by third parties of any such Intellectual Property; (iii) there is no pending or, to the Company’s knowledge, threatened action, suit, proceeding or claim by any third party challenging the Company’s or its subsidiaries’ rights in or to any such Intellectual Property; (iv) there is no pending or, to the Company’s knowledge, threatened action, suit, proceeding or claim by any third party challenging the validity, scope or enforceability of any such Intellectual Property; and (v) there is no pending or, to the Company’s knowledge, threatened action, suit, proceeding or claim by any third party that the Company or any of its subsidiaries infringes or otherwise violates any patent, trademark, copyright, trade secret or other proprietary rights of any third party.</w:t>
      </w:r>
    </w:p>
    <w:p>
      <w:pPr>
        <w:spacing w:after="0" w:line="366"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61" w:right="339" w:bottom="1440" w:gutter="0" w:footer="0" w:header="0"/>
        </w:sectPr>
      </w:pPr>
    </w:p>
    <w:bookmarkStart w:id="72" w:name="page73"/>
    <w:bookmarkEnd w:id="72"/>
    <w:p>
      <w:pPr>
        <w:ind w:left="1520" w:hanging="904"/>
        <w:spacing w:after="0"/>
        <w:tabs>
          <w:tab w:leader="none" w:pos="1520" w:val="left"/>
        </w:tabs>
        <w:numPr>
          <w:ilvl w:val="0"/>
          <w:numId w:val="57"/>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40" w:right="200" w:firstLine="656"/>
        <w:spacing w:after="0"/>
        <w:tabs>
          <w:tab w:leader="none" w:pos="1412"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There is and has been no failure on the part of the Company and any of the Company’s directors or officers, in their capacities as such, to comply with any provision of the Sarbanes-Oxley Act of 2002, as amended, and the rules and regulations promulgated in connection therewith (the “Sarbanes-Oxley Act”).</w:t>
      </w:r>
    </w:p>
    <w:p>
      <w:pPr>
        <w:spacing w:after="0" w:line="213" w:lineRule="exact"/>
        <w:rPr>
          <w:rFonts w:ascii="Arial" w:cs="Arial" w:eastAsia="Arial" w:hAnsi="Arial"/>
          <w:sz w:val="22"/>
          <w:szCs w:val="22"/>
          <w:color w:val="auto"/>
        </w:rPr>
      </w:pPr>
    </w:p>
    <w:p>
      <w:pPr>
        <w:ind w:left="-40" w:right="40" w:firstLine="656"/>
        <w:spacing w:after="0" w:line="297" w:lineRule="auto"/>
        <w:tabs>
          <w:tab w:leader="none" w:pos="1412" w:val="left"/>
        </w:tabs>
        <w:numPr>
          <w:ilvl w:val="0"/>
          <w:numId w:val="57"/>
        </w:numPr>
        <w:rPr>
          <w:rFonts w:ascii="Arial" w:cs="Arial" w:eastAsia="Arial" w:hAnsi="Arial"/>
          <w:sz w:val="19"/>
          <w:szCs w:val="19"/>
          <w:color w:val="auto"/>
        </w:rPr>
      </w:pPr>
      <w:r>
        <w:rPr>
          <w:rFonts w:ascii="Arial" w:cs="Arial" w:eastAsia="Arial" w:hAnsi="Arial"/>
          <w:sz w:val="19"/>
          <w:szCs w:val="19"/>
          <w:color w:val="auto"/>
        </w:rPr>
        <w:t>No forward-looking statement (within the meaning of Section 27A of the Act and Section 21E of the Exchange Act) or presentation of market-related or statistical data contained, or incorporated by reference, in the Disclosure Package or the Prospectus has been made or reaffirmed without a reasonable basis or has been disclosed other than in good faith.</w:t>
      </w:r>
    </w:p>
    <w:p>
      <w:pPr>
        <w:spacing w:after="0" w:line="160" w:lineRule="exact"/>
        <w:rPr>
          <w:rFonts w:ascii="Arial" w:cs="Arial" w:eastAsia="Arial" w:hAnsi="Arial"/>
          <w:sz w:val="19"/>
          <w:szCs w:val="19"/>
          <w:color w:val="auto"/>
        </w:rPr>
      </w:pPr>
    </w:p>
    <w:p>
      <w:pPr>
        <w:ind w:left="-40" w:firstLine="656"/>
        <w:spacing w:after="0" w:line="275" w:lineRule="auto"/>
        <w:tabs>
          <w:tab w:leader="none" w:pos="1508"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operations of the Company and its subsidiaries are and have been conducted at all times in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all jurisdictions, the rules and regulations thereunder and any related or similar rules, regulations or guidelines, issued, administered or enforced by any governmental or regulatory agency (collectively, the “Anti-Money Laundering Laws”), and no action, suit or proceeding by or before any court or governmental or regulatory agency, authority or body or any arbitrator involving the Company or any of its subsidiaries with respect to the Anti-Money Laundering Laws is pending or, to the knowledge of the Company and its subsidiaries, threatened.</w:t>
      </w:r>
    </w:p>
    <w:p>
      <w:pPr>
        <w:spacing w:after="0" w:line="184" w:lineRule="exact"/>
        <w:rPr>
          <w:rFonts w:ascii="Arial" w:cs="Arial" w:eastAsia="Arial" w:hAnsi="Arial"/>
          <w:sz w:val="19"/>
          <w:szCs w:val="19"/>
          <w:color w:val="auto"/>
        </w:rPr>
      </w:pPr>
    </w:p>
    <w:p>
      <w:pPr>
        <w:ind w:left="-40" w:right="40" w:firstLine="656"/>
        <w:spacing w:after="0" w:line="273" w:lineRule="auto"/>
        <w:tabs>
          <w:tab w:leader="none" w:pos="1412" w:val="left"/>
        </w:tabs>
        <w:numPr>
          <w:ilvl w:val="0"/>
          <w:numId w:val="57"/>
        </w:numPr>
        <w:rPr>
          <w:rFonts w:ascii="Arial" w:cs="Arial" w:eastAsia="Arial" w:hAnsi="Arial"/>
          <w:sz w:val="19"/>
          <w:szCs w:val="19"/>
          <w:color w:val="auto"/>
        </w:rPr>
      </w:pPr>
      <w:r>
        <w:rPr>
          <w:rFonts w:ascii="Arial" w:cs="Arial" w:eastAsia="Arial" w:hAnsi="Arial"/>
          <w:sz w:val="19"/>
          <w:szCs w:val="19"/>
          <w:color w:val="auto"/>
        </w:rPr>
        <w:t>None of the Company, any of its subsidiaries or, to the knowledge of the Company, any director, officer or controlled Affiliate of the Company or any of its subsidiaries is currently subject or target of any U.S.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Her Majesty’s Treasury, the Swiss Secretariat of Economic Affairs, the Hong Kong Monetary Authority, the Monetary Authority of Singapore, or other relevant sanctions authority (collectively, “Sanctions”), nor is the Company or any of its subsidiaries located, organized or resident in a country or territory that is the subject or target of Sanctions including, without limitation, Cuba, Iran, North Korea, Syria and Crimea (each a “Sanctioned Country”). For the past five years, the Company and its subsidiaries have not knowingly engaged in, and are not now knowingly engaged in, any dealings or transactions with any Person, or in any country or territory, that at the time of the dealing or transaction is or was the subject or target of Sanctions.</w:t>
      </w:r>
    </w:p>
    <w:p>
      <w:pPr>
        <w:spacing w:after="0" w:line="182" w:lineRule="exact"/>
        <w:rPr>
          <w:rFonts w:ascii="Arial" w:cs="Arial" w:eastAsia="Arial" w:hAnsi="Arial"/>
          <w:sz w:val="19"/>
          <w:szCs w:val="19"/>
          <w:color w:val="auto"/>
        </w:rPr>
      </w:pPr>
    </w:p>
    <w:p>
      <w:pPr>
        <w:ind w:left="-40" w:right="40" w:firstLine="656"/>
        <w:spacing w:after="0" w:line="235" w:lineRule="auto"/>
        <w:tabs>
          <w:tab w:leader="none" w:pos="1628" w:val="left"/>
        </w:tabs>
        <w:numPr>
          <w:ilvl w:val="0"/>
          <w:numId w:val="57"/>
        </w:numPr>
        <w:rPr>
          <w:rFonts w:ascii="Arial" w:cs="Arial" w:eastAsia="Arial" w:hAnsi="Arial"/>
          <w:sz w:val="22"/>
          <w:szCs w:val="22"/>
          <w:color w:val="auto"/>
        </w:rPr>
      </w:pPr>
      <w:r>
        <w:rPr>
          <w:rFonts w:ascii="Arial" w:cs="Arial" w:eastAsia="Arial" w:hAnsi="Arial"/>
          <w:sz w:val="22"/>
          <w:szCs w:val="22"/>
          <w:color w:val="auto"/>
        </w:rPr>
        <w:t>Neither the Company nor any of its subsidiaries, nor, to the knowledge of the Company or any of its subsidiaries, any director, officer, agent, employee, controlled affiliate or other person acting on behalf of the Company or of any of its subsidiaries, has (i) used any corporate funds for any unlawful contribution, gift, entertainment or other unlawful expense relating to political activity; (ii) taken or will take any action in furtherance of an offer, payment, promise to pay, or authorization or approval of the payment or giving of money, property, gifts or anything else of value, directly or, knowingly, indirectly, to any government official,</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18" w:right="379" w:bottom="1440" w:gutter="0" w:footer="0" w:header="0"/>
        </w:sectPr>
      </w:pPr>
    </w:p>
    <w:bookmarkStart w:id="73" w:name="page74"/>
    <w:bookmarkEnd w:id="73"/>
    <w:p>
      <w:pPr>
        <w:ind w:right="140" w:firstLine="648"/>
        <w:spacing w:after="0" w:line="273" w:lineRule="auto"/>
        <w:rPr>
          <w:sz w:val="20"/>
          <w:szCs w:val="20"/>
          <w:color w:val="auto"/>
        </w:rPr>
      </w:pPr>
      <w:r>
        <w:rPr>
          <w:rFonts w:ascii="Arial" w:cs="Arial" w:eastAsia="Arial" w:hAnsi="Arial"/>
          <w:sz w:val="19"/>
          <w:szCs w:val="19"/>
          <w:color w:val="auto"/>
        </w:rPr>
        <w:t>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(“Governmental Official”) to influence official action or secure an improper advantage;</w:t>
      </w:r>
    </w:p>
    <w:p>
      <w:pPr>
        <w:spacing w:after="0" w:line="2" w:lineRule="exact"/>
        <w:rPr>
          <w:sz w:val="20"/>
          <w:szCs w:val="20"/>
          <w:color w:val="auto"/>
        </w:rPr>
      </w:pPr>
    </w:p>
    <w:p>
      <w:pPr>
        <w:ind w:right="80" w:firstLine="8"/>
        <w:spacing w:after="0" w:line="231" w:lineRule="auto"/>
        <w:tabs>
          <w:tab w:leader="none" w:pos="378" w:val="left"/>
        </w:tabs>
        <w:numPr>
          <w:ilvl w:val="0"/>
          <w:numId w:val="58"/>
        </w:numPr>
        <w:rPr>
          <w:rFonts w:ascii="Arial" w:cs="Arial" w:eastAsia="Arial" w:hAnsi="Arial"/>
          <w:sz w:val="22"/>
          <w:szCs w:val="22"/>
          <w:color w:val="auto"/>
        </w:rPr>
      </w:pPr>
      <w:r>
        <w:rPr>
          <w:rFonts w:ascii="Arial" w:cs="Arial" w:eastAsia="Arial" w:hAnsi="Arial"/>
          <w:sz w:val="22"/>
          <w:szCs w:val="22"/>
          <w:color w:val="auto"/>
        </w:rPr>
        <w:t>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to any Governmental Official or other person or entity. The Company and its subsidiaries have conducted their businesses in compliance with applicable anti-corruption laws and have instituted and maintain and will continue to maintain policies and procedures designed to promote and achieve compliance with all applicable anti-bribery and anti-corruption laws.</w:t>
      </w:r>
    </w:p>
    <w:p>
      <w:pPr>
        <w:spacing w:after="0" w:line="220" w:lineRule="exact"/>
        <w:rPr>
          <w:rFonts w:ascii="Arial" w:cs="Arial" w:eastAsia="Arial" w:hAnsi="Arial"/>
          <w:sz w:val="22"/>
          <w:szCs w:val="22"/>
          <w:color w:val="auto"/>
        </w:rPr>
      </w:pPr>
    </w:p>
    <w:p>
      <w:pPr>
        <w:ind w:firstLine="656"/>
        <w:spacing w:after="0" w:line="270" w:lineRule="auto"/>
        <w:tabs>
          <w:tab w:leader="none" w:pos="1548" w:val="left"/>
        </w:tabs>
        <w:numPr>
          <w:ilvl w:val="1"/>
          <w:numId w:val="58"/>
        </w:numPr>
        <w:rPr>
          <w:rFonts w:ascii="Arial" w:cs="Arial" w:eastAsia="Arial" w:hAnsi="Arial"/>
          <w:sz w:val="19"/>
          <w:szCs w:val="19"/>
          <w:color w:val="auto"/>
        </w:rPr>
      </w:pPr>
      <w:r>
        <w:rPr>
          <w:rFonts w:ascii="Arial" w:cs="Arial" w:eastAsia="Arial" w:hAnsi="Arial"/>
          <w:sz w:val="19"/>
          <w:szCs w:val="19"/>
          <w:color w:val="auto"/>
        </w:rPr>
        <w:t>Each of the Company and its subsidiaries (i) conducts its business and is in compliance with all federal, state and local laws governing or otherwise regulating the importation, transportation, purchase or other acquisition, possession or sale or other transfer of firearms, ammunition or explosives, including without limitation the Gun Control Act of 1968 (Chapter 44 of Title 18, United States Code), the National Firearms Act of 1934 (Chapter 53 of Title 26, United States Code), and the Arms Export Control Act (22 U.S.C. § 2778), as well as all applicable rules and regulations of the Bureau of Alcohol, Tobacco, Firearms and Explosives (the “ATF”)) (collectively, the “Firearms, Ammunition and Explosives Laws”); and (ii) possesses, and is in compliance with the terms of, all licenses, registrations and permits required in order for the Company and its subsidiaries to conduct their respective businesses (as currently conducted and as proposed to be conducted) with respect to the sale of firearms, ammunition and explosives, except, in the case of each of clause (i) or (ii), where the failure to so comply or be in possession would not reasonably be expected to have a Material Adverse Effect. Neither the Company nor any of its subsidiaries has received, during the three year period preceding the date of this Agreement, from the ATF or any other regulatory authority any notice of revocation of any such license, registration or permit and has no reason to believe that the ATF or any other regulatory authority may issue any such notice, except for any such notice or revocation that would not reasonably be expected to have a Material Adverse Effect. Neither the Company nor any of its subsidiaries (1) has received from the ATF or any other regulatory authority any notice of violation of any Firearms, Ammunition and Explosives Law or (2) has any reason to believe that the ATF or any other regulatory authority may issue any such notice, except, in the case of clauses (1) and (2), where such notices or violations would not reasonably be expected to have a Material Adverse Effect.</w:t>
      </w:r>
    </w:p>
    <w:p>
      <w:pPr>
        <w:spacing w:after="0" w:line="200" w:lineRule="exact"/>
        <w:rPr>
          <w:rFonts w:ascii="Arial" w:cs="Arial" w:eastAsia="Arial" w:hAnsi="Arial"/>
          <w:sz w:val="19"/>
          <w:szCs w:val="19"/>
          <w:color w:val="auto"/>
        </w:rPr>
      </w:pPr>
    </w:p>
    <w:p>
      <w:pPr>
        <w:spacing w:after="0" w:line="241" w:lineRule="exact"/>
        <w:rPr>
          <w:rFonts w:ascii="Arial" w:cs="Arial" w:eastAsia="Arial" w:hAnsi="Arial"/>
          <w:sz w:val="19"/>
          <w:szCs w:val="19"/>
          <w:color w:val="auto"/>
        </w:rPr>
      </w:pPr>
    </w:p>
    <w:p>
      <w:pPr>
        <w:ind w:right="120" w:firstLine="656"/>
        <w:spacing w:after="0" w:line="235" w:lineRule="auto"/>
        <w:tabs>
          <w:tab w:leader="none" w:pos="1548" w:val="left"/>
        </w:tabs>
        <w:numPr>
          <w:ilvl w:val="1"/>
          <w:numId w:val="58"/>
        </w:numPr>
        <w:rPr>
          <w:rFonts w:ascii="Arial" w:cs="Arial" w:eastAsia="Arial" w:hAnsi="Arial"/>
          <w:sz w:val="22"/>
          <w:szCs w:val="22"/>
          <w:color w:val="auto"/>
        </w:rPr>
      </w:pPr>
      <w:r>
        <w:rPr>
          <w:rFonts w:ascii="Arial" w:cs="Arial" w:eastAsia="Arial" w:hAnsi="Arial"/>
          <w:sz w:val="22"/>
          <w:szCs w:val="22"/>
          <w:color w:val="auto"/>
        </w:rPr>
        <w:t>Except as would not reasonably be expected to have a Material Adverse Effect, the Company and its subsidiaries’ information technology assets and equipment, computers, systems, networks, hardware, software, websites, applications, and databases (collectively, “IT Systems”) are adequate for, and operate and perform in all respects as required in connection with the operation of the business of the Company and its subsidiaries as currently conducted and, to the knowledge of the Company, is free and clear of all material bugs, errors, defects, Trojan horses, time bombs, malware and other corruptants. Except as would not reasonably be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ind w:right="40" w:firstLine="648"/>
        <w:spacing w:after="0" w:line="245" w:lineRule="auto"/>
        <w:rPr>
          <w:sz w:val="20"/>
          <w:szCs w:val="20"/>
          <w:color w:val="auto"/>
        </w:rPr>
      </w:pPr>
      <w:r>
        <w:rPr>
          <w:rFonts w:ascii="Arial" w:cs="Arial" w:eastAsia="Arial" w:hAnsi="Arial"/>
          <w:sz w:val="21"/>
          <w:szCs w:val="21"/>
          <w:color w:val="auto"/>
        </w:rPr>
        <w:t>expected to have a Material Adverse Effect,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(“Personal Data”)). Except as would not reasonably be expected to have a Material Adverse Effect,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212" w:lineRule="exact"/>
        <w:rPr>
          <w:sz w:val="20"/>
          <w:szCs w:val="20"/>
          <w:color w:val="auto"/>
        </w:rPr>
      </w:pPr>
    </w:p>
    <w:p>
      <w:pPr>
        <w:ind w:right="20" w:firstLine="1296"/>
        <w:spacing w:after="0"/>
        <w:rPr>
          <w:sz w:val="20"/>
          <w:szCs w:val="20"/>
          <w:color w:val="auto"/>
        </w:rPr>
      </w:pPr>
      <w:r>
        <w:rPr>
          <w:rFonts w:ascii="Arial" w:cs="Arial" w:eastAsia="Arial" w:hAnsi="Arial"/>
          <w:sz w:val="22"/>
          <w:szCs w:val="22"/>
          <w:color w:val="auto"/>
        </w:rPr>
        <w:t>Any certificate signed by any officer of the Company and delivered to the Representative or counsel for the Underwriters in connection with the offering of the Securities shall be deemed a representation and warranty by the Company, as to matters covered thereby, to each Underwriter.</w:t>
      </w:r>
    </w:p>
    <w:p>
      <w:pPr>
        <w:spacing w:after="0" w:line="213" w:lineRule="exact"/>
        <w:rPr>
          <w:sz w:val="20"/>
          <w:szCs w:val="20"/>
          <w:color w:val="auto"/>
        </w:rPr>
      </w:pPr>
    </w:p>
    <w:p>
      <w:pPr>
        <w:ind w:right="680" w:firstLine="1304"/>
        <w:spacing w:after="0" w:line="274" w:lineRule="auto"/>
        <w:tabs>
          <w:tab w:leader="none" w:pos="1998" w:val="left"/>
        </w:tabs>
        <w:numPr>
          <w:ilvl w:val="1"/>
          <w:numId w:val="59"/>
        </w:numPr>
        <w:rPr>
          <w:rFonts w:ascii="Arial" w:cs="Arial" w:eastAsia="Arial" w:hAnsi="Arial"/>
          <w:sz w:val="21"/>
          <w:szCs w:val="21"/>
          <w:color w:val="auto"/>
        </w:rPr>
      </w:pPr>
      <w:r>
        <w:rPr>
          <w:rFonts w:ascii="Arial" w:cs="Arial" w:eastAsia="Arial" w:hAnsi="Arial"/>
          <w:sz w:val="21"/>
          <w:szCs w:val="21"/>
          <w:u w:val="single" w:color="auto"/>
          <w:color w:val="auto"/>
        </w:rPr>
        <w:t>Representations and Warranties of the Selling Stockholders.</w:t>
      </w:r>
      <w:r>
        <w:rPr>
          <w:rFonts w:ascii="Arial" w:cs="Arial" w:eastAsia="Arial" w:hAnsi="Arial"/>
          <w:sz w:val="21"/>
          <w:szCs w:val="21"/>
          <w:color w:val="auto"/>
        </w:rPr>
        <w:t xml:space="preserve"> Each Selling Stockholder represents, warrants and covenants to the Company and the Underwriters, severally and not jointly, as follows:</w:t>
      </w:r>
    </w:p>
    <w:p>
      <w:pPr>
        <w:spacing w:after="0" w:line="177" w:lineRule="exact"/>
        <w:rPr>
          <w:rFonts w:ascii="Arial" w:cs="Arial" w:eastAsia="Arial" w:hAnsi="Arial"/>
          <w:sz w:val="21"/>
          <w:szCs w:val="21"/>
          <w:color w:val="auto"/>
        </w:rPr>
      </w:pPr>
    </w:p>
    <w:p>
      <w:pPr>
        <w:ind w:left="1440" w:hanging="784"/>
        <w:spacing w:after="0"/>
        <w:tabs>
          <w:tab w:leader="none" w:pos="14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This Agreement has been duly authorized, executed and delivered by or on behalf of such Selling Stockholder.</w:t>
      </w:r>
    </w:p>
    <w:p>
      <w:pPr>
        <w:spacing w:after="0" w:line="267" w:lineRule="exact"/>
        <w:rPr>
          <w:rFonts w:ascii="Arial" w:cs="Arial" w:eastAsia="Arial" w:hAnsi="Arial"/>
          <w:sz w:val="19"/>
          <w:szCs w:val="19"/>
          <w:color w:val="auto"/>
        </w:rPr>
      </w:pPr>
    </w:p>
    <w:p>
      <w:pPr>
        <w:ind w:left="1440" w:hanging="784"/>
        <w:spacing w:after="0"/>
        <w:tabs>
          <w:tab w:leader="none" w:pos="1440" w:val="left"/>
        </w:tabs>
        <w:numPr>
          <w:ilvl w:val="0"/>
          <w:numId w:val="60"/>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firstLine="656"/>
        <w:spacing w:after="0" w:line="271" w:lineRule="auto"/>
        <w:tabs>
          <w:tab w:leader="none" w:pos="1428" w:val="left"/>
        </w:tabs>
        <w:numPr>
          <w:ilvl w:val="0"/>
          <w:numId w:val="60"/>
        </w:numPr>
        <w:rPr>
          <w:rFonts w:ascii="Arial" w:cs="Arial" w:eastAsia="Arial" w:hAnsi="Arial"/>
          <w:sz w:val="19"/>
          <w:szCs w:val="19"/>
          <w:color w:val="auto"/>
        </w:rPr>
      </w:pPr>
      <w:r>
        <w:rPr>
          <w:rFonts w:ascii="Arial" w:cs="Arial" w:eastAsia="Arial" w:hAnsi="Arial"/>
          <w:sz w:val="19"/>
          <w:szCs w:val="19"/>
          <w:color w:val="auto"/>
        </w:rPr>
        <w:t>Upon payment for the Securities to be sold by such Selling Stockholders pursuant to this Agreement, delivery of such Securities, as directed by the Representative, to Cede &amp; Co. (“Cede”) or such other nominee as may be designated by The Depository Trust Company (“DTC”), registration of such Securities in the name of Cede or such other nominee and the crediting of such Securities on the books of DTC to the securities account of the Underwriters (assuming that neither DTC nor the Underwriters has notice of any adverse claim (within the meaning of Section 8-105 of the New York Uniform Commercial Code (the “UCC”)) to such Securities), (A) DTC shall be a “protected purchaser” of such Securities within the meaning of Section 8-303 of the UCC, (B) under Section 8-501 of the UCC, the Underwriters will acquire a valid security entitlement in respect of such Securities and (C) no action based on any “adverse claim,” within the meaning of Section 8-102 of the UCC, to such Securities may be successfully asserted against the Underwriters with respect to such security entitlement; for purposes of this representation, such Selling Stockholder may assume that when such payment, delivery and crediting occur, (x) such Securities will have been registered in the name of Cede or another nominee designated by DTC, in each case on the Company’s share registry in accordance with its certificate of incorporation, bylaws and applicable law, (y) DTC will be registered as a “clearing corporation” within the meaning of Section 8-102 of the UCC and (z) appropriate entry to the account of the Underwriters on the records of DTC will have been made pursuant to the UCC.</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75" w:name="page76"/>
    <w:bookmarkEnd w:id="75"/>
    <w:p>
      <w:pPr>
        <w:ind w:firstLine="656"/>
        <w:spacing w:after="0" w:line="272" w:lineRule="auto"/>
        <w:tabs>
          <w:tab w:leader="none" w:pos="14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execution and delivery by such Selling Stockholder, of, and the performance by such Selling Stockholder of its obligations under, this Agreement, will not contravene or conflict with, result in a breach of, or constitute a default (or, with the giving of notice or lapse of time, would be in default) under, or require the consent of (i) any other party to the limited partnership agreement or the limited liability company agreement, as applicable, of the Selling Stockholders, (ii) any other agreement or instrument to which such Selling Stockholder is a party or by which it is bound or (iii) any provision of applicable law or any judgment, order, decree or regulation applicable to such Selling Stockholder of any court, regulatory body, administrative agency, governmental body or arbitrator having jurisdiction over such Selling Stockholder, except, in the case of the foregoing clauses (ii) and (iii) as would not, individually or in the aggregate, reasonably be expected to materially impact such Selling Stockholder’s ability to perform its obligations under this Agreement. No consent, approval, authorization or other order of, or registration or filing with, any court or other governmental authority or agency, is required for the consummation by such Selling Stockholder of the transactions contemplated in this Agreement, except such as may be required under the Securities Act, the Exchange Act, applicable state securities or blue sky laws and from the FINRA and such other approvals as have been or will be made or obtained on or prior to the Closing Date.</w:t>
      </w:r>
    </w:p>
    <w:p>
      <w:pPr>
        <w:spacing w:after="0" w:line="182" w:lineRule="exact"/>
        <w:rPr>
          <w:rFonts w:ascii="Arial" w:cs="Arial" w:eastAsia="Arial" w:hAnsi="Arial"/>
          <w:sz w:val="19"/>
          <w:szCs w:val="19"/>
          <w:color w:val="auto"/>
        </w:rPr>
      </w:pPr>
    </w:p>
    <w:p>
      <w:pPr>
        <w:ind w:right="40" w:firstLine="656"/>
        <w:spacing w:after="0" w:line="275" w:lineRule="auto"/>
        <w:tabs>
          <w:tab w:leader="none" w:pos="1428" w:val="left"/>
        </w:tabs>
        <w:numPr>
          <w:ilvl w:val="0"/>
          <w:numId w:val="61"/>
        </w:numPr>
        <w:rPr>
          <w:rFonts w:ascii="Arial" w:cs="Arial" w:eastAsia="Arial" w:hAnsi="Arial"/>
          <w:sz w:val="19"/>
          <w:szCs w:val="19"/>
          <w:color w:val="auto"/>
        </w:rPr>
      </w:pPr>
      <w:r>
        <w:rPr>
          <w:rFonts w:ascii="Arial" w:cs="Arial" w:eastAsia="Arial" w:hAnsi="Arial"/>
          <w:sz w:val="19"/>
          <w:szCs w:val="19"/>
          <w:color w:val="auto"/>
        </w:rPr>
        <w:t>All information furnished to the Company or the Underwriters by or on behalf of such Selling Stockholder in writing expressly for use in the Registration Statement, the Disclosure Package or the Prospectus is, and on the Closing Date will be, true, correct and complete in all material respects, and did not, as of the Execution Time, and on the Closing Date will not, contain any untrue statement of a material fact or omit to state any material fact necessary to make such information not misleading, it being understood and agreed that the only such information consists of the name of such Selling Stockholder, the number of total shares beneficially owned, the number of offered shares and the address and other information with respect to such Selling Stockholder (excluding percentages) under the caption “Selling Stockholders” in the Registration Statement, the Disclosure Package and the Prospectus (such information, the “Selling Stockholders Information”).</w:t>
      </w:r>
    </w:p>
    <w:p>
      <w:pPr>
        <w:spacing w:after="0" w:line="184" w:lineRule="exact"/>
        <w:rPr>
          <w:rFonts w:ascii="Arial" w:cs="Arial" w:eastAsia="Arial" w:hAnsi="Arial"/>
          <w:sz w:val="19"/>
          <w:szCs w:val="19"/>
          <w:color w:val="auto"/>
        </w:rPr>
      </w:pPr>
    </w:p>
    <w:p>
      <w:pPr>
        <w:ind w:right="140" w:firstLine="656"/>
        <w:spacing w:after="0" w:line="246" w:lineRule="auto"/>
        <w:tabs>
          <w:tab w:leader="none" w:pos="1404" w:val="left"/>
        </w:tabs>
        <w:numPr>
          <w:ilvl w:val="0"/>
          <w:numId w:val="61"/>
        </w:numPr>
        <w:rPr>
          <w:rFonts w:ascii="Arial" w:cs="Arial" w:eastAsia="Arial" w:hAnsi="Arial"/>
          <w:sz w:val="21"/>
          <w:szCs w:val="21"/>
          <w:color w:val="auto"/>
        </w:rPr>
      </w:pPr>
      <w:r>
        <w:rPr>
          <w:rFonts w:ascii="Arial" w:cs="Arial" w:eastAsia="Arial" w:hAnsi="Arial"/>
          <w:sz w:val="21"/>
          <w:szCs w:val="21"/>
          <w:color w:val="auto"/>
        </w:rPr>
        <w:t>Other than the Registration Statement, the Preliminary Prospectus, the Disclosure Package and the Prospectus, such Selling Stockholder (including its agents and representatives, other than the Underwriters in their capacity as such) has not prepared, made, used, authorized, approved or referred to and will not prepare, make, use, authorize, approve or refer to any Issuer Free Writing Prospectus or Written Testing-the-Waters Communication, other than (i) any document not constituting a prospectus pursuant to Section 2(a)(10)(a) of the Securities Act or Rule 134 under the Securities Act or (ii) the documents listed in Schedule II hereto, each electronic road show and any other written communications approved in writing in advance by the Company and the Representative.</w:t>
      </w:r>
    </w:p>
    <w:p>
      <w:pPr>
        <w:spacing w:after="0" w:line="211" w:lineRule="exact"/>
        <w:rPr>
          <w:rFonts w:ascii="Arial" w:cs="Arial" w:eastAsia="Arial" w:hAnsi="Arial"/>
          <w:sz w:val="21"/>
          <w:szCs w:val="21"/>
          <w:color w:val="auto"/>
        </w:rPr>
      </w:pPr>
    </w:p>
    <w:p>
      <w:pPr>
        <w:ind w:right="140" w:firstLine="656"/>
        <w:spacing w:after="0"/>
        <w:tabs>
          <w:tab w:leader="none" w:pos="1440" w:val="left"/>
        </w:tabs>
        <w:numPr>
          <w:ilvl w:val="0"/>
          <w:numId w:val="61"/>
        </w:numPr>
        <w:rPr>
          <w:rFonts w:ascii="Arial" w:cs="Arial" w:eastAsia="Arial" w:hAnsi="Arial"/>
          <w:sz w:val="22"/>
          <w:szCs w:val="22"/>
          <w:color w:val="auto"/>
        </w:rPr>
      </w:pPr>
      <w:r>
        <w:rPr>
          <w:rFonts w:ascii="Arial" w:cs="Arial" w:eastAsia="Arial" w:hAnsi="Arial"/>
          <w:sz w:val="22"/>
          <w:szCs w:val="22"/>
          <w:color w:val="auto"/>
        </w:rPr>
        <w:t>Such Selling Stockholder has not taken and will not take, directly or indirectly, any action that is designed to or that has constituted or that might reasonably be expected to cause or result in stabilization or manipulation of the price of any security of the Company to facilitate the sale or resale of the Securities.</w:t>
      </w:r>
    </w:p>
    <w:p>
      <w:pPr>
        <w:spacing w:after="0" w:line="213" w:lineRule="exact"/>
        <w:rPr>
          <w:sz w:val="20"/>
          <w:szCs w:val="20"/>
          <w:color w:val="auto"/>
        </w:rPr>
      </w:pPr>
    </w:p>
    <w:p>
      <w:pPr>
        <w:ind w:right="580"/>
        <w:spacing w:after="0" w:line="250" w:lineRule="auto"/>
        <w:rPr>
          <w:sz w:val="20"/>
          <w:szCs w:val="20"/>
          <w:color w:val="auto"/>
        </w:rPr>
      </w:pPr>
      <w:r>
        <w:rPr>
          <w:rFonts w:ascii="Arial" w:cs="Arial" w:eastAsia="Arial" w:hAnsi="Arial"/>
          <w:sz w:val="22"/>
          <w:szCs w:val="22"/>
          <w:color w:val="auto"/>
        </w:rPr>
        <w:t>Any certificate signed by or on behalf of such Selling Stockholder and delivered to the Representative or to counsel for the Underwriters in connection with the offering of the</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76" w:name="page77"/>
    <w:bookmarkEnd w:id="76"/>
    <w:p>
      <w:pPr>
        <w:ind w:right="40"/>
        <w:spacing w:after="0" w:line="235" w:lineRule="auto"/>
        <w:rPr>
          <w:sz w:val="20"/>
          <w:szCs w:val="20"/>
          <w:color w:val="auto"/>
        </w:rPr>
      </w:pPr>
      <w:r>
        <w:rPr>
          <w:rFonts w:ascii="Arial" w:cs="Arial" w:eastAsia="Arial" w:hAnsi="Arial"/>
          <w:sz w:val="22"/>
          <w:szCs w:val="22"/>
          <w:color w:val="auto"/>
        </w:rPr>
        <w:t>Securities shall be deemed a representation and warranty by such Selling Stockholder to the Underwriters as to the matters covered thereby with respect to such Selling Stockholder. Such Selling Stockholder has a reasonable basis for making each of the representations set forth in this Section 2. Such Selling Stockholder acknowledges that the Underwriters and, for purposes of the opinions to be delivered pursuant to Sections 8(b)(i) and (iii) and Section 8(c) hereof, counsel to such Selling Stockholder and counsel to the Underwriters, will rely upon the accuracy and truthfulness of the foregoing representations and hereby consents to such reliance.</w:t>
      </w:r>
    </w:p>
    <w:p>
      <w:pPr>
        <w:spacing w:after="0" w:line="215" w:lineRule="exact"/>
        <w:rPr>
          <w:sz w:val="20"/>
          <w:szCs w:val="20"/>
          <w:color w:val="auto"/>
        </w:rPr>
      </w:pPr>
    </w:p>
    <w:p>
      <w:pPr>
        <w:ind w:left="1360" w:hanging="704"/>
        <w:spacing w:after="0"/>
        <w:tabs>
          <w:tab w:leader="none" w:pos="136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Purchase and Sale</w:t>
      </w:r>
      <w:r>
        <w:rPr>
          <w:rFonts w:ascii="Arial" w:cs="Arial" w:eastAsia="Arial" w:hAnsi="Arial"/>
          <w:sz w:val="22"/>
          <w:szCs w:val="22"/>
          <w:color w:val="auto"/>
        </w:rPr>
        <w:t>.</w:t>
      </w:r>
    </w:p>
    <w:p>
      <w:pPr>
        <w:spacing w:after="0" w:line="233" w:lineRule="exact"/>
        <w:rPr>
          <w:sz w:val="20"/>
          <w:szCs w:val="20"/>
          <w:color w:val="auto"/>
        </w:rPr>
      </w:pPr>
    </w:p>
    <w:p>
      <w:pPr>
        <w:ind w:right="40" w:firstLine="656"/>
        <w:spacing w:after="0" w:line="273" w:lineRule="auto"/>
        <w:tabs>
          <w:tab w:leader="none" w:pos="1428" w:val="left"/>
        </w:tabs>
        <w:numPr>
          <w:ilvl w:val="0"/>
          <w:numId w:val="63"/>
        </w:numPr>
        <w:rPr>
          <w:rFonts w:ascii="Arial" w:cs="Arial" w:eastAsia="Arial" w:hAnsi="Arial"/>
          <w:sz w:val="19"/>
          <w:szCs w:val="19"/>
          <w:color w:val="auto"/>
        </w:rPr>
      </w:pPr>
      <w:r>
        <w:rPr>
          <w:rFonts w:ascii="Arial" w:cs="Arial" w:eastAsia="Arial" w:hAnsi="Arial"/>
          <w:sz w:val="19"/>
          <w:szCs w:val="19"/>
          <w:color w:val="auto"/>
        </w:rPr>
        <w:t>Subject to the terms and conditions and in reliance upon the representations and warranties herein set forth, each Selling Stockholder hereby agrees, severally and not jointly, to sell to each Underwriter, and each Underwriter agrees, severally and not jointly, to purchase from such Selling Stockholder, at a purchase price of $[ ● ] per share, the amount of the Securities determined by multiplying the aggregate number of Securities to be sold by each of the Selling Stockholders as set forth opposite its name in Schedule I(B) hereto by a fraction, the numerator of which is the aggregate number of Securities to be purchased by such Underwriter as set forth opposite such Underwriter’s name in Schedule I(A) hereto and the denominator of which is the aggregate number of the Securities to be purchased by all of the Underwriters from all of the Selling Stockholders hereunder. Contemporaneously with and, subject to the sale of the Securities by the Selling Stockholders to the Underwriters in compliance with the terms of this Agreement, the Underwriters agree to sell to the Company, and the Company agrees to purchase from the Underwriters, an aggregate of [ ● ] shares of Common Stock at a purchase price per share set forth above in this Section 3.</w:t>
      </w:r>
    </w:p>
    <w:p>
      <w:pPr>
        <w:spacing w:after="0" w:line="187" w:lineRule="exact"/>
        <w:rPr>
          <w:rFonts w:ascii="Arial" w:cs="Arial" w:eastAsia="Arial" w:hAnsi="Arial"/>
          <w:sz w:val="19"/>
          <w:szCs w:val="19"/>
          <w:color w:val="auto"/>
        </w:rPr>
      </w:pPr>
    </w:p>
    <w:p>
      <w:pPr>
        <w:ind w:firstLine="656"/>
        <w:spacing w:after="0" w:line="270" w:lineRule="auto"/>
        <w:tabs>
          <w:tab w:leader="none" w:pos="1440" w:val="left"/>
        </w:tabs>
        <w:numPr>
          <w:ilvl w:val="0"/>
          <w:numId w:val="63"/>
        </w:numPr>
        <w:rPr>
          <w:rFonts w:ascii="Arial" w:cs="Arial" w:eastAsia="Arial" w:hAnsi="Arial"/>
          <w:sz w:val="19"/>
          <w:szCs w:val="19"/>
          <w:color w:val="auto"/>
        </w:rPr>
      </w:pPr>
      <w:r>
        <w:rPr>
          <w:rFonts w:ascii="Arial" w:cs="Arial" w:eastAsia="Arial" w:hAnsi="Arial"/>
          <w:sz w:val="19"/>
          <w:szCs w:val="19"/>
          <w:color w:val="auto"/>
        </w:rPr>
        <w:t>Each of the Company and each Selling Stockholder acknowledges and agrees that the Representative and the other Underwriters are acting solely in the capacity of an arm’s length contractual counterparty to the Company and the Selling Stockholders with respect to the offering of Securities contemplated hereby (including in connection with determining the terms of the offering) and not as a financial advisor or a fiduciary to, or an agent of, the Company, the Selling Stockholders or any other person. Additionally, neither the Representative nor any other Underwriter is advising the Company, the Selling Stockholders or any other person as to any legal, tax, investment, accounting or regulatory matters in any jurisdiction. The Company and the Selling Stockholders shall consult with their own advisors concerning such matters and each shall be responsible for making its own independent investigation and appraisal of the transactions contemplated hereby, and neither the Representative nor any other Underwriter shall have any responsibility or liability to the Company or the Selling Stockholders with respect thereto. Any review by the Representative and the other Underwriters of the Company, the transactions contemplated hereby or other matters relating to such transactions will be performed solely for the benefit of the Representative and the other Underwriters and shall not be on behalf of the Company or the Selling Stockholders. Moreover, each Selling Shareholder acknowledges and agrees that, although the Representative may be required or choose to provide certain Selling Stockholders with certain Regulation Best Interest and Form CRS disclosures in connection with the offering, the Representative and the other Underwriters are not making a recommendation to any Selling Stockholders to participate in the offering, enter into a “lock-up” agreement, or sell any Securities at the price determined in the offering, and nothing set forth in such disclosures is intended to suggest that the Representative or any Underwriter is making such a recommendation.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7" w:name="page78"/>
    <w:bookmarkEnd w:id="77"/>
    <w:p>
      <w:pPr>
        <w:ind w:left="-8" w:right="40" w:firstLine="656"/>
        <w:spacing w:after="0" w:line="276" w:lineRule="auto"/>
        <w:tabs>
          <w:tab w:leader="none" w:pos="1342" w:val="left"/>
        </w:tabs>
        <w:numPr>
          <w:ilvl w:val="1"/>
          <w:numId w:val="64"/>
        </w:numPr>
        <w:rPr>
          <w:rFonts w:ascii="Arial" w:cs="Arial" w:eastAsia="Arial" w:hAnsi="Arial"/>
          <w:sz w:val="19"/>
          <w:szCs w:val="19"/>
          <w:color w:val="auto"/>
        </w:rPr>
      </w:pPr>
      <w:r>
        <w:rPr>
          <w:rFonts w:ascii="Arial" w:cs="Arial" w:eastAsia="Arial" w:hAnsi="Arial"/>
          <w:sz w:val="19"/>
          <w:szCs w:val="19"/>
          <w:u w:val="single" w:color="auto"/>
          <w:color w:val="auto"/>
        </w:rPr>
        <w:t>Delivery and Payment</w:t>
      </w:r>
      <w:r>
        <w:rPr>
          <w:rFonts w:ascii="Arial" w:cs="Arial" w:eastAsia="Arial" w:hAnsi="Arial"/>
          <w:sz w:val="19"/>
          <w:szCs w:val="19"/>
          <w:color w:val="auto"/>
        </w:rPr>
        <w:t>. Delivery of and payment for the Securities shall be made at the offices of Simpson Thacher &amp; Bartlett LLP, 425 Lexington Avenue, New York, New York 10017 at 10:00 AM, New York City time, on September [</w:t>
      </w:r>
    </w:p>
    <w:p>
      <w:pPr>
        <w:spacing w:after="0" w:line="1" w:lineRule="exact"/>
        <w:rPr>
          <w:rFonts w:ascii="Arial" w:cs="Arial" w:eastAsia="Arial" w:hAnsi="Arial"/>
          <w:sz w:val="19"/>
          <w:szCs w:val="19"/>
          <w:color w:val="auto"/>
        </w:rPr>
      </w:pPr>
    </w:p>
    <w:p>
      <w:pPr>
        <w:ind w:left="-8" w:firstLine="8"/>
        <w:spacing w:after="0" w:line="270" w:lineRule="auto"/>
        <w:tabs>
          <w:tab w:leader="none" w:pos="176" w:val="left"/>
        </w:tabs>
        <w:numPr>
          <w:ilvl w:val="0"/>
          <w:numId w:val="64"/>
        </w:numPr>
        <w:rPr>
          <w:rFonts w:ascii="Arial" w:cs="Arial" w:eastAsia="Arial" w:hAnsi="Arial"/>
          <w:sz w:val="19"/>
          <w:szCs w:val="19"/>
          <w:color w:val="auto"/>
        </w:rPr>
      </w:pPr>
      <w:r>
        <w:rPr>
          <w:rFonts w:ascii="Arial" w:cs="Arial" w:eastAsia="Arial" w:hAnsi="Arial"/>
          <w:sz w:val="19"/>
          <w:szCs w:val="19"/>
          <w:color w:val="auto"/>
        </w:rPr>
        <w:t>], 2021, or at such time on such later date not more than two Business Days after the foregoing date as the Representative shall designate, which date and time may be postponed by agreement between the Representative, the Company and the Selling Stockholders or as provided in Section 11 hereof (such date and time of delivery and payment for the Securities being herein called the “Closing Date”). Delivery of the Securities shall be made to the Representative for the respective accounts of the several Underwriters against payment by the several Underwriters through the Representative of the purchase price thereof to or upon the order of the Selling Stockholders by wire transfer payable in same-day funds to the account(s) specified by the Selling Stockholders in writing to the Representative. Delivery of the Securities shall be made through the facilities of DTC unless the Representative shall otherwise instruct. On the Closing Date, subject to the sale of the Securities by the Selling Stockholders to the Underwriters in compliance with the terms of this Agreement, and in consideration for the Repurchase Securities, the Company shall pay the purchase price set forth in Section 3(a) hereof for each share of the Repurchase Securities by wire transfer of federal (same-day) funds to the account specified by the Underwriters to the Company at least twenty-four hours in advance. Payment for the Repurchase Securities shall be made against delivery by the Underwriters of the Repurchase Securities to the Company through the facilities of the DTC for the account of the Company on the Closing Date.</w:t>
      </w:r>
    </w:p>
    <w:p>
      <w:pPr>
        <w:spacing w:after="0" w:line="188" w:lineRule="exact"/>
        <w:rPr>
          <w:rFonts w:ascii="Arial" w:cs="Arial" w:eastAsia="Arial" w:hAnsi="Arial"/>
          <w:sz w:val="19"/>
          <w:szCs w:val="19"/>
          <w:color w:val="auto"/>
        </w:rPr>
      </w:pPr>
    </w:p>
    <w:p>
      <w:pPr>
        <w:ind w:left="-8" w:firstLine="656"/>
        <w:spacing w:after="0" w:line="250" w:lineRule="auto"/>
        <w:tabs>
          <w:tab w:leader="none" w:pos="1342" w:val="left"/>
        </w:tabs>
        <w:numPr>
          <w:ilvl w:val="1"/>
          <w:numId w:val="65"/>
        </w:numPr>
        <w:rPr>
          <w:rFonts w:ascii="Arial" w:cs="Arial" w:eastAsia="Arial" w:hAnsi="Arial"/>
          <w:sz w:val="22"/>
          <w:szCs w:val="22"/>
          <w:color w:val="auto"/>
        </w:rPr>
      </w:pPr>
      <w:r>
        <w:rPr>
          <w:rFonts w:ascii="Arial" w:cs="Arial" w:eastAsia="Arial" w:hAnsi="Arial"/>
          <w:sz w:val="22"/>
          <w:szCs w:val="22"/>
          <w:u w:val="single" w:color="auto"/>
          <w:color w:val="auto"/>
        </w:rPr>
        <w:t>Offering by Underwriters</w:t>
      </w:r>
      <w:r>
        <w:rPr>
          <w:rFonts w:ascii="Arial" w:cs="Arial" w:eastAsia="Arial" w:hAnsi="Arial"/>
          <w:sz w:val="22"/>
          <w:szCs w:val="22"/>
          <w:color w:val="auto"/>
        </w:rPr>
        <w:t>. It is understood that the several Underwriters propose to offer the Securities for sale to the public as set forth in the Prospectus.</w:t>
      </w:r>
    </w:p>
    <w:p>
      <w:pPr>
        <w:spacing w:after="0" w:line="201" w:lineRule="exact"/>
        <w:rPr>
          <w:rFonts w:ascii="Arial" w:cs="Arial" w:eastAsia="Arial" w:hAnsi="Arial"/>
          <w:sz w:val="22"/>
          <w:szCs w:val="22"/>
          <w:color w:val="auto"/>
        </w:rPr>
      </w:pPr>
    </w:p>
    <w:p>
      <w:pPr>
        <w:ind w:left="1352" w:hanging="704"/>
        <w:spacing w:after="0"/>
        <w:tabs>
          <w:tab w:leader="none" w:pos="1352" w:val="left"/>
        </w:tabs>
        <w:numPr>
          <w:ilvl w:val="1"/>
          <w:numId w:val="65"/>
        </w:numPr>
        <w:rPr>
          <w:rFonts w:ascii="Arial" w:cs="Arial" w:eastAsia="Arial" w:hAnsi="Arial"/>
          <w:sz w:val="22"/>
          <w:szCs w:val="22"/>
          <w:color w:val="auto"/>
        </w:rPr>
      </w:pPr>
      <w:r>
        <w:rPr>
          <w:rFonts w:ascii="Arial" w:cs="Arial" w:eastAsia="Arial" w:hAnsi="Arial"/>
          <w:sz w:val="22"/>
          <w:szCs w:val="22"/>
          <w:u w:val="single" w:color="auto"/>
          <w:color w:val="auto"/>
        </w:rPr>
        <w:t>Agreements of the Company</w:t>
      </w:r>
      <w:r>
        <w:rPr>
          <w:rFonts w:ascii="Arial" w:cs="Arial" w:eastAsia="Arial" w:hAnsi="Arial"/>
          <w:sz w:val="22"/>
          <w:szCs w:val="22"/>
          <w:color w:val="auto"/>
        </w:rPr>
        <w:t>. The Company agrees with the several Underwriters as follows:</w:t>
      </w:r>
    </w:p>
    <w:p>
      <w:pPr>
        <w:spacing w:after="0" w:line="233" w:lineRule="exact"/>
        <w:rPr>
          <w:sz w:val="20"/>
          <w:szCs w:val="20"/>
          <w:color w:val="auto"/>
        </w:rPr>
      </w:pPr>
    </w:p>
    <w:p>
      <w:pPr>
        <w:ind w:left="-8" w:firstLine="656"/>
        <w:spacing w:after="0" w:line="270" w:lineRule="auto"/>
        <w:tabs>
          <w:tab w:leader="none" w:pos="1420" w:val="left"/>
        </w:tabs>
        <w:numPr>
          <w:ilvl w:val="0"/>
          <w:numId w:val="66"/>
        </w:numPr>
        <w:rPr>
          <w:rFonts w:ascii="Arial" w:cs="Arial" w:eastAsia="Arial" w:hAnsi="Arial"/>
          <w:sz w:val="19"/>
          <w:szCs w:val="19"/>
          <w:color w:val="auto"/>
        </w:rPr>
      </w:pPr>
      <w:r>
        <w:rPr>
          <w:rFonts w:ascii="Arial" w:cs="Arial" w:eastAsia="Arial" w:hAnsi="Arial"/>
          <w:sz w:val="19"/>
          <w:szCs w:val="19"/>
          <w:color w:val="auto"/>
        </w:rPr>
        <w:t>Prior to the termination of the offering of the Securities, the Company will not file any amendment of the Registration Statement or supplement to the Prospectus or any Rule 462(b) Registration Statement unless the Company has furnished you a copy for your review prior to filing and will not file any such proposed amendment or supplement to which you reasonably object. The Company will cause the Prospectus, properly completed, and any supplement thereto to be filed in a form approved by the Representative with the Commission pursuant to the applicable paragraph of Rule 424(b) within the time period prescribed and will provide evidence satisfactory to the Representative of such timely filing. The Company will promptly advise the Representative (i) when the Prospectus, and any supplement thereto, shall have been filed (if required) with the Commission pursuant to Rule 424(b) or when any Rule 462(b) Registration Statement shall have been filed with the Commission, (ii) when, prior to termination of the offering of the Securities, any amendment to the Registration Statement shall have been filed or become effective, (iii) of any request by the Commission or its staff for any amendment of the Registration Statement, or any Rule 462(b)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or pursuant to Section 8A under the Act and (v) of the receipt by the Company of any notification with respect to the suspension of the qualification of the Securities for sale in any jurisdiction or the institution or threatening of any proceeding for such purpose. The Company will use its commercially reasonable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commercially reasonable efforts to have such amendment or new registration statement declared effective as soon as practicable.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361" w:right="379" w:bottom="1440" w:gutter="0" w:footer="0" w:header="0"/>
        </w:sectPr>
      </w:pPr>
    </w:p>
    <w:bookmarkStart w:id="78" w:name="page79"/>
    <w:bookmarkEnd w:id="78"/>
    <w:p>
      <w:pPr>
        <w:ind w:left="-40" w:firstLine="656"/>
        <w:spacing w:after="0" w:line="234" w:lineRule="auto"/>
        <w:tabs>
          <w:tab w:leader="none" w:pos="1400" w:val="left"/>
        </w:tabs>
        <w:numPr>
          <w:ilvl w:val="0"/>
          <w:numId w:val="67"/>
        </w:numPr>
        <w:rPr>
          <w:rFonts w:ascii="Arial" w:cs="Arial" w:eastAsia="Arial" w:hAnsi="Arial"/>
          <w:sz w:val="22"/>
          <w:szCs w:val="22"/>
          <w:color w:val="auto"/>
        </w:rPr>
      </w:pPr>
      <w:r>
        <w:rPr>
          <w:rFonts w:ascii="Arial" w:cs="Arial" w:eastAsia="Arial" w:hAnsi="Arial"/>
          <w:sz w:val="22"/>
          <w:szCs w:val="22"/>
          <w:color w:val="auto"/>
        </w:rPr>
        <w:t>If, at any time prior to the filing of the Prospectus pursuant to Rule 424(b), there occurs an event, the result of which, in the opinion of counsel for the Underwriters, or counsel for the Company, the Disclosure Package would include any untrue statement of a material fact or omit to state any material fact necessary in order to make the statements therein in the light of the circumstances under which they were made not misleading, the Company will (i) notify promptly the Representative so that any use of the Disclosure Package may cease until it is amended or supplemented; (ii) subject to paragraph (a) of this Section 6, amend or supplement the Disclosure Package to eliminate or correct such statement or omission; and (iii) supply any amendment or supplement to the several Underwriters and counsel for the Underwriters without charge in such quantities as they may reasonably request.</w:t>
      </w:r>
    </w:p>
    <w:p>
      <w:pPr>
        <w:spacing w:after="0" w:line="214" w:lineRule="exact"/>
        <w:rPr>
          <w:rFonts w:ascii="Arial" w:cs="Arial" w:eastAsia="Arial" w:hAnsi="Arial"/>
          <w:sz w:val="22"/>
          <w:szCs w:val="22"/>
          <w:color w:val="auto"/>
        </w:rPr>
      </w:pPr>
    </w:p>
    <w:p>
      <w:pPr>
        <w:ind w:left="-40" w:right="60" w:firstLine="656"/>
        <w:spacing w:after="0" w:line="273" w:lineRule="auto"/>
        <w:tabs>
          <w:tab w:leader="none" w:pos="1388" w:val="left"/>
        </w:tabs>
        <w:numPr>
          <w:ilvl w:val="0"/>
          <w:numId w:val="67"/>
        </w:numPr>
        <w:rPr>
          <w:rFonts w:ascii="Arial" w:cs="Arial" w:eastAsia="Arial" w:hAnsi="Arial"/>
          <w:sz w:val="19"/>
          <w:szCs w:val="19"/>
          <w:color w:val="auto"/>
        </w:rPr>
      </w:pPr>
      <w:r>
        <w:rPr>
          <w:rFonts w:ascii="Arial" w:cs="Arial" w:eastAsia="Arial" w:hAnsi="Arial"/>
          <w:sz w:val="19"/>
          <w:szCs w:val="19"/>
          <w:color w:val="auto"/>
        </w:rPr>
        <w:t>If, during such period of time after the first date of the public offering of the Securities as in the opinion of counsel for the Underwriters a prospectus relating to the Securities is required by law to be delivered (including in circumstances where such requirement may be satisfied pursuant to Rule 172) (the “Prospectus Delivery Period”), there occurs an event, the result of which, in the opinion of counsel for the Underwriters, or counsel for the Company, the Prospectus as then supplemented would include any untrue statement of a material fact or omit to state any material fact necessary in order to make the statements therein in the light of the circumstances under which they were made not misleading, or if it shall be necessary to amend the Registration Statement or supplement the Prospectus to comply with applicable law, the Company will promptly (i) notify the Representative of any such event; (ii) prepare and file with the Commission, subject to the second sentence of paragraph (a) of this Section 6, an amendment or supplement that will eliminate or correct such statement or omission or effect such compliance; and (iii) supply any supplemented Prospectus to the several Underwriters and counsel for the Underwriters without charge in such quantities as they may reasonably request.</w:t>
      </w:r>
    </w:p>
    <w:p>
      <w:pPr>
        <w:spacing w:after="0" w:line="182" w:lineRule="exact"/>
        <w:rPr>
          <w:rFonts w:ascii="Arial" w:cs="Arial" w:eastAsia="Arial" w:hAnsi="Arial"/>
          <w:sz w:val="19"/>
          <w:szCs w:val="19"/>
          <w:color w:val="auto"/>
        </w:rPr>
      </w:pPr>
    </w:p>
    <w:p>
      <w:pPr>
        <w:ind w:left="1400" w:hanging="784"/>
        <w:spacing w:after="0"/>
        <w:tabs>
          <w:tab w:leader="none" w:pos="1400" w:val="left"/>
        </w:tabs>
        <w:numPr>
          <w:ilvl w:val="0"/>
          <w:numId w:val="67"/>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40" w:right="100" w:firstLine="656"/>
        <w:spacing w:after="0" w:line="297" w:lineRule="auto"/>
        <w:tabs>
          <w:tab w:leader="none" w:pos="1388" w:val="left"/>
        </w:tabs>
        <w:numPr>
          <w:ilvl w:val="0"/>
          <w:numId w:val="67"/>
        </w:numPr>
        <w:rPr>
          <w:rFonts w:ascii="Arial" w:cs="Arial" w:eastAsia="Arial" w:hAnsi="Arial"/>
          <w:sz w:val="19"/>
          <w:szCs w:val="19"/>
          <w:color w:val="auto"/>
        </w:rPr>
      </w:pPr>
      <w:r>
        <w:rPr>
          <w:rFonts w:ascii="Arial" w:cs="Arial" w:eastAsia="Arial" w:hAnsi="Arial"/>
          <w:sz w:val="19"/>
          <w:szCs w:val="19"/>
          <w:color w:val="auto"/>
        </w:rPr>
        <w:t>As soon as practicable, the Company will make generally available to its security holders and to the Representative (which may be satisfied by filing with the Commission’s EDGAR system) an earnings statement or statements of the Company and its subsidiaries which will satisfy the provisions of Section 11(a) of the Act and Rule 158.</w:t>
      </w:r>
    </w:p>
    <w:p>
      <w:pPr>
        <w:spacing w:after="0" w:line="160" w:lineRule="exact"/>
        <w:rPr>
          <w:rFonts w:ascii="Arial" w:cs="Arial" w:eastAsia="Arial" w:hAnsi="Arial"/>
          <w:sz w:val="19"/>
          <w:szCs w:val="19"/>
          <w:color w:val="auto"/>
        </w:rPr>
      </w:pPr>
    </w:p>
    <w:p>
      <w:pPr>
        <w:ind w:left="-40" w:right="240" w:firstLine="656"/>
        <w:spacing w:after="0" w:line="250" w:lineRule="auto"/>
        <w:tabs>
          <w:tab w:leader="none" w:pos="1364"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Company will cooperate with the Representative and use its commercially reasonable efforts to permit the Securities to be eligible for clearance and settlement through DTC.</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18" w:right="359" w:bottom="1440" w:gutter="0" w:footer="0" w:header="0"/>
        </w:sectPr>
      </w:pPr>
    </w:p>
    <w:bookmarkStart w:id="79" w:name="page80"/>
    <w:bookmarkEnd w:id="79"/>
    <w:p>
      <w:pPr>
        <w:ind w:left="-60" w:firstLine="656"/>
        <w:spacing w:after="0" w:line="247" w:lineRule="auto"/>
        <w:tabs>
          <w:tab w:leader="none" w:pos="1380" w:val="left"/>
        </w:tabs>
        <w:numPr>
          <w:ilvl w:val="0"/>
          <w:numId w:val="68"/>
        </w:numPr>
        <w:rPr>
          <w:rFonts w:ascii="Arial" w:cs="Arial" w:eastAsia="Arial" w:hAnsi="Arial"/>
          <w:sz w:val="21"/>
          <w:szCs w:val="21"/>
          <w:color w:val="auto"/>
        </w:rPr>
      </w:pPr>
      <w:r>
        <w:rPr>
          <w:rFonts w:ascii="Arial" w:cs="Arial" w:eastAsia="Arial" w:hAnsi="Arial"/>
          <w:sz w:val="21"/>
          <w:szCs w:val="21"/>
          <w:color w:val="auto"/>
        </w:rPr>
        <w:t>The Company will furnish to the Representative and counsel for the Underwriters, without charge, signed copies of the Registration Statement (including exhibits thereto) and to each other Underwriter a copy of the Registration Statement (without exhibits thereto) and, so long as delivery of a prospectus by an Underwriter or dealer may be required by the Act (including in circumstances where such requirement may be satisfied pursuant to Rule 172) during the Prospectus Delivery Period, as many copies of each Preliminary Prospectus, the Prospectus and each Issuer Free Writing Prospectus and any supplement thereto as the Representative may reasonably request. The Company will pay the expenses of printing or other production of all documents relating to the offering.</w:t>
      </w:r>
    </w:p>
    <w:p>
      <w:pPr>
        <w:spacing w:after="0" w:line="204" w:lineRule="exact"/>
        <w:rPr>
          <w:rFonts w:ascii="Arial" w:cs="Arial" w:eastAsia="Arial" w:hAnsi="Arial"/>
          <w:sz w:val="21"/>
          <w:szCs w:val="21"/>
          <w:color w:val="auto"/>
        </w:rPr>
      </w:pPr>
    </w:p>
    <w:p>
      <w:pPr>
        <w:ind w:left="-60" w:right="20" w:firstLine="656"/>
        <w:spacing w:after="0" w:line="234" w:lineRule="auto"/>
        <w:tabs>
          <w:tab w:leader="none" w:pos="13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 xml:space="preserve">The Company will assist the Underwriters in arranging, if necessary, for the qualification of the Securities for sale by the Underwriters under the laws of such jurisdictions as the Representative may designate and will maintain such qualifications in effect so long as required for the sale of the Securities;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in no event shall the Company be obligated to qualify to do business in any jurisdiction where it is not now so qualified or to take any action that would reasonably be expected to subject it to service of process in suits, other than those arising out of the offering or sale of the Securities, in any jurisdiction where it is not now so subject or to subject themselves to taxation in excess of a nominal amount in respect of doing business in any jurisdiction.</w:t>
      </w:r>
    </w:p>
    <w:p>
      <w:pPr>
        <w:spacing w:after="0" w:line="217" w:lineRule="exact"/>
        <w:rPr>
          <w:rFonts w:ascii="Arial" w:cs="Arial" w:eastAsia="Arial" w:hAnsi="Arial"/>
          <w:sz w:val="22"/>
          <w:szCs w:val="22"/>
          <w:color w:val="auto"/>
        </w:rPr>
      </w:pPr>
    </w:p>
    <w:p>
      <w:pPr>
        <w:ind w:left="1340" w:hanging="744"/>
        <w:spacing w:after="0"/>
        <w:tabs>
          <w:tab w:leader="none" w:pos="1340" w:val="left"/>
        </w:tabs>
        <w:numPr>
          <w:ilvl w:val="0"/>
          <w:numId w:val="68"/>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1340" w:hanging="744"/>
        <w:spacing w:after="0"/>
        <w:tabs>
          <w:tab w:leader="none" w:pos="1340" w:val="left"/>
        </w:tabs>
        <w:numPr>
          <w:ilvl w:val="0"/>
          <w:numId w:val="68"/>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left="-60" w:right="120" w:firstLine="656"/>
        <w:spacing w:after="0" w:line="257" w:lineRule="auto"/>
        <w:tabs>
          <w:tab w:leader="none" w:pos="1380" w:val="left"/>
        </w:tabs>
        <w:numPr>
          <w:ilvl w:val="0"/>
          <w:numId w:val="68"/>
        </w:numPr>
        <w:rPr>
          <w:rFonts w:ascii="Arial" w:cs="Arial" w:eastAsia="Arial" w:hAnsi="Arial"/>
          <w:sz w:val="21"/>
          <w:szCs w:val="21"/>
          <w:color w:val="auto"/>
        </w:rPr>
      </w:pPr>
      <w:r>
        <w:rPr>
          <w:rFonts w:ascii="Arial" w:cs="Arial" w:eastAsia="Arial" w:hAnsi="Arial"/>
          <w:sz w:val="21"/>
          <w:szCs w:val="21"/>
          <w:color w:val="auto"/>
        </w:rPr>
        <w:t>The Company will not take, directly or indirectly, any action designed to or that would constitute or that might reasonably be expected to cause or result in, under the Exchange Act or otherwise, unlawful stabilization or manipulation of the price of any security of the Company to facilitate the sale or resale of the Securities.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38100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80" w:top="118" w:right="399" w:bottom="1440" w:gutter="0" w:footer="0" w:header="0"/>
        </w:sectPr>
      </w:pPr>
    </w:p>
    <w:bookmarkStart w:id="80" w:name="page81"/>
    <w:bookmarkEnd w:id="80"/>
    <w:p>
      <w:pPr>
        <w:ind w:left="-20" w:firstLine="656"/>
        <w:spacing w:after="0" w:line="271" w:lineRule="auto"/>
        <w:tabs>
          <w:tab w:leader="none" w:pos="1372"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Company agrees to pay the costs and expenses relating to the following matters: (i) the preparation, printing or reproduction and filing with the Commission of the Registration Statement (including financial statements and exhibits thereto), each Preliminary Prospectus, the Prospectus and each Issuer Free Writing Prospectus, and each amendment or supplement to any of them; (ii) the printing (or reproduction) and delivery (including postage, air freight charges and charges for counting and packaging) of such copies of the Registration Statement, each Preliminary Prospectus, the Prospectus and each Issuer Free Writing Prospectus, and all amendments or supplements to any of them, as may, in each case, be reasonably requested for use in connection with the offering and sale of the Securities; (iii) the printing (or reproduction) and delivery of any blue sky memorandum delivered in connection with the offering of the Securities; (iv) any registration or qualification of the Securities for offer and sale under the securities or blue sky laws of the several states and any other jurisdictions specified pursuant to Section 6(h) hereof (including filing fees and the reasonable and documented fees and expenses of counsel for the Underwriters relating to such registration and qualification in an amount not to exceed $20,000); (v) the approval of the Securities for book entry transfer by DTC; (vi) any filings required to be made with the FINRA (including filing fees, fees and the reasonable and documented fees and expenses of counsel for the Underwriters relating to such filings in an amount not to exceed $35,000); (vii) the transportation and other expenses incurred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81" w:name="page82"/>
    <w:bookmarkEnd w:id="81"/>
    <w:p>
      <w:pPr>
        <w:ind w:right="20" w:firstLine="648"/>
        <w:spacing w:after="0" w:line="271" w:lineRule="auto"/>
        <w:rPr>
          <w:sz w:val="20"/>
          <w:szCs w:val="20"/>
          <w:color w:val="auto"/>
        </w:rPr>
      </w:pPr>
      <w:r>
        <w:rPr>
          <w:rFonts w:ascii="Arial" w:cs="Arial" w:eastAsia="Arial" w:hAnsi="Arial"/>
          <w:sz w:val="19"/>
          <w:szCs w:val="19"/>
          <w:color w:val="auto"/>
        </w:rPr>
        <w:t>by or on behalf of the Company in connection with presentations to prospective purchasers of the Securities, including any “roadshow” (and including one half of the cost of all aircraft used in connection with any “roadshow”); (viii) the costs and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(ix) the fees and expenses of the Company’s accountants and the fees and expenses of counsel (including local and special counsel) for the Company and one counsel for the Selling Stockholders and (x) all other costs and expenses incident to the performance by the Company of its obligations hereunder. Notwithstanding the forgoing, except as specifically provided in this paragraph (l) and in Section 9 hereof, the Underwriters shall pay their own costs and expenses in connection with presentations for prospective purchasers of the Securities including the transportation and other expenses incurred by or on behalf of the Underwriters in connection with presentations to prospective purchasers of the Securities, including any “roadshow” (and including one half of the cost of all aircraft used in connection with any “roadshow”). Each Selling Stockholder agrees with the Underwriters to pay (directly or by reimbursement) all fees and expenses incident to the performance of such Selling Stockholder’s obligations under this Agreement with respect to stock transfer taxes, stamp duties and other similar taxes incident to the sale and delivery of the Securities to be sold by such Selling Stockholder to the Underwriters hereunder. This Section 6(l) shall not affect or modify any separate, valid agreement relating to the allocation of payment of expenses between the Company, on the one hand, and any Selling Stockholder, on the other hand.</w:t>
      </w:r>
    </w:p>
    <w:p>
      <w:pPr>
        <w:spacing w:after="0" w:line="184" w:lineRule="exact"/>
        <w:rPr>
          <w:sz w:val="20"/>
          <w:szCs w:val="20"/>
          <w:color w:val="auto"/>
        </w:rPr>
      </w:pPr>
    </w:p>
    <w:p>
      <w:pPr>
        <w:ind w:left="1500" w:hanging="844"/>
        <w:spacing w:after="0"/>
        <w:tabs>
          <w:tab w:leader="none" w:pos="1500" w:val="left"/>
        </w:tabs>
        <w:numPr>
          <w:ilvl w:val="0"/>
          <w:numId w:val="70"/>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firstLine="656"/>
        <w:spacing w:after="0" w:line="271" w:lineRule="auto"/>
        <w:tabs>
          <w:tab w:leader="none" w:pos="1440" w:val="left"/>
        </w:tabs>
        <w:numPr>
          <w:ilvl w:val="0"/>
          <w:numId w:val="70"/>
        </w:numPr>
        <w:rPr>
          <w:rFonts w:ascii="Arial" w:cs="Arial" w:eastAsia="Arial" w:hAnsi="Arial"/>
          <w:sz w:val="19"/>
          <w:szCs w:val="19"/>
          <w:color w:val="auto"/>
        </w:rPr>
      </w:pPr>
      <w:r>
        <w:rPr>
          <w:rFonts w:ascii="Arial" w:cs="Arial" w:eastAsia="Arial" w:hAnsi="Arial"/>
          <w:sz w:val="19"/>
          <w:szCs w:val="19"/>
          <w:color w:val="auto"/>
        </w:rPr>
        <w:t xml:space="preserve">The Company agrees that, unless it has or shall have obtained the prior written consent of the Representative, and each Underwriter, severally and not jointly, agrees with the Company that, unless it has or shall have obtained, as the case may be, the prior written consent of the Company, it has not made and will not make any offer relating to the Securities that would constitute, or otherwise use, refer to or distribute, an Issuer Free Writing Prospectus or that would otherwise constitute a “free writing prospectus” (as defined in Rule 405) required to be filed by the Company with the Commission or retained by the Company under Rule 433;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prior written consent of the parties hereto shall be deemed to have been given in respect of the Free Writing Prospectuses included in Schedule II hereto and any electronic road show, each furnished to the Representative before first use. Any such free writing prospectus consented to by the Representative or the Company is hereinafter referred to as a “Permitted Free Writing Prospectus.” The Company agrees that (x) it has treated and will treat, as the case may be, each Permitted Free Writing Prospectus as an Issuer Free Writing Prospectus and (y) it has complied and will comply, as the case may be, with the requirements of Rules 164 and 433 applicable to any Permitted Free Writing Prospectus, including in respect of timely filing with the Commission, legending and record keeping. Each Underwriter, severally and not jointly, represents and agrees that it is not subject to any pending proceeding under Section 8A of the Act with respect to the offering (and will promptly notify the Company if any such proceeding against it is initiated during the period a prospectus is required by the Act to be delivered (whether physically or through compliance with Rule 172 under the Act or any similar rule) in connection with any sale of Securities).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ind w:right="480" w:firstLine="656"/>
        <w:spacing w:after="0" w:line="250" w:lineRule="auto"/>
        <w:tabs>
          <w:tab w:leader="none" w:pos="1350"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Agreements of the Selling Stockholders</w:t>
      </w:r>
      <w:r>
        <w:rPr>
          <w:rFonts w:ascii="Arial" w:cs="Arial" w:eastAsia="Arial" w:hAnsi="Arial"/>
          <w:sz w:val="22"/>
          <w:szCs w:val="22"/>
          <w:color w:val="auto"/>
        </w:rPr>
        <w:t>. Each Selling Stockholder agrees with the Company and the several Underwriters as follows:</w:t>
      </w:r>
    </w:p>
    <w:p>
      <w:pPr>
        <w:spacing w:after="0" w:line="202" w:lineRule="exact"/>
        <w:rPr>
          <w:sz w:val="20"/>
          <w:szCs w:val="20"/>
          <w:color w:val="auto"/>
        </w:rPr>
      </w:pPr>
    </w:p>
    <w:p>
      <w:pPr>
        <w:ind w:firstLine="656"/>
        <w:spacing w:after="0" w:line="249" w:lineRule="auto"/>
        <w:tabs>
          <w:tab w:leader="none" w:pos="1428" w:val="left"/>
        </w:tabs>
        <w:numPr>
          <w:ilvl w:val="0"/>
          <w:numId w:val="72"/>
        </w:numPr>
        <w:rPr>
          <w:rFonts w:ascii="Arial" w:cs="Arial" w:eastAsia="Arial" w:hAnsi="Arial"/>
          <w:sz w:val="21"/>
          <w:szCs w:val="21"/>
          <w:color w:val="auto"/>
        </w:rPr>
      </w:pPr>
      <w:r>
        <w:rPr>
          <w:rFonts w:ascii="Arial" w:cs="Arial" w:eastAsia="Arial" w:hAnsi="Arial"/>
          <w:sz w:val="21"/>
          <w:szCs w:val="21"/>
          <w:color w:val="auto"/>
        </w:rPr>
        <w:t>Such Selling Stockholder will advise you promptly, and if requested by you, will confirm such advice in writing, during the period when a prospectus relating to the Securities is required by the Securities Act to be delivered (whether physically or through compliance with Rule 172 under the Securities Act or any similar rule), of any change in the Selling Stockholders Information in the Registration Statement, any preliminary prospectus, any free writing prospectus, the Prospectus or any amendment or supplement thereto relating to such Selling Stockholder.</w:t>
      </w:r>
    </w:p>
    <w:p>
      <w:pPr>
        <w:spacing w:after="0" w:line="205" w:lineRule="exact"/>
        <w:rPr>
          <w:rFonts w:ascii="Arial" w:cs="Arial" w:eastAsia="Arial" w:hAnsi="Arial"/>
          <w:sz w:val="21"/>
          <w:szCs w:val="21"/>
          <w:color w:val="auto"/>
        </w:rPr>
      </w:pPr>
    </w:p>
    <w:p>
      <w:pPr>
        <w:ind w:right="680" w:firstLine="656"/>
        <w:spacing w:after="0" w:line="328" w:lineRule="auto"/>
        <w:tabs>
          <w:tab w:leader="none" w:pos="14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To deliver to the Underwriters prior to the Closing Date a properly completed and executed United States Treasury Department Form W-9, together with all required attachments, if any, of such Selling Stockholder.</w:t>
      </w:r>
    </w:p>
    <w:p>
      <w:pPr>
        <w:spacing w:after="0" w:line="132" w:lineRule="exact"/>
        <w:rPr>
          <w:sz w:val="20"/>
          <w:szCs w:val="20"/>
          <w:color w:val="auto"/>
        </w:rPr>
      </w:pPr>
    </w:p>
    <w:p>
      <w:pPr>
        <w:ind w:right="820" w:firstLine="648"/>
        <w:spacing w:after="0" w:line="274" w:lineRule="auto"/>
        <w:rPr>
          <w:sz w:val="20"/>
          <w:szCs w:val="20"/>
          <w:color w:val="auto"/>
        </w:rPr>
      </w:pPr>
      <w:r>
        <w:rPr>
          <w:rFonts w:ascii="Arial" w:cs="Arial" w:eastAsia="Arial" w:hAnsi="Arial"/>
          <w:sz w:val="21"/>
          <w:szCs w:val="21"/>
          <w:color w:val="auto"/>
        </w:rPr>
        <w:t>The Underwriters, may, in their sole discretion, waive in writing the performance by the Company or any Selling Stockholder of any one or more of the foregoing covenants or extend the time for their performance.</w:t>
      </w:r>
    </w:p>
    <w:p>
      <w:pPr>
        <w:spacing w:after="0" w:line="178" w:lineRule="exact"/>
        <w:rPr>
          <w:sz w:val="20"/>
          <w:szCs w:val="20"/>
          <w:color w:val="auto"/>
        </w:rPr>
      </w:pPr>
    </w:p>
    <w:p>
      <w:pPr>
        <w:ind w:right="60" w:firstLine="656"/>
        <w:spacing w:after="0" w:line="277" w:lineRule="auto"/>
        <w:tabs>
          <w:tab w:leader="none" w:pos="1350"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Conditions to the Obligations of the Underwriters</w:t>
      </w:r>
      <w:r>
        <w:rPr>
          <w:rFonts w:ascii="Arial" w:cs="Arial" w:eastAsia="Arial" w:hAnsi="Arial"/>
          <w:sz w:val="19"/>
          <w:szCs w:val="19"/>
          <w:color w:val="auto"/>
        </w:rPr>
        <w:t>. The obligations of the Underwriters to purchase the Securities shall be subject to the accuracy in all material respects (except in the case of Section 1(kk), (ll) and (mm) or to the extent already qualified by materiality, in which case such obligations shall be subject to the accuracy in all respects) of the representations and warranties of the Company and the Selling Stockholders contained herein as of the Execution Time and the Closing Date pursuant to Section 4 hereof, to the accuracy of the statements of the Company and the Selling Stockholders made in any certificates pursuant to the provisions hereof, to the performance by the Company and the Selling Stockholders in all material respects of their respective obligations hereunder and to the following additional conditions:</w:t>
      </w:r>
    </w:p>
    <w:p>
      <w:pPr>
        <w:spacing w:after="0" w:line="179" w:lineRule="exact"/>
        <w:rPr>
          <w:sz w:val="20"/>
          <w:szCs w:val="20"/>
          <w:color w:val="auto"/>
        </w:rPr>
      </w:pPr>
    </w:p>
    <w:p>
      <w:pPr>
        <w:ind w:firstLine="656"/>
        <w:spacing w:after="0" w:line="282" w:lineRule="auto"/>
        <w:tabs>
          <w:tab w:leader="none" w:pos="1428"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Prospectus, and any supplement thereto, have been filed in the manner and within the time period required by Rule 424(b); any 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or pursuant to Section 8A under the Act shall have been instituted or threatened.</w:t>
      </w:r>
    </w:p>
    <w:p>
      <w:pPr>
        <w:spacing w:after="0" w:line="174" w:lineRule="exact"/>
        <w:rPr>
          <w:rFonts w:ascii="Arial" w:cs="Arial" w:eastAsia="Arial" w:hAnsi="Arial"/>
          <w:sz w:val="19"/>
          <w:szCs w:val="19"/>
          <w:color w:val="auto"/>
        </w:rPr>
      </w:pPr>
    </w:p>
    <w:p>
      <w:pPr>
        <w:jc w:val="both"/>
        <w:ind w:right="220" w:firstLine="656"/>
        <w:spacing w:after="0" w:line="238" w:lineRule="auto"/>
        <w:tabs>
          <w:tab w:leader="none" w:pos="1440" w:val="left"/>
        </w:tabs>
        <w:numPr>
          <w:ilvl w:val="0"/>
          <w:numId w:val="74"/>
        </w:numPr>
        <w:rPr>
          <w:rFonts w:ascii="Arial" w:cs="Arial" w:eastAsia="Arial" w:hAnsi="Arial"/>
          <w:sz w:val="22"/>
          <w:szCs w:val="22"/>
          <w:color w:val="auto"/>
        </w:rPr>
      </w:pPr>
      <w:r>
        <w:rPr>
          <w:rFonts w:ascii="Arial" w:cs="Arial" w:eastAsia="Arial" w:hAnsi="Arial"/>
          <w:sz w:val="22"/>
          <w:szCs w:val="22"/>
          <w:color w:val="auto"/>
        </w:rPr>
        <w:t>(i) The Company and the Selling Stockholders shall have requested and caused Simpson Thacher &amp; Bartlett LLP, counsel for the Company and the Selling Stockholders, to furnish to the Representative an opinion letter and a negative assurance letter, each dated the Closing Date in form and substance reasonably satisfactory to the Representative, as set forth in Exhibit A hereto; and</w:t>
      </w:r>
    </w:p>
    <w:p>
      <w:pPr>
        <w:spacing w:after="0" w:line="212" w:lineRule="exact"/>
        <w:rPr>
          <w:sz w:val="20"/>
          <w:szCs w:val="20"/>
          <w:color w:val="auto"/>
        </w:rPr>
      </w:pPr>
    </w:p>
    <w:p>
      <w:pPr>
        <w:ind w:left="580" w:right="920" w:firstLine="724"/>
        <w:spacing w:after="0"/>
        <w:tabs>
          <w:tab w:leader="none" w:pos="1681"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Company shall have requested and caused the general counsel of the Company to furnish to the Representative an opinion letter dated the Closing Date in form and substance reasonably satisfactory to the Representative, as set forth in Exhibit B hereto.</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3" w:name="page84"/>
    <w:bookmarkEnd w:id="83"/>
    <w:p>
      <w:pPr>
        <w:ind w:right="60" w:firstLine="656"/>
        <w:spacing w:after="0" w:line="252" w:lineRule="auto"/>
        <w:tabs>
          <w:tab w:leader="none" w:pos="1428" w:val="left"/>
        </w:tabs>
        <w:numPr>
          <w:ilvl w:val="0"/>
          <w:numId w:val="76"/>
        </w:numPr>
        <w:rPr>
          <w:rFonts w:ascii="Arial" w:cs="Arial" w:eastAsia="Arial" w:hAnsi="Arial"/>
          <w:sz w:val="21"/>
          <w:szCs w:val="21"/>
          <w:color w:val="auto"/>
        </w:rPr>
      </w:pPr>
      <w:r>
        <w:rPr>
          <w:rFonts w:ascii="Arial" w:cs="Arial" w:eastAsia="Arial" w:hAnsi="Arial"/>
          <w:sz w:val="21"/>
          <w:szCs w:val="21"/>
          <w:color w:val="auto"/>
        </w:rPr>
        <w:t>The Representative shall have received from Latham &amp; Watkins LLP, counsel for the Underwriters, an opinion letter and negative assurance letter, each dated the Closing Date and addressed to the Representative, with respect to such matters as the Representative may reasonably require, and the Company shall have furnished to such counsel such documents as they reasonably request for the purpose of enabling them to pass upon such matters.</w:t>
      </w:r>
    </w:p>
    <w:p>
      <w:pPr>
        <w:spacing w:after="0" w:line="200" w:lineRule="exact"/>
        <w:rPr>
          <w:rFonts w:ascii="Arial" w:cs="Arial" w:eastAsia="Arial" w:hAnsi="Arial"/>
          <w:sz w:val="21"/>
          <w:szCs w:val="21"/>
          <w:color w:val="auto"/>
        </w:rPr>
      </w:pPr>
    </w:p>
    <w:p>
      <w:pPr>
        <w:jc w:val="both"/>
        <w:ind w:right="40" w:firstLine="656"/>
        <w:spacing w:after="0" w:line="282" w:lineRule="auto"/>
        <w:tabs>
          <w:tab w:leader="none" w:pos="14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Company shall have furnished to the Underwriters a certificate of the Company, signed by (x) the chairman, chief executive officer, president or vice president and (y) the chief financial officer, treasurer or principal financial or accounting officer of the Company, dated the Closing Date to the effect that the signers of such certificate have carefully examined the Registration Statement, the Disclosure Package, the Prospectus and any amendment or supplement thereto, as well as each electronic road show used in connection with the offering of the Securities, and this Agreement and that:</w:t>
      </w:r>
    </w:p>
    <w:p>
      <w:pPr>
        <w:spacing w:after="0" w:line="174" w:lineRule="exact"/>
        <w:rPr>
          <w:rFonts w:ascii="Arial" w:cs="Arial" w:eastAsia="Arial" w:hAnsi="Arial"/>
          <w:sz w:val="19"/>
          <w:szCs w:val="19"/>
          <w:color w:val="auto"/>
        </w:rPr>
      </w:pPr>
    </w:p>
    <w:p>
      <w:pPr>
        <w:ind w:left="1560" w:right="180" w:hanging="256"/>
        <w:spacing w:after="0" w:line="233" w:lineRule="auto"/>
        <w:tabs>
          <w:tab w:leader="none" w:pos="2856" w:val="left"/>
        </w:tabs>
        <w:numPr>
          <w:ilvl w:val="1"/>
          <w:numId w:val="76"/>
        </w:numPr>
        <w:rPr>
          <w:rFonts w:ascii="Arial" w:cs="Arial" w:eastAsia="Arial" w:hAnsi="Arial"/>
          <w:sz w:val="22"/>
          <w:szCs w:val="22"/>
          <w:color w:val="auto"/>
        </w:rPr>
      </w:pPr>
      <w:r>
        <w:rPr>
          <w:rFonts w:ascii="Arial" w:cs="Arial" w:eastAsia="Arial" w:hAnsi="Arial"/>
          <w:sz w:val="22"/>
          <w:szCs w:val="22"/>
          <w:color w:val="auto"/>
        </w:rPr>
        <w:t>the representations and warranties of the Company in this Agreement are true and correct in all material respects (except in the case of Section 1(kk), (ll) and (mm) or to the extent already qualified by materiality, in which case such representations and warranties are true and correct in all respects) at the Execution Time and on the Closing Date and the Company has complied in all material respects with all the agreements and satisfied all the conditions on its part to be performed or satisfied hereunder at or prior to the Closing Date;</w:t>
      </w:r>
    </w:p>
    <w:p>
      <w:pPr>
        <w:spacing w:after="0" w:line="2" w:lineRule="exact"/>
        <w:rPr>
          <w:rFonts w:ascii="Arial" w:cs="Arial" w:eastAsia="Arial" w:hAnsi="Arial"/>
          <w:sz w:val="22"/>
          <w:szCs w:val="22"/>
          <w:color w:val="auto"/>
        </w:rPr>
      </w:pPr>
    </w:p>
    <w:p>
      <w:pPr>
        <w:ind w:left="1560" w:right="40" w:hanging="256"/>
        <w:spacing w:after="0" w:line="230" w:lineRule="auto"/>
        <w:tabs>
          <w:tab w:leader="none" w:pos="2856" w:val="left"/>
        </w:tabs>
        <w:numPr>
          <w:ilvl w:val="1"/>
          <w:numId w:val="76"/>
        </w:numPr>
        <w:rPr>
          <w:rFonts w:ascii="Arial" w:cs="Arial" w:eastAsia="Arial" w:hAnsi="Arial"/>
          <w:sz w:val="22"/>
          <w:szCs w:val="22"/>
          <w:color w:val="auto"/>
        </w:rPr>
      </w:pPr>
      <w:r>
        <w:rPr>
          <w:rFonts w:ascii="Arial" w:cs="Arial" w:eastAsia="Arial" w:hAnsi="Arial"/>
          <w:sz w:val="22"/>
          <w:szCs w:val="22"/>
          <w:color w:val="auto"/>
        </w:rPr>
        <w:t>since the date of the most recent financial statements included in the Disclosure Package and the Prospectus (exclusive of any supplement thereto), there has been no material adverse change in the condition (financial or otherwise), business or results of operations of the Company and its subsidiaries, taken as a whole, except as set forth in or contemplated in the Disclosure Package and the Prospectus (exclusive of any supplement thereto); and</w:t>
      </w:r>
    </w:p>
    <w:p>
      <w:pPr>
        <w:spacing w:after="0" w:line="2" w:lineRule="exact"/>
        <w:rPr>
          <w:rFonts w:ascii="Arial" w:cs="Arial" w:eastAsia="Arial" w:hAnsi="Arial"/>
          <w:sz w:val="22"/>
          <w:szCs w:val="22"/>
          <w:color w:val="auto"/>
        </w:rPr>
      </w:pPr>
    </w:p>
    <w:p>
      <w:pPr>
        <w:ind w:left="1560" w:right="100" w:hanging="256"/>
        <w:spacing w:after="0" w:line="230" w:lineRule="auto"/>
        <w:tabs>
          <w:tab w:leader="none" w:pos="2856" w:val="left"/>
        </w:tabs>
        <w:numPr>
          <w:ilvl w:val="1"/>
          <w:numId w:val="76"/>
        </w:numPr>
        <w:rPr>
          <w:rFonts w:ascii="Arial" w:cs="Arial" w:eastAsia="Arial" w:hAnsi="Arial"/>
          <w:sz w:val="22"/>
          <w:szCs w:val="22"/>
          <w:color w:val="auto"/>
        </w:rPr>
      </w:pPr>
      <w:r>
        <w:rPr>
          <w:rFonts w:ascii="Arial" w:cs="Arial" w:eastAsia="Arial" w:hAnsi="Arial"/>
          <w:sz w:val="22"/>
          <w:szCs w:val="22"/>
          <w:color w:val="auto"/>
        </w:rPr>
        <w:t>no stop order suspending the effectiveness of the Registration Statement or any notice objecting to its use has been issued and no proceedings for that purpose or pursuant to Section 8A under the Act have been instituted or, to the Company’s knowledge, threatened.</w:t>
      </w:r>
    </w:p>
    <w:p>
      <w:pPr>
        <w:spacing w:after="0" w:line="1" w:lineRule="exact"/>
        <w:rPr>
          <w:rFonts w:ascii="Arial" w:cs="Arial" w:eastAsia="Arial" w:hAnsi="Arial"/>
          <w:sz w:val="22"/>
          <w:szCs w:val="22"/>
          <w:color w:val="auto"/>
        </w:rPr>
      </w:pPr>
    </w:p>
    <w:p>
      <w:pPr>
        <w:ind w:firstLine="656"/>
        <w:spacing w:after="0" w:line="243" w:lineRule="auto"/>
        <w:tabs>
          <w:tab w:leader="none" w:pos="1428" w:val="left"/>
        </w:tabs>
        <w:numPr>
          <w:ilvl w:val="0"/>
          <w:numId w:val="76"/>
        </w:numPr>
        <w:rPr>
          <w:rFonts w:ascii="Arial" w:cs="Arial" w:eastAsia="Arial" w:hAnsi="Arial"/>
          <w:sz w:val="21"/>
          <w:szCs w:val="21"/>
          <w:color w:val="auto"/>
        </w:rPr>
      </w:pPr>
      <w:r>
        <w:rPr>
          <w:rFonts w:ascii="Arial" w:cs="Arial" w:eastAsia="Arial" w:hAnsi="Arial"/>
          <w:sz w:val="21"/>
          <w:szCs w:val="21"/>
          <w:color w:val="auto"/>
        </w:rPr>
        <w:t>At the Execution Time and at the Closing Date, the Company shall have requested and caused Deloitte &amp; Touche LLP to furnish to the Underwriters a “comfort” letter, dated as of the Execution Time, and a bring-down “comfort letter,” dated as of the Closing Date, in form and substance reasonably satisfactory to the Representative, confirming that they are independent registered public accountants within the meaning of the Exchange Act and within the meaning of the rules of the Public Company Accounting Oversight Board and confirming certain matters with respect to the audited and unaudited financial statements and other financial and accounting information of the Company contained in the Disclosure Package and the Prospectus, including any supplement thereto at the date of the applicable letter.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4" w:name="page85"/>
    <w:bookmarkEnd w:id="84"/>
    <w:p>
      <w:pPr>
        <w:ind w:left="-40" w:right="260" w:firstLine="656"/>
        <w:spacing w:after="0" w:line="274" w:lineRule="auto"/>
        <w:tabs>
          <w:tab w:leader="none" w:pos="1364" w:val="left"/>
        </w:tabs>
        <w:numPr>
          <w:ilvl w:val="0"/>
          <w:numId w:val="77"/>
        </w:numPr>
        <w:rPr>
          <w:rFonts w:ascii="Arial" w:cs="Arial" w:eastAsia="Arial" w:hAnsi="Arial"/>
          <w:sz w:val="21"/>
          <w:szCs w:val="21"/>
          <w:color w:val="auto"/>
        </w:rPr>
      </w:pPr>
      <w:r>
        <w:rPr>
          <w:rFonts w:ascii="Arial" w:cs="Arial" w:eastAsia="Arial" w:hAnsi="Arial"/>
          <w:sz w:val="21"/>
          <w:szCs w:val="21"/>
          <w:color w:val="auto"/>
        </w:rPr>
        <w:t>On the Closing Date, the Underwriters shall receive a written certificate executed by the managing member or the general partner of the applicable Selling Stockholder, dated as of the Closing Date, to the effect that:</w:t>
      </w:r>
    </w:p>
    <w:p>
      <w:pPr>
        <w:spacing w:after="0" w:line="177" w:lineRule="exact"/>
        <w:rPr>
          <w:rFonts w:ascii="Arial" w:cs="Arial" w:eastAsia="Arial" w:hAnsi="Arial"/>
          <w:sz w:val="21"/>
          <w:szCs w:val="21"/>
          <w:color w:val="auto"/>
        </w:rPr>
      </w:pPr>
    </w:p>
    <w:p>
      <w:pPr>
        <w:ind w:left="1520" w:right="60" w:hanging="256"/>
        <w:spacing w:after="0" w:line="271" w:lineRule="auto"/>
        <w:tabs>
          <w:tab w:leader="none" w:pos="2816" w:val="left"/>
        </w:tabs>
        <w:numPr>
          <w:ilvl w:val="1"/>
          <w:numId w:val="77"/>
        </w:numPr>
        <w:rPr>
          <w:rFonts w:ascii="Arial" w:cs="Arial" w:eastAsia="Arial" w:hAnsi="Arial"/>
          <w:sz w:val="19"/>
          <w:szCs w:val="19"/>
          <w:color w:val="auto"/>
        </w:rPr>
      </w:pPr>
      <w:r>
        <w:rPr>
          <w:rFonts w:ascii="Arial" w:cs="Arial" w:eastAsia="Arial" w:hAnsi="Arial"/>
          <w:sz w:val="19"/>
          <w:szCs w:val="19"/>
          <w:color w:val="auto"/>
        </w:rPr>
        <w:t>the representations and warranties of the applicable Selling Stockholder set forth in this Agreement are true and correct in all material respects (except to the extent already qualified by materiality, in which case such representations and warranties shall be subject to accuracy in all respects) with the same force and effect as though expressly made by such Selling Stockholder on and as of such date; and</w:t>
      </w:r>
    </w:p>
    <w:p>
      <w:pPr>
        <w:spacing w:after="0" w:line="3" w:lineRule="exact"/>
        <w:rPr>
          <w:rFonts w:ascii="Arial" w:cs="Arial" w:eastAsia="Arial" w:hAnsi="Arial"/>
          <w:sz w:val="19"/>
          <w:szCs w:val="19"/>
          <w:color w:val="auto"/>
        </w:rPr>
      </w:pPr>
    </w:p>
    <w:p>
      <w:pPr>
        <w:ind w:left="1520" w:right="100" w:hanging="256"/>
        <w:spacing w:after="0" w:line="266" w:lineRule="auto"/>
        <w:tabs>
          <w:tab w:leader="none" w:pos="2816" w:val="left"/>
        </w:tabs>
        <w:numPr>
          <w:ilvl w:val="1"/>
          <w:numId w:val="77"/>
        </w:numPr>
        <w:rPr>
          <w:rFonts w:ascii="Arial" w:cs="Arial" w:eastAsia="Arial" w:hAnsi="Arial"/>
          <w:sz w:val="19"/>
          <w:szCs w:val="19"/>
          <w:color w:val="auto"/>
        </w:rPr>
      </w:pPr>
      <w:r>
        <w:rPr>
          <w:rFonts w:ascii="Arial" w:cs="Arial" w:eastAsia="Arial" w:hAnsi="Arial"/>
          <w:sz w:val="19"/>
          <w:szCs w:val="19"/>
          <w:color w:val="auto"/>
        </w:rPr>
        <w:t>the applicable Selling Stockholder has complied in all material respects with all the agreements and satisfied all the conditions on its part to be performed or satisfied at or prior to such date.</w:t>
      </w:r>
    </w:p>
    <w:p>
      <w:pPr>
        <w:spacing w:after="0" w:line="1" w:lineRule="exact"/>
        <w:rPr>
          <w:rFonts w:ascii="Arial" w:cs="Arial" w:eastAsia="Arial" w:hAnsi="Arial"/>
          <w:sz w:val="19"/>
          <w:szCs w:val="19"/>
          <w:color w:val="auto"/>
        </w:rPr>
      </w:pPr>
    </w:p>
    <w:p>
      <w:pPr>
        <w:ind w:left="1400" w:hanging="784"/>
        <w:spacing w:after="0"/>
        <w:tabs>
          <w:tab w:leader="none" w:pos="1400" w:val="left"/>
        </w:tabs>
        <w:numPr>
          <w:ilvl w:val="0"/>
          <w:numId w:val="77"/>
        </w:numPr>
        <w:rPr>
          <w:rFonts w:ascii="Arial" w:cs="Arial" w:eastAsia="Arial" w:hAnsi="Arial"/>
          <w:sz w:val="22"/>
          <w:szCs w:val="22"/>
          <w:color w:val="auto"/>
        </w:rPr>
      </w:pPr>
      <w:r>
        <w:rPr>
          <w:rFonts w:ascii="Arial" w:cs="Arial" w:eastAsia="Arial" w:hAnsi="Arial"/>
          <w:sz w:val="22"/>
          <w:szCs w:val="22"/>
          <w:color w:val="auto"/>
        </w:rPr>
        <w:t>[Reserved].</w:t>
      </w:r>
    </w:p>
    <w:p>
      <w:pPr>
        <w:spacing w:after="0" w:line="215" w:lineRule="exact"/>
        <w:rPr>
          <w:rFonts w:ascii="Arial" w:cs="Arial" w:eastAsia="Arial" w:hAnsi="Arial"/>
          <w:sz w:val="22"/>
          <w:szCs w:val="22"/>
          <w:color w:val="auto"/>
        </w:rPr>
      </w:pPr>
    </w:p>
    <w:p>
      <w:pPr>
        <w:ind w:left="-40" w:firstLine="656"/>
        <w:spacing w:after="0" w:line="246" w:lineRule="auto"/>
        <w:tabs>
          <w:tab w:leader="none" w:pos="1400" w:val="left"/>
        </w:tabs>
        <w:numPr>
          <w:ilvl w:val="0"/>
          <w:numId w:val="77"/>
        </w:numPr>
        <w:rPr>
          <w:rFonts w:ascii="Arial" w:cs="Arial" w:eastAsia="Arial" w:hAnsi="Arial"/>
          <w:sz w:val="21"/>
          <w:szCs w:val="21"/>
          <w:color w:val="auto"/>
        </w:rPr>
      </w:pPr>
      <w:r>
        <w:rPr>
          <w:rFonts w:ascii="Arial" w:cs="Arial" w:eastAsia="Arial" w:hAnsi="Arial"/>
          <w:sz w:val="21"/>
          <w:szCs w:val="21"/>
          <w:color w:val="auto"/>
        </w:rPr>
        <w:t>Subsequent to the Execution Time or, if earlier, the dates as of which information is given in the Disclosure Package and the Prospectus (exclusive of any amendment or supplement thereto), there shall not have been any change or development involving a prospective change, in the condition (financial or otherwise), business or results of operations of the Company and its subsidiaries, taken as a whole, except as set forth in or contemplated in the Disclosure Package and the Prospectus (exclusive of any supplement thereto), the effect of which is, or would reasonably be expected to become, in the judgment of the Representative, so material and adverse as to make it impractical or inadvisable to proceed with the offering, sale or delivery of the Securities on the terms and in the manner contemplated in the Disclosure Package and the Prospectus (exclusive of any amendment or supplement thereto).</w:t>
      </w:r>
    </w:p>
    <w:p>
      <w:pPr>
        <w:spacing w:after="0" w:line="206" w:lineRule="exact"/>
        <w:rPr>
          <w:rFonts w:ascii="Arial" w:cs="Arial" w:eastAsia="Arial" w:hAnsi="Arial"/>
          <w:sz w:val="21"/>
          <w:szCs w:val="21"/>
          <w:color w:val="auto"/>
        </w:rPr>
      </w:pPr>
    </w:p>
    <w:p>
      <w:pPr>
        <w:ind w:left="-40" w:right="80" w:firstLine="656"/>
        <w:spacing w:after="0" w:line="246" w:lineRule="auto"/>
        <w:tabs>
          <w:tab w:leader="none" w:pos="1352" w:val="left"/>
        </w:tabs>
        <w:numPr>
          <w:ilvl w:val="0"/>
          <w:numId w:val="77"/>
        </w:numPr>
        <w:rPr>
          <w:rFonts w:ascii="Arial" w:cs="Arial" w:eastAsia="Arial" w:hAnsi="Arial"/>
          <w:sz w:val="21"/>
          <w:szCs w:val="21"/>
          <w:color w:val="auto"/>
        </w:rPr>
      </w:pPr>
      <w:r>
        <w:rPr>
          <w:rFonts w:ascii="Arial" w:cs="Arial" w:eastAsia="Arial" w:hAnsi="Arial"/>
          <w:sz w:val="21"/>
          <w:szCs w:val="21"/>
          <w:color w:val="auto"/>
        </w:rPr>
        <w:t>Subsequent to the earlier of (A) the Execution Time and (B) the execution and delivery of this Agreement, (i) no downgrading shall have occurred in the rating accorded any debt securities, convertible securities or preferred stock issued or guaranteed by the Company or any of its subsidiaries by any “nationally recognized statistical rating organization,” as such term is defined under Section 3(a)(62) under the Exchange Act and (ii) no such organization shall have publicly announced that it has under surveillance or review, or has changed its outlook with respect to, its rating of any such debt securities or preferred stock issued or guaranteed by the Company or any of its subsidiaries (other than an announcement with positive implications of a possible upgrading).</w:t>
      </w:r>
    </w:p>
    <w:p>
      <w:pPr>
        <w:spacing w:after="0" w:line="211" w:lineRule="exact"/>
        <w:rPr>
          <w:rFonts w:ascii="Arial" w:cs="Arial" w:eastAsia="Arial" w:hAnsi="Arial"/>
          <w:sz w:val="21"/>
          <w:szCs w:val="21"/>
          <w:color w:val="auto"/>
        </w:rPr>
      </w:pPr>
    </w:p>
    <w:p>
      <w:pPr>
        <w:ind w:left="1360" w:hanging="744"/>
        <w:spacing w:after="0"/>
        <w:tabs>
          <w:tab w:leader="none" w:pos="1360" w:val="left"/>
        </w:tabs>
        <w:numPr>
          <w:ilvl w:val="0"/>
          <w:numId w:val="77"/>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40" w:right="140" w:firstLine="656"/>
        <w:spacing w:after="0" w:line="250" w:lineRule="auto"/>
        <w:tabs>
          <w:tab w:leader="none" w:pos="1400" w:val="left"/>
        </w:tabs>
        <w:numPr>
          <w:ilvl w:val="0"/>
          <w:numId w:val="77"/>
        </w:numPr>
        <w:rPr>
          <w:rFonts w:ascii="Arial" w:cs="Arial" w:eastAsia="Arial" w:hAnsi="Arial"/>
          <w:sz w:val="22"/>
          <w:szCs w:val="22"/>
          <w:color w:val="auto"/>
        </w:rPr>
      </w:pPr>
      <w:r>
        <w:rPr>
          <w:rFonts w:ascii="Arial" w:cs="Arial" w:eastAsia="Arial" w:hAnsi="Arial"/>
          <w:sz w:val="22"/>
          <w:szCs w:val="22"/>
          <w:color w:val="auto"/>
        </w:rPr>
        <w:t>Prior to the Closing Date, the Company shall have taken all action reasonably required to be taken by it to have the Securities declared eligible for clearance and settlement through DTC.</w:t>
      </w:r>
    </w:p>
    <w:p>
      <w:pPr>
        <w:spacing w:after="0" w:line="201" w:lineRule="exact"/>
        <w:rPr>
          <w:rFonts w:ascii="Arial" w:cs="Arial" w:eastAsia="Arial" w:hAnsi="Arial"/>
          <w:sz w:val="22"/>
          <w:szCs w:val="22"/>
          <w:color w:val="auto"/>
        </w:rPr>
      </w:pPr>
    </w:p>
    <w:p>
      <w:pPr>
        <w:ind w:left="-40" w:right="480" w:firstLine="656"/>
        <w:spacing w:after="0" w:line="250" w:lineRule="auto"/>
        <w:tabs>
          <w:tab w:leader="none" w:pos="1352" w:val="left"/>
        </w:tabs>
        <w:numPr>
          <w:ilvl w:val="0"/>
          <w:numId w:val="77"/>
        </w:numPr>
        <w:rPr>
          <w:rFonts w:ascii="Arial" w:cs="Arial" w:eastAsia="Arial" w:hAnsi="Arial"/>
          <w:sz w:val="22"/>
          <w:szCs w:val="22"/>
          <w:color w:val="auto"/>
        </w:rPr>
      </w:pPr>
      <w:r>
        <w:rPr>
          <w:rFonts w:ascii="Arial" w:cs="Arial" w:eastAsia="Arial" w:hAnsi="Arial"/>
          <w:sz w:val="22"/>
          <w:szCs w:val="22"/>
          <w:color w:val="auto"/>
        </w:rPr>
        <w:t>Prior to the Closing Date, the Company shall have furnished to the Representative such further information, certificates and documents as the Representative may reasonably request.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361" w:right="379" w:bottom="1440" w:gutter="0" w:footer="0" w:header="0"/>
        </w:sectPr>
      </w:pPr>
    </w:p>
    <w:bookmarkStart w:id="85" w:name="page86"/>
    <w:bookmarkEnd w:id="85"/>
    <w:p>
      <w:pPr>
        <w:ind w:firstLine="1296"/>
        <w:spacing w:after="0"/>
        <w:rPr>
          <w:sz w:val="20"/>
          <w:szCs w:val="20"/>
          <w:color w:val="auto"/>
        </w:rPr>
      </w:pPr>
      <w:r>
        <w:rPr>
          <w:rFonts w:ascii="Arial" w:cs="Arial" w:eastAsia="Arial" w:hAnsi="Arial"/>
          <w:sz w:val="22"/>
          <w:szCs w:val="22"/>
          <w:color w:val="auto"/>
        </w:rPr>
        <w:t>All opinions, letters, evidence and certificates mentioned above or elsewhere in this Agreement shall be deemed to be in compliance with the provisions hereof only if they are in form and substance reasonably satisfactory to the Representative and counsel for the Underwriters.</w:t>
      </w:r>
    </w:p>
    <w:p>
      <w:pPr>
        <w:spacing w:after="0" w:line="213" w:lineRule="exact"/>
        <w:rPr>
          <w:sz w:val="20"/>
          <w:szCs w:val="20"/>
          <w:color w:val="auto"/>
        </w:rPr>
      </w:pPr>
    </w:p>
    <w:p>
      <w:pPr>
        <w:jc w:val="both"/>
        <w:ind w:right="120" w:firstLine="1296"/>
        <w:spacing w:after="0" w:line="328" w:lineRule="auto"/>
        <w:rPr>
          <w:sz w:val="20"/>
          <w:szCs w:val="20"/>
          <w:color w:val="auto"/>
        </w:rPr>
      </w:pPr>
      <w:r>
        <w:rPr>
          <w:rFonts w:ascii="Arial" w:cs="Arial" w:eastAsia="Arial" w:hAnsi="Arial"/>
          <w:sz w:val="19"/>
          <w:szCs w:val="19"/>
          <w:color w:val="auto"/>
        </w:rPr>
        <w:t>The documents required to be delivered by this Section 8 will be available for inspection at the office of Simpson Thacher &amp; Bartlett LLP, at 425 Lexington Avenue, New York, New York 10017, on the Business Day prior to the Closing Date.</w:t>
      </w:r>
    </w:p>
    <w:p>
      <w:pPr>
        <w:spacing w:after="0" w:line="132" w:lineRule="exact"/>
        <w:rPr>
          <w:sz w:val="20"/>
          <w:szCs w:val="20"/>
          <w:color w:val="auto"/>
        </w:rPr>
      </w:pPr>
    </w:p>
    <w:p>
      <w:pPr>
        <w:ind w:right="40" w:firstLine="656"/>
        <w:spacing w:after="0" w:line="246" w:lineRule="auto"/>
        <w:tabs>
          <w:tab w:leader="none" w:pos="1350"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Reimbursement of Underwriters’ Expenses</w:t>
      </w:r>
      <w:r>
        <w:rPr>
          <w:rFonts w:ascii="Arial" w:cs="Arial" w:eastAsia="Arial" w:hAnsi="Arial"/>
          <w:sz w:val="21"/>
          <w:szCs w:val="21"/>
          <w:color w:val="auto"/>
        </w:rPr>
        <w:t>. If the sale of the Securities provided for herein is not consummated because any condition to the obligations of the Underwriters set forth in Section 8 hereof is not satisfied, because of any termination pursuant to Section 12 hereof or because of any refusal, inability or failure on the part of the Company or any Selling Stockholder to perform any agreement herein or to comply with any provision hereof other than by reason of a default by any of the Underwriters, including as described in Section 11 hereof, the Company will reimburse the Underwriters severally through the Representative on behalf of the Underwriters on demand for all reasonable expenses (including reasonable fees and disbursements of Latham &amp; Watkins LLP) that shall have been incurred by them in connection with the proposed purchase and sale of the Securities.</w:t>
      </w:r>
    </w:p>
    <w:p>
      <w:pPr>
        <w:spacing w:after="0" w:line="206" w:lineRule="exact"/>
        <w:rPr>
          <w:rFonts w:ascii="Arial" w:cs="Arial" w:eastAsia="Arial" w:hAnsi="Arial"/>
          <w:sz w:val="21"/>
          <w:szCs w:val="21"/>
          <w:color w:val="auto"/>
        </w:rPr>
      </w:pPr>
    </w:p>
    <w:p>
      <w:pPr>
        <w:ind w:left="1460" w:hanging="804"/>
        <w:spacing w:after="0"/>
        <w:tabs>
          <w:tab w:leader="none" w:pos="146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Indemnification and Contribution</w:t>
      </w:r>
      <w:r>
        <w:rPr>
          <w:rFonts w:ascii="Arial" w:cs="Arial" w:eastAsia="Arial" w:hAnsi="Arial"/>
          <w:sz w:val="22"/>
          <w:szCs w:val="22"/>
          <w:color w:val="auto"/>
        </w:rPr>
        <w:t>.</w:t>
      </w:r>
    </w:p>
    <w:p>
      <w:pPr>
        <w:spacing w:after="0" w:line="233" w:lineRule="exact"/>
        <w:rPr>
          <w:sz w:val="20"/>
          <w:szCs w:val="20"/>
          <w:color w:val="auto"/>
        </w:rPr>
      </w:pPr>
    </w:p>
    <w:p>
      <w:pPr>
        <w:ind w:firstLine="656"/>
        <w:spacing w:after="0" w:line="270" w:lineRule="auto"/>
        <w:tabs>
          <w:tab w:leader="none" w:pos="1428"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The Company agrees to indemnify and hold harmless each Underwriter, the directors, officers, selling agents and Affiliates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U.S.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or in any Preliminary Prospectus, or the Prospectus, or any Issuer Free Writing Prospectus, or any bona fide electronic road show as defined in Rule 433(h) under the Act (a “road show”), or in any amendment thereof or supplement thereto or arise out of or are based upon the omission or alleged omission to state therein a material fact required to be stated therein or necessary to make the statements therein, in the case of any Preliminary Prospectus, the Prospectus, any Free Writing Prospectus or roadshow or in any amendment thereof or supplement thereto, in the light of the circumstances under which they were made, not misleading, and agrees (subject to the limitations set forth in the provisos to this sentence) to reimburse each such indemnified party, as incurred, for any legal or other expenses reasonably incurred by it in connection with investigating or defending any such loss, claim, damage, liability or action;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 specifically for inclusion therein. The obligations of the Company under this indemnity agreement will be in addition to any liability that the Company may otherwise have. The Company shall not be liable under this Section 10 to any indemnified party regarding any settlement or compromise or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86" w:name="page87"/>
    <w:bookmarkEnd w:id="86"/>
    <w:p>
      <w:pPr>
        <w:ind w:right="40" w:firstLine="648"/>
        <w:spacing w:after="0" w:line="238" w:lineRule="auto"/>
        <w:rPr>
          <w:sz w:val="20"/>
          <w:szCs w:val="20"/>
          <w:color w:val="auto"/>
        </w:rPr>
      </w:pPr>
      <w:r>
        <w:rPr>
          <w:rFonts w:ascii="Arial" w:cs="Arial" w:eastAsia="Arial" w:hAnsi="Arial"/>
          <w:sz w:val="22"/>
          <w:szCs w:val="22"/>
          <w:color w:val="auto"/>
        </w:rPr>
        <w:t>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the Company, as applicable, which consent shall not be unreasonably withheld.</w:t>
      </w:r>
    </w:p>
    <w:p>
      <w:pPr>
        <w:spacing w:after="0" w:line="212" w:lineRule="exact"/>
        <w:rPr>
          <w:sz w:val="20"/>
          <w:szCs w:val="20"/>
          <w:color w:val="auto"/>
        </w:rPr>
      </w:pPr>
    </w:p>
    <w:p>
      <w:pPr>
        <w:ind w:firstLine="656"/>
        <w:spacing w:after="0" w:line="271" w:lineRule="auto"/>
        <w:tabs>
          <w:tab w:leader="none" w:pos="1440" w:val="left"/>
        </w:tabs>
        <w:numPr>
          <w:ilvl w:val="1"/>
          <w:numId w:val="80"/>
        </w:numPr>
        <w:rPr>
          <w:rFonts w:ascii="Arial" w:cs="Arial" w:eastAsia="Arial" w:hAnsi="Arial"/>
          <w:sz w:val="19"/>
          <w:szCs w:val="19"/>
          <w:color w:val="auto"/>
        </w:rPr>
      </w:pPr>
      <w:r>
        <w:rPr>
          <w:rFonts w:ascii="Arial" w:cs="Arial" w:eastAsia="Arial" w:hAnsi="Arial"/>
          <w:sz w:val="19"/>
          <w:szCs w:val="19"/>
          <w:color w:val="auto"/>
        </w:rPr>
        <w:t xml:space="preserve">Each of the Selling Stockholders, severally, and not jointly, agrees to indemnify and hold harmless (x) each Underwriter, the directors, officers, selling agents and Affiliates of each Underwriter and each person who controls any Underwriter within the meaning of either the Act or the Exchange Act and (y) the Company, each person, if any, who controls the Company within the meaning of either the Act or the Exchange Act, each of directors of the Company who signed the Registration Statement and each of the officers of the Company who signs the Registration Statement against any and all losses, claims, damages or liabilities, joint or several, to which they or any of them may become subject under the Act, the Exchange Act, other U.S. federal or state statutory law or regulation, at common law or otherwise, insofar as such losses, claims, damages or liabilities arise to the extent and in the manner set forth in Section 10(a) above;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Selling Stockholder shall be liable only to the extent that such untrue statement or alleged untrue statement or omission or alleged omission has been made in the Registration Statement, or in any Preliminary Prospectus, or the Prospectus, or any Issuer Free Writing Prospectus or any roadshow or in any amendment thereof or supplement thereto in reliance upon and in conformity with the Selling Stockholders Information provided by such Selling Stockholder;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the liability under this subsection of each Selling Stockholder shall be limited to an amount equal to the aggregate gross proceeds after underwriting commissions and discounts, but before expenses, to such Selling Stockholder from the sale of Securities sold by such Selling Stockholder hereunder (the “Selling Stockholder Net Proceeds”).</w:t>
      </w:r>
    </w:p>
    <w:p>
      <w:pPr>
        <w:spacing w:after="0" w:line="200" w:lineRule="exact"/>
        <w:rPr>
          <w:rFonts w:ascii="Arial" w:cs="Arial" w:eastAsia="Arial" w:hAnsi="Arial"/>
          <w:sz w:val="19"/>
          <w:szCs w:val="19"/>
          <w:color w:val="auto"/>
        </w:rPr>
      </w:pPr>
    </w:p>
    <w:p>
      <w:pPr>
        <w:spacing w:after="0" w:line="234" w:lineRule="exact"/>
        <w:rPr>
          <w:rFonts w:ascii="Arial" w:cs="Arial" w:eastAsia="Arial" w:hAnsi="Arial"/>
          <w:sz w:val="19"/>
          <w:szCs w:val="19"/>
          <w:color w:val="auto"/>
        </w:rPr>
      </w:pPr>
    </w:p>
    <w:p>
      <w:pPr>
        <w:ind w:right="40" w:firstLine="656"/>
        <w:spacing w:after="0" w:line="276" w:lineRule="auto"/>
        <w:tabs>
          <w:tab w:leader="none" w:pos="1428" w:val="left"/>
        </w:tabs>
        <w:numPr>
          <w:ilvl w:val="1"/>
          <w:numId w:val="80"/>
        </w:numPr>
        <w:rPr>
          <w:rFonts w:ascii="Arial" w:cs="Arial" w:eastAsia="Arial" w:hAnsi="Arial"/>
          <w:sz w:val="19"/>
          <w:szCs w:val="19"/>
          <w:color w:val="auto"/>
        </w:rPr>
      </w:pPr>
      <w:r>
        <w:rPr>
          <w:rFonts w:ascii="Arial" w:cs="Arial" w:eastAsia="Arial" w:hAnsi="Arial"/>
          <w:sz w:val="19"/>
          <w:szCs w:val="19"/>
          <w:color w:val="auto"/>
        </w:rPr>
        <w:t>Each Underwriter severally, and not jointly, agrees to indemnify and hold harmless (i) the Company, (ii) each person, if any, who controls (within the meaning of either the Act or the Exchange Act) the Company or any Selling Stockholder,</w:t>
      </w:r>
    </w:p>
    <w:p>
      <w:pPr>
        <w:spacing w:after="0" w:line="1" w:lineRule="exact"/>
        <w:rPr>
          <w:rFonts w:ascii="Arial" w:cs="Arial" w:eastAsia="Arial" w:hAnsi="Arial"/>
          <w:sz w:val="19"/>
          <w:szCs w:val="19"/>
          <w:color w:val="auto"/>
        </w:rPr>
      </w:pPr>
    </w:p>
    <w:p>
      <w:pPr>
        <w:ind w:right="60" w:firstLine="8"/>
        <w:spacing w:after="0" w:line="243" w:lineRule="auto"/>
        <w:tabs>
          <w:tab w:leader="none" w:pos="378" w:val="left"/>
        </w:tabs>
        <w:numPr>
          <w:ilvl w:val="0"/>
          <w:numId w:val="81"/>
        </w:numPr>
        <w:rPr>
          <w:rFonts w:ascii="Arial" w:cs="Arial" w:eastAsia="Arial" w:hAnsi="Arial"/>
          <w:sz w:val="21"/>
          <w:szCs w:val="21"/>
          <w:color w:val="auto"/>
        </w:rPr>
      </w:pPr>
      <w:r>
        <w:rPr>
          <w:rFonts w:ascii="Arial" w:cs="Arial" w:eastAsia="Arial" w:hAnsi="Arial"/>
          <w:sz w:val="21"/>
          <w:szCs w:val="21"/>
          <w:color w:val="auto"/>
        </w:rPr>
        <w:t>each of the directors of the Company who signs the Registration Statement, (iv) each of the officers of the Company who signs the Registration Statement and (v) each of the Selling Stockholders, to the same extent as the foregoing indemnity from the Company and Selling Stockholders to each Underwriter, but only with reference to written information relating to such Underwriter furnished to the Company and/or Selling Stockholders by or on behalf of such Underwriter through the Representative specifically for inclusion in the documents referred to in the foregoing indemnity. This indemnity agreement will be in addition to any liability that any Underwriter may otherwise have. The Company acknowledges that the statements in the Preliminary Prospectus and the Prospectus set forth in the fifth paragraph and the ninth through eleventh paragraphs under the heading “Underwriting (Conflicts of Interest),” constitute the only information furnished in writing by or on behalf of the several Underwriters for inclusion in the Registration Statement, Preliminary Prospectus, the Prospectus, any Issuer Free Writing Prospectus or any road show.</w:t>
      </w:r>
    </w:p>
    <w:p>
      <w:pPr>
        <w:spacing w:after="0" w:line="209" w:lineRule="exact"/>
        <w:rPr>
          <w:rFonts w:ascii="Arial" w:cs="Arial" w:eastAsia="Arial" w:hAnsi="Arial"/>
          <w:sz w:val="21"/>
          <w:szCs w:val="21"/>
          <w:color w:val="auto"/>
        </w:rPr>
      </w:pPr>
    </w:p>
    <w:p>
      <w:pPr>
        <w:ind w:right="140" w:firstLine="656"/>
        <w:spacing w:after="0" w:line="238" w:lineRule="auto"/>
        <w:tabs>
          <w:tab w:leader="none" w:pos="1440" w:val="left"/>
        </w:tabs>
        <w:numPr>
          <w:ilvl w:val="1"/>
          <w:numId w:val="81"/>
        </w:numPr>
        <w:rPr>
          <w:rFonts w:ascii="Arial" w:cs="Arial" w:eastAsia="Arial" w:hAnsi="Arial"/>
          <w:sz w:val="22"/>
          <w:szCs w:val="22"/>
          <w:color w:val="auto"/>
        </w:rPr>
      </w:pPr>
      <w:r>
        <w:rPr>
          <w:rFonts w:ascii="Arial" w:cs="Arial" w:eastAsia="Arial" w:hAnsi="Arial"/>
          <w:sz w:val="22"/>
          <w:szCs w:val="22"/>
          <w:color w:val="auto"/>
        </w:rPr>
        <w:t>Promptly after receipt by an indemnified party under this Section 10 of notice of the commencement of any action, such indemnified party will, if a claim in respect thereof is to be made against the indemnifying party under this Section 10, notify the indemnifying party in writing of the commencement thereof; but the failure so to notify the indemnifying party (i) will</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7" w:name="page88"/>
    <w:bookmarkEnd w:id="87"/>
    <w:p>
      <w:pPr>
        <w:ind w:firstLine="648"/>
        <w:spacing w:after="0" w:line="268" w:lineRule="auto"/>
        <w:rPr>
          <w:sz w:val="20"/>
          <w:szCs w:val="20"/>
          <w:color w:val="auto"/>
        </w:rPr>
      </w:pPr>
      <w:r>
        <w:rPr>
          <w:rFonts w:ascii="Arial" w:cs="Arial" w:eastAsia="Arial" w:hAnsi="Arial"/>
          <w:sz w:val="19"/>
          <w:szCs w:val="19"/>
          <w:color w:val="auto"/>
        </w:rPr>
        <w:t xml:space="preserve">not relieve it from liability under paragraph (a), (b) or (c) above, as applicable, unless and to the extent it did not otherwise learn of such action and such failure results in the forfeiture by the indemnifying party of substantial rights or defenses and (ii) will not, in any event, relieve the indemnifying party from any obligations to any indemnified party other than the indemnification obligation provided in paragraph (a), (b) or (c) above, as applicable, except as provided in paragraph (e) below. The indemnifying party shall be entitled to appoint counsel (including local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other than local counsel if not appointed by the indemnifying party, retained by the indemnified party or parties except as set forth below); </w:t>
      </w:r>
      <w:r>
        <w:rPr>
          <w:rFonts w:ascii="Arial" w:cs="Arial" w:eastAsia="Arial" w:hAnsi="Arial"/>
          <w:sz w:val="19"/>
          <w:szCs w:val="19"/>
          <w:i w:val="1"/>
          <w:iCs w:val="1"/>
          <w:color w:val="auto"/>
        </w:rPr>
        <w:t xml:space="preserve">provided, however, </w:t>
      </w:r>
      <w:r>
        <w:rPr>
          <w:rFonts w:ascii="Arial" w:cs="Arial" w:eastAsia="Arial" w:hAnsi="Arial"/>
          <w:sz w:val="19"/>
          <w:szCs w:val="19"/>
          <w:color w:val="auto"/>
        </w:rPr>
        <w:t>that such counsel shall be reasonably satisfactory to the indemnified party. Notwithstanding the indemnifying</w:t>
      </w:r>
      <w:r>
        <w:rPr>
          <w:rFonts w:ascii="Arial" w:cs="Arial" w:eastAsia="Arial" w:hAnsi="Arial"/>
          <w:sz w:val="19"/>
          <w:szCs w:val="19"/>
          <w:i w:val="1"/>
          <w:iCs w:val="1"/>
          <w:color w:val="auto"/>
        </w:rPr>
        <w:t xml:space="preserve"> </w:t>
      </w:r>
      <w:r>
        <w:rPr>
          <w:rFonts w:ascii="Arial" w:cs="Arial" w:eastAsia="Arial" w:hAnsi="Arial"/>
          <w:sz w:val="19"/>
          <w:szCs w:val="19"/>
          <w:color w:val="auto"/>
        </w:rPr>
        <w:t>party’s election to appoint counsel (including local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(based on the advice of counsel for the indemnified person); (ii) such action includes both the indemnified party and the indemnifying party and the indemnified party shall have reasonably concluded (based on the advice of counsel for the indemnified party) that there may be legal defenses available to it and/or other indemnified parties that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It is understood and agreed that the indemnifying party shall not, in connection with any proceeding or related proceeding in the same jurisdiction, be liable for the reasonable fees and expenses of more than one separate firm (in addition to any local counsel) for all indemnified parties. Any such separate firm for any Underwriters, its Affiliates, directors, selling agents and officers and any control persons of such Underwriters shall be designated in writing by Credit Suisse Securities (USA) LLC and any such separate firm for the indemnified parties referred to in Section 10(c) above shall be designated in writing by the Company. In the event that any Underwriter, its Affiliates, directors, selling agents and officers or any control persons of such Underwriter are indemnified persons collectively entitled, in connection with a proceeding in a single jurisdiction, to the payment of fees and expenses of a single separate firm under this Section 10(d), and any such Underwriter, its Affiliates, directors, selling agents and officers or any control persons of such Underwriter cannot agree to a mutually acceptable separate firm to act as counsel thereto, then such separate firm for all such indemnified persons shall be designated in writing by Credit Suisse Securities (USA) LLC.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action suit or proceeding) unless such settlement, compromise or consent includes an unconditional release of each indemnified party from all liability arising out of such claim, action, suit or proceeding and does not include any statement as to, or any admission of, fault, culpability or failure to act by or on behalf of any indemnified party.</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8" w:name="page89"/>
    <w:bookmarkEnd w:id="88"/>
    <w:p>
      <w:pPr>
        <w:spacing w:after="0" w:line="77" w:lineRule="exact"/>
        <w:rPr>
          <w:sz w:val="20"/>
          <w:szCs w:val="20"/>
          <w:color w:val="auto"/>
        </w:rPr>
      </w:pPr>
    </w:p>
    <w:p>
      <w:pPr>
        <w:ind w:left="-656" w:firstLine="656"/>
        <w:spacing w:after="0" w:line="268" w:lineRule="auto"/>
        <w:tabs>
          <w:tab w:leader="none" w:pos="772" w:val="left"/>
        </w:tabs>
        <w:numPr>
          <w:ilvl w:val="0"/>
          <w:numId w:val="82"/>
        </w:numPr>
        <w:rPr>
          <w:rFonts w:ascii="Arial" w:cs="Arial" w:eastAsia="Arial" w:hAnsi="Arial"/>
          <w:sz w:val="19"/>
          <w:szCs w:val="19"/>
          <w:color w:val="auto"/>
        </w:rPr>
      </w:pPr>
      <w:r>
        <w:rPr>
          <w:rFonts w:ascii="Arial" w:cs="Arial" w:eastAsia="Arial" w:hAnsi="Arial"/>
          <w:sz w:val="19"/>
          <w:szCs w:val="19"/>
          <w:color w:val="auto"/>
        </w:rPr>
        <w:t>In the event that the indemnity provided in paragraph (a), (b), (c) or (d) of this Section 10 is unavailable to or insufficient to hold harmless an indemnified party for any reason (other than by virtue of the failure of an indemnified party to notify the indemnifying party of its right to indemnification pursuant to subsection (a), (b),(c) or (d) above where such failure materially prejudices the indemnifying party (through the forfeiture of substantial rights or defenses)), the Company and/or the Selling Stockholders, as applicable, and the Underwriters severally agree to contribute to the aggregate losses, claims, damages and liabilities (including legal or other expenses reasonably incurred in connection with investigating or defending any loss, claim, damage, liability or action) (collectively “Losses”) to which the Company and/or the Selling Stockholders, as applicable, and one or more of the Underwriters may be subject in such proportion as is appropriate to reflect the relative benefits received by the Company and/or the Selling Stockholders, as applicable, on the one hand and by the Underwriters on the other from the offering of the Securities. If the allocation provided by the immediately preceding sentence is unavailable for any reason or not permitted by applicable law, the Company and/or the Selling Stockholders, as applicable, and the Underwriters severally shall contribute in such proportion as is appropriate to reflect not only such relative benefits but also the relative fault of the Company and/or the Selling Stockholders, as applicable, on the one hand and of the Underwriters on the other in connection with the statements or omissions that resulted in such Losses, as well as any other relevant equitable considerations. Benefits received by the Company and/or the Selling Stockholders, as applicable, shall be deemed to be equal to the total net proceeds from the offering (before deducting expenses) received by it, and benefits received by the Underwriters shall be deemed to be equal to the total underwriting discounts and commissions received by them, in each case as set forth on the cover page of the Prospectus. Relative fault shall be determined by reference to, among other things, whether any untrue or any alleged untrue statement of a material fact or the omission or alleged omission to state a material fact relates to information provided by the Company and/or the Selling Stockholders, as applicable, on the one hand or the Underwriters on the other, the intent of the parties and their relative knowledge, access to information and opportunity to correct or prevent such untrue statement or omission and any other equitable considerations appropriate in the circumstances. The Company, the Selling Stockholders and the Underwriters agree that it would not be just and equitable if the amount of such contribution were determined by pro rata allocation or any other method of allocation that does not take account of the equitable considerations referred to above. Notwithstanding the provisions of this paragraph (e), in no event shall any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Notwithstanding the provisions of this paragraph (e), each Selling Stockholder’s obligations to contribute any amount under this paragraph (e) is further limited in the manner and to the extent set forth in paragraph 10(b) and in no event shall the aggregate liability of such Selling Stockholder under paragraph 10(b) and this paragraph (e) exceed the Selling Stockholder Net Proceeds. No person guilty of fraudulent misrepresentation (within the meaning of Section 11(f) of the Act) shall be entitled to contribution from any person who was not guilty of such fraudulent misrepresentation. The Underwriters’ obligations to contribute pursuant to this Section 10 are several in proportion to their respective purchase obligations hereunder and not joint. The Selling Stockholder’s obligations in this Section 10 to contribute are several in proportion to their Selling Stockholder Net Proceeds and not joint. For purposes of this Section 10, each person, if any, who controls an Underwriter within the meaning of either the Act or the Exchange Act and each director, officer, employee, Affiliate and agent of an Underwriter shall have the same rights to contribution as such Underwriter, and each person who controls the Company within the meaning of either the Act or the Exchange Act, each officer of the Company who shall have signed the Registration Statement and each director of the Company shall have the same rights to contribution as the Company, and each person, if any, who controls any Selling Stockholder within the meaning of either the Act or the Exchange Act shall have the same rights to contribution as such Selling Stockholder, subject in each case to the applicable terms and conditions of this paragraph (e).</w:t>
      </w:r>
    </w:p>
    <w:p>
      <w:pPr>
        <w:spacing w:after="0" w:line="200" w:lineRule="exact"/>
        <w:rPr>
          <w:sz w:val="20"/>
          <w:szCs w:val="20"/>
          <w:color w:val="auto"/>
        </w:rPr>
      </w:pPr>
    </w:p>
    <w:p>
      <w:pPr>
        <w:spacing w:after="0" w:line="246" w:lineRule="exact"/>
        <w:rPr>
          <w:sz w:val="20"/>
          <w:szCs w:val="20"/>
          <w:color w:val="auto"/>
        </w:rPr>
      </w:pPr>
    </w:p>
    <w:p>
      <w:pPr>
        <w:ind w:left="-656" w:right="20" w:firstLine="656"/>
        <w:spacing w:after="0" w:line="270" w:lineRule="auto"/>
        <w:tabs>
          <w:tab w:leader="none" w:pos="794"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Default by an Underwriter</w:t>
      </w:r>
      <w:r>
        <w:rPr>
          <w:rFonts w:ascii="Arial" w:cs="Arial" w:eastAsia="Arial" w:hAnsi="Arial"/>
          <w:sz w:val="19"/>
          <w:szCs w:val="19"/>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as the case may be, shall be obligated severally to take up and pay for (in the respective proportions that the amount of the Securities set forth opposite their names in Schedule I(A) hereto bears to the aggregate amount of the Securities set forth opposite the names of all the remaining Underwriters, as applicable) the Securities that the defaulting Underwriter or Underwriters agreed but failed to purchase;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the event that the aggregate amount of the Securities that the defaulting Underwriter or Underwriters agreed but failed to purchase shall exceed 10% of the aggregate amount of the Securities set forth in Schedule I(A) hereto, the Company and the Selling Stockholders shall be entitled to a period of 36 hours within which to procure another party or parties reasonably satisfactory to the non-defaulting Underwriters, as the case may be, to purchase no less than the amount of such unpurchased Securities that exceeds 10% of the amount thereof upon such terms herein set forth. If, however, the Company and the Selling Stockholders shall not have completed such arrangements within 72 hours after such default and the amount of unpurchased Securities exceeds 10% of the amount of such Securities to be purchased on such date, then this Agreement will terminate without liability to any non-defaulting Underwriter or the Company and the Selling Stockholders. In the event of a default by any Underwriter as set forth in this Section 11, the Closing Date shall be postponed for such period, not exceeding five Business Days, to effect any changes that in the opinion of counsel for the Company and the Selling Stockholders or counsel for the Representative are necessary in the Registration Statement, Prospectus or in any other documents or arrangements may be effected. Nothing contained in this Agreement shall relieve any defaulting Underwriter of its liability, if any, to the Company and the Selling Stockholders or any nondefaulting Underwriter for damages occasioned by its default hereunder.</w:t>
      </w:r>
    </w:p>
    <w:p>
      <w:pPr>
        <w:spacing w:after="0" w:line="189" w:lineRule="exact"/>
        <w:rPr>
          <w:rFonts w:ascii="Arial" w:cs="Arial" w:eastAsia="Arial" w:hAnsi="Arial"/>
          <w:sz w:val="19"/>
          <w:szCs w:val="19"/>
          <w:color w:val="auto"/>
        </w:rPr>
      </w:pPr>
    </w:p>
    <w:p>
      <w:pPr>
        <w:jc w:val="both"/>
        <w:ind w:left="-656" w:right="80" w:firstLine="656"/>
        <w:spacing w:after="0" w:line="287" w:lineRule="auto"/>
        <w:tabs>
          <w:tab w:leader="none" w:pos="802"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shall be subject to termination in the absolute discretion of the Representative, by notice given to the Company and the Selling Stockholders prior to delivery of and payment for the Securities, if at any time prior to such time (i) there shall have occurred, since the time of execution of this Agreement or since the respective dates as of which information is given in the Disclosure Package or the Prospectus, any material adverse change or development in the condition</w:t>
      </w:r>
    </w:p>
    <w:p>
      <w:pPr>
        <w:sectPr>
          <w:pgSz w:w="11900" w:h="16916" w:orient="portrait"/>
          <w:cols w:equalWidth="0" w:num="1">
            <w:col w:w="10584"/>
          </w:cols>
          <w:pgMar w:left="976" w:top="361" w:right="339" w:bottom="0" w:gutter="0" w:footer="0" w:header="0"/>
        </w:sectPr>
      </w:pPr>
    </w:p>
    <w:bookmarkStart w:id="89" w:name="page90"/>
    <w:bookmarkEnd w:id="89"/>
    <w:p>
      <w:pPr>
        <w:spacing w:after="0" w:line="251" w:lineRule="auto"/>
        <w:rPr>
          <w:sz w:val="20"/>
          <w:szCs w:val="20"/>
          <w:color w:val="auto"/>
        </w:rPr>
      </w:pPr>
      <w:r>
        <w:rPr>
          <w:rFonts w:ascii="Arial" w:cs="Arial" w:eastAsia="Arial" w:hAnsi="Arial"/>
          <w:sz w:val="22"/>
          <w:szCs w:val="22"/>
          <w:color w:val="auto"/>
        </w:rPr>
        <w:t>(financial or otherwise), business or results of operations of the Company and its subsidiaries, taken as a whole; (ii) trading in the Company’s Common</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90" w:name="page91"/>
    <w:bookmarkEnd w:id="90"/>
    <w:p>
      <w:pPr>
        <w:ind w:right="100" w:firstLine="648"/>
        <w:spacing w:after="0" w:line="275" w:lineRule="auto"/>
        <w:rPr>
          <w:sz w:val="20"/>
          <w:szCs w:val="20"/>
          <w:color w:val="auto"/>
        </w:rPr>
      </w:pPr>
      <w:r>
        <w:rPr>
          <w:rFonts w:ascii="Arial" w:cs="Arial" w:eastAsia="Arial" w:hAnsi="Arial"/>
          <w:sz w:val="19"/>
          <w:szCs w:val="19"/>
          <w:color w:val="auto"/>
        </w:rPr>
        <w:t>Stock shall have been suspended by the Commission or the Exchange or trading in any securities generally on the New York Stock Exchange or NASDAQ Stock Market shall have been suspended or materially limited or minimum prices shall have been established on either exchange; (iii) a banking moratorium shall have been declared either by U.S. federal or New York State authorities; (iv) there shall have occurred a material disruption in commercial banking or securities settlement or clearance services or (v) there shall have occurred any outbreak or escalation of hostilities, declaration by the United States of a national emergency or war or other calamity or crisis the effect of which on financial markets is such as to make it, in the judgment of the Representative, impractical or inadvisable to proceed with the offering, sale or delivery of the Securities as contemplated in the Disclosure Package and the Prospectus (exclusive of any supplement thereto).</w:t>
      </w:r>
    </w:p>
    <w:p>
      <w:pPr>
        <w:spacing w:after="0" w:line="185" w:lineRule="exact"/>
        <w:rPr>
          <w:sz w:val="20"/>
          <w:szCs w:val="20"/>
          <w:color w:val="auto"/>
        </w:rPr>
      </w:pPr>
    </w:p>
    <w:p>
      <w:pPr>
        <w:ind w:right="80" w:firstLine="656"/>
        <w:spacing w:after="0" w:line="277" w:lineRule="auto"/>
        <w:tabs>
          <w:tab w:leader="none" w:pos="1458"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Affiliated Underwriter</w:t>
      </w:r>
      <w:r>
        <w:rPr>
          <w:rFonts w:ascii="Arial" w:cs="Arial" w:eastAsia="Arial" w:hAnsi="Arial"/>
          <w:sz w:val="19"/>
          <w:szCs w:val="19"/>
          <w:color w:val="auto"/>
        </w:rPr>
        <w:t>. With respect to any Underwriter (the “Affiliated Underwriter”) who is affiliated with any person or entity engaged to act as an investment adviser on behalf of an investor who has a direct or indirect interest in the Securities being sold by the Selling Shareholder, the Securities which such Affiliated Underwriter shall procure purchasers for or failing which shall underwrite, shall not include any Securities attributable to such investor (with any such Securities instead being allocated and sold to purchasers procured by, failing which underwritten by, the other Underwriters) and, accordingly, the fees or other amounts received by such Affiliated Underwriter in connection with the transactions contemplated hereby shall not include any fees or other amounts attributable to the Securities attributable to such investor.</w:t>
      </w:r>
    </w:p>
    <w:p>
      <w:pPr>
        <w:spacing w:after="0" w:line="178" w:lineRule="exact"/>
        <w:rPr>
          <w:rFonts w:ascii="Arial" w:cs="Arial" w:eastAsia="Arial" w:hAnsi="Arial"/>
          <w:sz w:val="19"/>
          <w:szCs w:val="19"/>
          <w:color w:val="auto"/>
        </w:rPr>
      </w:pPr>
    </w:p>
    <w:p>
      <w:pPr>
        <w:ind w:firstLine="656"/>
        <w:spacing w:after="0" w:line="248" w:lineRule="auto"/>
        <w:tabs>
          <w:tab w:leader="none" w:pos="1458" w:val="left"/>
        </w:tabs>
        <w:numPr>
          <w:ilvl w:val="0"/>
          <w:numId w:val="84"/>
        </w:numPr>
        <w:rPr>
          <w:rFonts w:ascii="Arial" w:cs="Arial" w:eastAsia="Arial" w:hAnsi="Arial"/>
          <w:sz w:val="21"/>
          <w:szCs w:val="21"/>
          <w:color w:val="auto"/>
        </w:rPr>
      </w:pPr>
      <w:r>
        <w:rPr>
          <w:rFonts w:ascii="Arial" w:cs="Arial" w:eastAsia="Arial" w:hAnsi="Arial"/>
          <w:sz w:val="21"/>
          <w:szCs w:val="21"/>
          <w:u w:val="single" w:color="auto"/>
          <w:color w:val="auto"/>
        </w:rPr>
        <w:t>Representations and Indemnities to Survive</w:t>
      </w:r>
      <w:r>
        <w:rPr>
          <w:rFonts w:ascii="Arial" w:cs="Arial" w:eastAsia="Arial" w:hAnsi="Arial"/>
          <w:sz w:val="21"/>
          <w:szCs w:val="21"/>
          <w:color w:val="auto"/>
        </w:rPr>
        <w:t>. The respective agreements, representations, warranties, indemnities and other statements of the Company or its officers, the Selling Stockholders and of the Underwriters set forth in or made pursuant to this Agreement will remain in full force and effect, regardless of any investigation made by or on behalf of any Underwriter, the Company, the Selling Stockholders or any of the indemnified persons referred to in Section 10 hereof, and, anything herein to the contrary notwithstanding, will survive delivery of and payment for the Securities. The provisions of Sections 9 and 10 hereof shall survive the termination or cancellation of this Agreement.</w:t>
      </w:r>
    </w:p>
    <w:p>
      <w:pPr>
        <w:spacing w:after="0" w:line="203" w:lineRule="exact"/>
        <w:rPr>
          <w:rFonts w:ascii="Arial" w:cs="Arial" w:eastAsia="Arial" w:hAnsi="Arial"/>
          <w:sz w:val="21"/>
          <w:szCs w:val="21"/>
          <w:color w:val="auto"/>
        </w:rPr>
      </w:pPr>
    </w:p>
    <w:p>
      <w:pPr>
        <w:ind w:right="40" w:firstLine="656"/>
        <w:spacing w:after="0" w:line="274" w:lineRule="auto"/>
        <w:tabs>
          <w:tab w:leader="none" w:pos="1458"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communications hereunder will be in writing and effective only on receipt, and, if sent to the Representative, will be mailed, delivered or telefaxed to c/o Credit Suisse Securities (USA) LLC, Eleven Madison Avenue, New York, NY 10010-3629, Attention: LCD-IBD, if sent to the Company, will be mailed or delivered to Academy Sports and Outdoors, Inc., 1540 North Mason Road, Katy, TX, 77449 Attention: General Counsel; with a copy to Joseph H. Kaufman and Sunny Cheong, Simpson Thacher &amp; Bartlett LLP, at 425 Lexington Avenue, New York, New York (fax no. (212) 455-2502), or if to the Selling Stockholders, c/o Kohlberg Kravis Roberts &amp; Co. L.P., 30 Hudson Yards, Suite 7500, New York, NY 10001, with a copy to Joseph H. Kaufman and Sunny Cheong, Simpson Thacher &amp; Bartlett LLP, at 425 Lexington Avenue, New York, New York (fax no. (212) 455-2502). The Company and the Selling Stockholders shall be entitled to act and rely upon any request, consent, notice or agreement given or made on behalf of the Underwriters by the Representative.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ind w:left="1440" w:hanging="804"/>
        <w:spacing w:after="0"/>
        <w:tabs>
          <w:tab w:leader="none" w:pos="1440"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Recognition of the U.S. Special Resolution Regimes</w:t>
      </w:r>
      <w:r>
        <w:rPr>
          <w:rFonts w:ascii="Arial" w:cs="Arial" w:eastAsia="Arial" w:hAnsi="Arial"/>
          <w:sz w:val="22"/>
          <w:szCs w:val="22"/>
          <w:color w:val="auto"/>
        </w:rPr>
        <w:t>.</w:t>
      </w:r>
    </w:p>
    <w:p>
      <w:pPr>
        <w:spacing w:after="0" w:line="233" w:lineRule="exact"/>
        <w:rPr>
          <w:sz w:val="20"/>
          <w:szCs w:val="20"/>
          <w:color w:val="auto"/>
        </w:rPr>
      </w:pPr>
    </w:p>
    <w:p>
      <w:pPr>
        <w:ind w:left="-20" w:right="140" w:firstLine="656"/>
        <w:spacing w:after="0" w:line="236" w:lineRule="auto"/>
        <w:tabs>
          <w:tab w:leader="none" w:pos="1408" w:val="left"/>
        </w:tabs>
        <w:numPr>
          <w:ilvl w:val="0"/>
          <w:numId w:val="86"/>
        </w:numPr>
        <w:rPr>
          <w:rFonts w:ascii="Arial" w:cs="Arial" w:eastAsia="Arial" w:hAnsi="Arial"/>
          <w:sz w:val="22"/>
          <w:szCs w:val="22"/>
          <w:color w:val="auto"/>
        </w:rPr>
      </w:pPr>
      <w:r>
        <w:rPr>
          <w:rFonts w:ascii="Arial" w:cs="Arial" w:eastAsia="Arial" w:hAnsi="Arial"/>
          <w:sz w:val="22"/>
          <w:szCs w:val="22"/>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214" w:lineRule="exact"/>
        <w:rPr>
          <w:rFonts w:ascii="Arial" w:cs="Arial" w:eastAsia="Arial" w:hAnsi="Arial"/>
          <w:sz w:val="22"/>
          <w:szCs w:val="22"/>
          <w:color w:val="auto"/>
        </w:rPr>
      </w:pPr>
    </w:p>
    <w:p>
      <w:pPr>
        <w:ind w:left="-20" w:right="40" w:firstLine="656"/>
        <w:spacing w:after="0" w:line="287" w:lineRule="auto"/>
        <w:tabs>
          <w:tab w:leader="none" w:pos="1420" w:val="left"/>
        </w:tabs>
        <w:numPr>
          <w:ilvl w:val="0"/>
          <w:numId w:val="86"/>
        </w:numPr>
        <w:rPr>
          <w:rFonts w:ascii="Arial" w:cs="Arial" w:eastAsia="Arial" w:hAnsi="Arial"/>
          <w:sz w:val="19"/>
          <w:szCs w:val="19"/>
          <w:color w:val="auto"/>
        </w:rPr>
      </w:pPr>
      <w:r>
        <w:rPr>
          <w:rFonts w:ascii="Arial" w:cs="Arial" w:eastAsia="Arial" w:hAnsi="Arial"/>
          <w:sz w:val="19"/>
          <w:szCs w:val="19"/>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69" w:lineRule="exact"/>
        <w:rPr>
          <w:rFonts w:ascii="Arial" w:cs="Arial" w:eastAsia="Arial" w:hAnsi="Arial"/>
          <w:sz w:val="19"/>
          <w:szCs w:val="19"/>
          <w:color w:val="auto"/>
        </w:rPr>
      </w:pPr>
    </w:p>
    <w:p>
      <w:pPr>
        <w:ind w:left="-20" w:right="40" w:firstLine="656"/>
        <w:spacing w:after="0" w:line="275" w:lineRule="auto"/>
        <w:tabs>
          <w:tab w:leader="none" w:pos="1408" w:val="left"/>
        </w:tabs>
        <w:numPr>
          <w:ilvl w:val="0"/>
          <w:numId w:val="86"/>
        </w:numPr>
        <w:rPr>
          <w:rFonts w:ascii="Arial" w:cs="Arial" w:eastAsia="Arial" w:hAnsi="Arial"/>
          <w:sz w:val="19"/>
          <w:szCs w:val="19"/>
          <w:color w:val="auto"/>
        </w:rPr>
      </w:pPr>
      <w:r>
        <w:rPr>
          <w:rFonts w:ascii="Arial" w:cs="Arial" w:eastAsia="Arial" w:hAnsi="Arial"/>
          <w:sz w:val="19"/>
          <w:szCs w:val="19"/>
          <w:color w:val="auto"/>
        </w:rPr>
        <w:t>For purposes of this Section 15,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84" w:lineRule="exact"/>
        <w:rPr>
          <w:sz w:val="20"/>
          <w:szCs w:val="20"/>
          <w:color w:val="auto"/>
        </w:rPr>
      </w:pPr>
    </w:p>
    <w:p>
      <w:pPr>
        <w:ind w:left="-20" w:right="360" w:firstLine="656"/>
        <w:spacing w:after="0" w:line="238" w:lineRule="auto"/>
        <w:tabs>
          <w:tab w:leader="none" w:pos="1438"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 This Agreement will inure to the benefit of and be binding upon the parties hereto and their respective successors and the indemnified parties referred to in Section 10 hereof and their respective successors and no other person will have any right or obligation hereunder. No purchaser of Securities from any Underwriter shall be deemed to be a successor merely by reason of such purchase.</w:t>
      </w:r>
    </w:p>
    <w:p>
      <w:pPr>
        <w:spacing w:after="0" w:line="211" w:lineRule="exact"/>
        <w:rPr>
          <w:rFonts w:ascii="Arial" w:cs="Arial" w:eastAsia="Arial" w:hAnsi="Arial"/>
          <w:sz w:val="22"/>
          <w:szCs w:val="22"/>
          <w:color w:val="auto"/>
        </w:rPr>
      </w:pPr>
    </w:p>
    <w:p>
      <w:pPr>
        <w:ind w:left="-20" w:firstLine="656"/>
        <w:spacing w:after="0" w:line="238" w:lineRule="auto"/>
        <w:tabs>
          <w:tab w:leader="none" w:pos="1438"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THIS AGREEMENT AND ANY CLAIM, CONTROVERSY OR DISPUTE ARISING UNDER OR RELATED TO THIS AGREEMENT WILL BE GOVERNED BY AND CONSTRUED IN ACCORDANCE WITH THE LAWS OF THE STATE OF NEW YORK APPLICABLE TO CONTRACTS MADE AND TO BE PERFORMED WITHIN THE STATE OF NEW YORK.</w:t>
      </w:r>
    </w:p>
    <w:p>
      <w:pPr>
        <w:spacing w:after="0" w:line="211" w:lineRule="exact"/>
        <w:rPr>
          <w:rFonts w:ascii="Arial" w:cs="Arial" w:eastAsia="Arial" w:hAnsi="Arial"/>
          <w:sz w:val="22"/>
          <w:szCs w:val="22"/>
          <w:color w:val="auto"/>
        </w:rPr>
      </w:pPr>
    </w:p>
    <w:p>
      <w:pPr>
        <w:ind w:left="-20" w:right="40" w:firstLine="656"/>
        <w:spacing w:after="0" w:line="252" w:lineRule="auto"/>
        <w:tabs>
          <w:tab w:leader="none" w:pos="1438" w:val="left"/>
        </w:tabs>
        <w:numPr>
          <w:ilvl w:val="0"/>
          <w:numId w:val="87"/>
        </w:numPr>
        <w:rPr>
          <w:rFonts w:ascii="Arial" w:cs="Arial" w:eastAsia="Arial" w:hAnsi="Arial"/>
          <w:sz w:val="21"/>
          <w:szCs w:val="21"/>
          <w:color w:val="auto"/>
        </w:rPr>
      </w:pPr>
      <w:r>
        <w:rPr>
          <w:rFonts w:ascii="Arial" w:cs="Arial" w:eastAsia="Arial" w:hAnsi="Arial"/>
          <w:sz w:val="21"/>
          <w:szCs w:val="21"/>
          <w:u w:val="single" w:color="auto"/>
          <w:color w:val="auto"/>
        </w:rPr>
        <w:t>Patriot Act</w:t>
      </w:r>
      <w:r>
        <w:rPr>
          <w:rFonts w:ascii="Arial" w:cs="Arial" w:eastAsia="Arial" w:hAnsi="Arial"/>
          <w:sz w:val="21"/>
          <w:szCs w:val="21"/>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361" w:right="359" w:bottom="1440" w:gutter="0" w:footer="0" w:header="0"/>
        </w:sectPr>
      </w:pPr>
    </w:p>
    <w:bookmarkStart w:id="92" w:name="page93"/>
    <w:bookmarkEnd w:id="92"/>
    <w:p>
      <w:pPr>
        <w:ind w:left="-20" w:firstLine="656"/>
        <w:spacing w:after="0" w:line="271" w:lineRule="auto"/>
        <w:tabs>
          <w:tab w:leader="none" w:pos="1438"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No Fiduciary Duty</w:t>
      </w:r>
      <w:r>
        <w:rPr>
          <w:rFonts w:ascii="Arial" w:cs="Arial" w:eastAsia="Arial" w:hAnsi="Arial"/>
          <w:sz w:val="19"/>
          <w:szCs w:val="19"/>
          <w:color w:val="auto"/>
        </w:rPr>
        <w:t>. The Company and the Selling Stockholders hereby acknowledge that (a) the purchase and sale of the Securities pursuant to this Agreement is an arm’s-length commercial transaction between the Company and the Selling Stockholders, on the one hand, and the Underwriters and any affiliate through which it may be acting, on the other, and does not constitute a recommendation, investment advice, or solicitation of any action by the Underwriters, (b) the Underwriters are acting as principal and not as an agent or fiduciary of the Company or the Selling Stockholders and (c) the Company’s engagement of the Underwriters in connection with the offering and the process leading up to the offering is as independent contractors and not in any other capacity. Furthermore, the Company and the Selling Stockholders agree that they are solely responsible for making their own judgments in connection with the offering (irrespective of whether any of the Underwriters has advised or is currently advising the Company or the Selling Stockholders on related or other matters). The Company and the Selling Stockholders agree that they will not claim that the Underwriters have rendered advisory services of any nature or respect, or owe an agency, fiduciary or similar duty to the Company, in connection with such transaction or the process leading thereto. Any review by the Representative and the other Underwriters of the Company, the Selling Stockholders, the transactions contemplated hereby or other matters relating to such transactions will be performed solely for the benefit of the Underwriters and shall not be on behalf of the Company or the Selling Stockholders.</w:t>
      </w:r>
    </w:p>
    <w:p>
      <w:pPr>
        <w:spacing w:after="0" w:line="191" w:lineRule="exact"/>
        <w:rPr>
          <w:rFonts w:ascii="Arial" w:cs="Arial" w:eastAsia="Arial" w:hAnsi="Arial"/>
          <w:sz w:val="19"/>
          <w:szCs w:val="19"/>
          <w:color w:val="auto"/>
        </w:rPr>
      </w:pPr>
    </w:p>
    <w:p>
      <w:pPr>
        <w:ind w:left="-20" w:right="320" w:firstLine="656"/>
        <w:spacing w:after="0" w:line="328" w:lineRule="auto"/>
        <w:tabs>
          <w:tab w:leader="none" w:pos="1438"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supersedes all prior agreements and understandings (whether written or oral) among the Company, the Selling Stockholders and the Underwriters, or any of them, with respect to the subject matter hereof.</w:t>
      </w:r>
    </w:p>
    <w:p>
      <w:pPr>
        <w:spacing w:after="0" w:line="131" w:lineRule="exact"/>
        <w:rPr>
          <w:rFonts w:ascii="Arial" w:cs="Arial" w:eastAsia="Arial" w:hAnsi="Arial"/>
          <w:sz w:val="19"/>
          <w:szCs w:val="19"/>
          <w:color w:val="auto"/>
        </w:rPr>
      </w:pPr>
    </w:p>
    <w:p>
      <w:pPr>
        <w:ind w:left="-20" w:firstLine="656"/>
        <w:spacing w:after="0" w:line="238" w:lineRule="auto"/>
        <w:tabs>
          <w:tab w:leader="none" w:pos="1438"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EACH OF THE COMPANY, EACH OF THE SELLING STOCKHOLDERS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211" w:lineRule="exact"/>
        <w:rPr>
          <w:rFonts w:ascii="Arial" w:cs="Arial" w:eastAsia="Arial" w:hAnsi="Arial"/>
          <w:sz w:val="22"/>
          <w:szCs w:val="22"/>
          <w:color w:val="auto"/>
        </w:rPr>
      </w:pPr>
    </w:p>
    <w:p>
      <w:pPr>
        <w:ind w:left="-20" w:right="20" w:firstLine="656"/>
        <w:spacing w:after="0" w:line="282" w:lineRule="auto"/>
        <w:tabs>
          <w:tab w:leader="none" w:pos="1438"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by any one or more of the parties hereto in any number of counterparts, each of which shall be deemed to be an original, but all such counterparts shall together constitute one and the same instrument. The exchange of signature pages by facsimile or electronic format (i.e., “pdf” or “tif”) transmission shall constitute effective execution and delivery of this Agreement. Signatures of the parties hereto transmitted by facsimile or electronic format (i.e., “pdf” or “tif”) shall be deemed to be their original signatures for all purposes.</w:t>
      </w:r>
    </w:p>
    <w:p>
      <w:pPr>
        <w:spacing w:after="0" w:line="174" w:lineRule="exact"/>
        <w:rPr>
          <w:rFonts w:ascii="Arial" w:cs="Arial" w:eastAsia="Arial" w:hAnsi="Arial"/>
          <w:sz w:val="19"/>
          <w:szCs w:val="19"/>
          <w:color w:val="auto"/>
        </w:rPr>
      </w:pPr>
    </w:p>
    <w:p>
      <w:pPr>
        <w:ind w:left="-20" w:right="20" w:firstLine="656"/>
        <w:spacing w:after="0" w:line="234" w:lineRule="auto"/>
        <w:tabs>
          <w:tab w:leader="none" w:pos="1438"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Electronic Signatures</w:t>
      </w:r>
      <w:r>
        <w:rPr>
          <w:rFonts w:ascii="Arial" w:cs="Arial" w:eastAsia="Arial" w:hAnsi="Arial"/>
          <w:sz w:val="22"/>
          <w:szCs w:val="22"/>
          <w:color w:val="auto"/>
        </w:rPr>
        <w:t>.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state laws based on the Uniform Electronic Transactions Act, and the parties hereto consent to conduct the transactions contemplated hereunder by electronic means.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361" w:right="359" w:bottom="1440" w:gutter="0" w:footer="0" w:header="0"/>
        </w:sectPr>
      </w:pPr>
    </w:p>
    <w:bookmarkStart w:id="93" w:name="page94"/>
    <w:bookmarkEnd w:id="93"/>
    <w:p>
      <w:pPr>
        <w:ind w:left="1460" w:hanging="804"/>
        <w:spacing w:after="0"/>
        <w:tabs>
          <w:tab w:leader="none" w:pos="1460"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The section headings used herein are for convenience only and shall not affect the construction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hereof.</w:t>
      </w:r>
    </w:p>
    <w:p>
      <w:pPr>
        <w:spacing w:after="0" w:line="215" w:lineRule="exact"/>
        <w:rPr>
          <w:sz w:val="20"/>
          <w:szCs w:val="20"/>
          <w:color w:val="auto"/>
        </w:rPr>
      </w:pPr>
    </w:p>
    <w:p>
      <w:pPr>
        <w:ind w:left="1460" w:hanging="804"/>
        <w:spacing w:after="0"/>
        <w:tabs>
          <w:tab w:leader="none" w:pos="1460"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The terms that follow, when used in this Agreement, shall have the meanings indicated.</w:t>
      </w:r>
    </w:p>
    <w:p>
      <w:pPr>
        <w:spacing w:after="0" w:line="233" w:lineRule="exact"/>
        <w:rPr>
          <w:sz w:val="20"/>
          <w:szCs w:val="20"/>
          <w:color w:val="auto"/>
        </w:rPr>
      </w:pPr>
    </w:p>
    <w:p>
      <w:pPr>
        <w:ind w:right="180" w:firstLine="1836"/>
        <w:spacing w:after="0" w:line="250" w:lineRule="auto"/>
        <w:rPr>
          <w:sz w:val="20"/>
          <w:szCs w:val="20"/>
          <w:color w:val="auto"/>
        </w:rPr>
      </w:pPr>
      <w:r>
        <w:rPr>
          <w:rFonts w:ascii="Arial" w:cs="Arial" w:eastAsia="Arial" w:hAnsi="Arial"/>
          <w:sz w:val="22"/>
          <w:szCs w:val="22"/>
          <w:color w:val="auto"/>
        </w:rPr>
        <w:t>“Act” shall mean the Securities Act of 1933, as amended, and the rules and regulations of the Commission promulgated thereunder.</w:t>
      </w:r>
    </w:p>
    <w:p>
      <w:pPr>
        <w:spacing w:after="0" w:line="202"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“Affiliate” shall have the meaning specified in Rule 501(b) of Regulation D.</w:t>
      </w:r>
    </w:p>
    <w:p>
      <w:pPr>
        <w:spacing w:after="0" w:line="233"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“Agreement” shall mean this Underwriting Agreement.</w:t>
      </w:r>
    </w:p>
    <w:p>
      <w:pPr>
        <w:spacing w:after="0" w:line="233" w:lineRule="exact"/>
        <w:rPr>
          <w:sz w:val="20"/>
          <w:szCs w:val="20"/>
          <w:color w:val="auto"/>
        </w:rPr>
      </w:pPr>
    </w:p>
    <w:p>
      <w:pPr>
        <w:ind w:right="360" w:firstLine="1836"/>
        <w:spacing w:after="0" w:line="328" w:lineRule="auto"/>
        <w:rPr>
          <w:sz w:val="20"/>
          <w:szCs w:val="20"/>
          <w:color w:val="auto"/>
        </w:rPr>
      </w:pPr>
      <w:r>
        <w:rPr>
          <w:rFonts w:ascii="Arial" w:cs="Arial" w:eastAsia="Arial" w:hAnsi="Arial"/>
          <w:sz w:val="19"/>
          <w:szCs w:val="19"/>
          <w:color w:val="auto"/>
        </w:rPr>
        <w:t>“Business Day” shall mean any day other than a Saturday, a Sunday or a legal holiday or a day on which commercial banking institutions or trust companies are authorized or required by law to close in New York City.</w:t>
      </w:r>
    </w:p>
    <w:p>
      <w:pPr>
        <w:spacing w:after="0" w:line="132"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“Commission” shall mean the Securities and Exchange Commission.</w:t>
      </w:r>
    </w:p>
    <w:p>
      <w:pPr>
        <w:spacing w:after="0" w:line="233" w:lineRule="exact"/>
        <w:rPr>
          <w:sz w:val="20"/>
          <w:szCs w:val="20"/>
          <w:color w:val="auto"/>
        </w:rPr>
      </w:pPr>
    </w:p>
    <w:p>
      <w:pPr>
        <w:ind w:firstLine="1836"/>
        <w:spacing w:after="0" w:line="287" w:lineRule="auto"/>
        <w:rPr>
          <w:sz w:val="20"/>
          <w:szCs w:val="20"/>
          <w:color w:val="auto"/>
        </w:rPr>
      </w:pPr>
      <w:r>
        <w:rPr>
          <w:rFonts w:ascii="Arial" w:cs="Arial" w:eastAsia="Arial" w:hAnsi="Arial"/>
          <w:sz w:val="19"/>
          <w:szCs w:val="19"/>
          <w:color w:val="auto"/>
        </w:rPr>
        <w:t>“Disclosure Package” shall mean (i) the Preliminary Prospectus that is generally distributed to investors and used to offer the Securities, (ii) the Issuer Free Writing Prospectuses, if any, and any other information identified in Schedule II hereto (including the pricing information provided orally by the underwriters), and (iii) any other Free Writing Prospectus that the parties hereto shall hereafter expressly agree in writing to treat as part of the Disclosure Package.</w:t>
      </w:r>
    </w:p>
    <w:p>
      <w:pPr>
        <w:spacing w:after="0" w:line="170" w:lineRule="exact"/>
        <w:rPr>
          <w:sz w:val="20"/>
          <w:szCs w:val="20"/>
          <w:color w:val="auto"/>
        </w:rPr>
      </w:pPr>
    </w:p>
    <w:p>
      <w:pPr>
        <w:ind w:right="920" w:firstLine="1836"/>
        <w:spacing w:after="0" w:line="328" w:lineRule="auto"/>
        <w:rPr>
          <w:sz w:val="20"/>
          <w:szCs w:val="20"/>
          <w:color w:val="auto"/>
        </w:rPr>
      </w:pPr>
      <w:r>
        <w:rPr>
          <w:rFonts w:ascii="Arial" w:cs="Arial" w:eastAsia="Arial" w:hAnsi="Arial"/>
          <w:sz w:val="19"/>
          <w:szCs w:val="19"/>
          <w:color w:val="auto"/>
        </w:rPr>
        <w:t>“Effective Date” shall mean each date and time that the Registration Statement, any post-effective amendment or amendments thereto and any Rule 462(b) Registration Statement became or becomes effective.</w:t>
      </w:r>
    </w:p>
    <w:p>
      <w:pPr>
        <w:spacing w:after="0" w:line="132" w:lineRule="exact"/>
        <w:rPr>
          <w:sz w:val="20"/>
          <w:szCs w:val="20"/>
          <w:color w:val="auto"/>
        </w:rPr>
      </w:pPr>
    </w:p>
    <w:p>
      <w:pPr>
        <w:ind w:right="80" w:firstLine="1836"/>
        <w:spacing w:after="0" w:line="250" w:lineRule="auto"/>
        <w:rPr>
          <w:sz w:val="20"/>
          <w:szCs w:val="20"/>
          <w:color w:val="auto"/>
        </w:rPr>
      </w:pPr>
      <w:r>
        <w:rPr>
          <w:rFonts w:ascii="Arial" w:cs="Arial" w:eastAsia="Arial" w:hAnsi="Arial"/>
          <w:sz w:val="22"/>
          <w:szCs w:val="22"/>
          <w:color w:val="auto"/>
        </w:rPr>
        <w:t>“Exchange Act” shall mean the Securities Exchange Act of 1934, as amended, and the rules and regulations of the Commission promulgated thereunder.</w:t>
      </w:r>
    </w:p>
    <w:p>
      <w:pPr>
        <w:spacing w:after="0" w:line="202"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“Execution Time” shall mean [ ● ] p.m. on September [ ● ], 2021.</w:t>
      </w:r>
    </w:p>
    <w:p>
      <w:pPr>
        <w:spacing w:after="0" w:line="233"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“Free Writing Prospectus” shall mean a free writing prospectus, as defined in Rule 405.</w:t>
      </w:r>
    </w:p>
    <w:p>
      <w:pPr>
        <w:spacing w:after="0" w:line="233" w:lineRule="exact"/>
        <w:rPr>
          <w:sz w:val="20"/>
          <w:szCs w:val="20"/>
          <w:color w:val="auto"/>
        </w:rPr>
      </w:pPr>
    </w:p>
    <w:p>
      <w:pPr>
        <w:ind w:right="360" w:firstLine="1836"/>
        <w:spacing w:after="0" w:line="250" w:lineRule="auto"/>
        <w:rPr>
          <w:sz w:val="20"/>
          <w:szCs w:val="20"/>
          <w:color w:val="auto"/>
        </w:rPr>
      </w:pPr>
      <w:r>
        <w:rPr>
          <w:rFonts w:ascii="Arial" w:cs="Arial" w:eastAsia="Arial" w:hAnsi="Arial"/>
          <w:sz w:val="22"/>
          <w:szCs w:val="22"/>
          <w:color w:val="auto"/>
        </w:rPr>
        <w:t>“Investment Company Act” shall mean the Investment Company Act of 1940, as amended, and the rules and regulations of the Commission promulgated thereunder.</w:t>
      </w:r>
    </w:p>
    <w:p>
      <w:pPr>
        <w:spacing w:after="0" w:line="202" w:lineRule="exact"/>
        <w:rPr>
          <w:sz w:val="20"/>
          <w:szCs w:val="20"/>
          <w:color w:val="auto"/>
        </w:rPr>
      </w:pPr>
    </w:p>
    <w:p>
      <w:pPr>
        <w:ind w:left="1840"/>
        <w:spacing w:after="0"/>
        <w:rPr>
          <w:sz w:val="20"/>
          <w:szCs w:val="20"/>
          <w:color w:val="auto"/>
        </w:rPr>
      </w:pPr>
      <w:r>
        <w:rPr>
          <w:rFonts w:ascii="Arial" w:cs="Arial" w:eastAsia="Arial" w:hAnsi="Arial"/>
          <w:sz w:val="19"/>
          <w:szCs w:val="19"/>
          <w:color w:val="auto"/>
        </w:rPr>
        <w:t>“Issuer Free Writing Prospectus” shall mean an issuer free writing prospectus, as defined in Rule 433.</w:t>
      </w:r>
    </w:p>
    <w:p>
      <w:pPr>
        <w:spacing w:after="0" w:line="268" w:lineRule="exact"/>
        <w:rPr>
          <w:sz w:val="20"/>
          <w:szCs w:val="20"/>
          <w:color w:val="auto"/>
        </w:rPr>
      </w:pPr>
    </w:p>
    <w:p>
      <w:pPr>
        <w:ind w:firstLine="1836"/>
        <w:spacing w:after="0" w:line="328" w:lineRule="auto"/>
        <w:rPr>
          <w:sz w:val="20"/>
          <w:szCs w:val="20"/>
          <w:color w:val="auto"/>
        </w:rPr>
      </w:pPr>
      <w:r>
        <w:rPr>
          <w:rFonts w:ascii="Arial" w:cs="Arial" w:eastAsia="Arial" w:hAnsi="Arial"/>
          <w:sz w:val="19"/>
          <w:szCs w:val="19"/>
          <w:color w:val="auto"/>
        </w:rPr>
        <w:t>“Preliminary Prospectus” shall mean any preliminary prospectus referred to in paragraph 1(a) above and any preliminary prospectus included in the Registration Statement at the Effective Date that omits Rule 430A Information.</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4" w:name="page95"/>
    <w:bookmarkEnd w:id="94"/>
    <w:p>
      <w:pPr>
        <w:ind w:right="260" w:firstLine="1836"/>
        <w:spacing w:after="0" w:line="250" w:lineRule="auto"/>
        <w:rPr>
          <w:sz w:val="20"/>
          <w:szCs w:val="20"/>
          <w:color w:val="auto"/>
        </w:rPr>
      </w:pPr>
      <w:r>
        <w:rPr>
          <w:rFonts w:ascii="Arial" w:cs="Arial" w:eastAsia="Arial" w:hAnsi="Arial"/>
          <w:sz w:val="22"/>
          <w:szCs w:val="22"/>
          <w:color w:val="auto"/>
        </w:rPr>
        <w:t>“Prospectus” shall mean the prospectus relating to the Securities that is first filed pursuant to Rule 424(b) after the Execution Time.</w:t>
      </w:r>
    </w:p>
    <w:p>
      <w:pPr>
        <w:spacing w:after="0" w:line="202" w:lineRule="exact"/>
        <w:rPr>
          <w:sz w:val="20"/>
          <w:szCs w:val="20"/>
          <w:color w:val="auto"/>
        </w:rPr>
      </w:pPr>
    </w:p>
    <w:p>
      <w:pPr>
        <w:ind w:firstLine="1836"/>
        <w:spacing w:after="0" w:line="235" w:lineRule="auto"/>
        <w:rPr>
          <w:sz w:val="20"/>
          <w:szCs w:val="20"/>
          <w:color w:val="auto"/>
        </w:rPr>
      </w:pPr>
      <w:r>
        <w:rPr>
          <w:rFonts w:ascii="Arial" w:cs="Arial" w:eastAsia="Arial" w:hAnsi="Arial"/>
          <w:sz w:val="22"/>
          <w:szCs w:val="22"/>
          <w:color w:val="auto"/>
        </w:rPr>
        <w:t>“Registration Statement” shall mean the registration statement referred to in paragraph 1(a) above, including exhibits and financial statements and any prospectus supplement relating to the Securities that is filed with the Commission pursuant to Rule 424(b) and deemed part of such registration statement pursuant to Rule 430A, as amended at the Execution Time and, in the event any post-effective amendment thereto or any Rule 462(b) Registration Statement becomes effective prior to the Closing Date, shall also mean such registration statement as so amended or such Rule 462(b) Registration Statement, as the case may be.</w:t>
      </w:r>
    </w:p>
    <w:p>
      <w:pPr>
        <w:spacing w:after="0" w:line="215" w:lineRule="exact"/>
        <w:rPr>
          <w:sz w:val="20"/>
          <w:szCs w:val="20"/>
          <w:color w:val="auto"/>
        </w:rPr>
      </w:pPr>
    </w:p>
    <w:p>
      <w:pPr>
        <w:ind w:right="280" w:firstLine="1836"/>
        <w:spacing w:after="0" w:line="250" w:lineRule="auto"/>
        <w:rPr>
          <w:sz w:val="20"/>
          <w:szCs w:val="20"/>
          <w:color w:val="auto"/>
        </w:rPr>
      </w:pPr>
      <w:r>
        <w:rPr>
          <w:rFonts w:ascii="Arial" w:cs="Arial" w:eastAsia="Arial" w:hAnsi="Arial"/>
          <w:sz w:val="22"/>
          <w:szCs w:val="22"/>
          <w:color w:val="auto"/>
        </w:rPr>
        <w:t>“Rule 158,” “Rule 163,” “Rule 164,” “Rule 172,” “Rule 405,” “Rule 415,” “Rule 424,” “Rule 430A” and “Rule 433” refer to such rules under the Act.</w:t>
      </w:r>
    </w:p>
    <w:p>
      <w:pPr>
        <w:spacing w:after="0" w:line="202" w:lineRule="exact"/>
        <w:rPr>
          <w:sz w:val="20"/>
          <w:szCs w:val="20"/>
          <w:color w:val="auto"/>
        </w:rPr>
      </w:pPr>
    </w:p>
    <w:p>
      <w:pPr>
        <w:ind w:right="460" w:firstLine="1836"/>
        <w:spacing w:after="0" w:line="274" w:lineRule="auto"/>
        <w:rPr>
          <w:sz w:val="20"/>
          <w:szCs w:val="20"/>
          <w:color w:val="auto"/>
        </w:rPr>
      </w:pPr>
      <w:r>
        <w:rPr>
          <w:rFonts w:ascii="Arial" w:cs="Arial" w:eastAsia="Arial" w:hAnsi="Arial"/>
          <w:sz w:val="21"/>
          <w:szCs w:val="21"/>
          <w:color w:val="auto"/>
        </w:rPr>
        <w:t>“Rule 430A Information” shall mean information with respect to the Securities and the offering thereof permitted to be omitted from the Registration Statement when it becomes effective pursuant to Rule 430A.</w:t>
      </w:r>
    </w:p>
    <w:p>
      <w:pPr>
        <w:spacing w:after="0" w:line="178" w:lineRule="exact"/>
        <w:rPr>
          <w:sz w:val="20"/>
          <w:szCs w:val="20"/>
          <w:color w:val="auto"/>
        </w:rPr>
      </w:pPr>
    </w:p>
    <w:p>
      <w:pPr>
        <w:ind w:right="80" w:firstLine="1836"/>
        <w:spacing w:after="0" w:line="328" w:lineRule="auto"/>
        <w:rPr>
          <w:sz w:val="20"/>
          <w:szCs w:val="20"/>
          <w:color w:val="auto"/>
        </w:rPr>
      </w:pPr>
      <w:r>
        <w:rPr>
          <w:rFonts w:ascii="Arial" w:cs="Arial" w:eastAsia="Arial" w:hAnsi="Arial"/>
          <w:sz w:val="19"/>
          <w:szCs w:val="19"/>
          <w:color w:val="auto"/>
        </w:rPr>
        <w:t>“Rule 462(b) Registration Statement” shall mean a registration statement and any amendments thereto filed pursuant to Rule 462(b) relating to the offering covered by the registration statement referred to in Section 1(a) hereof.</w:t>
      </w:r>
    </w:p>
    <w:p>
      <w:pPr>
        <w:spacing w:after="0" w:line="132" w:lineRule="exact"/>
        <w:rPr>
          <w:sz w:val="20"/>
          <w:szCs w:val="20"/>
          <w:color w:val="auto"/>
        </w:rPr>
      </w:pPr>
    </w:p>
    <w:p>
      <w:pPr>
        <w:ind w:right="140" w:firstLine="1836"/>
        <w:spacing w:after="0" w:line="250" w:lineRule="auto"/>
        <w:rPr>
          <w:sz w:val="20"/>
          <w:szCs w:val="20"/>
          <w:color w:val="auto"/>
        </w:rPr>
      </w:pPr>
      <w:r>
        <w:rPr>
          <w:rFonts w:ascii="Arial" w:cs="Arial" w:eastAsia="Arial" w:hAnsi="Arial"/>
          <w:sz w:val="22"/>
          <w:szCs w:val="22"/>
          <w:color w:val="auto"/>
        </w:rPr>
        <w:t>“Testing-the-Waters Communication” means any oral or written communication with potential investors in reliance on Rule 163B under of the Act.</w:t>
      </w:r>
    </w:p>
    <w:p>
      <w:pPr>
        <w:spacing w:after="0" w:line="202" w:lineRule="exact"/>
        <w:rPr>
          <w:sz w:val="20"/>
          <w:szCs w:val="20"/>
          <w:color w:val="auto"/>
        </w:rPr>
      </w:pPr>
    </w:p>
    <w:p>
      <w:pPr>
        <w:ind w:right="560" w:firstLine="1836"/>
        <w:spacing w:after="0" w:line="250" w:lineRule="auto"/>
        <w:rPr>
          <w:sz w:val="20"/>
          <w:szCs w:val="20"/>
          <w:color w:val="auto"/>
        </w:rPr>
      </w:pPr>
      <w:r>
        <w:rPr>
          <w:rFonts w:ascii="Arial" w:cs="Arial" w:eastAsia="Arial" w:hAnsi="Arial"/>
          <w:sz w:val="22"/>
          <w:szCs w:val="22"/>
          <w:color w:val="auto"/>
        </w:rPr>
        <w:t>“Written Testing-the-Waters Communication” means any Testing-the-Waters Communication that is a written communication within the meaning of Rule 405 under the Act.</w:t>
      </w:r>
    </w:p>
    <w:p>
      <w:pPr>
        <w:spacing w:after="0" w:line="202" w:lineRule="exact"/>
        <w:rPr>
          <w:sz w:val="20"/>
          <w:szCs w:val="20"/>
          <w:color w:val="auto"/>
        </w:rPr>
      </w:pPr>
    </w:p>
    <w:p>
      <w:pPr>
        <w:ind w:right="300" w:firstLine="1836"/>
        <w:spacing w:after="0"/>
        <w:rPr>
          <w:sz w:val="20"/>
          <w:szCs w:val="20"/>
          <w:color w:val="auto"/>
        </w:rPr>
      </w:pPr>
      <w:r>
        <w:rPr>
          <w:rFonts w:ascii="Arial" w:cs="Arial" w:eastAsia="Arial" w:hAnsi="Arial"/>
          <w:sz w:val="22"/>
          <w:szCs w:val="22"/>
          <w:color w:val="auto"/>
        </w:rPr>
        <w:t>As used herein, the terms “Registration Statement,” “Preliminary Prospectus,” “Disclosure Package” and “Prospectus” shall include documents filed under the Exchange Act, which are incorporated by reference therein as of the applicable date.</w:t>
      </w:r>
    </w:p>
    <w:p>
      <w:pPr>
        <w:spacing w:after="0" w:line="213" w:lineRule="exact"/>
        <w:rPr>
          <w:sz w:val="20"/>
          <w:szCs w:val="20"/>
          <w:color w:val="auto"/>
        </w:rPr>
      </w:pPr>
    </w:p>
    <w:p>
      <w:pPr>
        <w:ind w:right="240" w:firstLine="1296"/>
        <w:spacing w:after="0"/>
        <w:rPr>
          <w:sz w:val="20"/>
          <w:szCs w:val="20"/>
          <w:color w:val="auto"/>
        </w:rPr>
      </w:pPr>
      <w:r>
        <w:rPr>
          <w:rFonts w:ascii="Arial" w:cs="Arial" w:eastAsia="Arial" w:hAnsi="Arial"/>
          <w:sz w:val="22"/>
          <w:szCs w:val="22"/>
          <w:color w:val="auto"/>
        </w:rPr>
        <w:t>If the foregoing is in accordance with your understanding of our agreement, please sign and return to us the enclosed duplicate hereof, whereupon this letter and your acceptance shall represent a binding agreement among the Company, the Selling Stockholders and the several Underwriters.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Remainder of page intentionally left blank; Signatures follow</w:t>
      </w:r>
      <w:r>
        <w:rPr>
          <w:rFonts w:ascii="Arial" w:cs="Arial" w:eastAsia="Arial" w:hAnsi="Arial"/>
          <w:sz w:val="19"/>
          <w:szCs w:val="19"/>
          <w:color w:val="auto"/>
        </w:rPr>
        <w:t>]</w:t>
      </w:r>
    </w:p>
    <w:p>
      <w:pPr>
        <w:sectPr>
          <w:pgSz w:w="11900" w:h="16838" w:orient="portrait"/>
          <w:cols w:equalWidth="0" w:num="1">
            <w:col w:w="9019"/>
          </w:cols>
          <w:pgMar w:left="1440" w:top="361" w:right="1440"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type w:val="continuous"/>
        </w:sectPr>
      </w:pPr>
    </w:p>
    <w:bookmarkStart w:id="96" w:name="page97"/>
    <w:bookmarkEnd w:id="96"/>
    <w:p>
      <w:pPr>
        <w:ind w:left="4400"/>
        <w:spacing w:after="0"/>
        <w:rPr>
          <w:sz w:val="20"/>
          <w:szCs w:val="20"/>
          <w:color w:val="auto"/>
        </w:rPr>
      </w:pPr>
      <w:r>
        <w:rPr>
          <w:rFonts w:ascii="Arial" w:cs="Arial" w:eastAsia="Arial" w:hAnsi="Arial"/>
          <w:sz w:val="22"/>
          <w:szCs w:val="22"/>
          <w:color w:val="auto"/>
        </w:rPr>
        <w:t>Very truly yours,</w:t>
      </w:r>
    </w:p>
    <w:p>
      <w:pPr>
        <w:spacing w:after="0" w:line="20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Academy Sports and Outdoors, Inc.</w:t>
      </w:r>
    </w:p>
    <w:p>
      <w:pPr>
        <w:spacing w:after="0" w:line="206"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16"/>
          <w:szCs w:val="16"/>
          <w:color w:val="auto"/>
        </w:rPr>
        <w:t>________________________________________________</w:t>
      </w:r>
    </w:p>
    <w:p>
      <w:pPr>
        <w:spacing w:after="0" w:line="1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Name:</w:t>
      </w:r>
    </w:p>
    <w:p>
      <w:pPr>
        <w:jc w:val="center"/>
        <w:ind w:right="-159"/>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100"/>
          </w:cols>
          <w:pgMar w:left="1440" w:top="118" w:right="1359" w:bottom="1440" w:gutter="0" w:footer="0" w:header="0"/>
        </w:sectPr>
      </w:pPr>
    </w:p>
    <w:bookmarkStart w:id="97" w:name="page98"/>
    <w:bookmarkEnd w:id="97"/>
    <w:p>
      <w:pPr>
        <w:ind w:left="2780"/>
        <w:spacing w:after="0"/>
        <w:rPr>
          <w:sz w:val="20"/>
          <w:szCs w:val="20"/>
          <w:color w:val="auto"/>
        </w:rPr>
      </w:pPr>
      <w:r>
        <w:rPr>
          <w:rFonts w:ascii="Arial" w:cs="Arial" w:eastAsia="Arial" w:hAnsi="Arial"/>
          <w:sz w:val="22"/>
          <w:szCs w:val="22"/>
          <w:color w:val="auto"/>
        </w:rPr>
        <w:t>Very truly yours,</w:t>
      </w:r>
    </w:p>
    <w:p>
      <w:pPr>
        <w:spacing w:after="0" w:line="228"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ALLSTAR LLC</w:t>
      </w:r>
    </w:p>
    <w:p>
      <w:pPr>
        <w:spacing w:after="0" w:line="200" w:lineRule="exact"/>
        <w:rPr>
          <w:sz w:val="20"/>
          <w:szCs w:val="20"/>
          <w:color w:val="auto"/>
        </w:rPr>
      </w:pPr>
    </w:p>
    <w:p>
      <w:pPr>
        <w:spacing w:after="0" w:line="282"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________________________________________________</w:t>
      </w:r>
    </w:p>
    <w:p>
      <w:pPr>
        <w:spacing w:after="0" w:line="33"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w:t>
      </w:r>
    </w:p>
    <w:p>
      <w:pPr>
        <w:ind w:left="27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ALLSTAR CO-INVEST BLOCKER L.P.</w:t>
      </w:r>
    </w:p>
    <w:p>
      <w:pPr>
        <w:spacing w:after="0" w:line="23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Allstar Co-Invest GP LLC, its general partner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________________________________________________</w:t>
      </w:r>
    </w:p>
    <w:p>
      <w:pPr>
        <w:spacing w:after="0" w:line="33"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w:t>
      </w:r>
    </w:p>
    <w:p>
      <w:pPr>
        <w:ind w:left="27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KKR 2006 ALLSTAR BLOCKER L.P.</w:t>
      </w:r>
    </w:p>
    <w:p>
      <w:pPr>
        <w:spacing w:after="0" w:line="23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KKR 2006 AIV GP LLC, its general partner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________________________________________________</w:t>
      </w:r>
    </w:p>
    <w:p>
      <w:pPr>
        <w:spacing w:after="0" w:line="33"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w:t>
      </w:r>
    </w:p>
    <w:p>
      <w:pPr>
        <w:ind w:left="2780"/>
        <w:spacing w:after="0"/>
        <w:rPr>
          <w:sz w:val="20"/>
          <w:szCs w:val="20"/>
          <w:color w:val="auto"/>
        </w:rPr>
      </w:pPr>
      <w:r>
        <w:rPr>
          <w:rFonts w:ascii="Arial" w:cs="Arial" w:eastAsia="Arial" w:hAnsi="Arial"/>
          <w:sz w:val="22"/>
          <w:szCs w:val="22"/>
          <w:color w:val="auto"/>
        </w:rPr>
        <w:t>Title: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8" w:name="page99"/>
    <w:bookmarkEnd w:id="98"/>
    <w:p>
      <w:pPr>
        <w:ind w:right="4459"/>
        <w:spacing w:after="0" w:line="250" w:lineRule="auto"/>
        <w:rPr>
          <w:sz w:val="20"/>
          <w:szCs w:val="20"/>
          <w:color w:val="auto"/>
        </w:rPr>
      </w:pPr>
      <w:r>
        <w:rPr>
          <w:rFonts w:ascii="Arial" w:cs="Arial" w:eastAsia="Arial" w:hAnsi="Arial"/>
          <w:sz w:val="22"/>
          <w:szCs w:val="22"/>
          <w:color w:val="auto"/>
        </w:rPr>
        <w:t>The foregoing Agreement is hereby confirmed and accepted as of the date first above written.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Credit Suisse Securities (USA) LLC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By: Credit Suisse Securities (USA) LLC</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w:t>
      </w:r>
    </w:p>
    <w:p>
      <w:pPr>
        <w:spacing w:after="0" w:line="238" w:lineRule="auto"/>
        <w:rPr>
          <w:sz w:val="20"/>
          <w:szCs w:val="20"/>
          <w:color w:val="auto"/>
        </w:rPr>
      </w:pPr>
      <w:r>
        <w:rPr>
          <w:rFonts w:ascii="Arial" w:cs="Arial" w:eastAsia="Arial" w:hAnsi="Arial"/>
          <w:sz w:val="22"/>
          <w:szCs w:val="22"/>
          <w:color w:val="auto"/>
        </w:rPr>
        <w:t>Name:</w:t>
      </w: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4599"/>
        <w:spacing w:after="0" w:line="250" w:lineRule="auto"/>
        <w:rPr>
          <w:sz w:val="20"/>
          <w:szCs w:val="20"/>
          <w:color w:val="auto"/>
        </w:rPr>
      </w:pPr>
      <w:r>
        <w:rPr>
          <w:rFonts w:ascii="Arial" w:cs="Arial" w:eastAsia="Arial" w:hAnsi="Arial"/>
          <w:sz w:val="22"/>
          <w:szCs w:val="22"/>
          <w:color w:val="auto"/>
        </w:rPr>
        <w:t>For itself and the other several Underwriters named in Schedule I(A) to the foregoing Agreement.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61" w:right="1440"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75"/>
        </w:trPr>
        <w:tc>
          <w:tcPr>
            <w:tcW w:w="114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7240" w:type="dxa"/>
            <w:vAlign w:val="bottom"/>
            <w:gridSpan w:val="5"/>
          </w:tcPr>
          <w:p>
            <w:pPr>
              <w:jc w:val="center"/>
              <w:ind w:right="4000"/>
              <w:spacing w:after="0"/>
              <w:rPr>
                <w:sz w:val="20"/>
                <w:szCs w:val="20"/>
                <w:color w:val="auto"/>
              </w:rPr>
            </w:pPr>
            <w:r>
              <w:rPr>
                <w:rFonts w:ascii="Arial" w:cs="Arial" w:eastAsia="Arial" w:hAnsi="Arial"/>
                <w:sz w:val="22"/>
                <w:szCs w:val="22"/>
                <w:color w:val="auto"/>
                <w:w w:val="96"/>
              </w:rPr>
              <w:t>SCHEDULE I(A)</w:t>
            </w:r>
          </w:p>
        </w:tc>
      </w:tr>
      <w:tr>
        <w:trPr>
          <w:trHeight w:val="455"/>
        </w:trPr>
        <w:tc>
          <w:tcPr>
            <w:tcW w:w="1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80" w:type="dxa"/>
            <w:vAlign w:val="bottom"/>
            <w:gridSpan w:val="3"/>
          </w:tcPr>
          <w:p>
            <w:pPr>
              <w:jc w:val="center"/>
              <w:spacing w:after="0"/>
              <w:rPr>
                <w:sz w:val="20"/>
                <w:szCs w:val="20"/>
                <w:color w:val="auto"/>
              </w:rPr>
            </w:pPr>
            <w:r>
              <w:rPr>
                <w:rFonts w:ascii="Arial" w:cs="Arial" w:eastAsia="Arial" w:hAnsi="Arial"/>
                <w:sz w:val="22"/>
                <w:szCs w:val="22"/>
                <w:color w:val="auto"/>
                <w:w w:val="89"/>
              </w:rPr>
              <w:t>Number of Securities</w:t>
            </w:r>
          </w:p>
        </w:tc>
      </w:tr>
      <w:tr>
        <w:trPr>
          <w:trHeight w:val="224"/>
        </w:trPr>
        <w:tc>
          <w:tcPr>
            <w:tcW w:w="4000" w:type="dxa"/>
            <w:vAlign w:val="bottom"/>
            <w:gridSpan w:val="2"/>
          </w:tcPr>
          <w:p>
            <w:pPr>
              <w:spacing w:after="0" w:line="224" w:lineRule="exact"/>
              <w:rPr>
                <w:sz w:val="20"/>
                <w:szCs w:val="20"/>
                <w:color w:val="auto"/>
              </w:rPr>
            </w:pPr>
            <w:r>
              <w:rPr>
                <w:rFonts w:ascii="Arial" w:cs="Arial" w:eastAsia="Arial" w:hAnsi="Arial"/>
                <w:sz w:val="22"/>
                <w:szCs w:val="22"/>
                <w:color w:val="auto"/>
              </w:rPr>
              <w:t>Underwriters</w:t>
            </w: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80" w:type="dxa"/>
            <w:vAlign w:val="bottom"/>
            <w:gridSpan w:val="3"/>
          </w:tcPr>
          <w:p>
            <w:pPr>
              <w:jc w:val="center"/>
              <w:spacing w:after="0" w:line="224" w:lineRule="exact"/>
              <w:rPr>
                <w:sz w:val="20"/>
                <w:szCs w:val="20"/>
                <w:color w:val="auto"/>
              </w:rPr>
            </w:pPr>
            <w:r>
              <w:rPr>
                <w:rFonts w:ascii="Arial" w:cs="Arial" w:eastAsia="Arial" w:hAnsi="Arial"/>
                <w:sz w:val="22"/>
                <w:szCs w:val="22"/>
                <w:color w:val="auto"/>
                <w:w w:val="84"/>
              </w:rPr>
              <w:t>to be Purchased</w:t>
            </w:r>
          </w:p>
        </w:tc>
      </w:tr>
      <w:tr>
        <w:trPr>
          <w:trHeight w:val="20"/>
        </w:trPr>
        <w:tc>
          <w:tcPr>
            <w:tcW w:w="114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42"/>
        </w:trPr>
        <w:tc>
          <w:tcPr>
            <w:tcW w:w="4000" w:type="dxa"/>
            <w:vAlign w:val="bottom"/>
            <w:gridSpan w:val="2"/>
          </w:tcPr>
          <w:p>
            <w:pPr>
              <w:spacing w:after="0" w:line="242" w:lineRule="exact"/>
              <w:rPr>
                <w:sz w:val="20"/>
                <w:szCs w:val="20"/>
                <w:color w:val="auto"/>
              </w:rPr>
            </w:pPr>
            <w:r>
              <w:rPr>
                <w:rFonts w:ascii="Arial" w:cs="Arial" w:eastAsia="Arial" w:hAnsi="Arial"/>
                <w:sz w:val="22"/>
                <w:szCs w:val="22"/>
                <w:color w:val="auto"/>
              </w:rPr>
              <w:t>Credit Suisse Securities (USA) LLC</w:t>
            </w:r>
          </w:p>
        </w:tc>
        <w:tc>
          <w:tcPr>
            <w:tcW w:w="1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320" w:type="dxa"/>
            <w:vAlign w:val="bottom"/>
            <w:gridSpan w:val="2"/>
          </w:tcPr>
          <w:p>
            <w:pPr>
              <w:jc w:val="center"/>
              <w:ind w:right="1960"/>
              <w:spacing w:after="0" w:line="242" w:lineRule="exact"/>
              <w:rPr>
                <w:sz w:val="20"/>
                <w:szCs w:val="20"/>
                <w:color w:val="auto"/>
              </w:rPr>
            </w:pPr>
            <w:r>
              <w:rPr>
                <w:rFonts w:ascii="Arial" w:cs="Arial" w:eastAsia="Arial" w:hAnsi="Arial"/>
                <w:sz w:val="22"/>
                <w:szCs w:val="22"/>
                <w:color w:val="auto"/>
              </w:rPr>
              <w:t>[ ● ]</w:t>
            </w:r>
          </w:p>
        </w:tc>
      </w:tr>
      <w:tr>
        <w:trPr>
          <w:trHeight w:val="243"/>
        </w:trPr>
        <w:tc>
          <w:tcPr>
            <w:tcW w:w="4000" w:type="dxa"/>
            <w:vAlign w:val="bottom"/>
            <w:gridSpan w:val="2"/>
          </w:tcPr>
          <w:p>
            <w:pPr>
              <w:spacing w:after="0" w:line="243" w:lineRule="exact"/>
              <w:rPr>
                <w:sz w:val="20"/>
                <w:szCs w:val="20"/>
                <w:color w:val="auto"/>
              </w:rPr>
            </w:pPr>
            <w:r>
              <w:rPr>
                <w:rFonts w:ascii="Arial" w:cs="Arial" w:eastAsia="Arial" w:hAnsi="Arial"/>
                <w:sz w:val="22"/>
                <w:szCs w:val="22"/>
                <w:color w:val="auto"/>
              </w:rPr>
              <w:t>KKR Capital Markets LLC</w:t>
            </w:r>
          </w:p>
        </w:tc>
        <w:tc>
          <w:tcPr>
            <w:tcW w:w="1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320" w:type="dxa"/>
            <w:vAlign w:val="bottom"/>
            <w:gridSpan w:val="2"/>
          </w:tcPr>
          <w:p>
            <w:pPr>
              <w:jc w:val="center"/>
              <w:ind w:right="1960"/>
              <w:spacing w:after="0" w:line="243" w:lineRule="exact"/>
              <w:rPr>
                <w:sz w:val="20"/>
                <w:szCs w:val="20"/>
                <w:color w:val="auto"/>
              </w:rPr>
            </w:pPr>
            <w:r>
              <w:rPr>
                <w:rFonts w:ascii="Arial" w:cs="Arial" w:eastAsia="Arial" w:hAnsi="Arial"/>
                <w:sz w:val="22"/>
                <w:szCs w:val="22"/>
                <w:color w:val="auto"/>
              </w:rPr>
              <w:t>[ ● ]</w:t>
            </w:r>
          </w:p>
        </w:tc>
      </w:tr>
      <w:tr>
        <w:trPr>
          <w:trHeight w:val="243"/>
        </w:trPr>
        <w:tc>
          <w:tcPr>
            <w:tcW w:w="4000" w:type="dxa"/>
            <w:vAlign w:val="bottom"/>
            <w:gridSpan w:val="2"/>
          </w:tcPr>
          <w:p>
            <w:pPr>
              <w:spacing w:after="0" w:line="243" w:lineRule="exact"/>
              <w:rPr>
                <w:sz w:val="20"/>
                <w:szCs w:val="20"/>
                <w:color w:val="auto"/>
              </w:rPr>
            </w:pPr>
            <w:r>
              <w:rPr>
                <w:rFonts w:ascii="Arial" w:cs="Arial" w:eastAsia="Arial" w:hAnsi="Arial"/>
                <w:sz w:val="22"/>
                <w:szCs w:val="22"/>
                <w:color w:val="auto"/>
              </w:rPr>
              <w:t>J.P. Morgan Securities LLC</w:t>
            </w:r>
          </w:p>
        </w:tc>
        <w:tc>
          <w:tcPr>
            <w:tcW w:w="1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320" w:type="dxa"/>
            <w:vAlign w:val="bottom"/>
            <w:gridSpan w:val="2"/>
          </w:tcPr>
          <w:p>
            <w:pPr>
              <w:jc w:val="center"/>
              <w:ind w:right="1960"/>
              <w:spacing w:after="0" w:line="243" w:lineRule="exact"/>
              <w:rPr>
                <w:sz w:val="20"/>
                <w:szCs w:val="20"/>
                <w:color w:val="auto"/>
              </w:rPr>
            </w:pPr>
            <w:r>
              <w:rPr>
                <w:rFonts w:ascii="Arial" w:cs="Arial" w:eastAsia="Arial" w:hAnsi="Arial"/>
                <w:sz w:val="22"/>
                <w:szCs w:val="22"/>
                <w:color w:val="auto"/>
              </w:rPr>
              <w:t>[ ● ]</w:t>
            </w:r>
          </w:p>
        </w:tc>
      </w:tr>
      <w:tr>
        <w:trPr>
          <w:trHeight w:val="271"/>
        </w:trPr>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BofA Securities, Inc.</w:t>
            </w:r>
          </w:p>
        </w:tc>
        <w:tc>
          <w:tcPr>
            <w:tcW w:w="174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Borders>
              <w:bottom w:val="single" w:sz="8" w:color="auto"/>
            </w:tcBorders>
          </w:tcPr>
          <w:p>
            <w:pPr>
              <w:spacing w:after="0"/>
              <w:rPr>
                <w:sz w:val="23"/>
                <w:szCs w:val="23"/>
                <w:color w:val="auto"/>
              </w:rPr>
            </w:pPr>
          </w:p>
        </w:tc>
        <w:tc>
          <w:tcPr>
            <w:tcW w:w="3320" w:type="dxa"/>
            <w:vAlign w:val="bottom"/>
            <w:tcBorders>
              <w:bottom w:val="single" w:sz="8" w:color="auto"/>
            </w:tcBorders>
            <w:gridSpan w:val="2"/>
          </w:tcPr>
          <w:p>
            <w:pPr>
              <w:jc w:val="center"/>
              <w:ind w:right="1960"/>
              <w:spacing w:after="0"/>
              <w:rPr>
                <w:sz w:val="20"/>
                <w:szCs w:val="20"/>
                <w:color w:val="auto"/>
              </w:rPr>
            </w:pPr>
            <w:r>
              <w:rPr>
                <w:rFonts w:ascii="Arial" w:cs="Arial" w:eastAsia="Arial" w:hAnsi="Arial"/>
                <w:sz w:val="22"/>
                <w:szCs w:val="22"/>
                <w:color w:val="auto"/>
              </w:rPr>
              <w:t>[ ● ]</w:t>
            </w:r>
          </w:p>
        </w:tc>
      </w:tr>
      <w:tr>
        <w:trPr>
          <w:trHeight w:val="274"/>
        </w:trPr>
        <w:tc>
          <w:tcPr>
            <w:tcW w:w="4000" w:type="dxa"/>
            <w:vAlign w:val="bottom"/>
            <w:gridSpan w:val="2"/>
          </w:tcPr>
          <w:p>
            <w:pPr>
              <w:ind w:left="340"/>
              <w:spacing w:after="0"/>
              <w:rPr>
                <w:sz w:val="20"/>
                <w:szCs w:val="20"/>
                <w:color w:val="auto"/>
              </w:rPr>
            </w:pPr>
            <w:r>
              <w:rPr>
                <w:rFonts w:ascii="Arial" w:cs="Arial" w:eastAsia="Arial" w:hAnsi="Arial"/>
                <w:sz w:val="22"/>
                <w:szCs w:val="22"/>
                <w:color w:val="auto"/>
              </w:rPr>
              <w:t>Total</w:t>
            </w:r>
          </w:p>
        </w:tc>
        <w:tc>
          <w:tcPr>
            <w:tcW w:w="1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3320" w:type="dxa"/>
            <w:vAlign w:val="bottom"/>
            <w:gridSpan w:val="2"/>
          </w:tcPr>
          <w:p>
            <w:pPr>
              <w:jc w:val="center"/>
              <w:ind w:right="1960"/>
              <w:spacing w:after="0"/>
              <w:rPr>
                <w:sz w:val="20"/>
                <w:szCs w:val="20"/>
                <w:color w:val="auto"/>
              </w:rPr>
            </w:pPr>
            <w:r>
              <w:rPr>
                <w:rFonts w:ascii="Arial" w:cs="Arial" w:eastAsia="Arial" w:hAnsi="Arial"/>
                <w:sz w:val="22"/>
                <w:szCs w:val="22"/>
                <w:color w:val="auto"/>
              </w:rPr>
              <w:t>[ ● ]</w:t>
            </w:r>
          </w:p>
        </w:tc>
      </w:tr>
      <w:tr>
        <w:trPr>
          <w:trHeight w:val="524"/>
        </w:trPr>
        <w:tc>
          <w:tcPr>
            <w:tcW w:w="1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35</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6"/>
        </w:trPr>
        <w:tc>
          <w:tcPr>
            <w:tcW w:w="1140" w:type="dxa"/>
            <w:vAlign w:val="bottom"/>
            <w:tcBorders>
              <w:bottom w:val="single" w:sz="8" w:color="auto"/>
            </w:tcBorders>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8" w:right="33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700" w:type="dxa"/>
            <w:vAlign w:val="bottom"/>
          </w:tcPr>
          <w:p>
            <w:pPr>
              <w:spacing w:after="0"/>
              <w:rPr>
                <w:sz w:val="23"/>
                <w:szCs w:val="23"/>
                <w:color w:val="auto"/>
              </w:rPr>
            </w:pPr>
          </w:p>
        </w:tc>
        <w:tc>
          <w:tcPr>
            <w:tcW w:w="2300" w:type="dxa"/>
            <w:vAlign w:val="bottom"/>
            <w:gridSpan w:val="2"/>
          </w:tcPr>
          <w:p>
            <w:pPr>
              <w:jc w:val="right"/>
              <w:ind w:right="720"/>
              <w:spacing w:after="0"/>
              <w:rPr>
                <w:sz w:val="20"/>
                <w:szCs w:val="20"/>
                <w:color w:val="auto"/>
              </w:rPr>
            </w:pPr>
            <w:r>
              <w:rPr>
                <w:rFonts w:ascii="Arial" w:cs="Arial" w:eastAsia="Arial" w:hAnsi="Arial"/>
                <w:sz w:val="22"/>
                <w:szCs w:val="22"/>
                <w:color w:val="auto"/>
                <w:w w:val="96"/>
              </w:rPr>
              <w:t>SCHEDULE I(B)</w:t>
            </w:r>
          </w:p>
        </w:tc>
        <w:tc>
          <w:tcPr>
            <w:tcW w:w="4240" w:type="dxa"/>
            <w:vAlign w:val="bottom"/>
          </w:tcPr>
          <w:p>
            <w:pPr>
              <w:spacing w:after="0"/>
              <w:rPr>
                <w:sz w:val="23"/>
                <w:szCs w:val="23"/>
                <w:color w:val="auto"/>
              </w:rPr>
            </w:pPr>
          </w:p>
        </w:tc>
      </w:tr>
      <w:tr>
        <w:trPr>
          <w:trHeight w:val="678"/>
        </w:trPr>
        <w:tc>
          <w:tcPr>
            <w:tcW w:w="4700" w:type="dxa"/>
            <w:vAlign w:val="bottom"/>
          </w:tcPr>
          <w:p>
            <w:pPr>
              <w:spacing w:after="0"/>
              <w:rPr>
                <w:sz w:val="24"/>
                <w:szCs w:val="24"/>
                <w:color w:val="auto"/>
              </w:rPr>
            </w:pPr>
          </w:p>
        </w:tc>
        <w:tc>
          <w:tcPr>
            <w:tcW w:w="2300" w:type="dxa"/>
            <w:vAlign w:val="bottom"/>
            <w:gridSpan w:val="2"/>
          </w:tcPr>
          <w:p>
            <w:pPr>
              <w:jc w:val="right"/>
              <w:ind w:right="500"/>
              <w:spacing w:after="0"/>
              <w:rPr>
                <w:sz w:val="20"/>
                <w:szCs w:val="20"/>
                <w:color w:val="auto"/>
              </w:rPr>
            </w:pPr>
            <w:r>
              <w:rPr>
                <w:rFonts w:ascii="Arial" w:cs="Arial" w:eastAsia="Arial" w:hAnsi="Arial"/>
                <w:sz w:val="22"/>
                <w:szCs w:val="22"/>
                <w:color w:val="auto"/>
                <w:w w:val="89"/>
              </w:rPr>
              <w:t>Selling Stockholders</w:t>
            </w:r>
          </w:p>
        </w:tc>
        <w:tc>
          <w:tcPr>
            <w:tcW w:w="4240" w:type="dxa"/>
            <w:vAlign w:val="bottom"/>
          </w:tcPr>
          <w:p>
            <w:pPr>
              <w:ind w:left="480"/>
              <w:spacing w:after="0"/>
              <w:rPr>
                <w:sz w:val="20"/>
                <w:szCs w:val="20"/>
                <w:color w:val="auto"/>
              </w:rPr>
            </w:pPr>
            <w:r>
              <w:rPr>
                <w:rFonts w:ascii="Arial" w:cs="Arial" w:eastAsia="Arial" w:hAnsi="Arial"/>
                <w:sz w:val="22"/>
                <w:szCs w:val="22"/>
                <w:color w:val="auto"/>
              </w:rPr>
              <w:t>Number of Securities to be Sold</w:t>
            </w:r>
          </w:p>
        </w:tc>
      </w:tr>
      <w:tr>
        <w:trPr>
          <w:trHeight w:val="242"/>
        </w:trPr>
        <w:tc>
          <w:tcPr>
            <w:tcW w:w="4700" w:type="dxa"/>
            <w:vAlign w:val="bottom"/>
          </w:tcPr>
          <w:p>
            <w:pPr>
              <w:spacing w:after="0"/>
              <w:rPr>
                <w:sz w:val="21"/>
                <w:szCs w:val="21"/>
                <w:color w:val="auto"/>
              </w:rPr>
            </w:pPr>
          </w:p>
        </w:tc>
        <w:tc>
          <w:tcPr>
            <w:tcW w:w="1800" w:type="dxa"/>
            <w:vAlign w:val="bottom"/>
            <w:tcBorders>
              <w:top w:val="single" w:sz="8" w:color="auto"/>
            </w:tcBorders>
          </w:tcPr>
          <w:p>
            <w:pPr>
              <w:jc w:val="right"/>
              <w:ind w:right="432"/>
              <w:spacing w:after="0" w:line="242" w:lineRule="exact"/>
              <w:rPr>
                <w:sz w:val="20"/>
                <w:szCs w:val="20"/>
                <w:color w:val="auto"/>
              </w:rPr>
            </w:pPr>
            <w:r>
              <w:rPr>
                <w:rFonts w:ascii="Arial" w:cs="Arial" w:eastAsia="Arial" w:hAnsi="Arial"/>
                <w:sz w:val="22"/>
                <w:szCs w:val="22"/>
                <w:color w:val="auto"/>
              </w:rPr>
              <w:t>Allstar LLC</w:t>
            </w:r>
          </w:p>
        </w:tc>
        <w:tc>
          <w:tcPr>
            <w:tcW w:w="500" w:type="dxa"/>
            <w:vAlign w:val="bottom"/>
          </w:tcPr>
          <w:p>
            <w:pPr>
              <w:spacing w:after="0"/>
              <w:rPr>
                <w:sz w:val="21"/>
                <w:szCs w:val="21"/>
                <w:color w:val="auto"/>
              </w:rPr>
            </w:pPr>
          </w:p>
        </w:tc>
        <w:tc>
          <w:tcPr>
            <w:tcW w:w="4240" w:type="dxa"/>
            <w:vAlign w:val="bottom"/>
          </w:tcPr>
          <w:p>
            <w:pPr>
              <w:ind w:left="1160"/>
              <w:spacing w:after="0" w:line="242" w:lineRule="exact"/>
              <w:rPr>
                <w:sz w:val="20"/>
                <w:szCs w:val="20"/>
                <w:color w:val="auto"/>
              </w:rPr>
            </w:pPr>
            <w:r>
              <w:rPr>
                <w:rFonts w:ascii="Arial" w:cs="Arial" w:eastAsia="Arial" w:hAnsi="Arial"/>
                <w:sz w:val="22"/>
                <w:szCs w:val="22"/>
                <w:color w:val="auto"/>
              </w:rPr>
              <w:t>[ ● ]</w:t>
            </w:r>
          </w:p>
        </w:tc>
      </w:tr>
      <w:tr>
        <w:trPr>
          <w:trHeight w:val="243"/>
        </w:trPr>
        <w:tc>
          <w:tcPr>
            <w:tcW w:w="7000" w:type="dxa"/>
            <w:vAlign w:val="bottom"/>
            <w:gridSpan w:val="3"/>
          </w:tcPr>
          <w:p>
            <w:pPr>
              <w:jc w:val="right"/>
              <w:ind w:right="500"/>
              <w:spacing w:after="0" w:line="243" w:lineRule="exact"/>
              <w:rPr>
                <w:sz w:val="20"/>
                <w:szCs w:val="20"/>
                <w:color w:val="auto"/>
              </w:rPr>
            </w:pPr>
            <w:r>
              <w:rPr>
                <w:rFonts w:ascii="Arial" w:cs="Arial" w:eastAsia="Arial" w:hAnsi="Arial"/>
                <w:sz w:val="22"/>
                <w:szCs w:val="22"/>
                <w:color w:val="auto"/>
              </w:rPr>
              <w:t>Allstar Co-Invest Blocker L.P.</w:t>
            </w:r>
          </w:p>
        </w:tc>
        <w:tc>
          <w:tcPr>
            <w:tcW w:w="4240" w:type="dxa"/>
            <w:vAlign w:val="bottom"/>
          </w:tcPr>
          <w:p>
            <w:pPr>
              <w:ind w:left="1160"/>
              <w:spacing w:after="0" w:line="243" w:lineRule="exact"/>
              <w:rPr>
                <w:sz w:val="20"/>
                <w:szCs w:val="20"/>
                <w:color w:val="auto"/>
              </w:rPr>
            </w:pPr>
            <w:r>
              <w:rPr>
                <w:rFonts w:ascii="Arial" w:cs="Arial" w:eastAsia="Arial" w:hAnsi="Arial"/>
                <w:sz w:val="22"/>
                <w:szCs w:val="22"/>
                <w:color w:val="auto"/>
              </w:rPr>
              <w:t>[ ● ]</w:t>
            </w:r>
          </w:p>
        </w:tc>
      </w:tr>
      <w:tr>
        <w:trPr>
          <w:trHeight w:val="271"/>
        </w:trPr>
        <w:tc>
          <w:tcPr>
            <w:tcW w:w="7000" w:type="dxa"/>
            <w:vAlign w:val="bottom"/>
            <w:gridSpan w:val="3"/>
          </w:tcPr>
          <w:p>
            <w:pPr>
              <w:jc w:val="right"/>
              <w:ind w:right="500"/>
              <w:spacing w:after="0"/>
              <w:rPr>
                <w:sz w:val="20"/>
                <w:szCs w:val="20"/>
                <w:color w:val="auto"/>
              </w:rPr>
            </w:pPr>
            <w:r>
              <w:rPr>
                <w:rFonts w:ascii="Arial" w:cs="Arial" w:eastAsia="Arial" w:hAnsi="Arial"/>
                <w:sz w:val="22"/>
                <w:szCs w:val="22"/>
                <w:color w:val="auto"/>
              </w:rPr>
              <w:t>KKR 2006 Allstar Blocker L.P.</w:t>
            </w:r>
          </w:p>
        </w:tc>
        <w:tc>
          <w:tcPr>
            <w:tcW w:w="4240" w:type="dxa"/>
            <w:vAlign w:val="bottom"/>
          </w:tcPr>
          <w:p>
            <w:pPr>
              <w:ind w:left="1160"/>
              <w:spacing w:after="0"/>
              <w:rPr>
                <w:sz w:val="20"/>
                <w:szCs w:val="20"/>
                <w:color w:val="auto"/>
              </w:rPr>
            </w:pPr>
            <w:r>
              <w:rPr>
                <w:rFonts w:ascii="Arial" w:cs="Arial" w:eastAsia="Arial" w:hAnsi="Arial"/>
                <w:sz w:val="22"/>
                <w:szCs w:val="22"/>
                <w:color w:val="auto"/>
              </w:rPr>
              <w:t>[ ● ]</w:t>
            </w:r>
          </w:p>
        </w:tc>
      </w:tr>
      <w:tr>
        <w:trPr>
          <w:trHeight w:val="274"/>
        </w:trPr>
        <w:tc>
          <w:tcPr>
            <w:tcW w:w="4700" w:type="dxa"/>
            <w:vAlign w:val="bottom"/>
          </w:tcPr>
          <w:p>
            <w:pPr>
              <w:spacing w:after="0"/>
              <w:rPr>
                <w:sz w:val="23"/>
                <w:szCs w:val="23"/>
                <w:color w:val="auto"/>
              </w:rPr>
            </w:pPr>
          </w:p>
        </w:tc>
        <w:tc>
          <w:tcPr>
            <w:tcW w:w="1800" w:type="dxa"/>
            <w:vAlign w:val="bottom"/>
          </w:tcPr>
          <w:p>
            <w:pPr>
              <w:jc w:val="right"/>
              <w:ind w:right="432"/>
              <w:spacing w:after="0"/>
              <w:rPr>
                <w:sz w:val="20"/>
                <w:szCs w:val="20"/>
                <w:color w:val="auto"/>
              </w:rPr>
            </w:pPr>
            <w:r>
              <w:rPr>
                <w:rFonts w:ascii="Arial" w:cs="Arial" w:eastAsia="Arial" w:hAnsi="Arial"/>
                <w:sz w:val="22"/>
                <w:szCs w:val="22"/>
                <w:color w:val="auto"/>
              </w:rPr>
              <w:t>Total</w:t>
            </w:r>
          </w:p>
        </w:tc>
        <w:tc>
          <w:tcPr>
            <w:tcW w:w="500" w:type="dxa"/>
            <w:vAlign w:val="bottom"/>
            <w:tcBorders>
              <w:top w:val="single" w:sz="8" w:color="auto"/>
            </w:tcBorders>
          </w:tcPr>
          <w:p>
            <w:pPr>
              <w:spacing w:after="0"/>
              <w:rPr>
                <w:sz w:val="23"/>
                <w:szCs w:val="23"/>
                <w:color w:val="auto"/>
              </w:rPr>
            </w:pPr>
          </w:p>
        </w:tc>
        <w:tc>
          <w:tcPr>
            <w:tcW w:w="4240" w:type="dxa"/>
            <w:vAlign w:val="bottom"/>
            <w:tcBorders>
              <w:top w:val="single" w:sz="8" w:color="auto"/>
            </w:tcBorders>
          </w:tcPr>
          <w:p>
            <w:pPr>
              <w:ind w:left="1160"/>
              <w:spacing w:after="0"/>
              <w:rPr>
                <w:sz w:val="20"/>
                <w:szCs w:val="20"/>
                <w:color w:val="auto"/>
              </w:rPr>
            </w:pPr>
            <w:r>
              <w:rPr>
                <w:rFonts w:ascii="Arial" w:cs="Arial" w:eastAsia="Arial" w:hAnsi="Arial"/>
                <w:sz w:val="22"/>
                <w:szCs w:val="22"/>
                <w:color w:val="auto"/>
              </w:rPr>
              <w:t>[ ● ]</w:t>
            </w:r>
          </w:p>
        </w:tc>
      </w:tr>
      <w:tr>
        <w:trPr>
          <w:trHeight w:val="308"/>
        </w:trPr>
        <w:tc>
          <w:tcPr>
            <w:tcW w:w="6500" w:type="dxa"/>
            <w:vAlign w:val="bottom"/>
            <w:gridSpan w:val="2"/>
          </w:tcPr>
          <w:p>
            <w:pPr>
              <w:jc w:val="right"/>
              <w:ind w:right="692"/>
              <w:spacing w:after="0"/>
              <w:rPr>
                <w:sz w:val="20"/>
                <w:szCs w:val="20"/>
                <w:color w:val="auto"/>
              </w:rPr>
            </w:pPr>
            <w:r>
              <w:rPr>
                <w:rFonts w:ascii="Arial" w:cs="Arial" w:eastAsia="Arial" w:hAnsi="Arial"/>
                <w:sz w:val="14"/>
                <w:szCs w:val="14"/>
                <w:color w:val="auto"/>
              </w:rPr>
              <w:t>36</w:t>
            </w:r>
          </w:p>
        </w:tc>
        <w:tc>
          <w:tcPr>
            <w:tcW w:w="50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46"/>
        </w:trPr>
        <w:tc>
          <w:tcPr>
            <w:tcW w:w="470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8" w:right="339" w:bottom="1440" w:gutter="0" w:footer="0" w:header="0"/>
        </w:sectPr>
      </w:pPr>
    </w:p>
    <w:bookmarkStart w:id="101" w:name="page102"/>
    <w:bookmarkEnd w:id="101"/>
    <w:p>
      <w:pPr>
        <w:jc w:val="center"/>
        <w:ind w:right="-319"/>
        <w:spacing w:after="0"/>
        <w:rPr>
          <w:sz w:val="20"/>
          <w:szCs w:val="20"/>
          <w:color w:val="auto"/>
        </w:rPr>
      </w:pPr>
      <w:r>
        <w:rPr>
          <w:rFonts w:ascii="Arial" w:cs="Arial" w:eastAsia="Arial" w:hAnsi="Arial"/>
          <w:sz w:val="22"/>
          <w:szCs w:val="22"/>
          <w:color w:val="auto"/>
        </w:rPr>
        <w:t>SCHEDULE II</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Schedule of Free Writing Prospectuses included in the Disclosure Package</w:t>
      </w:r>
    </w:p>
    <w:p>
      <w:pPr>
        <w:ind w:left="980" w:hanging="486"/>
        <w:spacing w:after="0" w:line="238" w:lineRule="auto"/>
        <w:tabs>
          <w:tab w:leader="none" w:pos="980" w:val="left"/>
        </w:tabs>
        <w:numPr>
          <w:ilvl w:val="0"/>
          <w:numId w:val="91"/>
        </w:numPr>
        <w:rPr>
          <w:rFonts w:ascii="Arial" w:cs="Arial" w:eastAsia="Arial" w:hAnsi="Arial"/>
          <w:sz w:val="22"/>
          <w:szCs w:val="22"/>
          <w:color w:val="auto"/>
        </w:rPr>
      </w:pPr>
      <w:r>
        <w:rPr>
          <w:rFonts w:ascii="Arial" w:cs="Arial" w:eastAsia="Arial" w:hAnsi="Arial"/>
          <w:sz w:val="22"/>
          <w:szCs w:val="22"/>
          <w:color w:val="auto"/>
        </w:rPr>
        <w:t>None.</w:t>
      </w:r>
    </w:p>
    <w:p>
      <w:pPr>
        <w:spacing w:after="0"/>
        <w:rPr>
          <w:sz w:val="20"/>
          <w:szCs w:val="20"/>
          <w:color w:val="auto"/>
        </w:rPr>
      </w:pPr>
      <w:r>
        <w:rPr>
          <w:rFonts w:ascii="Arial" w:cs="Arial" w:eastAsia="Arial" w:hAnsi="Arial"/>
          <w:sz w:val="22"/>
          <w:szCs w:val="22"/>
          <w:color w:val="auto"/>
        </w:rPr>
        <w:t>Pricing information provided orally by Underwriters</w:t>
      </w:r>
    </w:p>
    <w:p>
      <w:pPr>
        <w:spacing w:after="0" w:line="215" w:lineRule="exact"/>
        <w:rPr>
          <w:sz w:val="20"/>
          <w:szCs w:val="20"/>
          <w:color w:val="auto"/>
        </w:rPr>
      </w:pPr>
    </w:p>
    <w:p>
      <w:pPr>
        <w:ind w:left="980" w:hanging="486"/>
        <w:spacing w:after="0"/>
        <w:tabs>
          <w:tab w:leader="none" w:pos="980" w:val="left"/>
        </w:tabs>
        <w:numPr>
          <w:ilvl w:val="0"/>
          <w:numId w:val="92"/>
        </w:numPr>
        <w:rPr>
          <w:rFonts w:ascii="Arial" w:cs="Arial" w:eastAsia="Arial" w:hAnsi="Arial"/>
          <w:sz w:val="22"/>
          <w:szCs w:val="22"/>
          <w:color w:val="auto"/>
        </w:rPr>
      </w:pPr>
      <w:r>
        <w:rPr>
          <w:rFonts w:ascii="Arial" w:cs="Arial" w:eastAsia="Arial" w:hAnsi="Arial"/>
          <w:sz w:val="22"/>
          <w:szCs w:val="22"/>
          <w:color w:val="auto"/>
        </w:rPr>
        <w:t>Number of Securities: [ ● ] shares of Common Stock</w:t>
      </w:r>
    </w:p>
    <w:p>
      <w:pPr>
        <w:spacing w:after="0" w:line="8" w:lineRule="exact"/>
        <w:rPr>
          <w:rFonts w:ascii="Arial" w:cs="Arial" w:eastAsia="Arial" w:hAnsi="Arial"/>
          <w:sz w:val="22"/>
          <w:szCs w:val="22"/>
          <w:color w:val="auto"/>
        </w:rPr>
      </w:pPr>
    </w:p>
    <w:p>
      <w:pPr>
        <w:ind w:left="980" w:hanging="486"/>
        <w:spacing w:after="0" w:line="230" w:lineRule="auto"/>
        <w:tabs>
          <w:tab w:leader="none" w:pos="980" w:val="left"/>
        </w:tabs>
        <w:numPr>
          <w:ilvl w:val="0"/>
          <w:numId w:val="92"/>
        </w:numPr>
        <w:rPr>
          <w:rFonts w:ascii="Arial" w:cs="Arial" w:eastAsia="Arial" w:hAnsi="Arial"/>
          <w:sz w:val="22"/>
          <w:szCs w:val="22"/>
          <w:color w:val="auto"/>
        </w:rPr>
      </w:pPr>
      <w:r>
        <w:rPr>
          <w:rFonts w:ascii="Arial" w:cs="Arial" w:eastAsia="Arial" w:hAnsi="Arial"/>
          <w:sz w:val="22"/>
          <w:szCs w:val="22"/>
          <w:color w:val="auto"/>
        </w:rPr>
        <w:t>Price: $[ ● ] per share</w:t>
      </w:r>
    </w:p>
    <w:p>
      <w:pPr>
        <w:ind w:left="980" w:hanging="486"/>
        <w:spacing w:after="0" w:line="236" w:lineRule="auto"/>
        <w:tabs>
          <w:tab w:leader="none" w:pos="980"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 number of Repurchase Securities is [ ● ] shares of Common Stock to be purchased at a price per share equal to the price per share paid by the Underwriters to the Selling Stockholders.</w:t>
      </w:r>
    </w:p>
    <w:p>
      <w:pPr>
        <w:spacing w:after="0" w:line="392"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118" w:right="639" w:bottom="1440" w:gutter="0" w:footer="0" w:header="0"/>
        </w:sectPr>
      </w:pPr>
    </w:p>
    <w:bookmarkStart w:id="102" w:name="page103"/>
    <w:bookmarkEnd w:id="102"/>
    <w:p>
      <w:pPr>
        <w:jc w:val="center"/>
        <w:ind w:right="-1120"/>
        <w:spacing w:after="0"/>
        <w:rPr>
          <w:sz w:val="20"/>
          <w:szCs w:val="20"/>
          <w:color w:val="auto"/>
        </w:rPr>
      </w:pPr>
      <w:r>
        <w:rPr>
          <w:rFonts w:ascii="Arial" w:cs="Arial" w:eastAsia="Arial" w:hAnsi="Arial"/>
          <w:sz w:val="22"/>
          <w:szCs w:val="22"/>
          <w:color w:val="auto"/>
        </w:rPr>
        <w:t>SCHEDULE III</w:t>
      </w:r>
    </w:p>
    <w:p>
      <w:pPr>
        <w:spacing w:after="0" w:line="234" w:lineRule="exact"/>
        <w:rPr>
          <w:sz w:val="20"/>
          <w:szCs w:val="20"/>
          <w:color w:val="auto"/>
        </w:rPr>
      </w:pPr>
    </w:p>
    <w:p>
      <w:pPr>
        <w:jc w:val="right"/>
        <w:ind w:right="2759"/>
        <w:spacing w:after="0"/>
        <w:rPr>
          <w:sz w:val="20"/>
          <w:szCs w:val="20"/>
          <w:color w:val="auto"/>
        </w:rPr>
      </w:pPr>
      <w:r>
        <w:rPr>
          <w:rFonts w:ascii="Arial" w:cs="Arial" w:eastAsia="Arial" w:hAnsi="Arial"/>
          <w:sz w:val="22"/>
          <w:szCs w:val="22"/>
          <w:color w:val="auto"/>
        </w:rPr>
        <w:t>Significant Subsidiaries of the Company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ACADEMY, LTD</w:t>
      </w:r>
    </w:p>
    <w:p>
      <w:pPr>
        <w:spacing w:after="0" w:line="200" w:lineRule="exact"/>
        <w:rPr>
          <w:sz w:val="20"/>
          <w:szCs w:val="20"/>
          <w:color w:val="auto"/>
        </w:rPr>
      </w:pPr>
    </w:p>
    <w:p>
      <w:pPr>
        <w:spacing w:after="0" w:line="211"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03" w:name="page104"/>
    <w:bookmarkEnd w:id="103"/>
    <w:p>
      <w:pPr>
        <w:spacing w:after="0"/>
        <w:rPr>
          <w:sz w:val="20"/>
          <w:szCs w:val="20"/>
          <w:color w:val="auto"/>
        </w:rPr>
      </w:pPr>
      <w:r>
        <w:rPr>
          <w:rFonts w:ascii="Arial" w:cs="Arial" w:eastAsia="Arial" w:hAnsi="Arial"/>
          <w:sz w:val="22"/>
          <w:szCs w:val="22"/>
          <w:b w:val="1"/>
          <w:bCs w:val="1"/>
          <w:color w:val="auto"/>
        </w:rPr>
        <w:t>Form of STB Opinion and Negative Assurance Letter</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258" w:lineRule="exact"/>
        <w:rPr>
          <w:sz w:val="20"/>
          <w:szCs w:val="20"/>
          <w:color w:val="auto"/>
        </w:rPr>
      </w:pPr>
    </w:p>
    <w:p>
      <w:pPr>
        <w:jc w:val="right"/>
        <w:ind w:right="387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See Attached</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104" w:name="page105"/>
    <w:bookmarkEnd w:id="104"/>
    <w:p>
      <w:pPr>
        <w:spacing w:after="0"/>
        <w:rPr>
          <w:sz w:val="20"/>
          <w:szCs w:val="20"/>
          <w:color w:val="auto"/>
        </w:rPr>
      </w:pPr>
      <w:r>
        <w:rPr>
          <w:rFonts w:ascii="Arial" w:cs="Arial" w:eastAsia="Arial" w:hAnsi="Arial"/>
          <w:sz w:val="22"/>
          <w:szCs w:val="22"/>
          <w:b w:val="1"/>
          <w:bCs w:val="1"/>
          <w:color w:val="auto"/>
        </w:rPr>
        <w:t>Form of General Counsel Opinion</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EXHIBIT B</w:t>
      </w:r>
    </w:p>
    <w:p>
      <w:pPr>
        <w:spacing w:after="0" w:line="200" w:lineRule="exact"/>
        <w:rPr>
          <w:sz w:val="20"/>
          <w:szCs w:val="20"/>
          <w:color w:val="auto"/>
        </w:rPr>
      </w:pPr>
    </w:p>
    <w:p>
      <w:pPr>
        <w:spacing w:after="0" w:line="258"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See Attached</w:t>
      </w:r>
      <w:r>
        <w:rPr>
          <w:rFonts w:ascii="Arial" w:cs="Arial" w:eastAsia="Arial" w:hAnsi="Arial"/>
          <w:sz w:val="19"/>
          <w:szCs w:val="19"/>
          <w:color w:val="auto"/>
        </w:rPr>
        <w:t>]</w:t>
      </w:r>
    </w:p>
    <w:p>
      <w:pPr>
        <w:spacing w:after="0" w:line="3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0139"/>
          </w:cols>
          <w:pgMar w:left="320" w:top="111" w:right="1440" w:bottom="1440" w:gutter="0" w:footer="0" w:header="0"/>
        </w:sectPr>
      </w:pPr>
    </w:p>
    <w:bookmarkStart w:id="105" w:name="page106"/>
    <w:bookmarkEnd w:id="105"/>
    <w:p>
      <w:pPr>
        <w:ind w:left="1024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3560" w:type="dxa"/>
            <w:vAlign w:val="bottom"/>
          </w:tcPr>
          <w:p>
            <w:pPr>
              <w:spacing w:after="0"/>
              <w:rPr>
                <w:sz w:val="24"/>
                <w:szCs w:val="24"/>
                <w:color w:val="auto"/>
              </w:rPr>
            </w:pPr>
          </w:p>
        </w:tc>
        <w:tc>
          <w:tcPr>
            <w:tcW w:w="7680" w:type="dxa"/>
            <w:vAlign w:val="bottom"/>
            <w:gridSpan w:val="3"/>
          </w:tcPr>
          <w:p>
            <w:pPr>
              <w:jc w:val="center"/>
              <w:ind w:right="3450"/>
              <w:spacing w:after="0"/>
              <w:rPr>
                <w:sz w:val="20"/>
                <w:szCs w:val="20"/>
                <w:color w:val="auto"/>
              </w:rPr>
            </w:pPr>
            <w:r>
              <w:rPr>
                <w:rFonts w:ascii="Arial" w:cs="Arial" w:eastAsia="Arial" w:hAnsi="Arial"/>
                <w:sz w:val="25"/>
                <w:szCs w:val="25"/>
                <w:color w:val="auto"/>
                <w:w w:val="93"/>
              </w:rPr>
              <w:t xml:space="preserve">Simpson Thacher &amp; Bartlett </w:t>
            </w:r>
            <w:r>
              <w:rPr>
                <w:rFonts w:ascii="Arial" w:cs="Arial" w:eastAsia="Arial" w:hAnsi="Arial"/>
                <w:sz w:val="17"/>
                <w:szCs w:val="17"/>
                <w:color w:val="auto"/>
                <w:w w:val="93"/>
              </w:rPr>
              <w:t>LLP</w:t>
            </w:r>
          </w:p>
        </w:tc>
      </w:tr>
      <w:tr>
        <w:trPr>
          <w:trHeight w:val="203"/>
        </w:trPr>
        <w:tc>
          <w:tcPr>
            <w:tcW w:w="3560" w:type="dxa"/>
            <w:vAlign w:val="bottom"/>
          </w:tcPr>
          <w:p>
            <w:pPr>
              <w:spacing w:after="0"/>
              <w:rPr>
                <w:sz w:val="17"/>
                <w:szCs w:val="17"/>
                <w:color w:val="auto"/>
              </w:rPr>
            </w:pPr>
          </w:p>
        </w:tc>
        <w:tc>
          <w:tcPr>
            <w:tcW w:w="7680" w:type="dxa"/>
            <w:vAlign w:val="bottom"/>
            <w:gridSpan w:val="3"/>
          </w:tcPr>
          <w:p>
            <w:pPr>
              <w:jc w:val="center"/>
              <w:ind w:right="3450"/>
              <w:spacing w:after="0"/>
              <w:rPr>
                <w:sz w:val="20"/>
                <w:szCs w:val="20"/>
                <w:color w:val="auto"/>
              </w:rPr>
            </w:pPr>
            <w:r>
              <w:rPr>
                <w:rFonts w:ascii="Arial" w:cs="Arial" w:eastAsia="Arial" w:hAnsi="Arial"/>
                <w:sz w:val="16"/>
                <w:szCs w:val="16"/>
                <w:color w:val="auto"/>
              </w:rPr>
              <w:t xml:space="preserve">425 </w:t>
            </w:r>
            <w:r>
              <w:rPr>
                <w:rFonts w:ascii="Arial" w:cs="Arial" w:eastAsia="Arial" w:hAnsi="Arial"/>
                <w:sz w:val="10"/>
                <w:szCs w:val="10"/>
                <w:color w:val="auto"/>
              </w:rPr>
              <w:t>LEXINGTON AVENUE</w:t>
            </w:r>
          </w:p>
        </w:tc>
      </w:tr>
      <w:tr>
        <w:trPr>
          <w:trHeight w:val="206"/>
        </w:trPr>
        <w:tc>
          <w:tcPr>
            <w:tcW w:w="3560" w:type="dxa"/>
            <w:vAlign w:val="bottom"/>
          </w:tcPr>
          <w:p>
            <w:pPr>
              <w:spacing w:after="0"/>
              <w:rPr>
                <w:sz w:val="17"/>
                <w:szCs w:val="17"/>
                <w:color w:val="auto"/>
              </w:rPr>
            </w:pPr>
          </w:p>
        </w:tc>
        <w:tc>
          <w:tcPr>
            <w:tcW w:w="7680" w:type="dxa"/>
            <w:vAlign w:val="bottom"/>
            <w:gridSpan w:val="3"/>
          </w:tcPr>
          <w:p>
            <w:pPr>
              <w:jc w:val="center"/>
              <w:ind w:right="3450"/>
              <w:spacing w:after="0"/>
              <w:rPr>
                <w:sz w:val="20"/>
                <w:szCs w:val="20"/>
                <w:color w:val="auto"/>
              </w:rPr>
            </w:pPr>
            <w:r>
              <w:rPr>
                <w:rFonts w:ascii="Arial" w:cs="Arial" w:eastAsia="Arial" w:hAnsi="Arial"/>
                <w:sz w:val="11"/>
                <w:szCs w:val="11"/>
                <w:color w:val="auto"/>
                <w:w w:val="96"/>
              </w:rPr>
              <w:t>NEW YORK</w:t>
            </w:r>
            <w:r>
              <w:rPr>
                <w:rFonts w:ascii="Arial" w:cs="Arial" w:eastAsia="Arial" w:hAnsi="Arial"/>
                <w:sz w:val="16"/>
                <w:szCs w:val="16"/>
                <w:color w:val="auto"/>
                <w:w w:val="96"/>
              </w:rPr>
              <w:t>,</w:t>
            </w:r>
            <w:r>
              <w:rPr>
                <w:rFonts w:ascii="Arial" w:cs="Arial" w:eastAsia="Arial" w:hAnsi="Arial"/>
                <w:sz w:val="11"/>
                <w:szCs w:val="11"/>
                <w:color w:val="auto"/>
                <w:w w:val="96"/>
              </w:rPr>
              <w:t xml:space="preserve"> NY </w:t>
            </w:r>
            <w:r>
              <w:rPr>
                <w:rFonts w:ascii="Arial" w:cs="Arial" w:eastAsia="Arial" w:hAnsi="Arial"/>
                <w:sz w:val="16"/>
                <w:szCs w:val="16"/>
                <w:color w:val="auto"/>
                <w:w w:val="96"/>
              </w:rPr>
              <w:t>10017-3954</w:t>
            </w:r>
          </w:p>
        </w:tc>
      </w:tr>
      <w:tr>
        <w:trPr>
          <w:trHeight w:val="297"/>
        </w:trPr>
        <w:tc>
          <w:tcPr>
            <w:tcW w:w="3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060" w:type="dxa"/>
            <w:vAlign w:val="bottom"/>
          </w:tcPr>
          <w:p>
            <w:pPr>
              <w:spacing w:after="0"/>
              <w:rPr>
                <w:sz w:val="24"/>
                <w:szCs w:val="24"/>
                <w:color w:val="auto"/>
              </w:rPr>
            </w:pPr>
          </w:p>
        </w:tc>
      </w:tr>
      <w:tr>
        <w:trPr>
          <w:trHeight w:val="274"/>
        </w:trPr>
        <w:tc>
          <w:tcPr>
            <w:tcW w:w="3560" w:type="dxa"/>
            <w:vAlign w:val="bottom"/>
          </w:tcPr>
          <w:p>
            <w:pPr>
              <w:spacing w:after="0"/>
              <w:rPr>
                <w:sz w:val="23"/>
                <w:szCs w:val="23"/>
                <w:color w:val="auto"/>
              </w:rPr>
            </w:pPr>
          </w:p>
        </w:tc>
        <w:tc>
          <w:tcPr>
            <w:tcW w:w="7680" w:type="dxa"/>
            <w:vAlign w:val="bottom"/>
            <w:gridSpan w:val="3"/>
          </w:tcPr>
          <w:p>
            <w:pPr>
              <w:jc w:val="center"/>
              <w:ind w:right="3450"/>
              <w:spacing w:after="0"/>
              <w:rPr>
                <w:sz w:val="20"/>
                <w:szCs w:val="20"/>
                <w:color w:val="auto"/>
              </w:rPr>
            </w:pPr>
            <w:r>
              <w:rPr>
                <w:rFonts w:ascii="Arial" w:cs="Arial" w:eastAsia="Arial" w:hAnsi="Arial"/>
                <w:sz w:val="11"/>
                <w:szCs w:val="11"/>
                <w:color w:val="auto"/>
                <w:w w:val="93"/>
              </w:rPr>
              <w:t>TELEPHONE</w:t>
            </w:r>
            <w:r>
              <w:rPr>
                <w:rFonts w:ascii="Arial" w:cs="Arial" w:eastAsia="Arial" w:hAnsi="Arial"/>
                <w:sz w:val="16"/>
                <w:szCs w:val="16"/>
                <w:color w:val="auto"/>
                <w:w w:val="93"/>
              </w:rPr>
              <w:t>: +1-212-455-2000</w:t>
            </w:r>
          </w:p>
        </w:tc>
      </w:tr>
      <w:tr>
        <w:trPr>
          <w:trHeight w:val="206"/>
        </w:trPr>
        <w:tc>
          <w:tcPr>
            <w:tcW w:w="3560" w:type="dxa"/>
            <w:vAlign w:val="bottom"/>
          </w:tcPr>
          <w:p>
            <w:pPr>
              <w:spacing w:after="0"/>
              <w:rPr>
                <w:sz w:val="17"/>
                <w:szCs w:val="17"/>
                <w:color w:val="auto"/>
              </w:rPr>
            </w:pPr>
          </w:p>
        </w:tc>
        <w:tc>
          <w:tcPr>
            <w:tcW w:w="7680" w:type="dxa"/>
            <w:vAlign w:val="bottom"/>
            <w:gridSpan w:val="3"/>
          </w:tcPr>
          <w:p>
            <w:pPr>
              <w:jc w:val="center"/>
              <w:ind w:right="3470"/>
              <w:spacing w:after="0"/>
              <w:rPr>
                <w:sz w:val="20"/>
                <w:szCs w:val="20"/>
                <w:color w:val="auto"/>
              </w:rPr>
            </w:pPr>
            <w:r>
              <w:rPr>
                <w:rFonts w:ascii="Arial" w:cs="Arial" w:eastAsia="Arial" w:hAnsi="Arial"/>
                <w:sz w:val="11"/>
                <w:szCs w:val="11"/>
                <w:color w:val="auto"/>
                <w:w w:val="94"/>
              </w:rPr>
              <w:t>FACSIMILE</w:t>
            </w:r>
            <w:r>
              <w:rPr>
                <w:rFonts w:ascii="Arial" w:cs="Arial" w:eastAsia="Arial" w:hAnsi="Arial"/>
                <w:sz w:val="16"/>
                <w:szCs w:val="16"/>
                <w:color w:val="auto"/>
                <w:w w:val="94"/>
              </w:rPr>
              <w:t>: +1-212-455-2502</w:t>
            </w:r>
          </w:p>
        </w:tc>
      </w:tr>
      <w:tr>
        <w:trPr>
          <w:trHeight w:val="401"/>
        </w:trPr>
        <w:tc>
          <w:tcPr>
            <w:tcW w:w="3560" w:type="dxa"/>
            <w:vAlign w:val="bottom"/>
          </w:tcPr>
          <w:p>
            <w:pPr>
              <w:spacing w:after="0"/>
              <w:rPr>
                <w:sz w:val="20"/>
                <w:szCs w:val="20"/>
                <w:color w:val="auto"/>
              </w:rPr>
            </w:pPr>
            <w:r>
              <w:rPr>
                <w:rFonts w:ascii="Arial" w:cs="Arial" w:eastAsia="Arial" w:hAnsi="Arial"/>
                <w:sz w:val="16"/>
                <w:szCs w:val="16"/>
                <w:color w:val="auto"/>
              </w:rPr>
              <w:t>Direct Dial Number</w:t>
            </w: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60" w:type="dxa"/>
            <w:vAlign w:val="bottom"/>
          </w:tcPr>
          <w:p>
            <w:pPr>
              <w:jc w:val="right"/>
              <w:spacing w:after="0"/>
              <w:rPr>
                <w:sz w:val="20"/>
                <w:szCs w:val="20"/>
                <w:color w:val="auto"/>
              </w:rPr>
            </w:pPr>
            <w:r>
              <w:rPr>
                <w:rFonts w:ascii="Arial" w:cs="Arial" w:eastAsia="Arial" w:hAnsi="Arial"/>
                <w:sz w:val="16"/>
                <w:szCs w:val="16"/>
                <w:color w:val="auto"/>
              </w:rPr>
              <w:t>E-mail Address</w:t>
            </w:r>
          </w:p>
        </w:tc>
      </w:tr>
      <w:tr>
        <w:trPr>
          <w:trHeight w:val="206"/>
        </w:trPr>
        <w:tc>
          <w:tcPr>
            <w:tcW w:w="3560" w:type="dxa"/>
            <w:vAlign w:val="bottom"/>
          </w:tcPr>
          <w:p>
            <w:pPr>
              <w:spacing w:after="0"/>
              <w:rPr>
                <w:sz w:val="20"/>
                <w:szCs w:val="20"/>
                <w:color w:val="auto"/>
              </w:rPr>
            </w:pPr>
            <w:r>
              <w:rPr>
                <w:rFonts w:ascii="Arial" w:cs="Arial" w:eastAsia="Arial" w:hAnsi="Arial"/>
                <w:sz w:val="16"/>
                <w:szCs w:val="16"/>
                <w:color w:val="auto"/>
              </w:rPr>
              <w:t>+1-212-455-2948</w:t>
            </w:r>
          </w:p>
        </w:tc>
        <w:tc>
          <w:tcPr>
            <w:tcW w:w="1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060" w:type="dxa"/>
            <w:vAlign w:val="bottom"/>
          </w:tcPr>
          <w:p>
            <w:pPr>
              <w:jc w:val="right"/>
              <w:spacing w:after="0"/>
              <w:rPr>
                <w:sz w:val="20"/>
                <w:szCs w:val="20"/>
                <w:color w:val="auto"/>
              </w:rPr>
            </w:pPr>
            <w:r>
              <w:rPr>
                <w:rFonts w:ascii="Arial" w:cs="Arial" w:eastAsia="Arial" w:hAnsi="Arial"/>
                <w:sz w:val="16"/>
                <w:szCs w:val="16"/>
                <w:color w:val="auto"/>
              </w:rPr>
              <w:t>jkaufman@stblaw.com</w:t>
            </w:r>
          </w:p>
        </w:tc>
      </w:tr>
      <w:tr>
        <w:trPr>
          <w:trHeight w:val="502"/>
        </w:trPr>
        <w:tc>
          <w:tcPr>
            <w:tcW w:w="3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60" w:type="dxa"/>
            <w:vAlign w:val="bottom"/>
          </w:tcPr>
          <w:p>
            <w:pPr>
              <w:jc w:val="right"/>
              <w:spacing w:after="0"/>
              <w:rPr>
                <w:sz w:val="20"/>
                <w:szCs w:val="20"/>
                <w:color w:val="auto"/>
              </w:rPr>
            </w:pPr>
            <w:r>
              <w:rPr>
                <w:rFonts w:ascii="Arial" w:cs="Arial" w:eastAsia="Arial" w:hAnsi="Arial"/>
                <w:sz w:val="22"/>
                <w:szCs w:val="22"/>
                <w:color w:val="auto"/>
              </w:rPr>
              <w:t>September 13, 2021</w:t>
            </w:r>
          </w:p>
        </w:tc>
      </w:tr>
      <w:tr>
        <w:trPr>
          <w:trHeight w:val="455"/>
        </w:trPr>
        <w:tc>
          <w:tcPr>
            <w:tcW w:w="3560" w:type="dxa"/>
            <w:vAlign w:val="bottom"/>
          </w:tcPr>
          <w:p>
            <w:pPr>
              <w:spacing w:after="0"/>
              <w:rPr>
                <w:sz w:val="20"/>
                <w:szCs w:val="20"/>
                <w:color w:val="auto"/>
              </w:rPr>
            </w:pPr>
            <w:r>
              <w:rPr>
                <w:rFonts w:ascii="Arial" w:cs="Arial" w:eastAsia="Arial" w:hAnsi="Arial"/>
                <w:sz w:val="22"/>
                <w:szCs w:val="22"/>
                <w:color w:val="auto"/>
              </w:rPr>
              <w:t>Academy Sports and Outdoors, Inc.</w:t>
            </w: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43"/>
        </w:trPr>
        <w:tc>
          <w:tcPr>
            <w:tcW w:w="3560" w:type="dxa"/>
            <w:vAlign w:val="bottom"/>
          </w:tcPr>
          <w:p>
            <w:pPr>
              <w:spacing w:after="0" w:line="243" w:lineRule="exact"/>
              <w:rPr>
                <w:sz w:val="20"/>
                <w:szCs w:val="20"/>
                <w:color w:val="auto"/>
              </w:rPr>
            </w:pPr>
            <w:r>
              <w:rPr>
                <w:rFonts w:ascii="Arial" w:cs="Arial" w:eastAsia="Arial" w:hAnsi="Arial"/>
                <w:sz w:val="22"/>
                <w:szCs w:val="22"/>
                <w:color w:val="auto"/>
              </w:rPr>
              <w:t>1800 North Mason Road</w:t>
            </w:r>
          </w:p>
        </w:tc>
        <w:tc>
          <w:tcPr>
            <w:tcW w:w="1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060" w:type="dxa"/>
            <w:vAlign w:val="bottom"/>
          </w:tcPr>
          <w:p>
            <w:pPr>
              <w:spacing w:after="0"/>
              <w:rPr>
                <w:sz w:val="21"/>
                <w:szCs w:val="21"/>
                <w:color w:val="auto"/>
              </w:rPr>
            </w:pPr>
          </w:p>
        </w:tc>
      </w:tr>
      <w:tr>
        <w:trPr>
          <w:trHeight w:val="274"/>
        </w:trPr>
        <w:tc>
          <w:tcPr>
            <w:tcW w:w="3560" w:type="dxa"/>
            <w:vAlign w:val="bottom"/>
          </w:tcPr>
          <w:p>
            <w:pPr>
              <w:spacing w:after="0"/>
              <w:rPr>
                <w:sz w:val="20"/>
                <w:szCs w:val="20"/>
                <w:color w:val="auto"/>
              </w:rPr>
            </w:pPr>
            <w:r>
              <w:rPr>
                <w:rFonts w:ascii="Arial" w:cs="Arial" w:eastAsia="Arial" w:hAnsi="Arial"/>
                <w:sz w:val="22"/>
                <w:szCs w:val="22"/>
                <w:color w:val="auto"/>
              </w:rPr>
              <w:t>Katy, Texas 77449</w:t>
            </w:r>
          </w:p>
        </w:tc>
        <w:tc>
          <w:tcPr>
            <w:tcW w:w="15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060" w:type="dxa"/>
            <w:vAlign w:val="bottom"/>
          </w:tcPr>
          <w:p>
            <w:pPr>
              <w:spacing w:after="0"/>
              <w:rPr>
                <w:sz w:val="23"/>
                <w:szCs w:val="23"/>
                <w:color w:val="auto"/>
              </w:rPr>
            </w:pPr>
          </w:p>
        </w:tc>
      </w:tr>
      <w:tr>
        <w:trPr>
          <w:trHeight w:val="486"/>
        </w:trPr>
        <w:tc>
          <w:tcPr>
            <w:tcW w:w="3560" w:type="dxa"/>
            <w:vAlign w:val="bottom"/>
          </w:tcPr>
          <w:p>
            <w:pPr>
              <w:spacing w:after="0"/>
              <w:rPr>
                <w:sz w:val="20"/>
                <w:szCs w:val="20"/>
                <w:color w:val="auto"/>
              </w:rPr>
            </w:pPr>
            <w:r>
              <w:rPr>
                <w:rFonts w:ascii="Arial" w:cs="Arial" w:eastAsia="Arial" w:hAnsi="Arial"/>
                <w:sz w:val="22"/>
                <w:szCs w:val="22"/>
                <w:color w:val="auto"/>
              </w:rPr>
              <w:t>Ladies and Gentlemen:</w:t>
            </w: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60" w:type="dxa"/>
            <w:vAlign w:val="bottom"/>
          </w:tcPr>
          <w:p>
            <w:pPr>
              <w:spacing w:after="0"/>
              <w:rPr>
                <w:sz w:val="24"/>
                <w:szCs w:val="24"/>
                <w:color w:val="auto"/>
              </w:rPr>
            </w:pPr>
          </w:p>
        </w:tc>
      </w:tr>
    </w:tbl>
    <w:p>
      <w:pPr>
        <w:spacing w:after="0" w:line="21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We have acted as counsel to Academy Sports and Outdoors,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in connection with the Registration Statement on Form S-1 (the “</w:t>
      </w:r>
      <w:r>
        <w:rPr>
          <w:rFonts w:ascii="Arial" w:cs="Arial" w:eastAsia="Arial" w:hAnsi="Arial"/>
          <w:sz w:val="22"/>
          <w:szCs w:val="22"/>
          <w:u w:val="single" w:color="auto"/>
          <w:color w:val="auto"/>
        </w:rPr>
        <w:t>Registration Statement</w:t>
      </w:r>
      <w:r>
        <w:rPr>
          <w:rFonts w:ascii="Arial" w:cs="Arial" w:eastAsia="Arial" w:hAnsi="Arial"/>
          <w:sz w:val="22"/>
          <w:szCs w:val="22"/>
          <w:color w:val="auto"/>
        </w:rPr>
        <w:t>”) filed by the Company with the Securities and Exchange Commission (the “</w:t>
      </w:r>
      <w:r>
        <w:rPr>
          <w:rFonts w:ascii="Arial" w:cs="Arial" w:eastAsia="Arial" w:hAnsi="Arial"/>
          <w:sz w:val="22"/>
          <w:szCs w:val="22"/>
          <w:u w:val="single" w:color="auto"/>
          <w:color w:val="auto"/>
        </w:rPr>
        <w:t>Commission</w:t>
      </w:r>
      <w:r>
        <w:rPr>
          <w:rFonts w:ascii="Arial" w:cs="Arial" w:eastAsia="Arial" w:hAnsi="Arial"/>
          <w:sz w:val="22"/>
          <w:szCs w:val="22"/>
          <w:color w:val="auto"/>
        </w:rPr>
        <w:t>”) under the Securities Act of 1933, as amended (the “</w:t>
      </w:r>
      <w:r>
        <w:rPr>
          <w:rFonts w:ascii="Arial" w:cs="Arial" w:eastAsia="Arial" w:hAnsi="Arial"/>
          <w:sz w:val="22"/>
          <w:szCs w:val="22"/>
          <w:u w:val="single" w:color="auto"/>
          <w:color w:val="auto"/>
        </w:rPr>
        <w:t>Act</w:t>
      </w:r>
      <w:r>
        <w:rPr>
          <w:rFonts w:ascii="Arial" w:cs="Arial" w:eastAsia="Arial" w:hAnsi="Arial"/>
          <w:sz w:val="22"/>
          <w:szCs w:val="22"/>
          <w:color w:val="auto"/>
        </w:rPr>
        <w:t>”), relating to the sale by the selling stockholders referred to in the Registration Statement (the “</w:t>
      </w:r>
      <w:r>
        <w:rPr>
          <w:rFonts w:ascii="Arial" w:cs="Arial" w:eastAsia="Arial" w:hAnsi="Arial"/>
          <w:sz w:val="22"/>
          <w:szCs w:val="22"/>
          <w:u w:val="single" w:color="auto"/>
          <w:color w:val="auto"/>
        </w:rPr>
        <w:t>Selling Stockholders</w:t>
      </w:r>
      <w:r>
        <w:rPr>
          <w:rFonts w:ascii="Arial" w:cs="Arial" w:eastAsia="Arial" w:hAnsi="Arial"/>
          <w:sz w:val="22"/>
          <w:szCs w:val="22"/>
          <w:color w:val="auto"/>
        </w:rPr>
        <w:t>”) of up to an aggregate of 18,645,602 shares of common stock, par value $0.01 per share (“</w:t>
      </w:r>
      <w:r>
        <w:rPr>
          <w:rFonts w:ascii="Arial" w:cs="Arial" w:eastAsia="Arial" w:hAnsi="Arial"/>
          <w:sz w:val="22"/>
          <w:szCs w:val="22"/>
          <w:u w:val="single" w:color="auto"/>
          <w:color w:val="auto"/>
        </w:rPr>
        <w:t>Common Stock</w:t>
      </w:r>
      <w:r>
        <w:rPr>
          <w:rFonts w:ascii="Arial" w:cs="Arial" w:eastAsia="Arial" w:hAnsi="Arial"/>
          <w:sz w:val="22"/>
          <w:szCs w:val="22"/>
          <w:color w:val="auto"/>
        </w:rPr>
        <w:t>”), of the Company in connection with the offering described in the Registration Statement (the “</w:t>
      </w:r>
      <w:r>
        <w:rPr>
          <w:rFonts w:ascii="Arial" w:cs="Arial" w:eastAsia="Arial" w:hAnsi="Arial"/>
          <w:sz w:val="22"/>
          <w:szCs w:val="22"/>
          <w:u w:val="single" w:color="auto"/>
          <w:color w:val="auto"/>
        </w:rPr>
        <w:t>Shares</w:t>
      </w:r>
      <w:r>
        <w:rPr>
          <w:rFonts w:ascii="Arial" w:cs="Arial" w:eastAsia="Arial" w:hAnsi="Arial"/>
          <w:sz w:val="22"/>
          <w:szCs w:val="22"/>
          <w:color w:val="auto"/>
        </w:rPr>
        <w:t>”).</w:t>
      </w:r>
    </w:p>
    <w:p>
      <w:pPr>
        <w:spacing w:after="0" w:line="21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We have examined the Registration Statement.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Company and have made such other investigations as we have deemed relevant and necessary in connection with the opinion hereinafter set forth.</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In rendering the opinion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w:t>
      </w:r>
    </w:p>
    <w:p>
      <w:pPr>
        <w:spacing w:after="0" w:line="1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Based upon the foregoing, and subject to the qualifications, assumptions and limitations stated herein, we are of the opinion that the Shares have been validly issued and are fully paid and nonassessable.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We do not express any opinion herein concerning any law other than the Delaware General Corporation Law.</w:t>
      </w:r>
    </w:p>
    <w:p>
      <w:pPr>
        <w:spacing w:after="0" w:line="2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We hereby consent to the filing of this opinion letter as Exhibit 5.1 to the Registration Statement and to the use of our name under the caption “Legal Matters” in the prospectus included in the Registration Statement.</w:t>
      </w:r>
    </w:p>
    <w:p>
      <w:pPr>
        <w:spacing w:after="0" w:line="20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Simpson Thacher &amp; Bartlett LLP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SIMPSON THACHER &amp; BARTLETT LLP</w:t>
      </w:r>
    </w:p>
    <w:p>
      <w:pPr>
        <w:spacing w:after="0" w:line="248" w:lineRule="exact"/>
        <w:rPr>
          <w:sz w:val="20"/>
          <w:szCs w:val="20"/>
          <w:color w:val="auto"/>
        </w:rPr>
      </w:pPr>
    </w:p>
    <w:p>
      <w:pPr>
        <w:spacing w:after="0"/>
        <w:tabs>
          <w:tab w:leader="none" w:pos="1020" w:val="left"/>
          <w:tab w:leader="none" w:pos="2360" w:val="left"/>
          <w:tab w:leader="none" w:pos="3640" w:val="left"/>
          <w:tab w:leader="none" w:pos="4780" w:val="left"/>
          <w:tab w:leader="none" w:pos="6240" w:val="left"/>
          <w:tab w:leader="none" w:pos="7540" w:val="left"/>
          <w:tab w:leader="none" w:pos="8720" w:val="left"/>
          <w:tab w:leader="none" w:pos="9620" w:val="left"/>
        </w:tabs>
        <w:rPr>
          <w:sz w:val="20"/>
          <w:szCs w:val="20"/>
          <w:color w:val="auto"/>
        </w:rPr>
      </w:pPr>
      <w:r>
        <w:rPr>
          <w:rFonts w:ascii="Arial" w:cs="Arial" w:eastAsia="Arial" w:hAnsi="Arial"/>
          <w:sz w:val="14"/>
          <w:szCs w:val="14"/>
          <w:color w:val="auto"/>
        </w:rPr>
        <w:t>BEIJING</w:t>
      </w:r>
      <w:r>
        <w:rPr>
          <w:sz w:val="20"/>
          <w:szCs w:val="20"/>
          <w:color w:val="auto"/>
        </w:rPr>
        <w:tab/>
      </w:r>
      <w:r>
        <w:rPr>
          <w:rFonts w:ascii="Arial" w:cs="Arial" w:eastAsia="Arial" w:hAnsi="Arial"/>
          <w:sz w:val="14"/>
          <w:szCs w:val="14"/>
          <w:color w:val="auto"/>
        </w:rPr>
        <w:t>HONG KONG</w:t>
      </w:r>
      <w:r>
        <w:rPr>
          <w:sz w:val="20"/>
          <w:szCs w:val="20"/>
          <w:color w:val="auto"/>
        </w:rPr>
        <w:tab/>
      </w:r>
      <w:r>
        <w:rPr>
          <w:rFonts w:ascii="Arial" w:cs="Arial" w:eastAsia="Arial" w:hAnsi="Arial"/>
          <w:sz w:val="14"/>
          <w:szCs w:val="14"/>
          <w:color w:val="auto"/>
        </w:rPr>
        <w:t>HOUSTON</w:t>
      </w:r>
      <w:r>
        <w:rPr>
          <w:sz w:val="20"/>
          <w:szCs w:val="20"/>
          <w:color w:val="auto"/>
        </w:rPr>
        <w:tab/>
      </w:r>
      <w:r>
        <w:rPr>
          <w:rFonts w:ascii="Arial" w:cs="Arial" w:eastAsia="Arial" w:hAnsi="Arial"/>
          <w:sz w:val="14"/>
          <w:szCs w:val="14"/>
          <w:color w:val="auto"/>
        </w:rPr>
        <w:t>LONDON</w:t>
      </w:r>
      <w:r>
        <w:rPr>
          <w:sz w:val="20"/>
          <w:szCs w:val="20"/>
          <w:color w:val="auto"/>
        </w:rPr>
        <w:tab/>
      </w:r>
      <w:r>
        <w:rPr>
          <w:rFonts w:ascii="Arial" w:cs="Arial" w:eastAsia="Arial" w:hAnsi="Arial"/>
          <w:sz w:val="14"/>
          <w:szCs w:val="14"/>
          <w:color w:val="auto"/>
        </w:rPr>
        <w:t>LOS ANGELES</w:t>
      </w:r>
      <w:r>
        <w:rPr>
          <w:sz w:val="20"/>
          <w:szCs w:val="20"/>
          <w:color w:val="auto"/>
        </w:rPr>
        <w:tab/>
      </w:r>
      <w:r>
        <w:rPr>
          <w:rFonts w:ascii="Arial" w:cs="Arial" w:eastAsia="Arial" w:hAnsi="Arial"/>
          <w:sz w:val="14"/>
          <w:szCs w:val="14"/>
          <w:color w:val="auto"/>
        </w:rPr>
        <w:t>PALO ALTO</w:t>
      </w:r>
      <w:r>
        <w:rPr>
          <w:sz w:val="20"/>
          <w:szCs w:val="20"/>
          <w:color w:val="auto"/>
        </w:rPr>
        <w:tab/>
      </w:r>
      <w:r>
        <w:rPr>
          <w:rFonts w:ascii="Arial" w:cs="Arial" w:eastAsia="Arial" w:hAnsi="Arial"/>
          <w:sz w:val="14"/>
          <w:szCs w:val="14"/>
          <w:color w:val="auto"/>
        </w:rPr>
        <w:t>SÃO PAULO</w:t>
      </w:r>
      <w:r>
        <w:rPr>
          <w:sz w:val="20"/>
          <w:szCs w:val="20"/>
          <w:color w:val="auto"/>
        </w:rPr>
        <w:tab/>
      </w:r>
      <w:r>
        <w:rPr>
          <w:rFonts w:ascii="Arial" w:cs="Arial" w:eastAsia="Arial" w:hAnsi="Arial"/>
          <w:sz w:val="14"/>
          <w:szCs w:val="14"/>
          <w:color w:val="auto"/>
        </w:rPr>
        <w:t>TOKYO</w:t>
      </w:r>
      <w:r>
        <w:rPr>
          <w:sz w:val="20"/>
          <w:szCs w:val="20"/>
          <w:color w:val="auto"/>
        </w:rPr>
        <w:tab/>
      </w:r>
      <w:r>
        <w:rPr>
          <w:rFonts w:ascii="Arial" w:cs="Arial" w:eastAsia="Arial" w:hAnsi="Arial"/>
          <w:sz w:val="13"/>
          <w:szCs w:val="13"/>
          <w:color w:val="auto"/>
        </w:rPr>
        <w:t>WASHINGTON, 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CONSENT OF INDEPENDENT REGISTERED PUBLIC ACCOUNTING FIRM</w:t>
      </w:r>
    </w:p>
    <w:p>
      <w:pPr>
        <w:spacing w:after="0" w:line="233" w:lineRule="exact"/>
        <w:rPr>
          <w:sz w:val="20"/>
          <w:szCs w:val="20"/>
          <w:color w:val="auto"/>
        </w:rPr>
      </w:pPr>
    </w:p>
    <w:p>
      <w:pPr>
        <w:ind w:right="300"/>
        <w:spacing w:after="0" w:line="238" w:lineRule="auto"/>
        <w:rPr>
          <w:sz w:val="20"/>
          <w:szCs w:val="20"/>
          <w:color w:val="auto"/>
        </w:rPr>
      </w:pPr>
      <w:r>
        <w:rPr>
          <w:rFonts w:ascii="Arial" w:cs="Arial" w:eastAsia="Arial" w:hAnsi="Arial"/>
          <w:sz w:val="22"/>
          <w:szCs w:val="22"/>
          <w:color w:val="auto"/>
        </w:rPr>
        <w:t>We consent to the use in this Registration Statement on Form S-1 of our report dated April 7, 2021 relating to the financial statements of Academy Sports and Outdoors, Inc. appearing in the Annual Report on Form 10-K of Academy Sports and Outdoors, Inc. for the year ended January 30, 2021. We also consent to the reference to us under the heading "Experts" in such Registration Statement.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/s/ Deloitte &amp; Touche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Houston, Texas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September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1)"/>
      <w:numFmt w:val="decimal"/>
      <w:start w:val="1"/>
    </w:lvl>
  </w:abstractNum>
  <w:abstractNum w:abstractNumId="1">
    <w:nsid w:val="6DE91B18"/>
    <w:multiLevelType w:val="hybridMultilevel"/>
    <w:lvl w:ilvl="0">
      <w:lvlJc w:val="left"/>
      <w:lvlText w:val="(%1)"/>
      <w:numFmt w:val="decimal"/>
      <w:start w:val="1"/>
    </w:lvl>
  </w:abstractNum>
  <w:abstractNum w:abstractNumId="2">
    <w:nsid w:val="38437FDB"/>
    <w:multiLevelType w:val="hybridMultilevel"/>
    <w:lvl w:ilvl="0">
      <w:lvlJc w:val="left"/>
      <w:lvlText w:val="(%1)"/>
      <w:numFmt w:val="decimal"/>
      <w:start w:val="3"/>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1)"/>
      <w:numFmt w:val="decimal"/>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1)"/>
      <w:numFmt w:val="lowerLetter"/>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1)"/>
      <w:numFmt w:val="lowerRoman"/>
      <w:start w:val="3"/>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1)"/>
      <w:numFmt w:val="decimal"/>
      <w:start w:val="1"/>
    </w:lvl>
  </w:abstractNum>
  <w:abstractNum w:abstractNumId="21">
    <w:nsid w:val="1CF10FD8"/>
    <w:multiLevelType w:val="hybridMultilevel"/>
    <w:lvl w:ilvl="0">
      <w:lvlJc w:val="left"/>
      <w:lvlText w:val="%1)"/>
      <w:numFmt w:val="decimal"/>
      <w:start w:val="1"/>
    </w:lvl>
  </w:abstractNum>
  <w:abstractNum w:abstractNumId="22">
    <w:nsid w:val="180115BE"/>
    <w:multiLevelType w:val="hybridMultilevel"/>
    <w:lvl w:ilvl="0">
      <w:lvlJc w:val="left"/>
      <w:lvlText w:val="%1)"/>
      <w:numFmt w:val="decimal"/>
      <w:start w:val="9"/>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1)"/>
      <w:numFmt w:val="lowerRoman"/>
      <w:start w:val="3"/>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1)"/>
      <w:numFmt w:val="lowerRoman"/>
      <w:start w:val="10"/>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1)"/>
      <w:numFmt w:val="lowerLetter"/>
      <w:start w:val="1"/>
    </w:lvl>
  </w:abstractNum>
  <w:abstractNum w:abstractNumId="32">
    <w:nsid w:val="7E0C57B1"/>
    <w:multiLevelType w:val="hybridMultilevel"/>
    <w:lvl w:ilvl="0">
      <w:lvlJc w:val="left"/>
      <w:lvlText w:val="(%1)"/>
      <w:numFmt w:val="lowerLetter"/>
      <w:start w:val="1"/>
    </w:lvl>
  </w:abstractNum>
  <w:abstractNum w:abstractNumId="33">
    <w:nsid w:val="77AE35EB"/>
    <w:multiLevelType w:val="hybridMultilevel"/>
    <w:lvl w:ilvl="0">
      <w:lvlJc w:val="left"/>
      <w:lvlText w:val="(%1)"/>
      <w:numFmt w:val="lowerRoman"/>
      <w:start w:val="1"/>
    </w:lvl>
  </w:abstractNum>
  <w:abstractNum w:abstractNumId="34">
    <w:nsid w:val="579BE4F1"/>
    <w:multiLevelType w:val="hybridMultilevel"/>
    <w:lvl w:ilvl="0">
      <w:lvlJc w:val="left"/>
      <w:lvlText w:val="(%1)"/>
      <w:numFmt w:val="lowerLetter"/>
      <w:start w:val="1"/>
    </w:lvl>
  </w:abstractNum>
  <w:abstractNum w:abstractNumId="35">
    <w:nsid w:val="310C50B3"/>
    <w:multiLevelType w:val="hybridMultilevel"/>
    <w:lvl w:ilvl="0">
      <w:lvlJc w:val="left"/>
      <w:lvlText w:val="(%1)"/>
      <w:numFmt w:val="lowerLetter"/>
      <w:start w:val="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1)"/>
      <w:numFmt w:val="lowerLetter"/>
      <w:start w:val="2"/>
    </w:lvl>
  </w:abstractNum>
  <w:abstractNum w:abstractNumId="38">
    <w:nsid w:val="25A70BF7"/>
    <w:multiLevelType w:val="hybridMultilevel"/>
    <w:lvl w:ilvl="0">
      <w:lvlJc w:val="left"/>
      <w:lvlText w:val="(%1)"/>
      <w:numFmt w:val="decimal"/>
      <w:start w:val="1"/>
    </w:lvl>
    <w:lvl w:ilvl="1">
      <w:lvlJc w:val="left"/>
      <w:lvlText w:val="(%2)"/>
      <w:numFmt w:val="upperLetter"/>
      <w:start w:val="1"/>
    </w:lvl>
  </w:abstractNum>
  <w:abstractNum w:abstractNumId="39">
    <w:nsid w:val="1DBABF00"/>
    <w:multiLevelType w:val="hybridMultilevel"/>
    <w:lvl w:ilvl="0">
      <w:lvlJc w:val="left"/>
      <w:lvlText w:val="*"/>
      <w:numFmt w:val="bullet"/>
      <w:start w:val="1"/>
    </w:lvl>
  </w:abstractNum>
  <w:abstractNum w:abstractNumId="40">
    <w:nsid w:val="4AD084E9"/>
    <w:multiLevelType w:val="hybridMultilevel"/>
    <w:lvl w:ilvl="0">
      <w:lvlJc w:val="left"/>
      <w:lvlText w:val="†"/>
      <w:numFmt w:val="bullet"/>
      <w:start w:val="1"/>
    </w:lvl>
  </w:abstractNum>
  <w:abstractNum w:abstractNumId="41">
    <w:nsid w:val="1F48EAA1"/>
    <w:multiLevelType w:val="hybridMultilevel"/>
    <w:lvl w:ilvl="0">
      <w:lvlJc w:val="left"/>
      <w:lvlText w:val="["/>
      <w:numFmt w:val="bullet"/>
      <w:start w:val="1"/>
    </w:lvl>
  </w:abstractNum>
  <w:abstractNum w:abstractNumId="42">
    <w:nsid w:val="1381823A"/>
    <w:multiLevelType w:val="hybridMultilevel"/>
    <w:lvl w:ilvl="0">
      <w:lvlJc w:val="left"/>
      <w:lvlText w:val="%1."/>
      <w:numFmt w:val="decimal"/>
      <w:start w:val="1"/>
    </w:lvl>
  </w:abstractNum>
  <w:abstractNum w:abstractNumId="43">
    <w:nsid w:val="5DB70AE5"/>
    <w:multiLevelType w:val="hybridMultilevel"/>
    <w:lvl w:ilvl="0">
      <w:lvlJc w:val="left"/>
      <w:lvlText w:val="(%1)"/>
      <w:numFmt w:val="lowerLetter"/>
      <w:start w:val="1"/>
    </w:lvl>
  </w:abstractNum>
  <w:abstractNum w:abstractNumId="44">
    <w:nsid w:val="100F8FCA"/>
    <w:multiLevelType w:val="hybridMultilevel"/>
    <w:lvl w:ilvl="0">
      <w:lvlJc w:val="left"/>
      <w:lvlText w:val="(%1)"/>
      <w:numFmt w:val="lowerLetter"/>
      <w:start w:val="2"/>
    </w:lvl>
  </w:abstractNum>
  <w:abstractNum w:abstractNumId="45">
    <w:nsid w:val="6590700B"/>
    <w:multiLevelType w:val="hybridMultilevel"/>
    <w:lvl w:ilvl="0">
      <w:lvlJc w:val="left"/>
      <w:lvlText w:val="(%1)"/>
      <w:numFmt w:val="lowerLetter"/>
      <w:start w:val="6"/>
    </w:lvl>
  </w:abstractNum>
  <w:abstractNum w:abstractNumId="46">
    <w:nsid w:val="15014ACB"/>
    <w:multiLevelType w:val="hybridMultilevel"/>
    <w:lvl w:ilvl="0">
      <w:lvlJc w:val="left"/>
      <w:lvlText w:val="(%1)"/>
      <w:numFmt w:val="lowerLetter"/>
      <w:start w:val="35"/>
    </w:lvl>
    <w:lvl w:ilvl="1">
      <w:lvlJc w:val="left"/>
      <w:lvlText w:val="(%2)"/>
      <w:numFmt w:val="lowerLetter"/>
      <w:start w:val="13"/>
    </w:lvl>
  </w:abstractNum>
  <w:abstractNum w:abstractNumId="47">
    <w:nsid w:val="5F5E7FD0"/>
    <w:multiLevelType w:val="hybridMultilevel"/>
    <w:lvl w:ilvl="0">
      <w:lvlJc w:val="left"/>
      <w:lvlText w:val="(%1)"/>
      <w:numFmt w:val="lowerLetter"/>
      <w:start w:val="35"/>
    </w:lvl>
    <w:lvl w:ilvl="1">
      <w:lvlJc w:val="left"/>
      <w:lvlText w:val="(%2)"/>
      <w:numFmt w:val="lowerLetter"/>
      <w:start w:val="15"/>
    </w:lvl>
  </w:abstractNum>
  <w:abstractNum w:abstractNumId="48">
    <w:nsid w:val="98A3148"/>
    <w:multiLevelType w:val="hybridMultilevel"/>
    <w:lvl w:ilvl="0">
      <w:lvlJc w:val="left"/>
      <w:lvlText w:val="(%1)"/>
      <w:numFmt w:val="lowerLetter"/>
      <w:start w:val="35"/>
    </w:lvl>
    <w:lvl w:ilvl="1">
      <w:lvlJc w:val="left"/>
      <w:lvlText w:val="%2"/>
      <w:numFmt w:val="lowerLetter"/>
      <w:start w:val="1"/>
    </w:lvl>
  </w:abstractNum>
  <w:abstractNum w:abstractNumId="49">
    <w:nsid w:val="799D0247"/>
    <w:multiLevelType w:val="hybridMultilevel"/>
    <w:lvl w:ilvl="0">
      <w:lvlJc w:val="left"/>
      <w:lvlText w:val="(%1)"/>
      <w:numFmt w:val="lowerLetter"/>
      <w:start w:val="16"/>
    </w:lvl>
  </w:abstractNum>
  <w:abstractNum w:abstractNumId="50">
    <w:nsid w:val="6B94764"/>
    <w:multiLevelType w:val="hybridMultilevel"/>
    <w:lvl w:ilvl="0">
      <w:lvlJc w:val="left"/>
      <w:lvlText w:val="(%1)"/>
      <w:numFmt w:val="lowerLetter"/>
      <w:start w:val="21"/>
    </w:lvl>
  </w:abstractNum>
  <w:abstractNum w:abstractNumId="51">
    <w:nsid w:val="42C296BD"/>
    <w:multiLevelType w:val="hybridMultilevel"/>
    <w:lvl w:ilvl="0">
      <w:lvlJc w:val="left"/>
      <w:lvlText w:val="(%1)"/>
      <w:numFmt w:val="lowerLetter"/>
      <w:start w:val="26"/>
    </w:lvl>
  </w:abstractNum>
  <w:abstractNum w:abstractNumId="52">
    <w:nsid w:val="168E121F"/>
    <w:multiLevelType w:val="hybridMultilevel"/>
    <w:lvl w:ilvl="0">
      <w:lvlJc w:val="left"/>
      <w:lvlText w:val="%1"/>
      <w:numFmt w:val="lowerLetter"/>
      <w:start w:val="1"/>
    </w:lvl>
    <w:lvl w:ilvl="1">
      <w:lvlJc w:val="left"/>
      <w:lvlText w:val="(%2)"/>
      <w:numFmt w:val="lowerLetter"/>
      <w:start w:val="27"/>
    </w:lvl>
  </w:abstractNum>
  <w:abstractNum w:abstractNumId="53">
    <w:nsid w:val="1EBA5D23"/>
    <w:multiLevelType w:val="hybridMultilevel"/>
    <w:lvl w:ilvl="0">
      <w:lvlJc w:val="left"/>
      <w:lvlText w:val="(%1)"/>
      <w:numFmt w:val="lowerLetter"/>
      <w:start w:val="35"/>
    </w:lvl>
    <w:lvl w:ilvl="1">
      <w:lvlJc w:val="left"/>
      <w:lvlText w:val="%2"/>
      <w:numFmt w:val="lowerLetter"/>
      <w:start w:val="1"/>
    </w:lvl>
  </w:abstractNum>
  <w:abstractNum w:abstractNumId="54">
    <w:nsid w:val="661E3F1E"/>
    <w:multiLevelType w:val="hybridMultilevel"/>
    <w:lvl w:ilvl="0">
      <w:lvlJc w:val="left"/>
      <w:lvlText w:val="%1"/>
      <w:numFmt w:val="lowerRoman"/>
      <w:start w:val="1"/>
    </w:lvl>
    <w:lvl w:ilvl="1">
      <w:lvlJc w:val="left"/>
      <w:lvlText w:val="(%2)"/>
      <w:numFmt w:val="lowerLetter"/>
      <w:start w:val="30"/>
    </w:lvl>
  </w:abstractNum>
  <w:abstractNum w:abstractNumId="55">
    <w:nsid w:val="5DC79EA8"/>
    <w:multiLevelType w:val="hybridMultilevel"/>
    <w:lvl w:ilvl="0">
      <w:lvlJc w:val="left"/>
      <w:lvlText w:val="(%1)"/>
      <w:numFmt w:val="lowerRoman"/>
      <w:start w:val="4"/>
    </w:lvl>
    <w:lvl w:ilvl="1">
      <w:lvlJc w:val="left"/>
      <w:lvlText w:val="(%2)"/>
      <w:numFmt w:val="lowerLetter"/>
      <w:start w:val="32"/>
    </w:lvl>
  </w:abstractNum>
  <w:abstractNum w:abstractNumId="56">
    <w:nsid w:val="540A471C"/>
    <w:multiLevelType w:val="hybridMultilevel"/>
    <w:lvl w:ilvl="0">
      <w:lvlJc w:val="left"/>
      <w:lvlText w:val="(%1)"/>
      <w:numFmt w:val="lowerLetter"/>
      <w:start w:val="34"/>
    </w:lvl>
  </w:abstractNum>
  <w:abstractNum w:abstractNumId="57">
    <w:nsid w:val="7BD3EE7B"/>
    <w:multiLevelType w:val="hybridMultilevel"/>
    <w:lvl w:ilvl="0">
      <w:lvlJc w:val="left"/>
      <w:lvlText w:val="(%1)"/>
      <w:numFmt w:val="lowerLetter"/>
      <w:start w:val="61"/>
    </w:lvl>
    <w:lvl w:ilvl="1">
      <w:lvlJc w:val="left"/>
      <w:lvlText w:val="(%2)"/>
      <w:numFmt w:val="lowerLetter"/>
      <w:start w:val="40"/>
    </w:lvl>
  </w:abstractNum>
  <w:abstractNum w:abstractNumId="58">
    <w:nsid w:val="51D9C564"/>
    <w:multiLevelType w:val="hybridMultilevel"/>
    <w:lvl w:ilvl="0">
      <w:lvlJc w:val="left"/>
      <w:lvlText w:val="%1"/>
      <w:numFmt w:val="lowerLetter"/>
      <w:start w:val="1"/>
    </w:lvl>
    <w:lvl w:ilvl="1">
      <w:lvlJc w:val="left"/>
      <w:lvlText w:val="%2."/>
      <w:numFmt w:val="decimal"/>
      <w:start w:val="2"/>
    </w:lvl>
  </w:abstractNum>
  <w:abstractNum w:abstractNumId="59">
    <w:nsid w:val="613EFDC5"/>
    <w:multiLevelType w:val="hybridMultilevel"/>
    <w:lvl w:ilvl="0">
      <w:lvlJc w:val="left"/>
      <w:lvlText w:val="(%1)"/>
      <w:numFmt w:val="lowerLetter"/>
      <w:start w:val="1"/>
    </w:lvl>
    <w:lvl w:ilvl="1">
      <w:lvlJc w:val="left"/>
      <w:lvlText w:val="%2"/>
      <w:numFmt w:val="decimal"/>
      <w:start w:val="1"/>
    </w:lvl>
  </w:abstractNum>
  <w:abstractNum w:abstractNumId="60">
    <w:nsid w:val="BF72B14"/>
    <w:multiLevelType w:val="hybridMultilevel"/>
    <w:lvl w:ilvl="0">
      <w:lvlJc w:val="left"/>
      <w:lvlText w:val="(%1)"/>
      <w:numFmt w:val="lowerLetter"/>
      <w:start w:val="4"/>
    </w:lvl>
  </w:abstractNum>
  <w:abstractNum w:abstractNumId="61">
    <w:nsid w:val="11447B73"/>
    <w:multiLevelType w:val="hybridMultilevel"/>
    <w:lvl w:ilvl="0">
      <w:lvlJc w:val="left"/>
      <w:lvlText w:val="%1."/>
      <w:numFmt w:val="decimal"/>
      <w:start w:val="3"/>
    </w:lvl>
  </w:abstractNum>
  <w:abstractNum w:abstractNumId="62">
    <w:nsid w:val="42963E5A"/>
    <w:multiLevelType w:val="hybridMultilevel"/>
    <w:lvl w:ilvl="0">
      <w:lvlJc w:val="left"/>
      <w:lvlText w:val="(%1)"/>
      <w:numFmt w:val="lowerLetter"/>
      <w:start w:val="1"/>
    </w:lvl>
  </w:abstractNum>
  <w:abstractNum w:abstractNumId="63">
    <w:nsid w:val="A0382C5"/>
    <w:multiLevelType w:val="hybridMultilevel"/>
    <w:lvl w:ilvl="0">
      <w:lvlJc w:val="left"/>
      <w:lvlText w:val="●"/>
      <w:numFmt w:val="bullet"/>
      <w:start w:val="1"/>
    </w:lvl>
    <w:lvl w:ilvl="1">
      <w:lvlJc w:val="left"/>
      <w:lvlText w:val="%2."/>
      <w:numFmt w:val="decimal"/>
      <w:start w:val="4"/>
    </w:lvl>
  </w:abstractNum>
  <w:abstractNum w:abstractNumId="64">
    <w:nsid w:val="8F2B15E"/>
    <w:multiLevelType w:val="hybridMultilevel"/>
    <w:lvl w:ilvl="0">
      <w:lvlJc w:val="left"/>
      <w:lvlText w:val="●"/>
      <w:numFmt w:val="bullet"/>
      <w:start w:val="1"/>
    </w:lvl>
    <w:lvl w:ilvl="1">
      <w:lvlJc w:val="left"/>
      <w:lvlText w:val="%2."/>
      <w:numFmt w:val="decimal"/>
      <w:start w:val="5"/>
    </w:lvl>
  </w:abstractNum>
  <w:abstractNum w:abstractNumId="65">
    <w:nsid w:val="1A32234B"/>
    <w:multiLevelType w:val="hybridMultilevel"/>
    <w:lvl w:ilvl="0">
      <w:lvlJc w:val="left"/>
      <w:lvlText w:val="(%1)"/>
      <w:numFmt w:val="lowerLetter"/>
      <w:start w:val="1"/>
    </w:lvl>
  </w:abstractNum>
  <w:abstractNum w:abstractNumId="66">
    <w:nsid w:val="3B0FD379"/>
    <w:multiLevelType w:val="hybridMultilevel"/>
    <w:lvl w:ilvl="0">
      <w:lvlJc w:val="left"/>
      <w:lvlText w:val="(%1)"/>
      <w:numFmt w:val="lowerLetter"/>
      <w:start w:val="2"/>
    </w:lvl>
  </w:abstractNum>
  <w:abstractNum w:abstractNumId="67">
    <w:nsid w:val="68EB2F63"/>
    <w:multiLevelType w:val="hybridMultilevel"/>
    <w:lvl w:ilvl="0">
      <w:lvlJc w:val="left"/>
      <w:lvlText w:val="(%1)"/>
      <w:numFmt w:val="lowerLetter"/>
      <w:start w:val="7"/>
    </w:lvl>
  </w:abstractNum>
  <w:abstractNum w:abstractNumId="68">
    <w:nsid w:val="4962813B"/>
    <w:multiLevelType w:val="hybridMultilevel"/>
    <w:lvl w:ilvl="0">
      <w:lvlJc w:val="left"/>
      <w:lvlText w:val="(%1)"/>
      <w:numFmt w:val="lowerLetter"/>
      <w:start w:val="12"/>
    </w:lvl>
  </w:abstractNum>
  <w:abstractNum w:abstractNumId="69">
    <w:nsid w:val="60B6DF70"/>
    <w:multiLevelType w:val="hybridMultilevel"/>
    <w:lvl w:ilvl="0">
      <w:lvlJc w:val="left"/>
      <w:lvlText w:val="(%1)"/>
      <w:numFmt w:val="lowerLetter"/>
      <w:start w:val="13"/>
    </w:lvl>
  </w:abstractNum>
  <w:abstractNum w:abstractNumId="70">
    <w:nsid w:val="6A5EE64"/>
    <w:multiLevelType w:val="hybridMultilevel"/>
    <w:lvl w:ilvl="0">
      <w:lvlJc w:val="left"/>
      <w:lvlText w:val="%1."/>
      <w:numFmt w:val="decimal"/>
      <w:start w:val="7"/>
    </w:lvl>
  </w:abstractNum>
  <w:abstractNum w:abstractNumId="71">
    <w:nsid w:val="14330624"/>
    <w:multiLevelType w:val="hybridMultilevel"/>
    <w:lvl w:ilvl="0">
      <w:lvlJc w:val="left"/>
      <w:lvlText w:val="(%1)"/>
      <w:numFmt w:val="lowerLetter"/>
      <w:start w:val="1"/>
    </w:lvl>
  </w:abstractNum>
  <w:abstractNum w:abstractNumId="72">
    <w:nsid w:val="7FFFCA11"/>
    <w:multiLevelType w:val="hybridMultilevel"/>
    <w:lvl w:ilvl="0">
      <w:lvlJc w:val="left"/>
      <w:lvlText w:val="%1."/>
      <w:numFmt w:val="decimal"/>
      <w:start w:val="8"/>
    </w:lvl>
  </w:abstractNum>
  <w:abstractNum w:abstractNumId="73">
    <w:nsid w:val="1A27709E"/>
    <w:multiLevelType w:val="hybridMultilevel"/>
    <w:lvl w:ilvl="0">
      <w:lvlJc w:val="left"/>
      <w:lvlText w:val="(%1)"/>
      <w:numFmt w:val="lowerLetter"/>
      <w:start w:val="1"/>
    </w:lvl>
  </w:abstractNum>
  <w:abstractNum w:abstractNumId="74">
    <w:nsid w:val="71EA1109"/>
    <w:multiLevelType w:val="hybridMultilevel"/>
    <w:lvl w:ilvl="0">
      <w:lvlJc w:val="left"/>
      <w:lvlText w:val="(%1)"/>
      <w:numFmt w:val="lowerRoman"/>
      <w:start w:val="2"/>
    </w:lvl>
  </w:abstractNum>
  <w:abstractNum w:abstractNumId="75">
    <w:nsid w:val="100F59DC"/>
    <w:multiLevelType w:val="hybridMultilevel"/>
    <w:lvl w:ilvl="0">
      <w:lvlJc w:val="left"/>
      <w:lvlText w:val="(%1)"/>
      <w:numFmt w:val="lowerLetter"/>
      <w:start w:val="3"/>
    </w:lvl>
    <w:lvl w:ilvl="1">
      <w:lvlJc w:val="left"/>
      <w:lvlText w:val="(%2)"/>
      <w:numFmt w:val="decimal"/>
      <w:start w:val="1"/>
    </w:lvl>
  </w:abstractNum>
  <w:abstractNum w:abstractNumId="76">
    <w:nsid w:val="7FB7E0AA"/>
    <w:multiLevelType w:val="hybridMultilevel"/>
    <w:lvl w:ilvl="0">
      <w:lvlJc w:val="left"/>
      <w:lvlText w:val="(%1)"/>
      <w:numFmt w:val="lowerLetter"/>
      <w:start w:val="6"/>
    </w:lvl>
    <w:lvl w:ilvl="1">
      <w:lvlJc w:val="left"/>
      <w:lvlText w:val="(%2)"/>
      <w:numFmt w:val="decimal"/>
      <w:start w:val="1"/>
    </w:lvl>
  </w:abstractNum>
  <w:abstractNum w:abstractNumId="77">
    <w:nsid w:val="6EB5BD4"/>
    <w:multiLevelType w:val="hybridMultilevel"/>
    <w:lvl w:ilvl="0">
      <w:lvlJc w:val="left"/>
      <w:lvlText w:val="%1."/>
      <w:numFmt w:val="decimal"/>
      <w:start w:val="9"/>
    </w:lvl>
  </w:abstractNum>
  <w:abstractNum w:abstractNumId="78">
    <w:nsid w:val="6F6DD9AC"/>
    <w:multiLevelType w:val="hybridMultilevel"/>
    <w:lvl w:ilvl="0">
      <w:lvlJc w:val="left"/>
      <w:lvlText w:val="(%1)"/>
      <w:numFmt w:val="lowerLetter"/>
      <w:start w:val="1"/>
    </w:lvl>
  </w:abstractNum>
  <w:abstractNum w:abstractNumId="79">
    <w:nsid w:val="94211F2"/>
    <w:multiLevelType w:val="hybridMultilevel"/>
    <w:lvl w:ilvl="0">
      <w:lvlJc w:val="left"/>
      <w:lvlText w:val="%1"/>
      <w:numFmt w:val="lowerLetter"/>
      <w:start w:val="1"/>
    </w:lvl>
    <w:lvl w:ilvl="1">
      <w:lvlJc w:val="left"/>
      <w:lvlText w:val="(%2)"/>
      <w:numFmt w:val="lowerLetter"/>
      <w:start w:val="2"/>
    </w:lvl>
  </w:abstractNum>
  <w:abstractNum w:abstractNumId="80">
    <w:nsid w:val="885E1B"/>
    <w:multiLevelType w:val="hybridMultilevel"/>
    <w:lvl w:ilvl="0">
      <w:lvlJc w:val="left"/>
      <w:lvlText w:val="(%1)"/>
      <w:numFmt w:val="lowerLetter"/>
      <w:start w:val="61"/>
    </w:lvl>
    <w:lvl w:ilvl="1">
      <w:lvlJc w:val="left"/>
      <w:lvlText w:val="(%2)"/>
      <w:numFmt w:val="lowerLetter"/>
      <w:start w:val="4"/>
    </w:lvl>
  </w:abstractNum>
  <w:abstractNum w:abstractNumId="81">
    <w:nsid w:val="76272110"/>
    <w:multiLevelType w:val="hybridMultilevel"/>
    <w:lvl w:ilvl="0">
      <w:lvlJc w:val="left"/>
      <w:lvlText w:val="(%1)"/>
      <w:numFmt w:val="lowerLetter"/>
      <w:start w:val="5"/>
    </w:lvl>
  </w:abstractNum>
  <w:abstractNum w:abstractNumId="82">
    <w:nsid w:val="4C04A8AF"/>
    <w:multiLevelType w:val="hybridMultilevel"/>
    <w:lvl w:ilvl="0">
      <w:lvlJc w:val="left"/>
      <w:lvlText w:val="%1."/>
      <w:numFmt w:val="decimal"/>
      <w:start w:val="11"/>
    </w:lvl>
  </w:abstractNum>
  <w:abstractNum w:abstractNumId="83">
    <w:nsid w:val="1716703B"/>
    <w:multiLevelType w:val="hybridMultilevel"/>
    <w:lvl w:ilvl="0">
      <w:lvlJc w:val="left"/>
      <w:lvlText w:val="%1."/>
      <w:numFmt w:val="decimal"/>
      <w:start w:val="13"/>
    </w:lvl>
  </w:abstractNum>
  <w:abstractNum w:abstractNumId="84">
    <w:nsid w:val="14E17E33"/>
    <w:multiLevelType w:val="hybridMultilevel"/>
    <w:lvl w:ilvl="0">
      <w:lvlJc w:val="left"/>
      <w:lvlText w:val="%1."/>
      <w:numFmt w:val="decimal"/>
      <w:start w:val="16"/>
    </w:lvl>
  </w:abstractNum>
  <w:abstractNum w:abstractNumId="85">
    <w:nsid w:val="3222E7CD"/>
    <w:multiLevelType w:val="hybridMultilevel"/>
    <w:lvl w:ilvl="0">
      <w:lvlJc w:val="left"/>
      <w:lvlText w:val="(%1)"/>
      <w:numFmt w:val="lowerLetter"/>
      <w:start w:val="1"/>
    </w:lvl>
  </w:abstractNum>
  <w:abstractNum w:abstractNumId="86">
    <w:nsid w:val="74DE0EE3"/>
    <w:multiLevelType w:val="hybridMultilevel"/>
    <w:lvl w:ilvl="0">
      <w:lvlJc w:val="left"/>
      <w:lvlText w:val="%1."/>
      <w:numFmt w:val="decimal"/>
      <w:start w:val="17"/>
    </w:lvl>
  </w:abstractNum>
  <w:abstractNum w:abstractNumId="87">
    <w:nsid w:val="68EBC550"/>
    <w:multiLevelType w:val="hybridMultilevel"/>
    <w:lvl w:ilvl="0">
      <w:lvlJc w:val="left"/>
      <w:lvlText w:val="%1."/>
      <w:numFmt w:val="decimal"/>
      <w:start w:val="20"/>
    </w:lvl>
  </w:abstractNum>
  <w:abstractNum w:abstractNumId="88">
    <w:nsid w:val="2DF6D648"/>
    <w:multiLevelType w:val="hybridMultilevel"/>
    <w:lvl w:ilvl="0">
      <w:lvlJc w:val="left"/>
      <w:lvlText w:val="%1."/>
      <w:numFmt w:val="decimal"/>
      <w:start w:val="25"/>
    </w:lvl>
  </w:abstractNum>
  <w:abstractNum w:abstractNumId="89">
    <w:nsid w:val="46B7D447"/>
    <w:multiLevelType w:val="hybridMultilevel"/>
    <w:lvl w:ilvl="0">
      <w:lvlJc w:val="left"/>
      <w:lvlText w:val="%1."/>
      <w:numFmt w:val="decimal"/>
      <w:start w:val="26"/>
    </w:lvl>
  </w:abstractNum>
  <w:abstractNum w:abstractNumId="90">
    <w:nsid w:val="4A2AC315"/>
    <w:multiLevelType w:val="hybridMultilevel"/>
    <w:lvl w:ilvl="0">
      <w:lvlJc w:val="left"/>
      <w:lvlText w:val="•"/>
      <w:numFmt w:val="bullet"/>
      <w:start w:val="1"/>
    </w:lvl>
  </w:abstractNum>
  <w:abstractNum w:abstractNumId="91">
    <w:nsid w:val="39EE01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jpe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36" Type="http://schemas.openxmlformats.org/officeDocument/2006/relationships/image" Target="media/image110.png"/><Relationship Id="rId137" Type="http://schemas.openxmlformats.org/officeDocument/2006/relationships/image" Target="media/image111.png"/><Relationship Id="rId138" Type="http://schemas.openxmlformats.org/officeDocument/2006/relationships/image" Target="media/image112.png"/><Relationship Id="rId139" Type="http://schemas.openxmlformats.org/officeDocument/2006/relationships/image" Target="media/image113.png"/><Relationship Id="rId141" Type="http://schemas.openxmlformats.org/officeDocument/2006/relationships/image" Target="media/image114.png"/><Relationship Id="rId143" Type="http://schemas.openxmlformats.org/officeDocument/2006/relationships/image" Target="media/image115.png"/><Relationship Id="rId145" Type="http://schemas.openxmlformats.org/officeDocument/2006/relationships/image" Target="media/image116.png"/><Relationship Id="rId147" Type="http://schemas.openxmlformats.org/officeDocument/2006/relationships/image" Target="media/image117.png"/><Relationship Id="rId149" Type="http://schemas.openxmlformats.org/officeDocument/2006/relationships/image" Target="media/image118.png"/><Relationship Id="rId151" Type="http://schemas.openxmlformats.org/officeDocument/2006/relationships/image" Target="media/image119.png"/><Relationship Id="rId153" Type="http://schemas.openxmlformats.org/officeDocument/2006/relationships/image" Target="media/image120.png"/><Relationship Id="rId154" Type="http://schemas.openxmlformats.org/officeDocument/2006/relationships/image" Target="media/image121.png"/><Relationship Id="rId156" Type="http://schemas.openxmlformats.org/officeDocument/2006/relationships/image" Target="media/image122.png"/><Relationship Id="rId158" Type="http://schemas.openxmlformats.org/officeDocument/2006/relationships/image" Target="media/image123.png"/><Relationship Id="rId160" Type="http://schemas.openxmlformats.org/officeDocument/2006/relationships/image" Target="media/image124.png"/><Relationship Id="rId162" Type="http://schemas.openxmlformats.org/officeDocument/2006/relationships/image" Target="media/image125.png"/><Relationship Id="rId164" Type="http://schemas.openxmlformats.org/officeDocument/2006/relationships/image" Target="media/image126.png"/><Relationship Id="rId166" Type="http://schemas.openxmlformats.org/officeDocument/2006/relationships/image" Target="media/image127.png"/><Relationship Id="rId168" Type="http://schemas.openxmlformats.org/officeDocument/2006/relationships/image" Target="media/image128.png"/><Relationship Id="rId170" Type="http://schemas.openxmlformats.org/officeDocument/2006/relationships/image" Target="media/image129.png"/><Relationship Id="rId172" Type="http://schemas.openxmlformats.org/officeDocument/2006/relationships/image" Target="media/image130.png"/><Relationship Id="rId174" Type="http://schemas.openxmlformats.org/officeDocument/2006/relationships/image" Target="media/image131.png"/><Relationship Id="rId176" Type="http://schemas.openxmlformats.org/officeDocument/2006/relationships/image" Target="media/image132.png"/><Relationship Id="rId178" Type="http://schemas.openxmlformats.org/officeDocument/2006/relationships/image" Target="media/image133.png"/><Relationship Id="rId179" Type="http://schemas.openxmlformats.org/officeDocument/2006/relationships/image" Target="media/image134.png"/><Relationship Id="rId181" Type="http://schemas.openxmlformats.org/officeDocument/2006/relationships/image" Target="media/image135.png"/><Relationship Id="rId183" Type="http://schemas.openxmlformats.org/officeDocument/2006/relationships/image" Target="media/image136.png"/><Relationship Id="rId185" Type="http://schemas.openxmlformats.org/officeDocument/2006/relationships/image" Target="media/image137.png"/><Relationship Id="rId187" Type="http://schemas.openxmlformats.org/officeDocument/2006/relationships/image" Target="media/image138.png"/><Relationship Id="rId189" Type="http://schemas.openxmlformats.org/officeDocument/2006/relationships/image" Target="media/image139.png"/><Relationship Id="rId191" Type="http://schemas.openxmlformats.org/officeDocument/2006/relationships/image" Target="media/image140.png"/><Relationship Id="rId193" Type="http://schemas.openxmlformats.org/officeDocument/2006/relationships/image" Target="media/image141.png"/><Relationship Id="rId195" Type="http://schemas.openxmlformats.org/officeDocument/2006/relationships/image" Target="media/image142.png"/><Relationship Id="rId197" Type="http://schemas.openxmlformats.org/officeDocument/2006/relationships/image" Target="media/image143.png"/><Relationship Id="rId199" Type="http://schemas.openxmlformats.org/officeDocument/2006/relationships/image" Target="media/image144.png"/><Relationship Id="rId201" Type="http://schemas.openxmlformats.org/officeDocument/2006/relationships/image" Target="media/image145.png"/><Relationship Id="rId203" Type="http://schemas.openxmlformats.org/officeDocument/2006/relationships/image" Target="media/image146.png"/><Relationship Id="rId205" Type="http://schemas.openxmlformats.org/officeDocument/2006/relationships/image" Target="media/image147.png"/><Relationship Id="rId206" Type="http://schemas.openxmlformats.org/officeDocument/2006/relationships/image" Target="media/image148.png"/><Relationship Id="rId208" Type="http://schemas.openxmlformats.org/officeDocument/2006/relationships/image" Target="media/image149.png"/><Relationship Id="rId210" Type="http://schemas.openxmlformats.org/officeDocument/2006/relationships/image" Target="media/image150.png"/><Relationship Id="rId212" Type="http://schemas.openxmlformats.org/officeDocument/2006/relationships/image" Target="media/image151.png"/><Relationship Id="rId214" Type="http://schemas.openxmlformats.org/officeDocument/2006/relationships/image" Target="media/image152.png"/><Relationship Id="rId216" Type="http://schemas.openxmlformats.org/officeDocument/2006/relationships/image" Target="media/image153.png"/><Relationship Id="rId218" Type="http://schemas.openxmlformats.org/officeDocument/2006/relationships/image" Target="media/image154.png"/><Relationship Id="rId220" Type="http://schemas.openxmlformats.org/officeDocument/2006/relationships/image" Target="media/image155.png"/><Relationship Id="rId222" Type="http://schemas.openxmlformats.org/officeDocument/2006/relationships/image" Target="media/image156.png"/><Relationship Id="rId224" Type="http://schemas.openxmlformats.org/officeDocument/2006/relationships/image" Target="media/image157.png"/><Relationship Id="rId226" Type="http://schemas.openxmlformats.org/officeDocument/2006/relationships/image" Target="media/image158.png"/><Relationship Id="rId227" Type="http://schemas.openxmlformats.org/officeDocument/2006/relationships/image" Target="media/image159.png"/><Relationship Id="rId228" Type="http://schemas.openxmlformats.org/officeDocument/2006/relationships/image" Target="media/image160.png"/><Relationship Id="rId229" Type="http://schemas.openxmlformats.org/officeDocument/2006/relationships/image" Target="media/image161.png"/><Relationship Id="rId230" Type="http://schemas.openxmlformats.org/officeDocument/2006/relationships/image" Target="media/image162.png"/><Relationship Id="rId231" Type="http://schemas.openxmlformats.org/officeDocument/2006/relationships/image" Target="media/image163.png"/><Relationship Id="rId232" Type="http://schemas.openxmlformats.org/officeDocument/2006/relationships/image" Target="media/image164.png"/><Relationship Id="rId233" Type="http://schemas.openxmlformats.org/officeDocument/2006/relationships/image" Target="media/image165.png"/><Relationship Id="rId234" Type="http://schemas.openxmlformats.org/officeDocument/2006/relationships/image" Target="media/image166.png"/><Relationship Id="rId235" Type="http://schemas.openxmlformats.org/officeDocument/2006/relationships/image" Target="media/image167.png"/><Relationship Id="rId236" Type="http://schemas.openxmlformats.org/officeDocument/2006/relationships/image" Target="media/image168.png"/><Relationship Id="rId237" Type="http://schemas.openxmlformats.org/officeDocument/2006/relationships/image" Target="media/image169.png"/><Relationship Id="rId238" Type="http://schemas.openxmlformats.org/officeDocument/2006/relationships/image" Target="media/image170.png"/><Relationship Id="rId239" Type="http://schemas.openxmlformats.org/officeDocument/2006/relationships/image" Target="media/image171.png"/><Relationship Id="rId240" Type="http://schemas.openxmlformats.org/officeDocument/2006/relationships/image" Target="media/image172.png"/><Relationship Id="rId241" Type="http://schemas.openxmlformats.org/officeDocument/2006/relationships/image" Target="media/image173.png"/><Relationship Id="rId242" Type="http://schemas.openxmlformats.org/officeDocument/2006/relationships/image" Target="media/image174.png"/><Relationship Id="rId243" Type="http://schemas.openxmlformats.org/officeDocument/2006/relationships/image" Target="media/image175.png"/><Relationship Id="rId244" Type="http://schemas.openxmlformats.org/officeDocument/2006/relationships/image" Target="media/image176.png"/><Relationship Id="rId245" Type="http://schemas.openxmlformats.org/officeDocument/2006/relationships/image" Target="media/image177.png"/><Relationship Id="rId246" Type="http://schemas.openxmlformats.org/officeDocument/2006/relationships/image" Target="media/image178.png"/><Relationship Id="rId247" Type="http://schemas.openxmlformats.org/officeDocument/2006/relationships/image" Target="media/image179.png"/><Relationship Id="rId248" Type="http://schemas.openxmlformats.org/officeDocument/2006/relationships/image" Target="media/image180.png"/><Relationship Id="rId249" Type="http://schemas.openxmlformats.org/officeDocument/2006/relationships/image" Target="media/image181.png"/><Relationship Id="rId250" Type="http://schemas.openxmlformats.org/officeDocument/2006/relationships/image" Target="media/image182.png"/><Relationship Id="rId251" Type="http://schemas.openxmlformats.org/officeDocument/2006/relationships/image" Target="media/image183.png"/><Relationship Id="rId252" Type="http://schemas.openxmlformats.org/officeDocument/2006/relationships/image" Target="media/image184.png"/><Relationship Id="rId253" Type="http://schemas.openxmlformats.org/officeDocument/2006/relationships/image" Target="media/image185.png"/><Relationship Id="rId254" Type="http://schemas.openxmlformats.org/officeDocument/2006/relationships/image" Target="media/image186.png"/><Relationship Id="rId255" Type="http://schemas.openxmlformats.org/officeDocument/2006/relationships/image" Target="media/image187.png"/><Relationship Id="rId256" Type="http://schemas.openxmlformats.org/officeDocument/2006/relationships/image" Target="media/image188.png"/><Relationship Id="rId257" Type="http://schemas.openxmlformats.org/officeDocument/2006/relationships/image" Target="media/image189.png"/><Relationship Id="rId258" Type="http://schemas.openxmlformats.org/officeDocument/2006/relationships/image" Target="media/image190.png"/><Relationship Id="rId259" Type="http://schemas.openxmlformats.org/officeDocument/2006/relationships/image" Target="media/image191.png"/><Relationship Id="rId260" Type="http://schemas.openxmlformats.org/officeDocument/2006/relationships/image" Target="media/image192.png"/><Relationship Id="rId261" Type="http://schemas.openxmlformats.org/officeDocument/2006/relationships/image" Target="media/image193.png"/><Relationship Id="rId262" Type="http://schemas.openxmlformats.org/officeDocument/2006/relationships/image" Target="media/image194.png"/><Relationship Id="rId263" Type="http://schemas.openxmlformats.org/officeDocument/2006/relationships/image" Target="media/image195.png"/><Relationship Id="rId264" Type="http://schemas.openxmlformats.org/officeDocument/2006/relationships/image" Target="media/image196.png"/><Relationship Id="rId265" Type="http://schemas.openxmlformats.org/officeDocument/2006/relationships/image" Target="media/image197.png"/><Relationship Id="rId266" Type="http://schemas.openxmlformats.org/officeDocument/2006/relationships/image" Target="media/image198.png"/><Relationship Id="rId267" Type="http://schemas.openxmlformats.org/officeDocument/2006/relationships/image" Target="media/image199.png"/><Relationship Id="rId268" Type="http://schemas.openxmlformats.org/officeDocument/2006/relationships/image" Target="media/image200.png"/><Relationship Id="rId269" Type="http://schemas.openxmlformats.org/officeDocument/2006/relationships/image" Target="media/image201.png"/><Relationship Id="rId270" Type="http://schemas.openxmlformats.org/officeDocument/2006/relationships/image" Target="media/image202.png"/><Relationship Id="rId271" Type="http://schemas.openxmlformats.org/officeDocument/2006/relationships/image" Target="media/image203.png"/><Relationship Id="rId272" Type="http://schemas.openxmlformats.org/officeDocument/2006/relationships/image" Target="media/image204.png"/><Relationship Id="rId273" Type="http://schemas.openxmlformats.org/officeDocument/2006/relationships/image" Target="media/image205.png"/><Relationship Id="rId274" Type="http://schemas.openxmlformats.org/officeDocument/2006/relationships/image" Target="media/image206.png"/><Relationship Id="rId275" Type="http://schemas.openxmlformats.org/officeDocument/2006/relationships/image" Target="media/image207.png"/><Relationship Id="rId276" Type="http://schemas.openxmlformats.org/officeDocument/2006/relationships/image" Target="media/image208.png"/><Relationship Id="rId277" Type="http://schemas.openxmlformats.org/officeDocument/2006/relationships/image" Target="media/image209.png"/><Relationship Id="rId278" Type="http://schemas.openxmlformats.org/officeDocument/2006/relationships/image" Target="media/image210.png"/><Relationship Id="rId279" Type="http://schemas.openxmlformats.org/officeDocument/2006/relationships/image" Target="media/image211.png"/><Relationship Id="rId280" Type="http://schemas.openxmlformats.org/officeDocument/2006/relationships/image" Target="media/image212.png"/><Relationship Id="rId281" Type="http://schemas.openxmlformats.org/officeDocument/2006/relationships/image" Target="media/image213.png"/><Relationship Id="rId106" Type="http://schemas.openxmlformats.org/officeDocument/2006/relationships/hyperlink" Target="https://www.sec.gov/Archives/edgar/data/1817358/000181735821000059/aso-20210130.htm" TargetMode="External"/><Relationship Id="rId107" Type="http://schemas.openxmlformats.org/officeDocument/2006/relationships/hyperlink" Target="https://www.sec.gov/Archives/edgar/data/1817358/000181735821000064/a2021proxydraft.htm" TargetMode="External"/><Relationship Id="rId108" Type="http://schemas.openxmlformats.org/officeDocument/2006/relationships/hyperlink" Target="https://www.sec.gov/Archives/edgar/data/1817358/000181735821000147/aso-20210501.htm" TargetMode="External"/><Relationship Id="rId109" Type="http://schemas.openxmlformats.org/officeDocument/2006/relationships/hyperlink" Target="https://www.sec.gov/Archives/edgar/data/1817358/000181735821000171/aso-20210731.htm" TargetMode="External"/><Relationship Id="rId110" Type="http://schemas.openxmlformats.org/officeDocument/2006/relationships/hyperlink" Target="https://www.sec.gov/Archives/edgar/data/1817358/000119312521024546/d90563d8k.htm" TargetMode="External"/><Relationship Id="rId111" Type="http://schemas.openxmlformats.org/officeDocument/2006/relationships/hyperlink" Target="https://www.sec.gov/Archives/edgar/data/1817358/000181735821000014/draftmarch21form8k.htm" TargetMode="External"/><Relationship Id="rId112" Type="http://schemas.openxmlformats.org/officeDocument/2006/relationships/hyperlink" Target="https://www.sec.gov/Archives/edgar/data/1817358/000114036121016628/nt10023157x9_8k.htm" TargetMode="External"/><Relationship Id="rId113" Type="http://schemas.openxmlformats.org/officeDocument/2006/relationships/hyperlink" Target="https://www.sec.gov/Archives/edgar/data/1817358/000181735821000102/form8-ktermloanpaydown.htm" TargetMode="External"/><Relationship Id="rId114" Type="http://schemas.openxmlformats.org/officeDocument/2006/relationships/hyperlink" Target="https://www.sec.gov/Archives/edgar/data/1817358/000181735821000124/form8-kannualmeetingvoting.htm" TargetMode="External"/><Relationship Id="rId115" Type="http://schemas.openxmlformats.org/officeDocument/2006/relationships/hyperlink" Target="https://www.sec.gov/Archives/edgar/data/1817358/000181735821000159/form8-ksjt.htm" TargetMode="External"/><Relationship Id="rId116" Type="http://schemas.openxmlformats.org/officeDocument/2006/relationships/hyperlink" Target="https://www.sec.gov/Archives/edgar/data/1817358/000181735821000168/aso-20210902.htm" TargetMode="External"/><Relationship Id="rId128" Type="http://schemas.openxmlformats.org/officeDocument/2006/relationships/hyperlink" Target="https://www.sec.gov/Archives/edgar/data/1817358/000119312520264744/d910645dex31.htm" TargetMode="External"/><Relationship Id="rId129" Type="http://schemas.openxmlformats.org/officeDocument/2006/relationships/hyperlink" Target="https://www.sec.gov/Archives/edgar/data/1817358/000119312520264744/d910645dex32.htm" TargetMode="External"/><Relationship Id="rId130" Type="http://schemas.openxmlformats.org/officeDocument/2006/relationships/hyperlink" Target="https://www.sec.gov/Archives/edgar/data/1817358/000119312520264744/d910645dex41.htm" TargetMode="External"/><Relationship Id="rId131" Type="http://schemas.openxmlformats.org/officeDocument/2006/relationships/hyperlink" Target="https://www.sec.gov/Archives/edgar/data/1817358/000119312520287988/d22150dex41.htm" TargetMode="External"/><Relationship Id="rId132" Type="http://schemas.openxmlformats.org/officeDocument/2006/relationships/hyperlink" Target="https://www.sec.gov/Archives/edgar/data/1817358/000119312520287988/d22150dex101.htm" TargetMode="External"/><Relationship Id="rId133" Type="http://schemas.openxmlformats.org/officeDocument/2006/relationships/hyperlink" Target="https://www.sec.gov/Archives/edgar/data/1817358/000119312520242076/d934024dex102.htm" TargetMode="External"/><Relationship Id="rId134" Type="http://schemas.openxmlformats.org/officeDocument/2006/relationships/hyperlink" Target="https://www.sec.gov/Archives/edgar/data/1817358/000119312520242076/d934024dex103.htm" TargetMode="External"/><Relationship Id="rId135" Type="http://schemas.openxmlformats.org/officeDocument/2006/relationships/hyperlink" Target="https://www.sec.gov/Archives/edgar/data/1817358/000119312520242076/d934024dex104.htm" TargetMode="External"/><Relationship Id="rId140" Type="http://schemas.openxmlformats.org/officeDocument/2006/relationships/hyperlink" Target="https://www.sec.gov/Archives/edgar/data/1817358/000119312521016235/d103203dex105.htm" TargetMode="External"/><Relationship Id="rId142" Type="http://schemas.openxmlformats.org/officeDocument/2006/relationships/hyperlink" Target="https://www.sec.gov/Archives/edgar/data/1817358/000119312521016235/d103203dex106.htm" TargetMode="External"/><Relationship Id="rId144" Type="http://schemas.openxmlformats.org/officeDocument/2006/relationships/hyperlink" Target="https://www.sec.gov/Archives/edgar/data/1817358/000119312521016235/d103203dex107.htm" TargetMode="External"/><Relationship Id="rId146" Type="http://schemas.openxmlformats.org/officeDocument/2006/relationships/hyperlink" Target="https://www.sec.gov/Archives/edgar/data/1817358/000119312520242076/d934024dex105.htm" TargetMode="External"/><Relationship Id="rId148" Type="http://schemas.openxmlformats.org/officeDocument/2006/relationships/hyperlink" Target="https://www.sec.gov/Archives/edgar/data/1817358/000119312520242076/d934024dex106.htm" TargetMode="External"/><Relationship Id="rId150" Type="http://schemas.openxmlformats.org/officeDocument/2006/relationships/hyperlink" Target="https://www.sec.gov/Archives/edgar/data/1817358/000119312520287988/d22150dex102.htm" TargetMode="External"/><Relationship Id="rId152" Type="http://schemas.openxmlformats.org/officeDocument/2006/relationships/hyperlink" Target="https://www.sec.gov/Archives/edgar/data/1817358/000119312520242076/d934024dex107.htm" TargetMode="External"/><Relationship Id="rId155" Type="http://schemas.openxmlformats.org/officeDocument/2006/relationships/hyperlink" Target="https://www.sec.gov/Archives/edgar/data/1817358/000119312520242076/d934024dex108.htm" TargetMode="External"/><Relationship Id="rId157" Type="http://schemas.openxmlformats.org/officeDocument/2006/relationships/hyperlink" Target="https://www.sec.gov/Archives/edgar/data/1817358/000119312521016235/d103203dex1013.htm" TargetMode="External"/><Relationship Id="rId159" Type="http://schemas.openxmlformats.org/officeDocument/2006/relationships/hyperlink" Target="https://www.sec.gov/Archives/edgar/data/1817358/000119312521016235/d103203dex1014.htm" TargetMode="External"/><Relationship Id="rId161" Type="http://schemas.openxmlformats.org/officeDocument/2006/relationships/hyperlink" Target="https://www.sec.gov/Archives/edgar/data/1817358/000181735820000012/exhibit102.htm" TargetMode="External"/><Relationship Id="rId163" Type="http://schemas.openxmlformats.org/officeDocument/2006/relationships/hyperlink" Target="https://www.sec.gov/Archives/edgar/data/1817358/000119312520252290/d934024dex1010.htm" TargetMode="External"/><Relationship Id="rId165" Type="http://schemas.openxmlformats.org/officeDocument/2006/relationships/hyperlink" Target="https://www.sec.gov/Archives/edgar/data/1817358/000119312520252290/d934024dex1011.htm" TargetMode="External"/><Relationship Id="rId167" Type="http://schemas.openxmlformats.org/officeDocument/2006/relationships/hyperlink" Target="https://www.sec.gov/Archives/edgar/data/1817358/000119312520252290/d934024dex1012.htm" TargetMode="External"/><Relationship Id="rId169" Type="http://schemas.openxmlformats.org/officeDocument/2006/relationships/hyperlink" Target="https://www.sec.gov/Archives/edgar/data/1817358/000181735821000059/a1019fy2020.htm" TargetMode="External"/><Relationship Id="rId171" Type="http://schemas.openxmlformats.org/officeDocument/2006/relationships/hyperlink" Target="https://www.sec.gov/Archives/edgar/data/1817358/000119312520242076/d934024dex1013.htm" TargetMode="External"/><Relationship Id="rId173" Type="http://schemas.openxmlformats.org/officeDocument/2006/relationships/hyperlink" Target="https://www.sec.gov/Archives/edgar/data/1817358/000119312520242076/d934024dex1014.htm" TargetMode="External"/><Relationship Id="rId175" Type="http://schemas.openxmlformats.org/officeDocument/2006/relationships/hyperlink" Target="https://www.sec.gov/Archives/edgar/data/1817358/000119312520242076/d934024dex1015.htm" TargetMode="External"/><Relationship Id="rId177" Type="http://schemas.openxmlformats.org/officeDocument/2006/relationships/hyperlink" Target="https://www.sec.gov/Archives/edgar/data/1817358/000119312520242076/d934024dex1016.htm" TargetMode="External"/><Relationship Id="rId180" Type="http://schemas.openxmlformats.org/officeDocument/2006/relationships/hyperlink" Target="https://www.sec.gov/Archives/edgar/data/1817358/000119312520242076/d934024dex1017.htm" TargetMode="External"/><Relationship Id="rId182" Type="http://schemas.openxmlformats.org/officeDocument/2006/relationships/hyperlink" Target="https://www.sec.gov/Archives/edgar/data/1817358/000119312520242076/d934024dex1018.htm" TargetMode="External"/><Relationship Id="rId184" Type="http://schemas.openxmlformats.org/officeDocument/2006/relationships/hyperlink" Target="https://www.sec.gov/Archives/edgar/data/1817358/000119312520242076/d934024dex1019.htm" TargetMode="External"/><Relationship Id="rId186" Type="http://schemas.openxmlformats.org/officeDocument/2006/relationships/hyperlink" Target="https://www.sec.gov/Archives/edgar/data/1817358/000181735821000059/exhibit1027.htm" TargetMode="External"/><Relationship Id="rId188" Type="http://schemas.openxmlformats.org/officeDocument/2006/relationships/hyperlink" Target="https://www.sec.gov/Archives/edgar/data/1817358/000119312520242076/d934024dex1020.htm" TargetMode="External"/><Relationship Id="rId190" Type="http://schemas.openxmlformats.org/officeDocument/2006/relationships/hyperlink" Target="https://www.sec.gov/Archives/edgar/data/1817358/000119312520242076/d934024dex1021.htm" TargetMode="External"/><Relationship Id="rId192" Type="http://schemas.openxmlformats.org/officeDocument/2006/relationships/hyperlink" Target="https://www.sec.gov/Archives/edgar/data/1817358/000119312520242076/d934024dex1022.htm" TargetMode="External"/><Relationship Id="rId194" Type="http://schemas.openxmlformats.org/officeDocument/2006/relationships/hyperlink" Target="https://www.sec.gov/Archives/edgar/data/1817358/000119312520242076/d934024dex1023.htm" TargetMode="External"/><Relationship Id="rId196" Type="http://schemas.openxmlformats.org/officeDocument/2006/relationships/hyperlink" Target="https://www.sec.gov/Archives/edgar/data/1817358/000119312520242076/d934024dex1024.htm" TargetMode="External"/><Relationship Id="rId198" Type="http://schemas.openxmlformats.org/officeDocument/2006/relationships/hyperlink" Target="https://www.sec.gov/Archives/edgar/data/1817358/000119312520242076/d934024dex1025.htm" TargetMode="External"/><Relationship Id="rId200" Type="http://schemas.openxmlformats.org/officeDocument/2006/relationships/hyperlink" Target="https://www.sec.gov/Archives/edgar/data/1817358/000119312520242076/d934024dex1026.htm" TargetMode="External"/><Relationship Id="rId202" Type="http://schemas.openxmlformats.org/officeDocument/2006/relationships/hyperlink" Target="https://www.sec.gov/Archives/edgar/data/1817358/000119312520242076/d934024dex1027.htm" TargetMode="External"/><Relationship Id="rId204" Type="http://schemas.openxmlformats.org/officeDocument/2006/relationships/hyperlink" Target="https://www.sec.gov/Archives/edgar/data/1817358/000119312520242076/d934024dex1028.htm" TargetMode="External"/><Relationship Id="rId207" Type="http://schemas.openxmlformats.org/officeDocument/2006/relationships/hyperlink" Target="https://www.sec.gov/Archives/edgar/data/1817358/000119312520242076/d934024dex1029.htm" TargetMode="External"/><Relationship Id="rId209" Type="http://schemas.openxmlformats.org/officeDocument/2006/relationships/hyperlink" Target="https://www.sec.gov/Archives/edgar/data/1817358/000119312520242076/d934024dex1030.htm" TargetMode="External"/><Relationship Id="rId211" Type="http://schemas.openxmlformats.org/officeDocument/2006/relationships/hyperlink" Target="https://www.sec.gov/Archives/edgar/data/1817358/000119312520242076/d934024dex1031.htm" TargetMode="External"/><Relationship Id="rId213" Type="http://schemas.openxmlformats.org/officeDocument/2006/relationships/hyperlink" Target="https://www.sec.gov/Archives/edgar/data/1817358/000119312520242076/d934024dex1032.htm" TargetMode="External"/><Relationship Id="rId215" Type="http://schemas.openxmlformats.org/officeDocument/2006/relationships/hyperlink" Target="https://www.sec.gov/Archives/edgar/data/1817358/000181735821000059/exhibit1041-fy2020.htm" TargetMode="External"/><Relationship Id="rId217" Type="http://schemas.openxmlformats.org/officeDocument/2006/relationships/hyperlink" Target="https://www.sec.gov/Archives/edgar/data/1817358/000119312520252290/d934024dex1034.htm" TargetMode="External"/><Relationship Id="rId219" Type="http://schemas.openxmlformats.org/officeDocument/2006/relationships/hyperlink" Target="https://www.sec.gov/Archives/edgar/data/1817358/000119312520264744/d910645dex101.htm" TargetMode="External"/><Relationship Id="rId221" Type="http://schemas.openxmlformats.org/officeDocument/2006/relationships/hyperlink" Target="https://www.sec.gov/Archives/edgar/data/1817358/000119312520252290/d934024dex1037.htm" TargetMode="External"/><Relationship Id="rId223" Type="http://schemas.openxmlformats.org/officeDocument/2006/relationships/hyperlink" Target="https://www.sec.gov/Archives/edgar/data/1817358/000181735821000102/exh101-asoxamendmentno4r.htm" TargetMode="External"/><Relationship Id="rId225" Type="http://schemas.openxmlformats.org/officeDocument/2006/relationships/hyperlink" Target="https://www.sec.gov/Archives/edgar/data/1817358/000181735821000059/exhibit211-fy2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2021-09-13T06:03:37Z</dcterms:created>
  <dcterms:modified xsi:type="dcterms:W3CDTF">2021-09-13T06:03:37Z</dcterms:modified>
</cp:coreProperties>
</file>