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356870</wp:posOffset>
            </wp:positionH>
            <wp:positionV relativeFrom="page">
              <wp:posOffset>260350</wp:posOffset>
            </wp:positionV>
            <wp:extent cx="663511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35115" cy="5715"/>
                    </a:xfrm>
                    <a:prstGeom prst="rect">
                      <a:avLst/>
                    </a:prstGeom>
                    <a:noFill/>
                  </pic:spPr>
                </pic:pic>
              </a:graphicData>
            </a:graphic>
          </wp:anchor>
        </w:drawing>
        <w:drawing>
          <wp:anchor simplePos="0" relativeHeight="251657728" behindDoc="1" locked="0" layoutInCell="0" allowOverlap="1">
            <wp:simplePos x="0" y="0"/>
            <wp:positionH relativeFrom="page">
              <wp:posOffset>356870</wp:posOffset>
            </wp:positionH>
            <wp:positionV relativeFrom="page">
              <wp:posOffset>277495</wp:posOffset>
            </wp:positionV>
            <wp:extent cx="663511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35115" cy="5715"/>
                    </a:xfrm>
                    <a:prstGeom prst="rect">
                      <a:avLst/>
                    </a:prstGeom>
                    <a:noFill/>
                  </pic:spPr>
                </pic:pic>
              </a:graphicData>
            </a:graphic>
          </wp:anchor>
        </w:drawing>
        <w:t>UNITED STATES</w:t>
      </w:r>
    </w:p>
    <w:p>
      <w:pPr>
        <w:spacing w:after="0" w:line="46" w:lineRule="exact"/>
        <w:rPr>
          <w:sz w:val="24"/>
          <w:szCs w:val="24"/>
          <w:color w:val="auto"/>
        </w:rPr>
      </w:pPr>
    </w:p>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42" w:lineRule="exact"/>
        <w:rPr>
          <w:sz w:val="24"/>
          <w:szCs w:val="24"/>
          <w:color w:val="auto"/>
        </w:rPr>
      </w:pPr>
    </w:p>
    <w:p>
      <w:pPr>
        <w:jc w:val="center"/>
        <w:ind w:right="-188"/>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93345</wp:posOffset>
            </wp:positionV>
            <wp:extent cx="170307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234" w:lineRule="exact"/>
        <w:rPr>
          <w:sz w:val="24"/>
          <w:szCs w:val="24"/>
          <w:color w:val="auto"/>
        </w:rPr>
      </w:pPr>
    </w:p>
    <w:p>
      <w:pPr>
        <w:jc w:val="center"/>
        <w:ind w:right="-188"/>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93345</wp:posOffset>
            </wp:positionV>
            <wp:extent cx="170307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237" w:lineRule="exact"/>
        <w:rPr>
          <w:sz w:val="24"/>
          <w:szCs w:val="24"/>
          <w:color w:val="auto"/>
        </w:rPr>
      </w:pPr>
    </w:p>
    <w:p>
      <w:pPr>
        <w:jc w:val="center"/>
        <w:ind w:right="-188"/>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49" w:lineRule="exact"/>
        <w:rPr>
          <w:sz w:val="24"/>
          <w:szCs w:val="24"/>
          <w:color w:val="auto"/>
        </w:rPr>
      </w:pPr>
    </w:p>
    <w:p>
      <w:pPr>
        <w:jc w:val="center"/>
        <w:ind w:right="-188"/>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112" w:lineRule="exact"/>
        <w:rPr>
          <w:sz w:val="24"/>
          <w:szCs w:val="24"/>
          <w:color w:val="auto"/>
        </w:rPr>
      </w:pPr>
    </w:p>
    <w:p>
      <w:pPr>
        <w:jc w:val="center"/>
        <w:ind w:right="-188"/>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September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98425</wp:posOffset>
            </wp:positionV>
            <wp:extent cx="170307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3070" cy="5715"/>
                    </a:xfrm>
                    <a:prstGeom prst="rect">
                      <a:avLst/>
                    </a:prstGeom>
                    <a:noFill/>
                  </pic:spPr>
                </pic:pic>
              </a:graphicData>
            </a:graphic>
          </wp:anchor>
        </w:drawing>
        <w:drawing>
          <wp:anchor simplePos="0" relativeHeight="251657728" behindDoc="1" locked="0" layoutInCell="0" allowOverlap="1">
            <wp:simplePos x="0" y="0"/>
            <wp:positionH relativeFrom="column">
              <wp:posOffset>2646045</wp:posOffset>
            </wp:positionH>
            <wp:positionV relativeFrom="paragraph">
              <wp:posOffset>172720</wp:posOffset>
            </wp:positionV>
            <wp:extent cx="1325880" cy="405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5880" cy="405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88"/>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p>
    <w:p>
      <w:pPr>
        <w:spacing w:after="0" w:line="57" w:lineRule="exact"/>
        <w:rPr>
          <w:sz w:val="24"/>
          <w:szCs w:val="24"/>
          <w:color w:val="auto"/>
        </w:rPr>
      </w:pPr>
    </w:p>
    <w:p>
      <w:pPr>
        <w:jc w:val="center"/>
        <w:ind w:right="-188"/>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91440</wp:posOffset>
            </wp:positionV>
            <wp:extent cx="170307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ectPr>
          <w:pgSz w:w="11900" w:h="16838" w:orient="portrait"/>
          <w:cols w:equalWidth="0" w:num="1">
            <w:col w:w="10249"/>
          </w:cols>
          <w:pgMar w:left="571" w:top="542" w:right="1079" w:bottom="1440" w:gutter="0" w:footer="0" w:header="0"/>
        </w:sectPr>
      </w:pPr>
    </w:p>
    <w:p>
      <w:pPr>
        <w:spacing w:after="0" w:line="262" w:lineRule="exact"/>
        <w:rPr>
          <w:sz w:val="24"/>
          <w:szCs w:val="24"/>
          <w:color w:val="auto"/>
        </w:rPr>
      </w:pPr>
    </w:p>
    <w:p>
      <w:pPr>
        <w:ind w:left="2129"/>
        <w:spacing w:after="0"/>
        <w:rPr>
          <w:sz w:val="20"/>
          <w:szCs w:val="20"/>
          <w:color w:val="auto"/>
        </w:rPr>
      </w:pPr>
      <w:r>
        <w:rPr>
          <w:rFonts w:ascii="Times New Roman" w:cs="Times New Roman" w:eastAsia="Times New Roman" w:hAnsi="Times New Roman"/>
          <w:sz w:val="8"/>
          <w:szCs w:val="8"/>
          <w:b w:val="1"/>
          <w:bCs w:val="1"/>
          <w:color w:val="auto"/>
        </w:rPr>
        <w:t>Delaware</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001-39589</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85-1800912</w:t>
      </w:r>
    </w:p>
    <w:p>
      <w:pPr>
        <w:spacing w:after="0" w:line="104" w:lineRule="exact"/>
        <w:rPr>
          <w:sz w:val="24"/>
          <w:szCs w:val="24"/>
          <w:color w:val="auto"/>
        </w:rPr>
      </w:pPr>
    </w:p>
    <w:p>
      <w:pPr>
        <w:sectPr>
          <w:pgSz w:w="11900" w:h="16838" w:orient="portrait"/>
          <w:cols w:equalWidth="0" w:num="3">
            <w:col w:w="4829" w:space="720"/>
            <w:col w:w="2360" w:space="720"/>
            <w:col w:w="1620"/>
          </w:cols>
          <w:pgMar w:left="571" w:top="542" w:right="1079" w:bottom="1440" w:gutter="0" w:footer="0" w:header="0"/>
          <w:type w:val="continuous"/>
        </w:sectPr>
      </w:pPr>
    </w:p>
    <w:p>
      <w:pPr>
        <w:ind w:left="1649"/>
        <w:spacing w:after="0"/>
        <w:rPr>
          <w:sz w:val="20"/>
          <w:szCs w:val="20"/>
          <w:color w:val="auto"/>
        </w:rPr>
      </w:pPr>
      <w:r>
        <w:rPr>
          <w:rFonts w:ascii="Times New Roman" w:cs="Times New Roman" w:eastAsia="Times New Roman" w:hAnsi="Times New Roman"/>
          <w:sz w:val="10"/>
          <w:szCs w:val="10"/>
          <w:color w:val="auto"/>
        </w:rPr>
        <w:t>(State or other jurisdiction of</w:t>
      </w:r>
    </w:p>
    <w:p>
      <w:pPr>
        <w:spacing w:after="0" w:line="20" w:lineRule="exact"/>
        <w:rPr>
          <w:sz w:val="24"/>
          <w:szCs w:val="24"/>
          <w:color w:val="auto"/>
        </w:rPr>
      </w:pPr>
      <w:r>
        <w:rPr>
          <w:sz w:val="24"/>
          <w:szCs w:val="24"/>
          <w:color w:val="auto"/>
        </w:rPr>
        <w:br w:type="column"/>
      </w:r>
    </w:p>
    <w:p>
      <w:pPr>
        <w:jc w:val="center"/>
        <w:ind w:right="1820"/>
        <w:spacing w:after="0"/>
        <w:rPr>
          <w:sz w:val="20"/>
          <w:szCs w:val="20"/>
          <w:color w:val="auto"/>
        </w:rPr>
      </w:pPr>
      <w:r>
        <w:rPr>
          <w:rFonts w:ascii="Times New Roman" w:cs="Times New Roman" w:eastAsia="Times New Roman" w:hAnsi="Times New Roman"/>
          <w:sz w:val="10"/>
          <w:szCs w:val="10"/>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(I.R.S. Employer</w:t>
      </w:r>
    </w:p>
    <w:p>
      <w:pPr>
        <w:spacing w:after="0" w:line="91" w:lineRule="exact"/>
        <w:rPr>
          <w:sz w:val="24"/>
          <w:szCs w:val="24"/>
          <w:color w:val="auto"/>
        </w:rPr>
      </w:pPr>
    </w:p>
    <w:p>
      <w:pPr>
        <w:sectPr>
          <w:pgSz w:w="11900" w:h="16838" w:orient="portrait"/>
          <w:cols w:equalWidth="0" w:num="3">
            <w:col w:w="4629" w:space="720"/>
            <w:col w:w="2400" w:space="720"/>
            <w:col w:w="1780"/>
          </w:cols>
          <w:pgMar w:left="571" w:top="542" w:right="1079" w:bottom="1440" w:gutter="0" w:footer="0" w:header="0"/>
          <w:type w:val="continuous"/>
        </w:sectPr>
      </w:pPr>
    </w:p>
    <w:p>
      <w:pPr>
        <w:ind w:left="1969"/>
        <w:spacing w:after="0"/>
        <w:rPr>
          <w:sz w:val="20"/>
          <w:szCs w:val="20"/>
          <w:color w:val="auto"/>
        </w:rPr>
      </w:pPr>
      <w:r>
        <w:rPr>
          <w:rFonts w:ascii="Times New Roman" w:cs="Times New Roman" w:eastAsia="Times New Roman" w:hAnsi="Times New Roman"/>
          <w:sz w:val="10"/>
          <w:szCs w:val="10"/>
          <w:color w:val="auto"/>
        </w:rPr>
        <w:t>incorporation)</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Times New Roman" w:cs="Times New Roman" w:eastAsia="Times New Roman" w:hAnsi="Times New Roman"/>
          <w:sz w:val="10"/>
          <w:szCs w:val="10"/>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Identification No.)</w:t>
      </w:r>
    </w:p>
    <w:p>
      <w:pPr>
        <w:spacing w:after="0" w:line="117" w:lineRule="exact"/>
        <w:rPr>
          <w:sz w:val="24"/>
          <w:szCs w:val="24"/>
          <w:color w:val="auto"/>
        </w:rPr>
      </w:pPr>
    </w:p>
    <w:p>
      <w:pPr>
        <w:sectPr>
          <w:pgSz w:w="11900" w:h="16838" w:orient="portrait"/>
          <w:cols w:equalWidth="0" w:num="3">
            <w:col w:w="4729" w:space="720"/>
            <w:col w:w="2280" w:space="720"/>
            <w:col w:w="1800"/>
          </w:cols>
          <w:pgMar w:left="571" w:top="542" w:right="1079" w:bottom="1440" w:gutter="0" w:footer="0" w:header="0"/>
          <w:type w:val="continuous"/>
        </w:sectPr>
      </w:pPr>
    </w:p>
    <w:p>
      <w:pPr>
        <w:ind w:left="4649"/>
        <w:spacing w:after="0"/>
        <w:rPr>
          <w:sz w:val="20"/>
          <w:szCs w:val="20"/>
          <w:color w:val="auto"/>
        </w:rPr>
      </w:pPr>
      <w:r>
        <w:rPr>
          <w:rFonts w:ascii="Times New Roman" w:cs="Times New Roman" w:eastAsia="Times New Roman" w:hAnsi="Times New Roman"/>
          <w:sz w:val="11"/>
          <w:szCs w:val="11"/>
          <w:b w:val="1"/>
          <w:bCs w:val="1"/>
          <w:color w:val="auto"/>
        </w:rPr>
        <w:t>1800 North Mason Road</w:t>
      </w:r>
    </w:p>
    <w:p>
      <w:pPr>
        <w:spacing w:after="0" w:line="36" w:lineRule="exact"/>
        <w:rPr>
          <w:sz w:val="24"/>
          <w:szCs w:val="24"/>
          <w:color w:val="auto"/>
        </w:rPr>
      </w:pPr>
    </w:p>
    <w:p>
      <w:pPr>
        <w:ind w:left="4809"/>
        <w:spacing w:after="0"/>
        <w:rPr>
          <w:sz w:val="20"/>
          <w:szCs w:val="20"/>
          <w:color w:val="auto"/>
        </w:rPr>
      </w:pPr>
      <w:r>
        <w:rPr>
          <w:rFonts w:ascii="Times New Roman" w:cs="Times New Roman" w:eastAsia="Times New Roman" w:hAnsi="Times New Roman"/>
          <w:sz w:val="11"/>
          <w:szCs w:val="11"/>
          <w:b w:val="1"/>
          <w:bCs w:val="1"/>
          <w:color w:val="auto"/>
        </w:rPr>
        <w:t>Katy, Texas 77449</w:t>
      </w:r>
    </w:p>
    <w:p>
      <w:pPr>
        <w:spacing w:after="0" w:line="27" w:lineRule="exact"/>
        <w:rPr>
          <w:sz w:val="24"/>
          <w:szCs w:val="24"/>
          <w:color w:val="auto"/>
        </w:rPr>
      </w:pPr>
    </w:p>
    <w:p>
      <w:pPr>
        <w:ind w:left="4109"/>
        <w:spacing w:after="0"/>
        <w:rPr>
          <w:sz w:val="20"/>
          <w:szCs w:val="20"/>
          <w:color w:val="auto"/>
        </w:rPr>
      </w:pPr>
      <w:r>
        <w:rPr>
          <w:rFonts w:ascii="Times New Roman" w:cs="Times New Roman" w:eastAsia="Times New Roman" w:hAnsi="Times New Roman"/>
          <w:sz w:val="10"/>
          <w:szCs w:val="10"/>
          <w:i w:val="1"/>
          <w:iCs w:val="1"/>
          <w:color w:val="auto"/>
        </w:rPr>
        <w:t>(Address of principal executive offices, including Zip Code)</w:t>
      </w:r>
    </w:p>
    <w:p>
      <w:pPr>
        <w:spacing w:after="0" w:line="119" w:lineRule="exact"/>
        <w:rPr>
          <w:sz w:val="24"/>
          <w:szCs w:val="24"/>
          <w:color w:val="auto"/>
        </w:rPr>
      </w:pPr>
    </w:p>
    <w:p>
      <w:pPr>
        <w:ind w:left="4889"/>
        <w:spacing w:after="0"/>
        <w:rPr>
          <w:sz w:val="20"/>
          <w:szCs w:val="20"/>
          <w:color w:val="auto"/>
        </w:rPr>
      </w:pPr>
      <w:r>
        <w:rPr>
          <w:rFonts w:ascii="Times New Roman" w:cs="Times New Roman" w:eastAsia="Times New Roman" w:hAnsi="Times New Roman"/>
          <w:sz w:val="11"/>
          <w:szCs w:val="11"/>
          <w:b w:val="1"/>
          <w:bCs w:val="1"/>
          <w:color w:val="auto"/>
        </w:rPr>
        <w:t>(281) 646-5200</w:t>
      </w:r>
    </w:p>
    <w:p>
      <w:pPr>
        <w:spacing w:after="0" w:line="63" w:lineRule="exact"/>
        <w:rPr>
          <w:sz w:val="24"/>
          <w:szCs w:val="24"/>
          <w:color w:val="auto"/>
        </w:rPr>
      </w:pPr>
    </w:p>
    <w:p>
      <w:pPr>
        <w:ind w:left="4209"/>
        <w:spacing w:after="0"/>
        <w:rPr>
          <w:sz w:val="20"/>
          <w:szCs w:val="20"/>
          <w:color w:val="auto"/>
        </w:rPr>
      </w:pPr>
      <w:r>
        <w:rPr>
          <w:rFonts w:ascii="Times New Roman" w:cs="Times New Roman" w:eastAsia="Times New Roman" w:hAnsi="Times New Roman"/>
          <w:sz w:val="11"/>
          <w:szCs w:val="11"/>
          <w:i w:val="1"/>
          <w:iCs w:val="1"/>
          <w:color w:val="auto"/>
        </w:rPr>
        <w:t>(Registrant’s telephone number, including area code)</w:t>
      </w:r>
    </w:p>
    <w:p>
      <w:pPr>
        <w:spacing w:after="0" w:line="180" w:lineRule="exact"/>
        <w:rPr>
          <w:sz w:val="24"/>
          <w:szCs w:val="24"/>
          <w:color w:val="auto"/>
        </w:rPr>
      </w:pPr>
    </w:p>
    <w:p>
      <w:pPr>
        <w:ind w:left="5009"/>
        <w:spacing w:after="0"/>
        <w:rPr>
          <w:sz w:val="20"/>
          <w:szCs w:val="20"/>
          <w:color w:val="auto"/>
        </w:rPr>
      </w:pPr>
      <w:r>
        <w:rPr>
          <w:rFonts w:ascii="Times New Roman" w:cs="Times New Roman" w:eastAsia="Times New Roman" w:hAnsi="Times New Roman"/>
          <w:sz w:val="11"/>
          <w:szCs w:val="11"/>
          <w:b w:val="1"/>
          <w:bCs w:val="1"/>
          <w:color w:val="auto"/>
        </w:rPr>
        <w:t>Not Applicable</w:t>
      </w:r>
    </w:p>
    <w:p>
      <w:pPr>
        <w:spacing w:after="0" w:line="36" w:lineRule="exact"/>
        <w:rPr>
          <w:sz w:val="24"/>
          <w:szCs w:val="24"/>
          <w:color w:val="auto"/>
        </w:rPr>
      </w:pPr>
    </w:p>
    <w:p>
      <w:pPr>
        <w:ind w:left="3869"/>
        <w:spacing w:after="0"/>
        <w:rPr>
          <w:sz w:val="20"/>
          <w:szCs w:val="20"/>
          <w:color w:val="auto"/>
        </w:rPr>
      </w:pPr>
      <w:r>
        <w:rPr>
          <w:rFonts w:ascii="Times New Roman" w:cs="Times New Roman" w:eastAsia="Times New Roman" w:hAnsi="Times New Roman"/>
          <w:sz w:val="11"/>
          <w:szCs w:val="11"/>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86995</wp:posOffset>
            </wp:positionV>
            <wp:extent cx="170307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ectPr>
          <w:pgSz w:w="11900" w:h="16838" w:orient="portrait"/>
          <w:cols w:equalWidth="0" w:num="1">
            <w:col w:w="10249"/>
          </w:cols>
          <w:pgMar w:left="571" w:top="542" w:right="1079" w:bottom="1440" w:gutter="0" w:footer="0" w:header="0"/>
          <w:type w:val="continuous"/>
        </w:sectPr>
      </w:pPr>
    </w:p>
    <w:p>
      <w:pPr>
        <w:spacing w:after="0" w:line="254" w:lineRule="exact"/>
        <w:rPr>
          <w:sz w:val="24"/>
          <w:szCs w:val="24"/>
          <w:color w:val="auto"/>
        </w:rPr>
      </w:pPr>
    </w:p>
    <w:p>
      <w:pPr>
        <w:ind w:left="9"/>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129" w:hanging="127"/>
        <w:spacing w:after="0"/>
        <w:tabs>
          <w:tab w:leader="none" w:pos="129"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35" w:lineRule="exact"/>
        <w:rPr>
          <w:rFonts w:ascii="MS PGothic" w:cs="MS PGothic" w:eastAsia="MS PGothic" w:hAnsi="MS PGothic"/>
          <w:sz w:val="11"/>
          <w:szCs w:val="11"/>
          <w:color w:val="auto"/>
        </w:rPr>
      </w:pPr>
    </w:p>
    <w:p>
      <w:pPr>
        <w:ind w:left="129" w:hanging="129"/>
        <w:spacing w:after="0"/>
        <w:tabs>
          <w:tab w:leader="none" w:pos="129"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35" w:lineRule="exact"/>
        <w:rPr>
          <w:rFonts w:ascii="MS PGothic" w:cs="MS PGothic" w:eastAsia="MS PGothic" w:hAnsi="MS PGothic"/>
          <w:sz w:val="11"/>
          <w:szCs w:val="11"/>
          <w:color w:val="auto"/>
        </w:rPr>
      </w:pPr>
    </w:p>
    <w:p>
      <w:pPr>
        <w:ind w:left="129" w:hanging="129"/>
        <w:spacing w:after="0"/>
        <w:tabs>
          <w:tab w:leader="none" w:pos="129"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35" w:lineRule="exact"/>
        <w:rPr>
          <w:rFonts w:ascii="MS PGothic" w:cs="MS PGothic" w:eastAsia="MS PGothic" w:hAnsi="MS PGothic"/>
          <w:sz w:val="11"/>
          <w:szCs w:val="11"/>
          <w:color w:val="auto"/>
        </w:rPr>
      </w:pPr>
    </w:p>
    <w:p>
      <w:pPr>
        <w:ind w:left="129" w:hanging="129"/>
        <w:spacing w:after="0"/>
        <w:tabs>
          <w:tab w:leader="none" w:pos="129"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97" w:lineRule="exact"/>
        <w:rPr>
          <w:sz w:val="24"/>
          <w:szCs w:val="24"/>
          <w:color w:val="auto"/>
        </w:rPr>
      </w:pPr>
    </w:p>
    <w:tbl>
      <w:tblPr>
        <w:tblLayout w:type="fixed"/>
        <w:tblInd w:w="1189" w:type="dxa"/>
        <w:tblCellMar>
          <w:top w:w="0" w:type="dxa"/>
          <w:left w:w="0" w:type="dxa"/>
          <w:bottom w:w="0" w:type="dxa"/>
          <w:right w:w="0" w:type="dxa"/>
        </w:tblCellMar>
      </w:tblPr>
      <w:tr>
        <w:trPr>
          <w:trHeight w:val="142"/>
        </w:trPr>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20" w:type="dxa"/>
            <w:vAlign w:val="bottom"/>
            <w:gridSpan w:val="3"/>
          </w:tcPr>
          <w:p>
            <w:pPr>
              <w:ind w:left="380"/>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58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39"/>
        </w:trPr>
        <w:tc>
          <w:tcPr>
            <w:tcW w:w="540" w:type="dxa"/>
            <w:vAlign w:val="bottom"/>
          </w:tcPr>
          <w:p>
            <w:pPr>
              <w:spacing w:after="0"/>
              <w:rPr>
                <w:sz w:val="12"/>
                <w:szCs w:val="12"/>
                <w:color w:val="auto"/>
              </w:rPr>
            </w:pPr>
          </w:p>
        </w:tc>
        <w:tc>
          <w:tcPr>
            <w:tcW w:w="1780" w:type="dxa"/>
            <w:vAlign w:val="bottom"/>
            <w:gridSpan w:val="2"/>
          </w:tcPr>
          <w:p>
            <w:pPr>
              <w:jc w:val="center"/>
              <w:ind w:right="960"/>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3620" w:type="dxa"/>
            <w:vAlign w:val="bottom"/>
            <w:gridSpan w:val="3"/>
          </w:tcPr>
          <w:p>
            <w:pPr>
              <w:jc w:val="center"/>
              <w:ind w:left="586"/>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2580" w:type="dxa"/>
            <w:vAlign w:val="bottom"/>
            <w:gridSpan w:val="2"/>
          </w:tcPr>
          <w:p>
            <w:pPr>
              <w:jc w:val="center"/>
              <w:ind w:left="526"/>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20"/>
        </w:trPr>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65"/>
        </w:trPr>
        <w:tc>
          <w:tcPr>
            <w:tcW w:w="232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7"/>
              </w:rPr>
              <w:t>Common Stock, $0.01 par value per share</w:t>
            </w:r>
          </w:p>
        </w:tc>
        <w:tc>
          <w:tcPr>
            <w:tcW w:w="1700" w:type="dxa"/>
            <w:vAlign w:val="bottom"/>
          </w:tcPr>
          <w:p>
            <w:pPr>
              <w:spacing w:after="0"/>
              <w:rPr>
                <w:sz w:val="14"/>
                <w:szCs w:val="14"/>
                <w:color w:val="auto"/>
              </w:rPr>
            </w:pPr>
          </w:p>
        </w:tc>
        <w:tc>
          <w:tcPr>
            <w:tcW w:w="1920" w:type="dxa"/>
            <w:vAlign w:val="bottom"/>
            <w:gridSpan w:val="2"/>
          </w:tcPr>
          <w:p>
            <w:pPr>
              <w:jc w:val="center"/>
              <w:ind w:right="1060"/>
              <w:spacing w:after="0"/>
              <w:rPr>
                <w:sz w:val="20"/>
                <w:szCs w:val="20"/>
                <w:color w:val="auto"/>
              </w:rPr>
            </w:pPr>
            <w:r>
              <w:rPr>
                <w:rFonts w:ascii="Times New Roman" w:cs="Times New Roman" w:eastAsia="Times New Roman" w:hAnsi="Times New Roman"/>
                <w:sz w:val="11"/>
                <w:szCs w:val="11"/>
                <w:b w:val="1"/>
                <w:bCs w:val="1"/>
                <w:color w:val="auto"/>
                <w:w w:val="97"/>
              </w:rPr>
              <w:t>ASO</w:t>
            </w:r>
          </w:p>
        </w:tc>
        <w:tc>
          <w:tcPr>
            <w:tcW w:w="58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The Nasdaq Stock Market LLC</w:t>
            </w:r>
          </w:p>
        </w:tc>
      </w:tr>
    </w:tbl>
    <w:p>
      <w:pPr>
        <w:spacing w:after="0" w:line="130" w:lineRule="exact"/>
        <w:rPr>
          <w:sz w:val="24"/>
          <w:szCs w:val="24"/>
          <w:color w:val="auto"/>
        </w:rPr>
      </w:pPr>
    </w:p>
    <w:p>
      <w:pPr>
        <w:ind w:left="9" w:right="220"/>
        <w:spacing w:after="0" w:line="258" w:lineRule="auto"/>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23" w:lineRule="exact"/>
        <w:rPr>
          <w:sz w:val="24"/>
          <w:szCs w:val="24"/>
          <w:color w:val="auto"/>
        </w:rPr>
      </w:pPr>
    </w:p>
    <w:p>
      <w:pPr>
        <w:ind w:left="9"/>
        <w:spacing w:after="0" w:line="141"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-189230</wp:posOffset>
            </wp:positionH>
            <wp:positionV relativeFrom="paragraph">
              <wp:posOffset>260350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663511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3511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663511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35115" cy="5715"/>
                    </a:xfrm>
                    <a:prstGeom prst="rect">
                      <a:avLst/>
                    </a:prstGeom>
                    <a:noFill/>
                  </pic:spPr>
                </pic:pic>
              </a:graphicData>
            </a:graphic>
          </wp:anchor>
        </w:drawing>
      </w:r>
    </w:p>
    <w:p>
      <w:pPr>
        <w:sectPr>
          <w:pgSz w:w="11900" w:h="16838" w:orient="portrait"/>
          <w:cols w:equalWidth="0" w:num="1">
            <w:col w:w="10249"/>
          </w:cols>
          <w:pgMar w:left="571" w:top="542" w:right="1079" w:bottom="1440" w:gutter="0" w:footer="0" w:header="0"/>
          <w:type w:val="continuous"/>
        </w:sectPr>
      </w:pPr>
    </w:p>
    <w:bookmarkStart w:id="1" w:name="page2"/>
    <w:bookmarkEnd w:id="1"/>
    <w:p>
      <w:pPr>
        <w:ind w:left="260"/>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63" w:lineRule="exact"/>
        <w:rPr>
          <w:sz w:val="20"/>
          <w:szCs w:val="20"/>
          <w:color w:val="auto"/>
        </w:rPr>
      </w:pPr>
    </w:p>
    <w:p>
      <w:pPr>
        <w:jc w:val="both"/>
        <w:ind w:right="60" w:firstLine="267"/>
        <w:spacing w:after="0" w:line="279" w:lineRule="auto"/>
        <w:rPr>
          <w:sz w:val="20"/>
          <w:szCs w:val="20"/>
          <w:color w:val="auto"/>
        </w:rPr>
      </w:pPr>
      <w:r>
        <w:rPr>
          <w:rFonts w:ascii="Times New Roman" w:cs="Times New Roman" w:eastAsia="Times New Roman" w:hAnsi="Times New Roman"/>
          <w:sz w:val="12"/>
          <w:szCs w:val="12"/>
          <w:color w:val="auto"/>
        </w:rPr>
        <w:t>On September 2, 2025, Academy Sports and Outdoors, Inc. (the “Company”) issued a press release announcing financial results for the quarter ended August 2, 2025. A copy of the press release is furnished herewith as Exhibit 99.1 and incorporated by reference herein.</w:t>
      </w:r>
    </w:p>
    <w:p>
      <w:pPr>
        <w:spacing w:after="0" w:line="120" w:lineRule="exact"/>
        <w:rPr>
          <w:sz w:val="20"/>
          <w:szCs w:val="20"/>
          <w:color w:val="auto"/>
        </w:rPr>
      </w:pPr>
    </w:p>
    <w:p>
      <w:pPr>
        <w:jc w:val="both"/>
        <w:ind w:right="60" w:firstLine="267"/>
        <w:spacing w:after="0" w:line="257"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exhibits, is being furnished to the U.S.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 under the Securities Act of 1933, as amended (the “Securities Act”), or the Exchange Act, except as shall be expressly set forth by specific reference in such a filing.</w:t>
      </w:r>
    </w:p>
    <w:p>
      <w:pPr>
        <w:spacing w:after="0" w:line="129"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On September 2, 2025, the Company posted the Second Quarter 2025 Supplemental Presentation to its website at investors.academy.com. A copy of the presentation is attached hereto as Exhibit 99.2.</w:t>
      </w:r>
    </w:p>
    <w:p>
      <w:pPr>
        <w:spacing w:after="0" w:line="168" w:lineRule="exact"/>
        <w:rPr>
          <w:sz w:val="20"/>
          <w:szCs w:val="20"/>
          <w:color w:val="auto"/>
        </w:rPr>
      </w:pPr>
    </w:p>
    <w:p>
      <w:pPr>
        <w:jc w:val="both"/>
        <w:ind w:right="60" w:firstLine="267"/>
        <w:spacing w:after="0" w:line="264" w:lineRule="auto"/>
        <w:rPr>
          <w:sz w:val="20"/>
          <w:szCs w:val="20"/>
          <w:color w:val="auto"/>
        </w:rPr>
      </w:pPr>
      <w:r>
        <w:rPr>
          <w:rFonts w:ascii="Times New Roman" w:cs="Times New Roman" w:eastAsia="Times New Roman" w:hAnsi="Times New Roman"/>
          <w:sz w:val="12"/>
          <w:szCs w:val="12"/>
          <w:color w:val="auto"/>
        </w:rPr>
        <w:t>The information contained under this Item 7.01, including Exhibit 99.2, is being furnished and shall not be deemed to be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w:t>
      </w:r>
    </w:p>
    <w:p>
      <w:pPr>
        <w:spacing w:after="0" w:line="286"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840" w:type="dxa"/>
            <w:vAlign w:val="bottom"/>
            <w:gridSpan w:val="5"/>
          </w:tcPr>
          <w:p>
            <w:pPr>
              <w:ind w:left="260"/>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94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42"/>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460" w:type="dxa"/>
            <w:vAlign w:val="bottom"/>
          </w:tcPr>
          <w:p>
            <w:pPr>
              <w:ind w:left="430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c>
          <w:tcPr>
            <w:tcW w:w="60" w:type="dxa"/>
            <w:vAlign w:val="bottom"/>
          </w:tcPr>
          <w:p>
            <w:pPr>
              <w:spacing w:after="0"/>
              <w:rPr>
                <w:sz w:val="24"/>
                <w:szCs w:val="24"/>
                <w:color w:val="auto"/>
              </w:rPr>
            </w:pPr>
          </w:p>
        </w:tc>
      </w:tr>
      <w:tr>
        <w:trPr>
          <w:trHeight w:val="133"/>
        </w:trPr>
        <w:tc>
          <w:tcPr>
            <w:tcW w:w="260" w:type="dxa"/>
            <w:vAlign w:val="bottom"/>
          </w:tcPr>
          <w:p>
            <w:pPr>
              <w:spacing w:after="0"/>
              <w:rPr>
                <w:sz w:val="11"/>
                <w:szCs w:val="11"/>
                <w:color w:val="auto"/>
              </w:rPr>
            </w:pPr>
          </w:p>
        </w:tc>
        <w:tc>
          <w:tcPr>
            <w:tcW w:w="1500" w:type="dxa"/>
            <w:vAlign w:val="bottom"/>
            <w:tcBorders>
              <w:top w:val="single" w:sz="8" w:color="auto"/>
            </w:tcBorders>
            <w:gridSpan w:val="3"/>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1</w:t>
            </w:r>
          </w:p>
        </w:tc>
        <w:tc>
          <w:tcPr>
            <w:tcW w:w="80" w:type="dxa"/>
            <w:vAlign w:val="bottom"/>
            <w:tcBorders>
              <w:top w:val="single" w:sz="8" w:color="CCEEFF"/>
            </w:tcBorders>
            <w:shd w:val="clear" w:color="auto" w:fill="CCEEFF"/>
          </w:tcPr>
          <w:p>
            <w:pPr>
              <w:spacing w:after="0"/>
              <w:rPr>
                <w:sz w:val="11"/>
                <w:szCs w:val="11"/>
                <w:color w:val="auto"/>
              </w:rPr>
            </w:pPr>
          </w:p>
        </w:tc>
        <w:tc>
          <w:tcPr>
            <w:tcW w:w="94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Academy Sports and Outdoors, Inc. Press Release, dated September 2, 2025.</w:t>
            </w:r>
          </w:p>
        </w:tc>
        <w:tc>
          <w:tcPr>
            <w:tcW w:w="60" w:type="dxa"/>
            <w:vAlign w:val="bottom"/>
            <w:tcBorders>
              <w:top w:val="single" w:sz="8" w:color="auto"/>
            </w:tcBorders>
            <w:shd w:val="clear" w:color="auto" w:fill="CCEEFF"/>
          </w:tcPr>
          <w:p>
            <w:pPr>
              <w:spacing w:after="0"/>
              <w:rPr>
                <w:sz w:val="11"/>
                <w:szCs w:val="11"/>
                <w:color w:val="auto"/>
              </w:rPr>
            </w:pPr>
          </w:p>
        </w:tc>
      </w:tr>
      <w:tr>
        <w:trPr>
          <w:trHeight w:val="25"/>
        </w:trPr>
        <w:tc>
          <w:tcPr>
            <w:tcW w:w="260" w:type="dxa"/>
            <w:vAlign w:val="bottom"/>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35"/>
        </w:trPr>
        <w:tc>
          <w:tcPr>
            <w:tcW w:w="260" w:type="dxa"/>
            <w:vAlign w:val="bottom"/>
          </w:tcPr>
          <w:p>
            <w:pPr>
              <w:spacing w:after="0"/>
              <w:rPr>
                <w:sz w:val="11"/>
                <w:szCs w:val="11"/>
                <w:color w:val="auto"/>
              </w:rPr>
            </w:pPr>
          </w:p>
        </w:tc>
        <w:tc>
          <w:tcPr>
            <w:tcW w:w="15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2</w:t>
            </w:r>
          </w:p>
        </w:tc>
        <w:tc>
          <w:tcPr>
            <w:tcW w:w="80" w:type="dxa"/>
            <w:vAlign w:val="bottom"/>
          </w:tcPr>
          <w:p>
            <w:pPr>
              <w:spacing w:after="0"/>
              <w:rPr>
                <w:sz w:val="11"/>
                <w:szCs w:val="11"/>
                <w:color w:val="auto"/>
              </w:rPr>
            </w:pPr>
          </w:p>
        </w:tc>
        <w:tc>
          <w:tcPr>
            <w:tcW w:w="94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Second Quarter 2025 Supplemental Presentation, dated September 2, 2025.</w:t>
            </w:r>
          </w:p>
        </w:tc>
        <w:tc>
          <w:tcPr>
            <w:tcW w:w="60" w:type="dxa"/>
            <w:vAlign w:val="bottom"/>
          </w:tcPr>
          <w:p>
            <w:pPr>
              <w:spacing w:after="0"/>
              <w:rPr>
                <w:sz w:val="11"/>
                <w:szCs w:val="11"/>
                <w:color w:val="auto"/>
              </w:rPr>
            </w:pPr>
          </w:p>
        </w:tc>
      </w:tr>
      <w:tr>
        <w:trPr>
          <w:trHeight w:val="25"/>
        </w:trPr>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0"/>
        </w:trPr>
        <w:tc>
          <w:tcPr>
            <w:tcW w:w="260" w:type="dxa"/>
            <w:vAlign w:val="bottom"/>
          </w:tcPr>
          <w:p>
            <w:pPr>
              <w:spacing w:after="0"/>
              <w:rPr>
                <w:sz w:val="15"/>
                <w:szCs w:val="15"/>
                <w:color w:val="auto"/>
              </w:rPr>
            </w:pP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w w:val="99"/>
              </w:rPr>
              <w:t>104</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60" w:type="dxa"/>
            <w:vAlign w:val="bottom"/>
            <w:shd w:val="clear" w:color="auto" w:fill="CCEEFF"/>
          </w:tcPr>
          <w:p>
            <w:pPr>
              <w:spacing w:after="0"/>
              <w:rPr>
                <w:sz w:val="15"/>
                <w:szCs w:val="15"/>
                <w:color w:val="auto"/>
              </w:rPr>
            </w:pPr>
          </w:p>
        </w:tc>
      </w:tr>
      <w:tr>
        <w:trPr>
          <w:trHeight w:val="1161"/>
        </w:trPr>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46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60"/>
          </w:cols>
          <w:pgMar w:left="300" w:top="989" w:right="2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66" w:lineRule="exact"/>
        <w:rPr>
          <w:sz w:val="20"/>
          <w:szCs w:val="20"/>
          <w:color w:val="auto"/>
        </w:rPr>
      </w:pPr>
    </w:p>
    <w:tbl>
      <w:tblPr>
        <w:tblLayout w:type="fixed"/>
        <w:tblInd w:w="5500" w:type="dxa"/>
        <w:tblCellMar>
          <w:top w:w="0" w:type="dxa"/>
          <w:left w:w="0" w:type="dxa"/>
          <w:bottom w:w="0" w:type="dxa"/>
          <w:right w:w="0" w:type="dxa"/>
        </w:tblCellMar>
      </w:tblPr>
      <w:tr>
        <w:trPr>
          <w:trHeight w:val="155"/>
        </w:trPr>
        <w:tc>
          <w:tcPr>
            <w:tcW w:w="1740" w:type="dxa"/>
            <w:vAlign w:val="bottom"/>
          </w:tcPr>
          <w:p>
            <w:pPr>
              <w:spacing w:after="0"/>
              <w:rPr>
                <w:sz w:val="13"/>
                <w:szCs w:val="13"/>
                <w:color w:val="auto"/>
              </w:rPr>
            </w:pPr>
          </w:p>
        </w:tc>
        <w:tc>
          <w:tcPr>
            <w:tcW w:w="3860" w:type="dxa"/>
            <w:vAlign w:val="bottom"/>
            <w:gridSpan w:val="2"/>
          </w:tcPr>
          <w:p>
            <w:pPr>
              <w:ind w:left="560"/>
              <w:spacing w:after="0"/>
              <w:rPr>
                <w:sz w:val="20"/>
                <w:szCs w:val="20"/>
                <w:color w:val="auto"/>
              </w:rPr>
            </w:pPr>
            <w:r>
              <w:rPr>
                <w:rFonts w:ascii="Times New Roman" w:cs="Times New Roman" w:eastAsia="Times New Roman" w:hAnsi="Times New Roman"/>
                <w:sz w:val="12"/>
                <w:szCs w:val="12"/>
                <w:color w:val="auto"/>
              </w:rPr>
              <w:t>ACADEMY SPORTS AND OUTDOORS, INC.</w:t>
            </w:r>
          </w:p>
        </w:tc>
      </w:tr>
      <w:tr>
        <w:trPr>
          <w:trHeight w:val="423"/>
        </w:trPr>
        <w:tc>
          <w:tcPr>
            <w:tcW w:w="1740" w:type="dxa"/>
            <w:vAlign w:val="bottom"/>
          </w:tcPr>
          <w:p>
            <w:pPr>
              <w:spacing w:after="0"/>
              <w:rPr>
                <w:sz w:val="20"/>
                <w:szCs w:val="20"/>
                <w:color w:val="auto"/>
              </w:rPr>
            </w:pPr>
            <w:r>
              <w:rPr>
                <w:rFonts w:ascii="Times New Roman" w:cs="Times New Roman" w:eastAsia="Times New Roman" w:hAnsi="Times New Roman"/>
                <w:sz w:val="12"/>
                <w:szCs w:val="12"/>
                <w:color w:val="auto"/>
              </w:rPr>
              <w:t>Date: September 2, 2025</w:t>
            </w:r>
          </w:p>
        </w:tc>
        <w:tc>
          <w:tcPr>
            <w:tcW w:w="1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By:</w:t>
            </w:r>
          </w:p>
        </w:tc>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Brandy Treadway</w:t>
            </w:r>
          </w:p>
        </w:tc>
      </w:tr>
      <w:tr>
        <w:trPr>
          <w:trHeight w:val="160"/>
        </w:trPr>
        <w:tc>
          <w:tcPr>
            <w:tcW w:w="1740" w:type="dxa"/>
            <w:vAlign w:val="bottom"/>
          </w:tcPr>
          <w:p>
            <w:pPr>
              <w:spacing w:after="0"/>
              <w:rPr>
                <w:sz w:val="13"/>
                <w:szCs w:val="13"/>
                <w:color w:val="auto"/>
              </w:rPr>
            </w:pPr>
          </w:p>
        </w:tc>
        <w:tc>
          <w:tcPr>
            <w:tcW w:w="1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Name:</w:t>
            </w:r>
          </w:p>
        </w:tc>
        <w:tc>
          <w:tcPr>
            <w:tcW w:w="2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Brandy Treadway</w:t>
            </w:r>
          </w:p>
        </w:tc>
      </w:tr>
      <w:tr>
        <w:trPr>
          <w:trHeight w:val="169"/>
        </w:trPr>
        <w:tc>
          <w:tcPr>
            <w:tcW w:w="1740" w:type="dxa"/>
            <w:vAlign w:val="bottom"/>
          </w:tcPr>
          <w:p>
            <w:pPr>
              <w:spacing w:after="0"/>
              <w:rPr>
                <w:sz w:val="14"/>
                <w:szCs w:val="14"/>
                <w:color w:val="auto"/>
              </w:rPr>
            </w:pPr>
          </w:p>
        </w:tc>
        <w:tc>
          <w:tcPr>
            <w:tcW w:w="10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Title:</w:t>
            </w:r>
          </w:p>
        </w:tc>
        <w:tc>
          <w:tcPr>
            <w:tcW w:w="2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Executive Vice President, Chief Legal Officer and</w:t>
            </w:r>
          </w:p>
        </w:tc>
      </w:tr>
      <w:tr>
        <w:trPr>
          <w:trHeight w:val="155"/>
        </w:trPr>
        <w:tc>
          <w:tcPr>
            <w:tcW w:w="1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Corporate Secretary</w:t>
            </w:r>
          </w:p>
        </w:tc>
      </w:tr>
    </w:tbl>
    <w:p>
      <w:pPr>
        <w:sectPr>
          <w:pgSz w:w="11900" w:h="16838" w:orient="portrait"/>
          <w:cols w:equalWidth="0" w:num="1">
            <w:col w:w="11100"/>
          </w:cols>
          <w:pgMar w:left="500" w:top="989"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144780</wp:posOffset>
            </wp:positionV>
            <wp:extent cx="1263015"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301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Academy Sports + Outdoors Reports Second Quarter Fiscal 2025 Results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Updates Guidance</w:t>
      </w:r>
    </w:p>
    <w:p>
      <w:pPr>
        <w:spacing w:after="0" w:line="150" w:lineRule="exact"/>
        <w:rPr>
          <w:sz w:val="20"/>
          <w:szCs w:val="20"/>
          <w:color w:val="auto"/>
        </w:rPr>
      </w:pPr>
    </w:p>
    <w:p>
      <w:pPr>
        <w:jc w:val="center"/>
        <w:ind w:right="-199"/>
        <w:spacing w:after="0"/>
        <w:rPr>
          <w:sz w:val="20"/>
          <w:szCs w:val="20"/>
          <w:color w:val="auto"/>
        </w:rPr>
      </w:pPr>
      <w:r>
        <w:rPr>
          <w:rFonts w:ascii="Arial" w:cs="Arial" w:eastAsia="Arial" w:hAnsi="Arial"/>
          <w:sz w:val="11"/>
          <w:szCs w:val="11"/>
          <w:i w:val="1"/>
          <w:iCs w:val="1"/>
          <w:color w:val="auto"/>
        </w:rPr>
        <w:t>Second Quarter Sales Increase 3.3%; Comparable Sales Increase 0.2%</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1"/>
          <w:szCs w:val="11"/>
          <w:i w:val="1"/>
          <w:iCs w:val="1"/>
          <w:color w:val="auto"/>
        </w:rPr>
        <w:t>eCommerce Sales Increase 17.7%; New Stores Comping Positive Mid-Single Digits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1"/>
          <w:szCs w:val="11"/>
          <w:i w:val="1"/>
          <w:iCs w:val="1"/>
          <w:color w:val="auto"/>
        </w:rPr>
        <w:t>Second Quarter Diluted GAAP EPS of $1.85</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1"/>
          <w:szCs w:val="11"/>
          <w:i w:val="1"/>
          <w:iCs w:val="1"/>
          <w:color w:val="auto"/>
        </w:rPr>
        <w:t>Opened Three New Stores in Florida, Virginia and West Virginia</w:t>
      </w:r>
    </w:p>
    <w:p>
      <w:pPr>
        <w:spacing w:after="0" w:line="153" w:lineRule="exact"/>
        <w:rPr>
          <w:sz w:val="20"/>
          <w:szCs w:val="20"/>
          <w:color w:val="auto"/>
        </w:rPr>
      </w:pPr>
    </w:p>
    <w:p>
      <w:pPr>
        <w:jc w:val="center"/>
        <w:ind w:right="-199"/>
        <w:spacing w:after="0"/>
        <w:rPr>
          <w:sz w:val="20"/>
          <w:szCs w:val="20"/>
          <w:color w:val="auto"/>
        </w:rPr>
      </w:pPr>
      <w:r>
        <w:rPr>
          <w:rFonts w:ascii="Arial" w:cs="Arial" w:eastAsia="Arial" w:hAnsi="Arial"/>
          <w:sz w:val="11"/>
          <w:szCs w:val="11"/>
          <w:i w:val="1"/>
          <w:iCs w:val="1"/>
          <w:color w:val="auto"/>
        </w:rPr>
        <w:t>Company Maintains High End of Guidance Range; Raises Low End</w:t>
      </w:r>
    </w:p>
    <w:p>
      <w:pPr>
        <w:spacing w:after="0" w:line="158" w:lineRule="exact"/>
        <w:rPr>
          <w:sz w:val="20"/>
          <w:szCs w:val="20"/>
          <w:color w:val="auto"/>
        </w:rPr>
      </w:pPr>
    </w:p>
    <w:p>
      <w:pPr>
        <w:ind w:right="20" w:firstLine="216"/>
        <w:spacing w:after="0" w:line="270" w:lineRule="auto"/>
        <w:rPr>
          <w:sz w:val="20"/>
          <w:szCs w:val="20"/>
          <w:color w:val="auto"/>
        </w:rPr>
      </w:pPr>
      <w:r>
        <w:rPr>
          <w:rFonts w:ascii="Arial" w:cs="Arial" w:eastAsia="Arial" w:hAnsi="Arial"/>
          <w:sz w:val="12"/>
          <w:szCs w:val="12"/>
          <w:b w:val="1"/>
          <w:bCs w:val="1"/>
          <w:color w:val="auto"/>
        </w:rPr>
        <w:t xml:space="preserve">KATY, TEXAS (Globe Newswire — September 2, 2025) </w:t>
      </w:r>
      <w:r>
        <w:rPr>
          <w:rFonts w:ascii="Arial" w:cs="Arial" w:eastAsia="Arial" w:hAnsi="Arial"/>
          <w:sz w:val="12"/>
          <w:szCs w:val="12"/>
          <w:color w:val="auto"/>
        </w:rPr>
        <w:t>– Academy Sports and Outdoors, Inc. (Nasdaq: ASO) ("Academy" or the "Company") today announced its financial results for the second quarter</w:t>
      </w:r>
      <w:r>
        <w:rPr>
          <w:rFonts w:ascii="Arial" w:cs="Arial" w:eastAsia="Arial" w:hAnsi="Arial"/>
          <w:sz w:val="12"/>
          <w:szCs w:val="12"/>
          <w:b w:val="1"/>
          <w:bCs w:val="1"/>
          <w:color w:val="auto"/>
        </w:rPr>
        <w:t xml:space="preserve"> </w:t>
      </w:r>
      <w:r>
        <w:rPr>
          <w:rFonts w:ascii="Arial" w:cs="Arial" w:eastAsia="Arial" w:hAnsi="Arial"/>
          <w:sz w:val="12"/>
          <w:szCs w:val="12"/>
          <w:color w:val="auto"/>
        </w:rPr>
        <w:t>ended August 2, 2025.</w:t>
      </w:r>
    </w:p>
    <w:p>
      <w:pPr>
        <w:spacing w:after="0" w:line="122" w:lineRule="exact"/>
        <w:rPr>
          <w:sz w:val="20"/>
          <w:szCs w:val="20"/>
          <w:color w:val="auto"/>
        </w:rPr>
      </w:pPr>
    </w:p>
    <w:p>
      <w:pPr>
        <w:ind w:right="100"/>
        <w:spacing w:after="0" w:line="246" w:lineRule="auto"/>
        <w:rPr>
          <w:sz w:val="20"/>
          <w:szCs w:val="20"/>
          <w:color w:val="auto"/>
        </w:rPr>
      </w:pPr>
      <w:r>
        <w:rPr>
          <w:rFonts w:ascii="Arial" w:cs="Arial" w:eastAsia="Arial" w:hAnsi="Arial"/>
          <w:sz w:val="12"/>
          <w:szCs w:val="12"/>
          <w:color w:val="auto"/>
        </w:rPr>
        <w:t>"We were pleased to see sales inflect to a positive comp in the second quarter, driven by steady improvements in the business that are a result of the progress we continue to make against our strategic initiatives. Customers are gravitating to our diversified assortment and our value proposition is resonating with them, which has allowed us to pick up market share in the first half of the year," said Steve Lawrence, Chief Executive Officer. “As we head into the back half of the year, we believe momentum is building in the business and we are confident in our strategy and ability to come out of this year better positioned than ever to serve our customers and drive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5767070</wp:posOffset>
            </wp:positionH>
            <wp:positionV relativeFrom="paragraph">
              <wp:posOffset>214630</wp:posOffset>
            </wp:positionV>
            <wp:extent cx="5715" cy="262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15" cy="262890"/>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214630</wp:posOffset>
            </wp:positionV>
            <wp:extent cx="5715" cy="262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5" cy="262890"/>
                    </a:xfrm>
                    <a:prstGeom prst="rect">
                      <a:avLst/>
                    </a:prstGeom>
                    <a:noFill/>
                  </pic:spPr>
                </pic:pic>
              </a:graphicData>
            </a:graphic>
          </wp:anchor>
        </w:drawing>
      </w:r>
    </w:p>
    <w:p>
      <w:pPr>
        <w:spacing w:after="0" w:line="298" w:lineRule="exact"/>
        <w:rPr>
          <w:sz w:val="20"/>
          <w:szCs w:val="20"/>
          <w:color w:val="auto"/>
        </w:rPr>
      </w:pPr>
    </w:p>
    <w:tbl>
      <w:tblPr>
        <w:tblLayout w:type="fixed"/>
        <w:tblInd w:w="810" w:type="dxa"/>
        <w:tblCellMar>
          <w:top w:w="0" w:type="dxa"/>
          <w:left w:w="0" w:type="dxa"/>
          <w:bottom w:w="0" w:type="dxa"/>
          <w:right w:w="0" w:type="dxa"/>
        </w:tblCellMar>
      </w:tblPr>
      <w:tr>
        <w:trPr>
          <w:trHeight w:val="192"/>
        </w:trPr>
        <w:tc>
          <w:tcPr>
            <w:tcW w:w="4360" w:type="dxa"/>
            <w:vAlign w:val="bottom"/>
            <w:tcBorders>
              <w:top w:val="single" w:sz="8" w:color="auto"/>
              <w:left w:val="single" w:sz="8" w:color="auto"/>
            </w:tcBorders>
            <w:vMerge w:val="restart"/>
            <w:shd w:val="clear" w:color="auto" w:fill="1928A0"/>
          </w:tcPr>
          <w:p>
            <w:pPr>
              <w:spacing w:after="0"/>
              <w:rPr>
                <w:sz w:val="20"/>
                <w:szCs w:val="20"/>
                <w:color w:val="auto"/>
              </w:rPr>
            </w:pPr>
            <w:r>
              <w:rPr>
                <w:rFonts w:ascii="Arial" w:cs="Arial" w:eastAsia="Arial" w:hAnsi="Arial"/>
                <w:sz w:val="13"/>
                <w:szCs w:val="13"/>
                <w:b w:val="1"/>
                <w:bCs w:val="1"/>
                <w:color w:val="FFFFFF"/>
              </w:rPr>
              <w:t>Second Quarter Operating Results</w:t>
            </w:r>
          </w:p>
        </w:tc>
        <w:tc>
          <w:tcPr>
            <w:tcW w:w="280" w:type="dxa"/>
            <w:vAlign w:val="bottom"/>
            <w:tcBorders>
              <w:top w:val="single" w:sz="8" w:color="auto"/>
            </w:tcBorders>
            <w:shd w:val="clear" w:color="auto" w:fill="1928A0"/>
          </w:tcPr>
          <w:p>
            <w:pPr>
              <w:spacing w:after="0"/>
              <w:rPr>
                <w:sz w:val="16"/>
                <w:szCs w:val="16"/>
                <w:color w:val="auto"/>
              </w:rPr>
            </w:pPr>
          </w:p>
        </w:tc>
        <w:tc>
          <w:tcPr>
            <w:tcW w:w="3660" w:type="dxa"/>
            <w:vAlign w:val="bottom"/>
            <w:tcBorders>
              <w:top w:val="single" w:sz="8" w:color="auto"/>
            </w:tcBorders>
            <w:gridSpan w:val="3"/>
            <w:shd w:val="clear" w:color="auto" w:fill="1928A0"/>
          </w:tcPr>
          <w:p>
            <w:pPr>
              <w:jc w:val="center"/>
              <w:ind w:right="239"/>
              <w:spacing w:after="0"/>
              <w:rPr>
                <w:sz w:val="20"/>
                <w:szCs w:val="20"/>
                <w:color w:val="auto"/>
              </w:rPr>
            </w:pPr>
            <w:r>
              <w:rPr>
                <w:rFonts w:ascii="Arial" w:cs="Arial" w:eastAsia="Arial" w:hAnsi="Arial"/>
                <w:sz w:val="13"/>
                <w:szCs w:val="13"/>
                <w:b w:val="1"/>
                <w:bCs w:val="1"/>
                <w:color w:val="FFFFFF"/>
              </w:rPr>
              <w:t>Thirteen Weeks Ended</w:t>
            </w:r>
          </w:p>
        </w:tc>
        <w:tc>
          <w:tcPr>
            <w:tcW w:w="1420" w:type="dxa"/>
            <w:vAlign w:val="bottom"/>
            <w:tcBorders>
              <w:top w:val="single" w:sz="8" w:color="auto"/>
              <w:right w:val="single" w:sz="8" w:color="auto"/>
            </w:tcBorders>
            <w:shd w:val="clear" w:color="auto" w:fill="1928A0"/>
          </w:tcPr>
          <w:p>
            <w:pPr>
              <w:ind w:left="460"/>
              <w:spacing w:after="0"/>
              <w:rPr>
                <w:sz w:val="20"/>
                <w:szCs w:val="20"/>
                <w:color w:val="auto"/>
              </w:rPr>
            </w:pPr>
            <w:r>
              <w:rPr>
                <w:rFonts w:ascii="Arial" w:cs="Arial" w:eastAsia="Arial" w:hAnsi="Arial"/>
                <w:sz w:val="13"/>
                <w:szCs w:val="13"/>
                <w:b w:val="1"/>
                <w:bCs w:val="1"/>
                <w:color w:val="FFFFFF"/>
              </w:rPr>
              <w:t>Change</w:t>
            </w:r>
          </w:p>
        </w:tc>
        <w:tc>
          <w:tcPr>
            <w:tcW w:w="0" w:type="dxa"/>
            <w:vAlign w:val="bottom"/>
          </w:tcPr>
          <w:p>
            <w:pPr>
              <w:spacing w:after="0"/>
              <w:rPr>
                <w:sz w:val="1"/>
                <w:szCs w:val="1"/>
                <w:color w:val="auto"/>
              </w:rPr>
            </w:pPr>
          </w:p>
        </w:tc>
      </w:tr>
      <w:tr>
        <w:trPr>
          <w:trHeight w:val="75"/>
        </w:trPr>
        <w:tc>
          <w:tcPr>
            <w:tcW w:w="4360" w:type="dxa"/>
            <w:vAlign w:val="bottom"/>
            <w:tcBorders>
              <w:left w:val="single" w:sz="8" w:color="auto"/>
            </w:tcBorders>
            <w:vMerge w:val="continue"/>
            <w:shd w:val="clear" w:color="auto" w:fill="1928A0"/>
          </w:tcPr>
          <w:p>
            <w:pPr>
              <w:spacing w:after="0"/>
              <w:rPr>
                <w:sz w:val="6"/>
                <w:szCs w:val="6"/>
                <w:color w:val="auto"/>
              </w:rPr>
            </w:pPr>
          </w:p>
        </w:tc>
        <w:tc>
          <w:tcPr>
            <w:tcW w:w="280" w:type="dxa"/>
            <w:vAlign w:val="bottom"/>
            <w:shd w:val="clear" w:color="auto" w:fill="1928A0"/>
          </w:tcPr>
          <w:p>
            <w:pPr>
              <w:spacing w:after="0"/>
              <w:rPr>
                <w:sz w:val="6"/>
                <w:szCs w:val="6"/>
                <w:color w:val="auto"/>
              </w:rPr>
            </w:pPr>
          </w:p>
        </w:tc>
        <w:tc>
          <w:tcPr>
            <w:tcW w:w="1620" w:type="dxa"/>
            <w:vAlign w:val="bottom"/>
            <w:vMerge w:val="restart"/>
            <w:shd w:val="clear" w:color="auto" w:fill="1928A0"/>
          </w:tcPr>
          <w:p>
            <w:pPr>
              <w:jc w:val="right"/>
              <w:ind w:right="419"/>
              <w:spacing w:after="0"/>
              <w:rPr>
                <w:sz w:val="20"/>
                <w:szCs w:val="20"/>
                <w:color w:val="auto"/>
              </w:rPr>
            </w:pPr>
            <w:r>
              <w:rPr>
                <w:rFonts w:ascii="Arial" w:cs="Arial" w:eastAsia="Arial" w:hAnsi="Arial"/>
                <w:sz w:val="13"/>
                <w:szCs w:val="13"/>
                <w:b w:val="1"/>
                <w:bCs w:val="1"/>
                <w:color w:val="FFFFFF"/>
              </w:rPr>
              <w:t>August 2, 2025</w:t>
            </w:r>
          </w:p>
        </w:tc>
        <w:tc>
          <w:tcPr>
            <w:tcW w:w="320" w:type="dxa"/>
            <w:vAlign w:val="bottom"/>
            <w:shd w:val="clear" w:color="auto" w:fill="1928A0"/>
          </w:tcPr>
          <w:p>
            <w:pPr>
              <w:spacing w:after="0"/>
              <w:rPr>
                <w:sz w:val="6"/>
                <w:szCs w:val="6"/>
                <w:color w:val="auto"/>
              </w:rPr>
            </w:pPr>
          </w:p>
        </w:tc>
        <w:tc>
          <w:tcPr>
            <w:tcW w:w="1720" w:type="dxa"/>
            <w:vAlign w:val="bottom"/>
            <w:vMerge w:val="restart"/>
            <w:shd w:val="clear" w:color="auto" w:fill="1928A0"/>
          </w:tcPr>
          <w:p>
            <w:pPr>
              <w:jc w:val="right"/>
              <w:ind w:right="499"/>
              <w:spacing w:after="0"/>
              <w:rPr>
                <w:sz w:val="20"/>
                <w:szCs w:val="20"/>
                <w:color w:val="auto"/>
              </w:rPr>
            </w:pPr>
            <w:r>
              <w:rPr>
                <w:rFonts w:ascii="Arial" w:cs="Arial" w:eastAsia="Arial" w:hAnsi="Arial"/>
                <w:sz w:val="13"/>
                <w:szCs w:val="13"/>
                <w:b w:val="1"/>
                <w:bCs w:val="1"/>
                <w:color w:val="FFFFFF"/>
              </w:rPr>
              <w:t>August 3, 2024</w:t>
            </w:r>
          </w:p>
        </w:tc>
        <w:tc>
          <w:tcPr>
            <w:tcW w:w="1420" w:type="dxa"/>
            <w:vAlign w:val="bottom"/>
            <w:tcBorders>
              <w:right w:val="single" w:sz="8" w:color="auto"/>
            </w:tcBorders>
            <w:vMerge w:val="restart"/>
            <w:shd w:val="clear" w:color="auto" w:fill="1928A0"/>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38"/>
        </w:trPr>
        <w:tc>
          <w:tcPr>
            <w:tcW w:w="4360" w:type="dxa"/>
            <w:vAlign w:val="bottom"/>
            <w:tcBorders>
              <w:left w:val="single" w:sz="8" w:color="auto"/>
              <w:bottom w:val="single" w:sz="8" w:color="DBDBDB"/>
            </w:tcBorders>
            <w:shd w:val="clear" w:color="auto" w:fill="1928A0"/>
          </w:tcPr>
          <w:p>
            <w:pPr>
              <w:spacing w:after="0"/>
              <w:rPr>
                <w:sz w:val="20"/>
                <w:szCs w:val="20"/>
                <w:color w:val="auto"/>
              </w:rPr>
            </w:pPr>
            <w:r>
              <w:rPr>
                <w:rFonts w:ascii="Arial" w:cs="Arial" w:eastAsia="Arial" w:hAnsi="Arial"/>
                <w:sz w:val="8"/>
                <w:szCs w:val="8"/>
                <w:b w:val="1"/>
                <w:bCs w:val="1"/>
                <w:color w:val="FFFFFF"/>
              </w:rPr>
              <w:t>($ in millions, except per share data)</w:t>
            </w:r>
          </w:p>
        </w:tc>
        <w:tc>
          <w:tcPr>
            <w:tcW w:w="280" w:type="dxa"/>
            <w:vAlign w:val="bottom"/>
            <w:tcBorders>
              <w:bottom w:val="single" w:sz="8" w:color="auto"/>
            </w:tcBorders>
            <w:shd w:val="clear" w:color="auto" w:fill="1928A0"/>
          </w:tcPr>
          <w:p>
            <w:pPr>
              <w:spacing w:after="0"/>
              <w:rPr>
                <w:sz w:val="12"/>
                <w:szCs w:val="12"/>
                <w:color w:val="auto"/>
              </w:rPr>
            </w:pPr>
          </w:p>
        </w:tc>
        <w:tc>
          <w:tcPr>
            <w:tcW w:w="1620" w:type="dxa"/>
            <w:vAlign w:val="bottom"/>
            <w:tcBorders>
              <w:bottom w:val="single" w:sz="8" w:color="auto"/>
            </w:tcBorders>
            <w:vMerge w:val="continue"/>
            <w:shd w:val="clear" w:color="auto" w:fill="1928A0"/>
          </w:tcPr>
          <w:p>
            <w:pPr>
              <w:spacing w:after="0"/>
              <w:rPr>
                <w:sz w:val="12"/>
                <w:szCs w:val="12"/>
                <w:color w:val="auto"/>
              </w:rPr>
            </w:pPr>
          </w:p>
        </w:tc>
        <w:tc>
          <w:tcPr>
            <w:tcW w:w="320" w:type="dxa"/>
            <w:vAlign w:val="bottom"/>
            <w:tcBorders>
              <w:bottom w:val="single" w:sz="8" w:color="auto"/>
            </w:tcBorders>
            <w:shd w:val="clear" w:color="auto" w:fill="1928A0"/>
          </w:tcPr>
          <w:p>
            <w:pPr>
              <w:spacing w:after="0"/>
              <w:rPr>
                <w:sz w:val="12"/>
                <w:szCs w:val="12"/>
                <w:color w:val="auto"/>
              </w:rPr>
            </w:pPr>
          </w:p>
        </w:tc>
        <w:tc>
          <w:tcPr>
            <w:tcW w:w="1720" w:type="dxa"/>
            <w:vAlign w:val="bottom"/>
            <w:tcBorders>
              <w:bottom w:val="single" w:sz="8" w:color="auto"/>
            </w:tcBorders>
            <w:vMerge w:val="continue"/>
            <w:shd w:val="clear" w:color="auto" w:fill="1928A0"/>
          </w:tcPr>
          <w:p>
            <w:pPr>
              <w:spacing w:after="0"/>
              <w:rPr>
                <w:sz w:val="12"/>
                <w:szCs w:val="12"/>
                <w:color w:val="auto"/>
              </w:rPr>
            </w:pPr>
          </w:p>
        </w:tc>
        <w:tc>
          <w:tcPr>
            <w:tcW w:w="1420" w:type="dxa"/>
            <w:vAlign w:val="bottom"/>
            <w:tcBorders>
              <w:bottom w:val="single" w:sz="8" w:color="DBDBDB"/>
              <w:right w:val="single" w:sz="8" w:color="auto"/>
            </w:tcBorders>
            <w:vMerge w:val="continue"/>
            <w:shd w:val="clear" w:color="auto" w:fill="1928A0"/>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360" w:type="dxa"/>
            <w:vAlign w:val="bottom"/>
            <w:tcBorders>
              <w:left w:val="single" w:sz="8" w:color="auto"/>
            </w:tcBorders>
            <w:shd w:val="clear" w:color="auto" w:fill="DBDBDB"/>
          </w:tcPr>
          <w:p>
            <w:pPr>
              <w:spacing w:after="0"/>
              <w:rPr>
                <w:sz w:val="20"/>
                <w:szCs w:val="20"/>
                <w:color w:val="auto"/>
              </w:rPr>
            </w:pPr>
            <w:r>
              <w:rPr>
                <w:rFonts w:ascii="Arial" w:cs="Arial" w:eastAsia="Arial" w:hAnsi="Arial"/>
                <w:sz w:val="12"/>
                <w:szCs w:val="12"/>
                <w:color w:val="auto"/>
              </w:rPr>
              <w:t>Net sales</w:t>
            </w:r>
          </w:p>
        </w:tc>
        <w:tc>
          <w:tcPr>
            <w:tcW w:w="280" w:type="dxa"/>
            <w:vAlign w:val="bottom"/>
            <w:shd w:val="clear" w:color="auto" w:fill="DBDBDB"/>
          </w:tcPr>
          <w:p>
            <w:pPr>
              <w:jc w:val="right"/>
              <w:ind w:right="140"/>
              <w:spacing w:after="0"/>
              <w:rPr>
                <w:sz w:val="20"/>
                <w:szCs w:val="20"/>
                <w:color w:val="auto"/>
              </w:rPr>
            </w:pPr>
            <w:r>
              <w:rPr>
                <w:rFonts w:ascii="Arial" w:cs="Arial" w:eastAsia="Arial" w:hAnsi="Arial"/>
                <w:sz w:val="12"/>
                <w:szCs w:val="12"/>
                <w:color w:val="auto"/>
                <w:w w:val="89"/>
              </w:rPr>
              <w:t>$</w:t>
            </w:r>
          </w:p>
        </w:tc>
        <w:tc>
          <w:tcPr>
            <w:tcW w:w="1620" w:type="dxa"/>
            <w:vAlign w:val="bottom"/>
            <w:shd w:val="clear" w:color="auto" w:fill="DBDBDB"/>
          </w:tcPr>
          <w:p>
            <w:pPr>
              <w:jc w:val="right"/>
              <w:ind w:right="99"/>
              <w:spacing w:after="0"/>
              <w:rPr>
                <w:sz w:val="20"/>
                <w:szCs w:val="20"/>
                <w:color w:val="auto"/>
              </w:rPr>
            </w:pPr>
            <w:r>
              <w:rPr>
                <w:rFonts w:ascii="Arial" w:cs="Arial" w:eastAsia="Arial" w:hAnsi="Arial"/>
                <w:sz w:val="12"/>
                <w:szCs w:val="12"/>
                <w:color w:val="auto"/>
              </w:rPr>
              <w:t>1,599.8</w:t>
            </w:r>
          </w:p>
        </w:tc>
        <w:tc>
          <w:tcPr>
            <w:tcW w:w="320" w:type="dxa"/>
            <w:vAlign w:val="bottom"/>
            <w:shd w:val="clear" w:color="auto" w:fill="DBDBDB"/>
          </w:tcPr>
          <w:p>
            <w:pPr>
              <w:jc w:val="center"/>
              <w:ind w:right="160"/>
              <w:spacing w:after="0"/>
              <w:rPr>
                <w:sz w:val="20"/>
                <w:szCs w:val="20"/>
                <w:color w:val="auto"/>
              </w:rPr>
            </w:pPr>
            <w:r>
              <w:rPr>
                <w:rFonts w:ascii="Arial" w:cs="Arial" w:eastAsia="Arial" w:hAnsi="Arial"/>
                <w:sz w:val="12"/>
                <w:szCs w:val="12"/>
                <w:color w:val="auto"/>
                <w:w w:val="89"/>
              </w:rPr>
              <w:t>$</w:t>
            </w:r>
          </w:p>
        </w:tc>
        <w:tc>
          <w:tcPr>
            <w:tcW w:w="172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rPr>
              <w:t>1,549.0</w:t>
            </w:r>
          </w:p>
        </w:tc>
        <w:tc>
          <w:tcPr>
            <w:tcW w:w="142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4"/>
              </w:rPr>
              <w:t>3.3%</w:t>
            </w:r>
          </w:p>
        </w:tc>
        <w:tc>
          <w:tcPr>
            <w:tcW w:w="0" w:type="dxa"/>
            <w:vAlign w:val="bottom"/>
          </w:tcPr>
          <w:p>
            <w:pPr>
              <w:spacing w:after="0"/>
              <w:rPr>
                <w:sz w:val="1"/>
                <w:szCs w:val="1"/>
                <w:color w:val="auto"/>
              </w:rPr>
            </w:pPr>
          </w:p>
        </w:tc>
      </w:tr>
      <w:tr>
        <w:trPr>
          <w:trHeight w:val="172"/>
        </w:trPr>
        <w:tc>
          <w:tcPr>
            <w:tcW w:w="4360" w:type="dxa"/>
            <w:vAlign w:val="bottom"/>
            <w:tcBorders>
              <w:left w:val="single" w:sz="8" w:color="auto"/>
            </w:tcBorders>
          </w:tcPr>
          <w:p>
            <w:pPr>
              <w:spacing w:after="0"/>
              <w:rPr>
                <w:sz w:val="20"/>
                <w:szCs w:val="20"/>
                <w:color w:val="auto"/>
              </w:rPr>
            </w:pPr>
            <w:r>
              <w:rPr>
                <w:rFonts w:ascii="Arial" w:cs="Arial" w:eastAsia="Arial" w:hAnsi="Arial"/>
                <w:sz w:val="12"/>
                <w:szCs w:val="12"/>
                <w:color w:val="auto"/>
              </w:rPr>
              <w:t>Comparable sales</w:t>
            </w:r>
          </w:p>
        </w:tc>
        <w:tc>
          <w:tcPr>
            <w:tcW w:w="2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0.2 %</w:t>
            </w:r>
          </w:p>
        </w:tc>
        <w:tc>
          <w:tcPr>
            <w:tcW w:w="3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2"/>
                <w:szCs w:val="12"/>
                <w:color w:val="auto"/>
              </w:rPr>
              <w:t>(6.9)%</w:t>
            </w:r>
          </w:p>
        </w:tc>
        <w:tc>
          <w:tcPr>
            <w:tcW w:w="1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360" w:type="dxa"/>
            <w:vAlign w:val="bottom"/>
            <w:tcBorders>
              <w:left w:val="single" w:sz="8" w:color="auto"/>
            </w:tcBorders>
            <w:shd w:val="clear" w:color="auto" w:fill="DBDBDB"/>
          </w:tcPr>
          <w:p>
            <w:pPr>
              <w:spacing w:after="0"/>
              <w:rPr>
                <w:sz w:val="20"/>
                <w:szCs w:val="20"/>
                <w:color w:val="auto"/>
              </w:rPr>
            </w:pPr>
            <w:r>
              <w:rPr>
                <w:rFonts w:ascii="Arial" w:cs="Arial" w:eastAsia="Arial" w:hAnsi="Arial"/>
                <w:sz w:val="12"/>
                <w:szCs w:val="12"/>
                <w:color w:val="auto"/>
              </w:rPr>
              <w:t>Income before income tax</w:t>
            </w:r>
          </w:p>
        </w:tc>
        <w:tc>
          <w:tcPr>
            <w:tcW w:w="280" w:type="dxa"/>
            <w:vAlign w:val="bottom"/>
            <w:shd w:val="clear" w:color="auto" w:fill="DBDBDB"/>
          </w:tcPr>
          <w:p>
            <w:pPr>
              <w:jc w:val="right"/>
              <w:ind w:right="140"/>
              <w:spacing w:after="0"/>
              <w:rPr>
                <w:sz w:val="20"/>
                <w:szCs w:val="20"/>
                <w:color w:val="auto"/>
              </w:rPr>
            </w:pPr>
            <w:r>
              <w:rPr>
                <w:rFonts w:ascii="Arial" w:cs="Arial" w:eastAsia="Arial" w:hAnsi="Arial"/>
                <w:sz w:val="12"/>
                <w:szCs w:val="12"/>
                <w:color w:val="auto"/>
                <w:w w:val="89"/>
              </w:rPr>
              <w:t>$</w:t>
            </w:r>
          </w:p>
        </w:tc>
        <w:tc>
          <w:tcPr>
            <w:tcW w:w="1620" w:type="dxa"/>
            <w:vAlign w:val="bottom"/>
            <w:shd w:val="clear" w:color="auto" w:fill="DBDBDB"/>
          </w:tcPr>
          <w:p>
            <w:pPr>
              <w:jc w:val="right"/>
              <w:ind w:right="99"/>
              <w:spacing w:after="0"/>
              <w:rPr>
                <w:sz w:val="20"/>
                <w:szCs w:val="20"/>
                <w:color w:val="auto"/>
              </w:rPr>
            </w:pPr>
            <w:r>
              <w:rPr>
                <w:rFonts w:ascii="Arial" w:cs="Arial" w:eastAsia="Arial" w:hAnsi="Arial"/>
                <w:sz w:val="12"/>
                <w:szCs w:val="12"/>
                <w:color w:val="auto"/>
              </w:rPr>
              <w:t>164.8</w:t>
            </w:r>
          </w:p>
        </w:tc>
        <w:tc>
          <w:tcPr>
            <w:tcW w:w="320" w:type="dxa"/>
            <w:vAlign w:val="bottom"/>
            <w:shd w:val="clear" w:color="auto" w:fill="DBDBDB"/>
          </w:tcPr>
          <w:p>
            <w:pPr>
              <w:jc w:val="center"/>
              <w:ind w:right="160"/>
              <w:spacing w:after="0"/>
              <w:rPr>
                <w:sz w:val="20"/>
                <w:szCs w:val="20"/>
                <w:color w:val="auto"/>
              </w:rPr>
            </w:pPr>
            <w:r>
              <w:rPr>
                <w:rFonts w:ascii="Arial" w:cs="Arial" w:eastAsia="Arial" w:hAnsi="Arial"/>
                <w:sz w:val="12"/>
                <w:szCs w:val="12"/>
                <w:color w:val="auto"/>
                <w:w w:val="89"/>
              </w:rPr>
              <w:t>$</w:t>
            </w:r>
          </w:p>
        </w:tc>
        <w:tc>
          <w:tcPr>
            <w:tcW w:w="172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rPr>
              <w:t>186.5</w:t>
            </w:r>
          </w:p>
        </w:tc>
        <w:tc>
          <w:tcPr>
            <w:tcW w:w="142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9"/>
              </w:rPr>
              <w:t>(11.6)%</w:t>
            </w:r>
          </w:p>
        </w:tc>
        <w:tc>
          <w:tcPr>
            <w:tcW w:w="0" w:type="dxa"/>
            <w:vAlign w:val="bottom"/>
          </w:tcPr>
          <w:p>
            <w:pPr>
              <w:spacing w:after="0"/>
              <w:rPr>
                <w:sz w:val="1"/>
                <w:szCs w:val="1"/>
                <w:color w:val="auto"/>
              </w:rPr>
            </w:pPr>
          </w:p>
        </w:tc>
      </w:tr>
      <w:tr>
        <w:trPr>
          <w:trHeight w:val="172"/>
        </w:trPr>
        <w:tc>
          <w:tcPr>
            <w:tcW w:w="4360" w:type="dxa"/>
            <w:vAlign w:val="bottom"/>
            <w:tcBorders>
              <w:left w:val="single" w:sz="8" w:color="auto"/>
            </w:tcBorders>
          </w:tcPr>
          <w:p>
            <w:pPr>
              <w:spacing w:after="0"/>
              <w:rPr>
                <w:sz w:val="20"/>
                <w:szCs w:val="20"/>
                <w:color w:val="auto"/>
              </w:rPr>
            </w:pPr>
            <w:r>
              <w:rPr>
                <w:rFonts w:ascii="Arial" w:cs="Arial" w:eastAsia="Arial" w:hAnsi="Arial"/>
                <w:sz w:val="12"/>
                <w:szCs w:val="12"/>
                <w:color w:val="auto"/>
              </w:rPr>
              <w:t>Net income</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620" w:type="dxa"/>
            <w:vAlign w:val="bottom"/>
          </w:tcPr>
          <w:p>
            <w:pPr>
              <w:jc w:val="right"/>
              <w:ind w:right="99"/>
              <w:spacing w:after="0"/>
              <w:rPr>
                <w:sz w:val="20"/>
                <w:szCs w:val="20"/>
                <w:color w:val="auto"/>
              </w:rPr>
            </w:pPr>
            <w:r>
              <w:rPr>
                <w:rFonts w:ascii="Arial" w:cs="Arial" w:eastAsia="Arial" w:hAnsi="Arial"/>
                <w:sz w:val="12"/>
                <w:szCs w:val="12"/>
                <w:color w:val="auto"/>
              </w:rPr>
              <w:t>125.4</w:t>
            </w:r>
          </w:p>
        </w:tc>
        <w:tc>
          <w:tcPr>
            <w:tcW w:w="320" w:type="dxa"/>
            <w:vAlign w:val="bottom"/>
          </w:tcPr>
          <w:p>
            <w:pPr>
              <w:jc w:val="center"/>
              <w:ind w:right="160"/>
              <w:spacing w:after="0"/>
              <w:rPr>
                <w:sz w:val="20"/>
                <w:szCs w:val="20"/>
                <w:color w:val="auto"/>
              </w:rPr>
            </w:pPr>
            <w:r>
              <w:rPr>
                <w:rFonts w:ascii="Arial" w:cs="Arial" w:eastAsia="Arial" w:hAnsi="Arial"/>
                <w:sz w:val="12"/>
                <w:szCs w:val="12"/>
                <w:color w:val="auto"/>
                <w:w w:val="89"/>
              </w:rPr>
              <w:t>$</w:t>
            </w:r>
          </w:p>
        </w:tc>
        <w:tc>
          <w:tcPr>
            <w:tcW w:w="1720" w:type="dxa"/>
            <w:vAlign w:val="bottom"/>
          </w:tcPr>
          <w:p>
            <w:pPr>
              <w:jc w:val="right"/>
              <w:ind w:right="119"/>
              <w:spacing w:after="0"/>
              <w:rPr>
                <w:sz w:val="20"/>
                <w:szCs w:val="20"/>
                <w:color w:val="auto"/>
              </w:rPr>
            </w:pPr>
            <w:r>
              <w:rPr>
                <w:rFonts w:ascii="Arial" w:cs="Arial" w:eastAsia="Arial" w:hAnsi="Arial"/>
                <w:sz w:val="12"/>
                <w:szCs w:val="12"/>
                <w:color w:val="auto"/>
              </w:rPr>
              <w:t>142.6</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(12.1)%</w:t>
            </w:r>
          </w:p>
        </w:tc>
        <w:tc>
          <w:tcPr>
            <w:tcW w:w="0" w:type="dxa"/>
            <w:vAlign w:val="bottom"/>
          </w:tcPr>
          <w:p>
            <w:pPr>
              <w:spacing w:after="0"/>
              <w:rPr>
                <w:sz w:val="1"/>
                <w:szCs w:val="1"/>
                <w:color w:val="auto"/>
              </w:rPr>
            </w:pPr>
          </w:p>
        </w:tc>
      </w:tr>
      <w:tr>
        <w:trPr>
          <w:trHeight w:val="188"/>
        </w:trPr>
        <w:tc>
          <w:tcPr>
            <w:tcW w:w="4360" w:type="dxa"/>
            <w:vAlign w:val="bottom"/>
            <w:tcBorders>
              <w:left w:val="single" w:sz="8" w:color="auto"/>
            </w:tcBorders>
            <w:shd w:val="clear" w:color="auto" w:fill="DBDBDB"/>
          </w:tcPr>
          <w:p>
            <w:pPr>
              <w:spacing w:after="0"/>
              <w:rPr>
                <w:sz w:val="20"/>
                <w:szCs w:val="20"/>
                <w:color w:val="auto"/>
              </w:rPr>
            </w:pPr>
            <w:r>
              <w:rPr>
                <w:rFonts w:ascii="Arial" w:cs="Arial" w:eastAsia="Arial" w:hAnsi="Arial"/>
                <w:sz w:val="12"/>
                <w:szCs w:val="12"/>
                <w:color w:val="auto"/>
              </w:rPr>
              <w:t xml:space="preserve">Adjusted net income </w:t>
            </w:r>
            <w:r>
              <w:rPr>
                <w:rFonts w:ascii="Arial" w:cs="Arial" w:eastAsia="Arial" w:hAnsi="Arial"/>
                <w:sz w:val="15"/>
                <w:szCs w:val="15"/>
                <w:color w:val="auto"/>
                <w:vertAlign w:val="superscript"/>
              </w:rPr>
              <w:t>(1)</w:t>
            </w:r>
          </w:p>
        </w:tc>
        <w:tc>
          <w:tcPr>
            <w:tcW w:w="280" w:type="dxa"/>
            <w:vAlign w:val="bottom"/>
            <w:shd w:val="clear" w:color="auto" w:fill="DBDBDB"/>
          </w:tcPr>
          <w:p>
            <w:pPr>
              <w:jc w:val="right"/>
              <w:ind w:right="140"/>
              <w:spacing w:after="0"/>
              <w:rPr>
                <w:sz w:val="20"/>
                <w:szCs w:val="20"/>
                <w:color w:val="auto"/>
              </w:rPr>
            </w:pPr>
            <w:r>
              <w:rPr>
                <w:rFonts w:ascii="Arial" w:cs="Arial" w:eastAsia="Arial" w:hAnsi="Arial"/>
                <w:sz w:val="12"/>
                <w:szCs w:val="12"/>
                <w:color w:val="auto"/>
                <w:w w:val="89"/>
              </w:rPr>
              <w:t>$</w:t>
            </w:r>
          </w:p>
        </w:tc>
        <w:tc>
          <w:tcPr>
            <w:tcW w:w="1620" w:type="dxa"/>
            <w:vAlign w:val="bottom"/>
            <w:shd w:val="clear" w:color="auto" w:fill="DBDBDB"/>
          </w:tcPr>
          <w:p>
            <w:pPr>
              <w:jc w:val="right"/>
              <w:ind w:right="99"/>
              <w:spacing w:after="0"/>
              <w:rPr>
                <w:sz w:val="20"/>
                <w:szCs w:val="20"/>
                <w:color w:val="auto"/>
              </w:rPr>
            </w:pPr>
            <w:r>
              <w:rPr>
                <w:rFonts w:ascii="Arial" w:cs="Arial" w:eastAsia="Arial" w:hAnsi="Arial"/>
                <w:sz w:val="12"/>
                <w:szCs w:val="12"/>
                <w:color w:val="auto"/>
              </w:rPr>
              <w:t>131.3</w:t>
            </w:r>
          </w:p>
        </w:tc>
        <w:tc>
          <w:tcPr>
            <w:tcW w:w="320" w:type="dxa"/>
            <w:vAlign w:val="bottom"/>
            <w:shd w:val="clear" w:color="auto" w:fill="DBDBDB"/>
          </w:tcPr>
          <w:p>
            <w:pPr>
              <w:jc w:val="center"/>
              <w:ind w:right="160"/>
              <w:spacing w:after="0"/>
              <w:rPr>
                <w:sz w:val="20"/>
                <w:szCs w:val="20"/>
                <w:color w:val="auto"/>
              </w:rPr>
            </w:pPr>
            <w:r>
              <w:rPr>
                <w:rFonts w:ascii="Arial" w:cs="Arial" w:eastAsia="Arial" w:hAnsi="Arial"/>
                <w:sz w:val="12"/>
                <w:szCs w:val="12"/>
                <w:color w:val="auto"/>
                <w:w w:val="89"/>
              </w:rPr>
              <w:t>$</w:t>
            </w:r>
          </w:p>
        </w:tc>
        <w:tc>
          <w:tcPr>
            <w:tcW w:w="172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rPr>
              <w:t>148.6</w:t>
            </w:r>
          </w:p>
        </w:tc>
        <w:tc>
          <w:tcPr>
            <w:tcW w:w="142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9"/>
              </w:rPr>
              <w:t>(11.6)%</w:t>
            </w:r>
          </w:p>
        </w:tc>
        <w:tc>
          <w:tcPr>
            <w:tcW w:w="0" w:type="dxa"/>
            <w:vAlign w:val="bottom"/>
          </w:tcPr>
          <w:p>
            <w:pPr>
              <w:spacing w:after="0"/>
              <w:rPr>
                <w:sz w:val="1"/>
                <w:szCs w:val="1"/>
                <w:color w:val="auto"/>
              </w:rPr>
            </w:pPr>
          </w:p>
        </w:tc>
      </w:tr>
      <w:tr>
        <w:trPr>
          <w:trHeight w:val="172"/>
        </w:trPr>
        <w:tc>
          <w:tcPr>
            <w:tcW w:w="4360" w:type="dxa"/>
            <w:vAlign w:val="bottom"/>
            <w:tcBorders>
              <w:left w:val="single" w:sz="8" w:color="auto"/>
            </w:tcBorders>
          </w:tcPr>
          <w:p>
            <w:pPr>
              <w:spacing w:after="0"/>
              <w:rPr>
                <w:sz w:val="20"/>
                <w:szCs w:val="20"/>
                <w:color w:val="auto"/>
              </w:rPr>
            </w:pPr>
            <w:r>
              <w:rPr>
                <w:rFonts w:ascii="Arial" w:cs="Arial" w:eastAsia="Arial" w:hAnsi="Arial"/>
                <w:sz w:val="12"/>
                <w:szCs w:val="12"/>
                <w:color w:val="auto"/>
              </w:rPr>
              <w:t>Earnings per common share, diluted</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620" w:type="dxa"/>
            <w:vAlign w:val="bottom"/>
          </w:tcPr>
          <w:p>
            <w:pPr>
              <w:jc w:val="right"/>
              <w:ind w:right="99"/>
              <w:spacing w:after="0"/>
              <w:rPr>
                <w:sz w:val="20"/>
                <w:szCs w:val="20"/>
                <w:color w:val="auto"/>
              </w:rPr>
            </w:pPr>
            <w:r>
              <w:rPr>
                <w:rFonts w:ascii="Arial" w:cs="Arial" w:eastAsia="Arial" w:hAnsi="Arial"/>
                <w:sz w:val="12"/>
                <w:szCs w:val="12"/>
                <w:color w:val="auto"/>
              </w:rPr>
              <w:t>1.85</w:t>
            </w:r>
          </w:p>
        </w:tc>
        <w:tc>
          <w:tcPr>
            <w:tcW w:w="320" w:type="dxa"/>
            <w:vAlign w:val="bottom"/>
          </w:tcPr>
          <w:p>
            <w:pPr>
              <w:jc w:val="center"/>
              <w:ind w:right="160"/>
              <w:spacing w:after="0"/>
              <w:rPr>
                <w:sz w:val="20"/>
                <w:szCs w:val="20"/>
                <w:color w:val="auto"/>
              </w:rPr>
            </w:pPr>
            <w:r>
              <w:rPr>
                <w:rFonts w:ascii="Arial" w:cs="Arial" w:eastAsia="Arial" w:hAnsi="Arial"/>
                <w:sz w:val="12"/>
                <w:szCs w:val="12"/>
                <w:color w:val="auto"/>
                <w:w w:val="89"/>
              </w:rPr>
              <w:t>$</w:t>
            </w:r>
          </w:p>
        </w:tc>
        <w:tc>
          <w:tcPr>
            <w:tcW w:w="1720" w:type="dxa"/>
            <w:vAlign w:val="bottom"/>
          </w:tcPr>
          <w:p>
            <w:pPr>
              <w:jc w:val="right"/>
              <w:ind w:right="119"/>
              <w:spacing w:after="0"/>
              <w:rPr>
                <w:sz w:val="20"/>
                <w:szCs w:val="20"/>
                <w:color w:val="auto"/>
              </w:rPr>
            </w:pPr>
            <w:r>
              <w:rPr>
                <w:rFonts w:ascii="Arial" w:cs="Arial" w:eastAsia="Arial" w:hAnsi="Arial"/>
                <w:sz w:val="12"/>
                <w:szCs w:val="12"/>
                <w:color w:val="auto"/>
              </w:rPr>
              <w:t>1.95</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(5.1)%</w:t>
            </w:r>
          </w:p>
        </w:tc>
        <w:tc>
          <w:tcPr>
            <w:tcW w:w="0" w:type="dxa"/>
            <w:vAlign w:val="bottom"/>
          </w:tcPr>
          <w:p>
            <w:pPr>
              <w:spacing w:after="0"/>
              <w:rPr>
                <w:sz w:val="1"/>
                <w:szCs w:val="1"/>
                <w:color w:val="auto"/>
              </w:rPr>
            </w:pPr>
          </w:p>
        </w:tc>
      </w:tr>
      <w:tr>
        <w:trPr>
          <w:trHeight w:val="188"/>
        </w:trPr>
        <w:tc>
          <w:tcPr>
            <w:tcW w:w="4360" w:type="dxa"/>
            <w:vAlign w:val="bottom"/>
            <w:tcBorders>
              <w:left w:val="single" w:sz="8" w:color="auto"/>
              <w:bottom w:val="single" w:sz="8" w:color="auto"/>
            </w:tcBorders>
            <w:shd w:val="clear" w:color="auto" w:fill="DBDBDB"/>
          </w:tcPr>
          <w:p>
            <w:pPr>
              <w:spacing w:after="0"/>
              <w:rPr>
                <w:sz w:val="20"/>
                <w:szCs w:val="20"/>
                <w:color w:val="auto"/>
              </w:rPr>
            </w:pPr>
            <w:r>
              <w:rPr>
                <w:rFonts w:ascii="Arial" w:cs="Arial" w:eastAsia="Arial" w:hAnsi="Arial"/>
                <w:sz w:val="12"/>
                <w:szCs w:val="12"/>
                <w:color w:val="auto"/>
              </w:rPr>
              <w:t xml:space="preserve">Adjusted earnings per common share, diluted </w:t>
            </w:r>
            <w:r>
              <w:rPr>
                <w:rFonts w:ascii="Arial" w:cs="Arial" w:eastAsia="Arial" w:hAnsi="Arial"/>
                <w:sz w:val="15"/>
                <w:szCs w:val="15"/>
                <w:color w:val="auto"/>
                <w:vertAlign w:val="superscript"/>
              </w:rPr>
              <w:t>(1)</w:t>
            </w:r>
          </w:p>
        </w:tc>
        <w:tc>
          <w:tcPr>
            <w:tcW w:w="280" w:type="dxa"/>
            <w:vAlign w:val="bottom"/>
            <w:tcBorders>
              <w:bottom w:val="single" w:sz="8" w:color="auto"/>
            </w:tcBorders>
            <w:shd w:val="clear" w:color="auto" w:fill="DBDBDB"/>
          </w:tcPr>
          <w:p>
            <w:pPr>
              <w:jc w:val="right"/>
              <w:ind w:right="140"/>
              <w:spacing w:after="0"/>
              <w:rPr>
                <w:sz w:val="20"/>
                <w:szCs w:val="20"/>
                <w:color w:val="auto"/>
              </w:rPr>
            </w:pPr>
            <w:r>
              <w:rPr>
                <w:rFonts w:ascii="Arial" w:cs="Arial" w:eastAsia="Arial" w:hAnsi="Arial"/>
                <w:sz w:val="12"/>
                <w:szCs w:val="12"/>
                <w:color w:val="auto"/>
                <w:w w:val="89"/>
              </w:rPr>
              <w:t>$</w:t>
            </w:r>
          </w:p>
        </w:tc>
        <w:tc>
          <w:tcPr>
            <w:tcW w:w="162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2"/>
                <w:szCs w:val="12"/>
                <w:color w:val="auto"/>
              </w:rPr>
              <w:t>1.94</w:t>
            </w:r>
          </w:p>
        </w:tc>
        <w:tc>
          <w:tcPr>
            <w:tcW w:w="320" w:type="dxa"/>
            <w:vAlign w:val="bottom"/>
            <w:tcBorders>
              <w:bottom w:val="single" w:sz="8" w:color="auto"/>
            </w:tcBorders>
            <w:shd w:val="clear" w:color="auto" w:fill="DBDBDB"/>
          </w:tcPr>
          <w:p>
            <w:pPr>
              <w:jc w:val="center"/>
              <w:ind w:right="160"/>
              <w:spacing w:after="0"/>
              <w:rPr>
                <w:sz w:val="20"/>
                <w:szCs w:val="20"/>
                <w:color w:val="auto"/>
              </w:rPr>
            </w:pPr>
            <w:r>
              <w:rPr>
                <w:rFonts w:ascii="Arial" w:cs="Arial" w:eastAsia="Arial" w:hAnsi="Arial"/>
                <w:sz w:val="12"/>
                <w:szCs w:val="12"/>
                <w:color w:val="auto"/>
                <w:w w:val="89"/>
              </w:rPr>
              <w:t>$</w:t>
            </w:r>
          </w:p>
        </w:tc>
        <w:tc>
          <w:tcPr>
            <w:tcW w:w="172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2"/>
                <w:szCs w:val="12"/>
                <w:color w:val="auto"/>
              </w:rPr>
              <w:t>2.03</w:t>
            </w:r>
          </w:p>
        </w:tc>
        <w:tc>
          <w:tcPr>
            <w:tcW w:w="14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6"/>
              </w:rPr>
              <w:t>(4.4)%</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540" w:right="220" w:hanging="116"/>
        <w:spacing w:after="0" w:line="281" w:lineRule="auto"/>
        <w:tabs>
          <w:tab w:leader="none" w:pos="558" w:val="left"/>
        </w:tabs>
        <w:numPr>
          <w:ilvl w:val="0"/>
          <w:numId w:val="2"/>
        </w:numPr>
        <w:rPr>
          <w:rFonts w:ascii="Arial" w:cs="Arial" w:eastAsia="Arial" w:hAnsi="Arial"/>
          <w:sz w:val="8"/>
          <w:szCs w:val="8"/>
          <w:color w:val="auto"/>
        </w:rPr>
      </w:pPr>
      <w:r>
        <w:rPr>
          <w:rFonts w:ascii="Arial" w:cs="Arial" w:eastAsia="Arial" w:hAnsi="Arial"/>
          <w:sz w:val="8"/>
          <w:szCs w:val="8"/>
          <w:color w:val="auto"/>
        </w:rPr>
        <w:t>Adjusted net income and Adjusted earnings per common share, diluted are non-GAAP measures. See "Non-GAAP Measures" and "Reconciliations of GAAP to Non-GAAP Financial Measures" below for reconciliations of non-GAAP financial measures to their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5824220</wp:posOffset>
            </wp:positionH>
            <wp:positionV relativeFrom="paragraph">
              <wp:posOffset>99695</wp:posOffset>
            </wp:positionV>
            <wp:extent cx="5715" cy="262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5" cy="262890"/>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99695</wp:posOffset>
            </wp:positionV>
            <wp:extent cx="5715" cy="262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15" cy="262890"/>
                    </a:xfrm>
                    <a:prstGeom prst="rect">
                      <a:avLst/>
                    </a:prstGeom>
                    <a:noFill/>
                  </pic:spPr>
                </pic:pic>
              </a:graphicData>
            </a:graphic>
          </wp:anchor>
        </w:drawing>
      </w:r>
    </w:p>
    <w:p>
      <w:pPr>
        <w:spacing w:after="0" w:line="117" w:lineRule="exact"/>
        <w:rPr>
          <w:sz w:val="20"/>
          <w:szCs w:val="20"/>
          <w:color w:val="auto"/>
        </w:rPr>
      </w:pPr>
    </w:p>
    <w:tbl>
      <w:tblPr>
        <w:tblLayout w:type="fixed"/>
        <w:tblInd w:w="710" w:type="dxa"/>
        <w:tblCellMar>
          <w:top w:w="0" w:type="dxa"/>
          <w:left w:w="0" w:type="dxa"/>
          <w:bottom w:w="0" w:type="dxa"/>
          <w:right w:w="0" w:type="dxa"/>
        </w:tblCellMar>
      </w:tblPr>
      <w:tr>
        <w:trPr>
          <w:trHeight w:val="192"/>
        </w:trPr>
        <w:tc>
          <w:tcPr>
            <w:tcW w:w="4500" w:type="dxa"/>
            <w:vAlign w:val="bottom"/>
            <w:tcBorders>
              <w:top w:val="single" w:sz="8" w:color="auto"/>
              <w:left w:val="single" w:sz="8" w:color="auto"/>
            </w:tcBorders>
            <w:shd w:val="clear" w:color="auto" w:fill="1928A0"/>
          </w:tcPr>
          <w:p>
            <w:pPr>
              <w:spacing w:after="0"/>
              <w:rPr>
                <w:sz w:val="16"/>
                <w:szCs w:val="16"/>
                <w:color w:val="auto"/>
              </w:rPr>
            </w:pPr>
          </w:p>
        </w:tc>
        <w:tc>
          <w:tcPr>
            <w:tcW w:w="320" w:type="dxa"/>
            <w:vAlign w:val="bottom"/>
            <w:tcBorders>
              <w:top w:val="single" w:sz="8" w:color="auto"/>
            </w:tcBorders>
            <w:shd w:val="clear" w:color="auto" w:fill="1928A0"/>
          </w:tcPr>
          <w:p>
            <w:pPr>
              <w:spacing w:after="0"/>
              <w:rPr>
                <w:sz w:val="16"/>
                <w:szCs w:val="16"/>
                <w:color w:val="auto"/>
              </w:rPr>
            </w:pPr>
          </w:p>
        </w:tc>
        <w:tc>
          <w:tcPr>
            <w:tcW w:w="3660" w:type="dxa"/>
            <w:vAlign w:val="bottom"/>
            <w:tcBorders>
              <w:top w:val="single" w:sz="8" w:color="auto"/>
            </w:tcBorders>
            <w:gridSpan w:val="3"/>
            <w:shd w:val="clear" w:color="auto" w:fill="1928A0"/>
          </w:tcPr>
          <w:p>
            <w:pPr>
              <w:jc w:val="right"/>
              <w:ind w:right="1139"/>
              <w:spacing w:after="0"/>
              <w:rPr>
                <w:sz w:val="20"/>
                <w:szCs w:val="20"/>
                <w:color w:val="auto"/>
              </w:rPr>
            </w:pPr>
            <w:r>
              <w:rPr>
                <w:rFonts w:ascii="Arial" w:cs="Arial" w:eastAsia="Arial" w:hAnsi="Arial"/>
                <w:sz w:val="13"/>
                <w:szCs w:val="13"/>
                <w:b w:val="1"/>
                <w:bCs w:val="1"/>
                <w:color w:val="FFFFFF"/>
              </w:rPr>
              <w:t>Twenty-Six Weeks Ended</w:t>
            </w:r>
          </w:p>
        </w:tc>
        <w:tc>
          <w:tcPr>
            <w:tcW w:w="1440" w:type="dxa"/>
            <w:vAlign w:val="bottom"/>
            <w:tcBorders>
              <w:top w:val="single" w:sz="8" w:color="auto"/>
              <w:right w:val="single" w:sz="8" w:color="auto"/>
            </w:tcBorders>
            <w:shd w:val="clear" w:color="auto" w:fill="1928A0"/>
          </w:tcPr>
          <w:p>
            <w:pPr>
              <w:jc w:val="right"/>
              <w:ind w:right="439"/>
              <w:spacing w:after="0"/>
              <w:rPr>
                <w:sz w:val="20"/>
                <w:szCs w:val="20"/>
                <w:color w:val="auto"/>
              </w:rPr>
            </w:pPr>
            <w:r>
              <w:rPr>
                <w:rFonts w:ascii="Arial" w:cs="Arial" w:eastAsia="Arial" w:hAnsi="Arial"/>
                <w:sz w:val="13"/>
                <w:szCs w:val="13"/>
                <w:b w:val="1"/>
                <w:bCs w:val="1"/>
                <w:color w:val="FFFFFF"/>
              </w:rPr>
              <w:t>Change</w:t>
            </w:r>
          </w:p>
        </w:tc>
      </w:tr>
      <w:tr>
        <w:trPr>
          <w:trHeight w:val="213"/>
        </w:trPr>
        <w:tc>
          <w:tcPr>
            <w:tcW w:w="4500" w:type="dxa"/>
            <w:vAlign w:val="bottom"/>
            <w:tcBorders>
              <w:left w:val="single" w:sz="8" w:color="auto"/>
              <w:bottom w:val="single" w:sz="8" w:color="DBDBDB"/>
            </w:tcBorders>
            <w:shd w:val="clear" w:color="auto" w:fill="1928A0"/>
          </w:tcPr>
          <w:p>
            <w:pPr>
              <w:ind w:left="20"/>
              <w:spacing w:after="0"/>
              <w:rPr>
                <w:sz w:val="20"/>
                <w:szCs w:val="20"/>
                <w:color w:val="auto"/>
              </w:rPr>
            </w:pPr>
            <w:r>
              <w:rPr>
                <w:rFonts w:ascii="Arial" w:cs="Arial" w:eastAsia="Arial" w:hAnsi="Arial"/>
                <w:sz w:val="13"/>
                <w:szCs w:val="13"/>
                <w:b w:val="1"/>
                <w:bCs w:val="1"/>
                <w:color w:val="FFFFFF"/>
              </w:rPr>
              <w:t xml:space="preserve">Year-to-Date Operating Results </w:t>
            </w:r>
            <w:r>
              <w:rPr>
                <w:rFonts w:ascii="Arial" w:cs="Arial" w:eastAsia="Arial" w:hAnsi="Arial"/>
                <w:sz w:val="9"/>
                <w:szCs w:val="9"/>
                <w:b w:val="1"/>
                <w:bCs w:val="1"/>
                <w:color w:val="FFFFFF"/>
              </w:rPr>
              <w:t>($ in millions, except per share data)</w:t>
            </w:r>
          </w:p>
        </w:tc>
        <w:tc>
          <w:tcPr>
            <w:tcW w:w="320" w:type="dxa"/>
            <w:vAlign w:val="bottom"/>
            <w:tcBorders>
              <w:bottom w:val="single" w:sz="8" w:color="auto"/>
            </w:tcBorders>
            <w:shd w:val="clear" w:color="auto" w:fill="1928A0"/>
          </w:tcPr>
          <w:p>
            <w:pPr>
              <w:spacing w:after="0"/>
              <w:rPr>
                <w:sz w:val="18"/>
                <w:szCs w:val="18"/>
                <w:color w:val="auto"/>
              </w:rPr>
            </w:pPr>
          </w:p>
        </w:tc>
        <w:tc>
          <w:tcPr>
            <w:tcW w:w="1700" w:type="dxa"/>
            <w:vAlign w:val="bottom"/>
            <w:tcBorders>
              <w:bottom w:val="single" w:sz="8" w:color="auto"/>
            </w:tcBorders>
            <w:shd w:val="clear" w:color="auto" w:fill="1928A0"/>
          </w:tcPr>
          <w:p>
            <w:pPr>
              <w:jc w:val="right"/>
              <w:ind w:right="479"/>
              <w:spacing w:after="0"/>
              <w:rPr>
                <w:sz w:val="20"/>
                <w:szCs w:val="20"/>
                <w:color w:val="auto"/>
              </w:rPr>
            </w:pPr>
            <w:r>
              <w:rPr>
                <w:rFonts w:ascii="Arial" w:cs="Arial" w:eastAsia="Arial" w:hAnsi="Arial"/>
                <w:sz w:val="13"/>
                <w:szCs w:val="13"/>
                <w:b w:val="1"/>
                <w:bCs w:val="1"/>
                <w:color w:val="FFFFFF"/>
              </w:rPr>
              <w:t>August 2, 2025</w:t>
            </w:r>
          </w:p>
        </w:tc>
        <w:tc>
          <w:tcPr>
            <w:tcW w:w="280" w:type="dxa"/>
            <w:vAlign w:val="bottom"/>
            <w:tcBorders>
              <w:bottom w:val="single" w:sz="8" w:color="auto"/>
            </w:tcBorders>
            <w:shd w:val="clear" w:color="auto" w:fill="1928A0"/>
          </w:tcPr>
          <w:p>
            <w:pPr>
              <w:spacing w:after="0"/>
              <w:rPr>
                <w:sz w:val="18"/>
                <w:szCs w:val="18"/>
                <w:color w:val="auto"/>
              </w:rPr>
            </w:pPr>
          </w:p>
        </w:tc>
        <w:tc>
          <w:tcPr>
            <w:tcW w:w="1680" w:type="dxa"/>
            <w:vAlign w:val="bottom"/>
            <w:tcBorders>
              <w:bottom w:val="single" w:sz="8" w:color="auto"/>
            </w:tcBorders>
            <w:shd w:val="clear" w:color="auto" w:fill="1928A0"/>
          </w:tcPr>
          <w:p>
            <w:pPr>
              <w:jc w:val="right"/>
              <w:ind w:right="459"/>
              <w:spacing w:after="0"/>
              <w:rPr>
                <w:sz w:val="20"/>
                <w:szCs w:val="20"/>
                <w:color w:val="auto"/>
              </w:rPr>
            </w:pPr>
            <w:r>
              <w:rPr>
                <w:rFonts w:ascii="Arial" w:cs="Arial" w:eastAsia="Arial" w:hAnsi="Arial"/>
                <w:sz w:val="13"/>
                <w:szCs w:val="13"/>
                <w:b w:val="1"/>
                <w:bCs w:val="1"/>
                <w:color w:val="FFFFFF"/>
              </w:rPr>
              <w:t>August 3, 2024</w:t>
            </w:r>
          </w:p>
        </w:tc>
        <w:tc>
          <w:tcPr>
            <w:tcW w:w="1440" w:type="dxa"/>
            <w:vAlign w:val="bottom"/>
            <w:tcBorders>
              <w:bottom w:val="single" w:sz="8" w:color="DBDBDB"/>
              <w:right w:val="single" w:sz="8" w:color="auto"/>
            </w:tcBorders>
            <w:shd w:val="clear" w:color="auto" w:fill="1928A0"/>
          </w:tcPr>
          <w:p>
            <w:pPr>
              <w:jc w:val="right"/>
              <w:ind w:right="619"/>
              <w:spacing w:after="0"/>
              <w:rPr>
                <w:sz w:val="20"/>
                <w:szCs w:val="20"/>
                <w:color w:val="auto"/>
              </w:rPr>
            </w:pPr>
            <w:r>
              <w:rPr>
                <w:rFonts w:ascii="Arial" w:cs="Arial" w:eastAsia="Arial" w:hAnsi="Arial"/>
                <w:sz w:val="13"/>
                <w:szCs w:val="13"/>
                <w:b w:val="1"/>
                <w:bCs w:val="1"/>
                <w:color w:val="FFFFFF"/>
              </w:rPr>
              <w:t>%</w:t>
            </w:r>
          </w:p>
        </w:tc>
      </w:tr>
      <w:tr>
        <w:trPr>
          <w:trHeight w:val="169"/>
        </w:trPr>
        <w:tc>
          <w:tcPr>
            <w:tcW w:w="450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2"/>
                <w:szCs w:val="12"/>
                <w:color w:val="auto"/>
              </w:rPr>
              <w:t>Net sales</w:t>
            </w:r>
          </w:p>
        </w:tc>
        <w:tc>
          <w:tcPr>
            <w:tcW w:w="320" w:type="dxa"/>
            <w:vAlign w:val="bottom"/>
            <w:shd w:val="clear" w:color="auto" w:fill="DBDBDB"/>
          </w:tcPr>
          <w:p>
            <w:pPr>
              <w:jc w:val="right"/>
              <w:ind w:right="180"/>
              <w:spacing w:after="0"/>
              <w:rPr>
                <w:sz w:val="20"/>
                <w:szCs w:val="20"/>
                <w:color w:val="auto"/>
              </w:rPr>
            </w:pPr>
            <w:r>
              <w:rPr>
                <w:rFonts w:ascii="Arial" w:cs="Arial" w:eastAsia="Arial" w:hAnsi="Arial"/>
                <w:sz w:val="12"/>
                <w:szCs w:val="12"/>
                <w:color w:val="auto"/>
                <w:w w:val="89"/>
              </w:rPr>
              <w:t>$</w:t>
            </w:r>
          </w:p>
        </w:tc>
        <w:tc>
          <w:tcPr>
            <w:tcW w:w="1700" w:type="dxa"/>
            <w:vAlign w:val="bottom"/>
            <w:shd w:val="clear" w:color="auto" w:fill="DBDBDB"/>
          </w:tcPr>
          <w:p>
            <w:pPr>
              <w:jc w:val="right"/>
              <w:ind w:right="99"/>
              <w:spacing w:after="0"/>
              <w:rPr>
                <w:sz w:val="20"/>
                <w:szCs w:val="20"/>
                <w:color w:val="auto"/>
              </w:rPr>
            </w:pPr>
            <w:r>
              <w:rPr>
                <w:rFonts w:ascii="Arial" w:cs="Arial" w:eastAsia="Arial" w:hAnsi="Arial"/>
                <w:sz w:val="12"/>
                <w:szCs w:val="12"/>
                <w:color w:val="auto"/>
              </w:rPr>
              <w:t>2,951.2</w:t>
            </w:r>
          </w:p>
        </w:tc>
        <w:tc>
          <w:tcPr>
            <w:tcW w:w="280" w:type="dxa"/>
            <w:vAlign w:val="bottom"/>
            <w:shd w:val="clear" w:color="auto" w:fill="DBDBDB"/>
          </w:tcPr>
          <w:p>
            <w:pPr>
              <w:jc w:val="right"/>
              <w:ind w:right="140"/>
              <w:spacing w:after="0"/>
              <w:rPr>
                <w:sz w:val="20"/>
                <w:szCs w:val="20"/>
                <w:color w:val="auto"/>
              </w:rPr>
            </w:pPr>
            <w:r>
              <w:rPr>
                <w:rFonts w:ascii="Arial" w:cs="Arial" w:eastAsia="Arial" w:hAnsi="Arial"/>
                <w:sz w:val="12"/>
                <w:szCs w:val="12"/>
                <w:color w:val="auto"/>
                <w:w w:val="89"/>
              </w:rPr>
              <w:t>$</w:t>
            </w:r>
          </w:p>
        </w:tc>
        <w:tc>
          <w:tcPr>
            <w:tcW w:w="168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rPr>
              <w:t>2,913.2</w:t>
            </w:r>
          </w:p>
        </w:tc>
        <w:tc>
          <w:tcPr>
            <w:tcW w:w="1440" w:type="dxa"/>
            <w:vAlign w:val="bottom"/>
            <w:tcBorders>
              <w:right w:val="single" w:sz="8" w:color="auto"/>
            </w:tcBorders>
            <w:shd w:val="clear" w:color="auto" w:fill="DBDBDB"/>
          </w:tcPr>
          <w:p>
            <w:pPr>
              <w:jc w:val="right"/>
              <w:ind w:right="539"/>
              <w:spacing w:after="0"/>
              <w:rPr>
                <w:sz w:val="20"/>
                <w:szCs w:val="20"/>
                <w:color w:val="auto"/>
              </w:rPr>
            </w:pPr>
            <w:r>
              <w:rPr>
                <w:rFonts w:ascii="Arial" w:cs="Arial" w:eastAsia="Arial" w:hAnsi="Arial"/>
                <w:sz w:val="12"/>
                <w:szCs w:val="12"/>
                <w:color w:val="auto"/>
              </w:rPr>
              <w:t>1.3%</w:t>
            </w:r>
          </w:p>
        </w:tc>
      </w:tr>
      <w:tr>
        <w:trPr>
          <w:trHeight w:val="172"/>
        </w:trPr>
        <w:tc>
          <w:tcPr>
            <w:tcW w:w="450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Comparable sales</w:t>
            </w:r>
          </w:p>
        </w:tc>
        <w:tc>
          <w:tcPr>
            <w:tcW w:w="3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(1.7)%</w:t>
            </w: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(6.4)%</w:t>
            </w:r>
          </w:p>
        </w:tc>
        <w:tc>
          <w:tcPr>
            <w:tcW w:w="1440" w:type="dxa"/>
            <w:vAlign w:val="bottom"/>
            <w:tcBorders>
              <w:right w:val="single" w:sz="8" w:color="auto"/>
            </w:tcBorders>
          </w:tcPr>
          <w:p>
            <w:pPr>
              <w:spacing w:after="0"/>
              <w:rPr>
                <w:sz w:val="14"/>
                <w:szCs w:val="14"/>
                <w:color w:val="auto"/>
              </w:rPr>
            </w:pPr>
          </w:p>
        </w:tc>
      </w:tr>
      <w:tr>
        <w:trPr>
          <w:trHeight w:val="188"/>
        </w:trPr>
        <w:tc>
          <w:tcPr>
            <w:tcW w:w="450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2"/>
                <w:szCs w:val="12"/>
                <w:color w:val="auto"/>
              </w:rPr>
              <w:t>Income before income tax</w:t>
            </w:r>
          </w:p>
        </w:tc>
        <w:tc>
          <w:tcPr>
            <w:tcW w:w="320" w:type="dxa"/>
            <w:vAlign w:val="bottom"/>
            <w:shd w:val="clear" w:color="auto" w:fill="DBDBDB"/>
          </w:tcPr>
          <w:p>
            <w:pPr>
              <w:jc w:val="right"/>
              <w:ind w:right="180"/>
              <w:spacing w:after="0"/>
              <w:rPr>
                <w:sz w:val="20"/>
                <w:szCs w:val="20"/>
                <w:color w:val="auto"/>
              </w:rPr>
            </w:pPr>
            <w:r>
              <w:rPr>
                <w:rFonts w:ascii="Arial" w:cs="Arial" w:eastAsia="Arial" w:hAnsi="Arial"/>
                <w:sz w:val="12"/>
                <w:szCs w:val="12"/>
                <w:color w:val="auto"/>
                <w:w w:val="89"/>
              </w:rPr>
              <w:t>$</w:t>
            </w:r>
          </w:p>
        </w:tc>
        <w:tc>
          <w:tcPr>
            <w:tcW w:w="1700" w:type="dxa"/>
            <w:vAlign w:val="bottom"/>
            <w:shd w:val="clear" w:color="auto" w:fill="DBDBDB"/>
          </w:tcPr>
          <w:p>
            <w:pPr>
              <w:jc w:val="right"/>
              <w:ind w:right="99"/>
              <w:spacing w:after="0"/>
              <w:rPr>
                <w:sz w:val="20"/>
                <w:szCs w:val="20"/>
                <w:color w:val="auto"/>
              </w:rPr>
            </w:pPr>
            <w:r>
              <w:rPr>
                <w:rFonts w:ascii="Arial" w:cs="Arial" w:eastAsia="Arial" w:hAnsi="Arial"/>
                <w:sz w:val="12"/>
                <w:szCs w:val="12"/>
                <w:color w:val="auto"/>
              </w:rPr>
              <w:t>227.9</w:t>
            </w:r>
          </w:p>
        </w:tc>
        <w:tc>
          <w:tcPr>
            <w:tcW w:w="280" w:type="dxa"/>
            <w:vAlign w:val="bottom"/>
            <w:shd w:val="clear" w:color="auto" w:fill="DBDBDB"/>
          </w:tcPr>
          <w:p>
            <w:pPr>
              <w:jc w:val="right"/>
              <w:ind w:right="140"/>
              <w:spacing w:after="0"/>
              <w:rPr>
                <w:sz w:val="20"/>
                <w:szCs w:val="20"/>
                <w:color w:val="auto"/>
              </w:rPr>
            </w:pPr>
            <w:r>
              <w:rPr>
                <w:rFonts w:ascii="Arial" w:cs="Arial" w:eastAsia="Arial" w:hAnsi="Arial"/>
                <w:sz w:val="12"/>
                <w:szCs w:val="12"/>
                <w:color w:val="auto"/>
                <w:w w:val="89"/>
              </w:rPr>
              <w:t>$</w:t>
            </w:r>
          </w:p>
        </w:tc>
        <w:tc>
          <w:tcPr>
            <w:tcW w:w="168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rPr>
              <w:t>284.2</w:t>
            </w:r>
          </w:p>
        </w:tc>
        <w:tc>
          <w:tcPr>
            <w:tcW w:w="1440" w:type="dxa"/>
            <w:vAlign w:val="bottom"/>
            <w:tcBorders>
              <w:right w:val="single" w:sz="8" w:color="auto"/>
            </w:tcBorders>
            <w:shd w:val="clear" w:color="auto" w:fill="DBDBDB"/>
          </w:tcPr>
          <w:p>
            <w:pPr>
              <w:jc w:val="right"/>
              <w:ind w:right="479"/>
              <w:spacing w:after="0"/>
              <w:rPr>
                <w:sz w:val="20"/>
                <w:szCs w:val="20"/>
                <w:color w:val="auto"/>
              </w:rPr>
            </w:pPr>
            <w:r>
              <w:rPr>
                <w:rFonts w:ascii="Arial" w:cs="Arial" w:eastAsia="Arial" w:hAnsi="Arial"/>
                <w:sz w:val="12"/>
                <w:szCs w:val="12"/>
                <w:color w:val="auto"/>
              </w:rPr>
              <w:t>(19.8)%</w:t>
            </w:r>
          </w:p>
        </w:tc>
      </w:tr>
      <w:tr>
        <w:trPr>
          <w:trHeight w:val="172"/>
        </w:trPr>
        <w:tc>
          <w:tcPr>
            <w:tcW w:w="450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Net Income</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700" w:type="dxa"/>
            <w:vAlign w:val="bottom"/>
          </w:tcPr>
          <w:p>
            <w:pPr>
              <w:jc w:val="right"/>
              <w:ind w:right="99"/>
              <w:spacing w:after="0"/>
              <w:rPr>
                <w:sz w:val="20"/>
                <w:szCs w:val="20"/>
                <w:color w:val="auto"/>
              </w:rPr>
            </w:pPr>
            <w:r>
              <w:rPr>
                <w:rFonts w:ascii="Arial" w:cs="Arial" w:eastAsia="Arial" w:hAnsi="Arial"/>
                <w:sz w:val="12"/>
                <w:szCs w:val="12"/>
                <w:color w:val="auto"/>
              </w:rPr>
              <w:t>171.5</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2"/>
                <w:szCs w:val="12"/>
                <w:color w:val="auto"/>
              </w:rPr>
              <w:t>219.1</w:t>
            </w:r>
          </w:p>
        </w:tc>
        <w:tc>
          <w:tcPr>
            <w:tcW w:w="1440" w:type="dxa"/>
            <w:vAlign w:val="bottom"/>
            <w:tcBorders>
              <w:right w:val="single" w:sz="8" w:color="auto"/>
            </w:tcBorders>
          </w:tcPr>
          <w:p>
            <w:pPr>
              <w:jc w:val="right"/>
              <w:ind w:right="479"/>
              <w:spacing w:after="0"/>
              <w:rPr>
                <w:sz w:val="20"/>
                <w:szCs w:val="20"/>
                <w:color w:val="auto"/>
              </w:rPr>
            </w:pPr>
            <w:r>
              <w:rPr>
                <w:rFonts w:ascii="Arial" w:cs="Arial" w:eastAsia="Arial" w:hAnsi="Arial"/>
                <w:sz w:val="12"/>
                <w:szCs w:val="12"/>
                <w:color w:val="auto"/>
              </w:rPr>
              <w:t>(21.7)%</w:t>
            </w:r>
          </w:p>
        </w:tc>
      </w:tr>
      <w:tr>
        <w:trPr>
          <w:trHeight w:val="188"/>
        </w:trPr>
        <w:tc>
          <w:tcPr>
            <w:tcW w:w="450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2"/>
                <w:szCs w:val="12"/>
                <w:color w:val="auto"/>
              </w:rPr>
              <w:t xml:space="preserve">Adjusted net income </w:t>
            </w:r>
            <w:r>
              <w:rPr>
                <w:rFonts w:ascii="Arial" w:cs="Arial" w:eastAsia="Arial" w:hAnsi="Arial"/>
                <w:sz w:val="15"/>
                <w:szCs w:val="15"/>
                <w:color w:val="auto"/>
                <w:vertAlign w:val="superscript"/>
              </w:rPr>
              <w:t>(1)</w:t>
            </w:r>
          </w:p>
        </w:tc>
        <w:tc>
          <w:tcPr>
            <w:tcW w:w="320" w:type="dxa"/>
            <w:vAlign w:val="bottom"/>
            <w:shd w:val="clear" w:color="auto" w:fill="DBDBDB"/>
          </w:tcPr>
          <w:p>
            <w:pPr>
              <w:jc w:val="right"/>
              <w:ind w:right="180"/>
              <w:spacing w:after="0"/>
              <w:rPr>
                <w:sz w:val="20"/>
                <w:szCs w:val="20"/>
                <w:color w:val="auto"/>
              </w:rPr>
            </w:pPr>
            <w:r>
              <w:rPr>
                <w:rFonts w:ascii="Arial" w:cs="Arial" w:eastAsia="Arial" w:hAnsi="Arial"/>
                <w:sz w:val="12"/>
                <w:szCs w:val="12"/>
                <w:color w:val="auto"/>
                <w:w w:val="89"/>
              </w:rPr>
              <w:t>$</w:t>
            </w:r>
          </w:p>
        </w:tc>
        <w:tc>
          <w:tcPr>
            <w:tcW w:w="1700" w:type="dxa"/>
            <w:vAlign w:val="bottom"/>
            <w:shd w:val="clear" w:color="auto" w:fill="DBDBDB"/>
          </w:tcPr>
          <w:p>
            <w:pPr>
              <w:jc w:val="right"/>
              <w:ind w:right="99"/>
              <w:spacing w:after="0"/>
              <w:rPr>
                <w:sz w:val="20"/>
                <w:szCs w:val="20"/>
                <w:color w:val="auto"/>
              </w:rPr>
            </w:pPr>
            <w:r>
              <w:rPr>
                <w:rFonts w:ascii="Arial" w:cs="Arial" w:eastAsia="Arial" w:hAnsi="Arial"/>
                <w:sz w:val="12"/>
                <w:szCs w:val="12"/>
                <w:color w:val="auto"/>
              </w:rPr>
              <w:t>182.9</w:t>
            </w:r>
          </w:p>
        </w:tc>
        <w:tc>
          <w:tcPr>
            <w:tcW w:w="280" w:type="dxa"/>
            <w:vAlign w:val="bottom"/>
            <w:shd w:val="clear" w:color="auto" w:fill="DBDBDB"/>
          </w:tcPr>
          <w:p>
            <w:pPr>
              <w:jc w:val="right"/>
              <w:ind w:right="140"/>
              <w:spacing w:after="0"/>
              <w:rPr>
                <w:sz w:val="20"/>
                <w:szCs w:val="20"/>
                <w:color w:val="auto"/>
              </w:rPr>
            </w:pPr>
            <w:r>
              <w:rPr>
                <w:rFonts w:ascii="Arial" w:cs="Arial" w:eastAsia="Arial" w:hAnsi="Arial"/>
                <w:sz w:val="12"/>
                <w:szCs w:val="12"/>
                <w:color w:val="auto"/>
                <w:w w:val="89"/>
              </w:rPr>
              <w:t>$</w:t>
            </w:r>
          </w:p>
        </w:tc>
        <w:tc>
          <w:tcPr>
            <w:tcW w:w="1680" w:type="dxa"/>
            <w:vAlign w:val="bottom"/>
            <w:shd w:val="clear" w:color="auto" w:fill="DBDBDB"/>
          </w:tcPr>
          <w:p>
            <w:pPr>
              <w:jc w:val="right"/>
              <w:ind w:right="119"/>
              <w:spacing w:after="0"/>
              <w:rPr>
                <w:sz w:val="20"/>
                <w:szCs w:val="20"/>
                <w:color w:val="auto"/>
              </w:rPr>
            </w:pPr>
            <w:r>
              <w:rPr>
                <w:rFonts w:ascii="Arial" w:cs="Arial" w:eastAsia="Arial" w:hAnsi="Arial"/>
                <w:sz w:val="12"/>
                <w:szCs w:val="12"/>
                <w:color w:val="auto"/>
              </w:rPr>
              <w:t>230.3</w:t>
            </w:r>
          </w:p>
        </w:tc>
        <w:tc>
          <w:tcPr>
            <w:tcW w:w="1440" w:type="dxa"/>
            <w:vAlign w:val="bottom"/>
            <w:tcBorders>
              <w:right w:val="single" w:sz="8" w:color="auto"/>
            </w:tcBorders>
            <w:shd w:val="clear" w:color="auto" w:fill="DBDBDB"/>
          </w:tcPr>
          <w:p>
            <w:pPr>
              <w:jc w:val="right"/>
              <w:ind w:right="479"/>
              <w:spacing w:after="0"/>
              <w:rPr>
                <w:sz w:val="20"/>
                <w:szCs w:val="20"/>
                <w:color w:val="auto"/>
              </w:rPr>
            </w:pPr>
            <w:r>
              <w:rPr>
                <w:rFonts w:ascii="Arial" w:cs="Arial" w:eastAsia="Arial" w:hAnsi="Arial"/>
                <w:sz w:val="12"/>
                <w:szCs w:val="12"/>
                <w:color w:val="auto"/>
              </w:rPr>
              <w:t>(20.6)%</w:t>
            </w:r>
          </w:p>
        </w:tc>
      </w:tr>
      <w:tr>
        <w:trPr>
          <w:trHeight w:val="172"/>
        </w:trPr>
        <w:tc>
          <w:tcPr>
            <w:tcW w:w="450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Earnings per common share, diluted</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700" w:type="dxa"/>
            <w:vAlign w:val="bottom"/>
          </w:tcPr>
          <w:p>
            <w:pPr>
              <w:jc w:val="right"/>
              <w:ind w:right="99"/>
              <w:spacing w:after="0"/>
              <w:rPr>
                <w:sz w:val="20"/>
                <w:szCs w:val="20"/>
                <w:color w:val="auto"/>
              </w:rPr>
            </w:pPr>
            <w:r>
              <w:rPr>
                <w:rFonts w:ascii="Arial" w:cs="Arial" w:eastAsia="Arial" w:hAnsi="Arial"/>
                <w:sz w:val="12"/>
                <w:szCs w:val="12"/>
                <w:color w:val="auto"/>
              </w:rPr>
              <w:t>2.52</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2"/>
                <w:szCs w:val="12"/>
                <w:color w:val="auto"/>
              </w:rPr>
              <w:t>2.93</w:t>
            </w:r>
          </w:p>
        </w:tc>
        <w:tc>
          <w:tcPr>
            <w:tcW w:w="1440" w:type="dxa"/>
            <w:vAlign w:val="bottom"/>
            <w:tcBorders>
              <w:right w:val="single" w:sz="8" w:color="auto"/>
            </w:tcBorders>
          </w:tcPr>
          <w:p>
            <w:pPr>
              <w:jc w:val="right"/>
              <w:ind w:right="479"/>
              <w:spacing w:after="0"/>
              <w:rPr>
                <w:sz w:val="20"/>
                <w:szCs w:val="20"/>
                <w:color w:val="auto"/>
              </w:rPr>
            </w:pPr>
            <w:r>
              <w:rPr>
                <w:rFonts w:ascii="Arial" w:cs="Arial" w:eastAsia="Arial" w:hAnsi="Arial"/>
                <w:sz w:val="12"/>
                <w:szCs w:val="12"/>
                <w:color w:val="auto"/>
              </w:rPr>
              <w:t>(14.0)%</w:t>
            </w:r>
          </w:p>
        </w:tc>
      </w:tr>
      <w:tr>
        <w:trPr>
          <w:trHeight w:val="188"/>
        </w:trPr>
        <w:tc>
          <w:tcPr>
            <w:tcW w:w="4500" w:type="dxa"/>
            <w:vAlign w:val="bottom"/>
            <w:tcBorders>
              <w:left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2"/>
                <w:szCs w:val="12"/>
                <w:color w:val="auto"/>
              </w:rPr>
              <w:t xml:space="preserve">Adjusted earnings per common share, diluted </w:t>
            </w:r>
            <w:r>
              <w:rPr>
                <w:rFonts w:ascii="Arial" w:cs="Arial" w:eastAsia="Arial" w:hAnsi="Arial"/>
                <w:sz w:val="15"/>
                <w:szCs w:val="15"/>
                <w:color w:val="auto"/>
                <w:vertAlign w:val="superscript"/>
              </w:rPr>
              <w:t>(1)</w:t>
            </w:r>
          </w:p>
        </w:tc>
        <w:tc>
          <w:tcPr>
            <w:tcW w:w="320" w:type="dxa"/>
            <w:vAlign w:val="bottom"/>
            <w:tcBorders>
              <w:bottom w:val="single" w:sz="8" w:color="auto"/>
            </w:tcBorders>
            <w:shd w:val="clear" w:color="auto" w:fill="DBDBDB"/>
          </w:tcPr>
          <w:p>
            <w:pPr>
              <w:jc w:val="right"/>
              <w:ind w:right="180"/>
              <w:spacing w:after="0"/>
              <w:rPr>
                <w:sz w:val="20"/>
                <w:szCs w:val="20"/>
                <w:color w:val="auto"/>
              </w:rPr>
            </w:pPr>
            <w:r>
              <w:rPr>
                <w:rFonts w:ascii="Arial" w:cs="Arial" w:eastAsia="Arial" w:hAnsi="Arial"/>
                <w:sz w:val="12"/>
                <w:szCs w:val="12"/>
                <w:color w:val="auto"/>
                <w:w w:val="89"/>
              </w:rPr>
              <w:t>$</w:t>
            </w:r>
          </w:p>
        </w:tc>
        <w:tc>
          <w:tcPr>
            <w:tcW w:w="170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2"/>
                <w:szCs w:val="12"/>
                <w:color w:val="auto"/>
              </w:rPr>
              <w:t>2.69</w:t>
            </w:r>
          </w:p>
        </w:tc>
        <w:tc>
          <w:tcPr>
            <w:tcW w:w="280" w:type="dxa"/>
            <w:vAlign w:val="bottom"/>
            <w:tcBorders>
              <w:bottom w:val="single" w:sz="8" w:color="auto"/>
            </w:tcBorders>
            <w:shd w:val="clear" w:color="auto" w:fill="DBDBDB"/>
          </w:tcPr>
          <w:p>
            <w:pPr>
              <w:jc w:val="right"/>
              <w:ind w:right="140"/>
              <w:spacing w:after="0"/>
              <w:rPr>
                <w:sz w:val="20"/>
                <w:szCs w:val="20"/>
                <w:color w:val="auto"/>
              </w:rPr>
            </w:pPr>
            <w:r>
              <w:rPr>
                <w:rFonts w:ascii="Arial" w:cs="Arial" w:eastAsia="Arial" w:hAnsi="Arial"/>
                <w:sz w:val="12"/>
                <w:szCs w:val="12"/>
                <w:color w:val="auto"/>
                <w:w w:val="89"/>
              </w:rPr>
              <w:t>$</w:t>
            </w:r>
          </w:p>
        </w:tc>
        <w:tc>
          <w:tcPr>
            <w:tcW w:w="168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2"/>
                <w:szCs w:val="12"/>
                <w:color w:val="auto"/>
              </w:rPr>
              <w:t>3.08</w:t>
            </w:r>
          </w:p>
        </w:tc>
        <w:tc>
          <w:tcPr>
            <w:tcW w:w="1440" w:type="dxa"/>
            <w:vAlign w:val="bottom"/>
            <w:tcBorders>
              <w:bottom w:val="single" w:sz="8" w:color="auto"/>
              <w:right w:val="single" w:sz="8" w:color="auto"/>
            </w:tcBorders>
            <w:shd w:val="clear" w:color="auto" w:fill="DBDBDB"/>
          </w:tcPr>
          <w:p>
            <w:pPr>
              <w:jc w:val="right"/>
              <w:ind w:right="479"/>
              <w:spacing w:after="0"/>
              <w:rPr>
                <w:sz w:val="20"/>
                <w:szCs w:val="20"/>
                <w:color w:val="auto"/>
              </w:rPr>
            </w:pPr>
            <w:r>
              <w:rPr>
                <w:rFonts w:ascii="Arial" w:cs="Arial" w:eastAsia="Arial" w:hAnsi="Arial"/>
                <w:sz w:val="12"/>
                <w:szCs w:val="12"/>
                <w:color w:val="auto"/>
              </w:rPr>
              <w:t>(12.7)%</w:t>
            </w:r>
          </w:p>
        </w:tc>
      </w:tr>
    </w:tbl>
    <w:p>
      <w:pPr>
        <w:spacing w:after="0" w:line="51" w:lineRule="exact"/>
        <w:rPr>
          <w:sz w:val="20"/>
          <w:szCs w:val="20"/>
          <w:color w:val="auto"/>
        </w:rPr>
      </w:pPr>
    </w:p>
    <w:p>
      <w:pPr>
        <w:ind w:left="480" w:right="20" w:hanging="110"/>
        <w:spacing w:after="0" w:line="281" w:lineRule="auto"/>
        <w:tabs>
          <w:tab w:leader="none" w:pos="498" w:val="left"/>
        </w:tabs>
        <w:numPr>
          <w:ilvl w:val="0"/>
          <w:numId w:val="3"/>
        </w:numPr>
        <w:rPr>
          <w:rFonts w:ascii="Arial" w:cs="Arial" w:eastAsia="Arial" w:hAnsi="Arial"/>
          <w:sz w:val="8"/>
          <w:szCs w:val="8"/>
          <w:color w:val="auto"/>
        </w:rPr>
      </w:pPr>
      <w:r>
        <w:rPr>
          <w:rFonts w:ascii="Arial" w:cs="Arial" w:eastAsia="Arial" w:hAnsi="Arial"/>
          <w:sz w:val="8"/>
          <w:szCs w:val="8"/>
          <w:color w:val="auto"/>
        </w:rPr>
        <w:t>Adjusted net income and Adjusted earnings per common share, diluted are non-GAAP measures. See "Non-GAAP Measures" and "Reconciliations of GAAP to Non-GAAP Financial Measures" below for reconciliations of non-GAAP financial measures to their most directly comparable GAAP financial measures.</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w:t>
      </w:r>
    </w:p>
    <w:p>
      <w:pPr>
        <w:sectPr>
          <w:pgSz w:w="11900" w:h="16838" w:orient="portrait"/>
          <w:cols w:equalWidth="0" w:num="1">
            <w:col w:w="11300"/>
          </w:cols>
          <w:pgMar w:left="300" w:top="332" w:right="299" w:bottom="1440" w:gutter="0" w:footer="0" w:header="0"/>
        </w:sectPr>
      </w:pPr>
    </w:p>
    <w:bookmarkStart w:id="4" w:name="page5"/>
    <w:bookmarkEnd w:id="4"/>
    <w:tbl>
      <w:tblPr>
        <w:tblLayout w:type="fixed"/>
        <w:tblInd w:w="730" w:type="dxa"/>
        <w:tblCellMar>
          <w:top w:w="0" w:type="dxa"/>
          <w:left w:w="0" w:type="dxa"/>
          <w:bottom w:w="0" w:type="dxa"/>
          <w:right w:w="0" w:type="dxa"/>
        </w:tblCellMar>
      </w:tblPr>
      <w:tr>
        <w:trPr>
          <w:trHeight w:val="192"/>
        </w:trPr>
        <w:tc>
          <w:tcPr>
            <w:tcW w:w="4500" w:type="dxa"/>
            <w:vAlign w:val="bottom"/>
            <w:tcBorders>
              <w:top w:val="single" w:sz="8" w:color="auto"/>
              <w:left w:val="single" w:sz="8" w:color="auto"/>
            </w:tcBorders>
            <w:shd w:val="clear" w:color="auto" w:fill="1928A0"/>
          </w:tcPr>
          <w:p>
            <w:pPr>
              <w:spacing w:after="0"/>
              <w:rPr>
                <w:sz w:val="16"/>
                <w:szCs w:val="16"/>
                <w:color w:val="auto"/>
              </w:rPr>
            </w:pPr>
          </w:p>
        </w:tc>
        <w:tc>
          <w:tcPr>
            <w:tcW w:w="1460" w:type="dxa"/>
            <w:vAlign w:val="bottom"/>
            <w:tcBorders>
              <w:top w:val="single" w:sz="8" w:color="auto"/>
            </w:tcBorders>
            <w:shd w:val="clear" w:color="auto" w:fill="1928A0"/>
          </w:tcPr>
          <w:p>
            <w:pPr>
              <w:spacing w:after="0"/>
              <w:rPr>
                <w:sz w:val="16"/>
                <w:szCs w:val="16"/>
                <w:color w:val="auto"/>
              </w:rPr>
            </w:pPr>
          </w:p>
        </w:tc>
        <w:tc>
          <w:tcPr>
            <w:tcW w:w="1940" w:type="dxa"/>
            <w:vAlign w:val="bottom"/>
            <w:tcBorders>
              <w:top w:val="single" w:sz="8" w:color="auto"/>
            </w:tcBorders>
            <w:gridSpan w:val="2"/>
            <w:shd w:val="clear" w:color="auto" w:fill="1928A0"/>
          </w:tcPr>
          <w:p>
            <w:pPr>
              <w:jc w:val="right"/>
              <w:ind w:right="1239"/>
              <w:spacing w:after="0"/>
              <w:rPr>
                <w:sz w:val="20"/>
                <w:szCs w:val="20"/>
                <w:color w:val="auto"/>
              </w:rPr>
            </w:pPr>
            <w:r>
              <w:rPr>
                <w:rFonts w:ascii="Arial" w:cs="Arial" w:eastAsia="Arial" w:hAnsi="Arial"/>
                <w:sz w:val="13"/>
                <w:szCs w:val="13"/>
                <w:b w:val="1"/>
                <w:bCs w:val="1"/>
                <w:color w:val="FFFFFF"/>
              </w:rPr>
              <w:t>As of</w:t>
            </w:r>
          </w:p>
        </w:tc>
        <w:tc>
          <w:tcPr>
            <w:tcW w:w="700" w:type="dxa"/>
            <w:vAlign w:val="bottom"/>
            <w:tcBorders>
              <w:top w:val="single" w:sz="8" w:color="auto"/>
            </w:tcBorders>
            <w:shd w:val="clear" w:color="auto" w:fill="1928A0"/>
          </w:tcPr>
          <w:p>
            <w:pPr>
              <w:spacing w:after="0"/>
              <w:rPr>
                <w:sz w:val="16"/>
                <w:szCs w:val="16"/>
                <w:color w:val="auto"/>
              </w:rPr>
            </w:pPr>
          </w:p>
        </w:tc>
        <w:tc>
          <w:tcPr>
            <w:tcW w:w="1260" w:type="dxa"/>
            <w:vAlign w:val="bottom"/>
            <w:tcBorders>
              <w:top w:val="single" w:sz="8" w:color="auto"/>
              <w:right w:val="single" w:sz="8" w:color="auto"/>
            </w:tcBorders>
            <w:shd w:val="clear" w:color="auto" w:fill="1928A0"/>
          </w:tcPr>
          <w:p>
            <w:pPr>
              <w:jc w:val="center"/>
              <w:ind w:right="158"/>
              <w:spacing w:after="0"/>
              <w:rPr>
                <w:sz w:val="20"/>
                <w:szCs w:val="20"/>
                <w:color w:val="auto"/>
              </w:rPr>
            </w:pPr>
            <w:r>
              <w:rPr>
                <w:rFonts w:ascii="Arial" w:cs="Arial" w:eastAsia="Arial" w:hAnsi="Arial"/>
                <w:sz w:val="13"/>
                <w:szCs w:val="13"/>
                <w:b w:val="1"/>
                <w:bCs w:val="1"/>
                <w:color w:val="FFFFFF"/>
              </w:rPr>
              <w:t>Change</w:t>
            </w:r>
          </w:p>
        </w:tc>
      </w:tr>
      <w:tr>
        <w:trPr>
          <w:trHeight w:val="213"/>
        </w:trPr>
        <w:tc>
          <w:tcPr>
            <w:tcW w:w="4500" w:type="dxa"/>
            <w:vAlign w:val="bottom"/>
            <w:tcBorders>
              <w:left w:val="single" w:sz="8" w:color="auto"/>
            </w:tcBorders>
            <w:shd w:val="clear" w:color="auto" w:fill="1928A0"/>
          </w:tcPr>
          <w:p>
            <w:pPr>
              <w:ind w:left="40"/>
              <w:spacing w:after="0"/>
              <w:rPr>
                <w:sz w:val="20"/>
                <w:szCs w:val="20"/>
                <w:color w:val="auto"/>
              </w:rPr>
            </w:pPr>
            <w:r>
              <w:rPr>
                <w:rFonts w:ascii="Arial" w:cs="Arial" w:eastAsia="Arial" w:hAnsi="Arial"/>
                <w:sz w:val="13"/>
                <w:szCs w:val="13"/>
                <w:b w:val="1"/>
                <w:bCs w:val="1"/>
                <w:color w:val="FFFFFF"/>
              </w:rPr>
              <w:t xml:space="preserve">Balance Sheet </w:t>
            </w:r>
            <w:r>
              <w:rPr>
                <w:rFonts w:ascii="Arial" w:cs="Arial" w:eastAsia="Arial" w:hAnsi="Arial"/>
                <w:sz w:val="9"/>
                <w:szCs w:val="9"/>
                <w:b w:val="1"/>
                <w:bCs w:val="1"/>
                <w:color w:val="FFFFFF"/>
              </w:rPr>
              <w:t>($ in millions)</w:t>
            </w:r>
          </w:p>
        </w:tc>
        <w:tc>
          <w:tcPr>
            <w:tcW w:w="1460" w:type="dxa"/>
            <w:vAlign w:val="bottom"/>
            <w:shd w:val="clear" w:color="auto" w:fill="1928A0"/>
          </w:tcPr>
          <w:p>
            <w:pPr>
              <w:jc w:val="right"/>
              <w:spacing w:after="0"/>
              <w:rPr>
                <w:sz w:val="20"/>
                <w:szCs w:val="20"/>
                <w:color w:val="auto"/>
              </w:rPr>
            </w:pPr>
            <w:r>
              <w:rPr>
                <w:rFonts w:ascii="Arial" w:cs="Arial" w:eastAsia="Arial" w:hAnsi="Arial"/>
                <w:sz w:val="13"/>
                <w:szCs w:val="13"/>
                <w:b w:val="1"/>
                <w:bCs w:val="1"/>
                <w:color w:val="FFFFFF"/>
              </w:rPr>
              <w:t>August 2, 2025</w:t>
            </w:r>
          </w:p>
        </w:tc>
        <w:tc>
          <w:tcPr>
            <w:tcW w:w="460" w:type="dxa"/>
            <w:vAlign w:val="bottom"/>
            <w:shd w:val="clear" w:color="auto" w:fill="1928A0"/>
          </w:tcPr>
          <w:p>
            <w:pPr>
              <w:spacing w:after="0"/>
              <w:rPr>
                <w:sz w:val="18"/>
                <w:szCs w:val="18"/>
                <w:color w:val="auto"/>
              </w:rPr>
            </w:pPr>
          </w:p>
        </w:tc>
        <w:tc>
          <w:tcPr>
            <w:tcW w:w="1480" w:type="dxa"/>
            <w:vAlign w:val="bottom"/>
            <w:shd w:val="clear" w:color="auto" w:fill="1928A0"/>
          </w:tcPr>
          <w:p>
            <w:pPr>
              <w:jc w:val="right"/>
              <w:spacing w:after="0"/>
              <w:rPr>
                <w:sz w:val="20"/>
                <w:szCs w:val="20"/>
                <w:color w:val="auto"/>
              </w:rPr>
            </w:pPr>
            <w:r>
              <w:rPr>
                <w:rFonts w:ascii="Arial" w:cs="Arial" w:eastAsia="Arial" w:hAnsi="Arial"/>
                <w:sz w:val="13"/>
                <w:szCs w:val="13"/>
                <w:b w:val="1"/>
                <w:bCs w:val="1"/>
                <w:color w:val="FFFFFF"/>
              </w:rPr>
              <w:t>August 3, 2024</w:t>
            </w:r>
          </w:p>
        </w:tc>
        <w:tc>
          <w:tcPr>
            <w:tcW w:w="700" w:type="dxa"/>
            <w:vAlign w:val="bottom"/>
            <w:shd w:val="clear" w:color="auto" w:fill="1928A0"/>
          </w:tcPr>
          <w:p>
            <w:pPr>
              <w:spacing w:after="0"/>
              <w:rPr>
                <w:sz w:val="18"/>
                <w:szCs w:val="18"/>
                <w:color w:val="auto"/>
              </w:rPr>
            </w:pPr>
          </w:p>
        </w:tc>
        <w:tc>
          <w:tcPr>
            <w:tcW w:w="1260" w:type="dxa"/>
            <w:vAlign w:val="bottom"/>
            <w:tcBorders>
              <w:right w:val="single" w:sz="8" w:color="auto"/>
            </w:tcBorders>
            <w:shd w:val="clear" w:color="auto" w:fill="1928A0"/>
          </w:tcPr>
          <w:p>
            <w:pPr>
              <w:jc w:val="center"/>
              <w:ind w:right="158"/>
              <w:spacing w:after="0"/>
              <w:rPr>
                <w:sz w:val="20"/>
                <w:szCs w:val="20"/>
                <w:color w:val="auto"/>
              </w:rPr>
            </w:pPr>
            <w:r>
              <w:rPr>
                <w:rFonts w:ascii="Arial" w:cs="Arial" w:eastAsia="Arial" w:hAnsi="Arial"/>
                <w:sz w:val="13"/>
                <w:szCs w:val="13"/>
                <w:b w:val="1"/>
                <w:bCs w:val="1"/>
                <w:color w:val="FFFFFF"/>
              </w:rPr>
              <w:t>%</w:t>
            </w:r>
          </w:p>
        </w:tc>
      </w:tr>
      <w:tr>
        <w:trPr>
          <w:trHeight w:val="180"/>
        </w:trPr>
        <w:tc>
          <w:tcPr>
            <w:tcW w:w="4500" w:type="dxa"/>
            <w:vAlign w:val="bottom"/>
            <w:tcBorders>
              <w:left w:val="single" w:sz="8" w:color="auto"/>
            </w:tcBorders>
            <w:shd w:val="clear" w:color="auto" w:fill="DBDBDB"/>
          </w:tcPr>
          <w:p>
            <w:pPr>
              <w:ind w:left="40"/>
              <w:spacing w:after="0"/>
              <w:rPr>
                <w:sz w:val="20"/>
                <w:szCs w:val="20"/>
                <w:color w:val="auto"/>
              </w:rPr>
            </w:pPr>
            <w:r>
              <w:rPr>
                <w:rFonts w:ascii="Arial" w:cs="Arial" w:eastAsia="Arial" w:hAnsi="Arial"/>
                <w:sz w:val="12"/>
                <w:szCs w:val="12"/>
                <w:color w:val="auto"/>
              </w:rPr>
              <w:t>Cash and cash equivalents</w:t>
            </w:r>
          </w:p>
        </w:tc>
        <w:tc>
          <w:tcPr>
            <w:tcW w:w="1460" w:type="dxa"/>
            <w:vAlign w:val="bottom"/>
            <w:shd w:val="clear" w:color="auto" w:fill="DBDBDB"/>
          </w:tcPr>
          <w:p>
            <w:pPr>
              <w:jc w:val="right"/>
              <w:ind w:right="1319"/>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300.9</w:t>
            </w:r>
          </w:p>
        </w:tc>
        <w:tc>
          <w:tcPr>
            <w:tcW w:w="1480" w:type="dxa"/>
            <w:vAlign w:val="bottom"/>
            <w:shd w:val="clear" w:color="auto" w:fill="DBDBDB"/>
          </w:tcPr>
          <w:p>
            <w:pPr>
              <w:jc w:val="right"/>
              <w:ind w:right="1319"/>
              <w:spacing w:after="0"/>
              <w:rPr>
                <w:sz w:val="20"/>
                <w:szCs w:val="20"/>
                <w:color w:val="auto"/>
              </w:rPr>
            </w:pPr>
            <w:r>
              <w:rPr>
                <w:rFonts w:ascii="Arial" w:cs="Arial" w:eastAsia="Arial" w:hAnsi="Arial"/>
                <w:sz w:val="12"/>
                <w:szCs w:val="12"/>
                <w:color w:val="auto"/>
              </w:rPr>
              <w:t>$</w:t>
            </w:r>
          </w:p>
        </w:tc>
        <w:tc>
          <w:tcPr>
            <w:tcW w:w="700" w:type="dxa"/>
            <w:vAlign w:val="bottom"/>
            <w:shd w:val="clear" w:color="auto" w:fill="DBDBDB"/>
          </w:tcPr>
          <w:p>
            <w:pPr>
              <w:jc w:val="right"/>
              <w:ind w:right="200"/>
              <w:spacing w:after="0"/>
              <w:rPr>
                <w:sz w:val="20"/>
                <w:szCs w:val="20"/>
                <w:color w:val="auto"/>
              </w:rPr>
            </w:pPr>
            <w:r>
              <w:rPr>
                <w:rFonts w:ascii="Arial" w:cs="Arial" w:eastAsia="Arial" w:hAnsi="Arial"/>
                <w:sz w:val="12"/>
                <w:szCs w:val="12"/>
                <w:color w:val="auto"/>
              </w:rPr>
              <w:t>324.6</w:t>
            </w:r>
          </w:p>
        </w:tc>
        <w:tc>
          <w:tcPr>
            <w:tcW w:w="1260" w:type="dxa"/>
            <w:vAlign w:val="bottom"/>
            <w:tcBorders>
              <w:right w:val="single" w:sz="8" w:color="auto"/>
            </w:tcBorders>
            <w:shd w:val="clear" w:color="auto" w:fill="DBDBDB"/>
          </w:tcPr>
          <w:p>
            <w:pPr>
              <w:jc w:val="center"/>
              <w:ind w:right="158"/>
              <w:spacing w:after="0"/>
              <w:rPr>
                <w:sz w:val="20"/>
                <w:szCs w:val="20"/>
                <w:color w:val="auto"/>
              </w:rPr>
            </w:pPr>
            <w:r>
              <w:rPr>
                <w:rFonts w:ascii="Arial" w:cs="Arial" w:eastAsia="Arial" w:hAnsi="Arial"/>
                <w:sz w:val="12"/>
                <w:szCs w:val="12"/>
                <w:color w:val="auto"/>
              </w:rPr>
              <w:t>(7.3)%</w:t>
            </w:r>
          </w:p>
        </w:tc>
      </w:tr>
      <w:tr>
        <w:trPr>
          <w:trHeight w:val="180"/>
        </w:trPr>
        <w:tc>
          <w:tcPr>
            <w:tcW w:w="450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Merchandise inventories, net</w:t>
            </w:r>
            <w:r>
              <w:rPr>
                <w:rFonts w:ascii="Arial" w:cs="Arial" w:eastAsia="Arial" w:hAnsi="Arial"/>
                <w:sz w:val="15"/>
                <w:szCs w:val="15"/>
                <w:color w:val="auto"/>
                <w:vertAlign w:val="superscript"/>
              </w:rPr>
              <w:t>(1)</w:t>
            </w:r>
          </w:p>
        </w:tc>
        <w:tc>
          <w:tcPr>
            <w:tcW w:w="1460" w:type="dxa"/>
            <w:vAlign w:val="bottom"/>
          </w:tcPr>
          <w:p>
            <w:pPr>
              <w:jc w:val="right"/>
              <w:ind w:right="1319"/>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99"/>
              </w:rPr>
              <w:t>1,587.6</w:t>
            </w:r>
          </w:p>
        </w:tc>
        <w:tc>
          <w:tcPr>
            <w:tcW w:w="1480" w:type="dxa"/>
            <w:vAlign w:val="bottom"/>
          </w:tcPr>
          <w:p>
            <w:pPr>
              <w:jc w:val="right"/>
              <w:ind w:right="1319"/>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00"/>
              <w:spacing w:after="0"/>
              <w:rPr>
                <w:sz w:val="20"/>
                <w:szCs w:val="20"/>
                <w:color w:val="auto"/>
              </w:rPr>
            </w:pPr>
            <w:r>
              <w:rPr>
                <w:rFonts w:ascii="Arial" w:cs="Arial" w:eastAsia="Arial" w:hAnsi="Arial"/>
                <w:sz w:val="12"/>
                <w:szCs w:val="12"/>
                <w:color w:val="auto"/>
              </w:rPr>
              <w:t>1,366.6</w:t>
            </w:r>
          </w:p>
        </w:tc>
        <w:tc>
          <w:tcPr>
            <w:tcW w:w="1260" w:type="dxa"/>
            <w:vAlign w:val="bottom"/>
            <w:tcBorders>
              <w:right w:val="single" w:sz="8" w:color="auto"/>
            </w:tcBorders>
          </w:tcPr>
          <w:p>
            <w:pPr>
              <w:jc w:val="center"/>
              <w:ind w:right="178"/>
              <w:spacing w:after="0"/>
              <w:rPr>
                <w:sz w:val="20"/>
                <w:szCs w:val="20"/>
                <w:color w:val="auto"/>
              </w:rPr>
            </w:pPr>
            <w:r>
              <w:rPr>
                <w:rFonts w:ascii="Arial" w:cs="Arial" w:eastAsia="Arial" w:hAnsi="Arial"/>
                <w:sz w:val="12"/>
                <w:szCs w:val="12"/>
                <w:color w:val="auto"/>
                <w:w w:val="99"/>
              </w:rPr>
              <w:t>16.2%</w:t>
            </w:r>
          </w:p>
        </w:tc>
      </w:tr>
      <w:tr>
        <w:trPr>
          <w:trHeight w:val="172"/>
        </w:trPr>
        <w:tc>
          <w:tcPr>
            <w:tcW w:w="4500" w:type="dxa"/>
            <w:vAlign w:val="bottom"/>
            <w:tcBorders>
              <w:left w:val="single" w:sz="8" w:color="auto"/>
              <w:bottom w:val="single" w:sz="8" w:color="auto"/>
            </w:tcBorders>
            <w:shd w:val="clear" w:color="auto" w:fill="DBDBDB"/>
          </w:tcPr>
          <w:p>
            <w:pPr>
              <w:ind w:left="40"/>
              <w:spacing w:after="0"/>
              <w:rPr>
                <w:sz w:val="20"/>
                <w:szCs w:val="20"/>
                <w:color w:val="auto"/>
              </w:rPr>
            </w:pPr>
            <w:r>
              <w:rPr>
                <w:rFonts w:ascii="Arial" w:cs="Arial" w:eastAsia="Arial" w:hAnsi="Arial"/>
                <w:sz w:val="12"/>
                <w:szCs w:val="12"/>
                <w:color w:val="auto"/>
              </w:rPr>
              <w:t>Long-term debt, net</w:t>
            </w:r>
          </w:p>
        </w:tc>
        <w:tc>
          <w:tcPr>
            <w:tcW w:w="1460" w:type="dxa"/>
            <w:vAlign w:val="bottom"/>
            <w:tcBorders>
              <w:bottom w:val="single" w:sz="8" w:color="auto"/>
            </w:tcBorders>
            <w:shd w:val="clear" w:color="auto" w:fill="DBDBDB"/>
          </w:tcPr>
          <w:p>
            <w:pPr>
              <w:jc w:val="right"/>
              <w:ind w:right="1319"/>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481.7</w:t>
            </w:r>
          </w:p>
        </w:tc>
        <w:tc>
          <w:tcPr>
            <w:tcW w:w="1480" w:type="dxa"/>
            <w:vAlign w:val="bottom"/>
            <w:tcBorders>
              <w:bottom w:val="single" w:sz="8" w:color="auto"/>
            </w:tcBorders>
            <w:shd w:val="clear" w:color="auto" w:fill="DBDBDB"/>
          </w:tcPr>
          <w:p>
            <w:pPr>
              <w:jc w:val="right"/>
              <w:ind w:right="1319"/>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DBDBDB"/>
          </w:tcPr>
          <w:p>
            <w:pPr>
              <w:jc w:val="right"/>
              <w:ind w:right="200"/>
              <w:spacing w:after="0"/>
              <w:rPr>
                <w:sz w:val="20"/>
                <w:szCs w:val="20"/>
                <w:color w:val="auto"/>
              </w:rPr>
            </w:pPr>
            <w:r>
              <w:rPr>
                <w:rFonts w:ascii="Arial" w:cs="Arial" w:eastAsia="Arial" w:hAnsi="Arial"/>
                <w:sz w:val="12"/>
                <w:szCs w:val="12"/>
                <w:color w:val="auto"/>
              </w:rPr>
              <w:t>483.6</w:t>
            </w:r>
          </w:p>
        </w:tc>
        <w:tc>
          <w:tcPr>
            <w:tcW w:w="1260" w:type="dxa"/>
            <w:vAlign w:val="bottom"/>
            <w:tcBorders>
              <w:bottom w:val="single" w:sz="8" w:color="auto"/>
              <w:right w:val="single" w:sz="8" w:color="auto"/>
            </w:tcBorders>
            <w:shd w:val="clear" w:color="auto" w:fill="DBDBDB"/>
          </w:tcPr>
          <w:p>
            <w:pPr>
              <w:jc w:val="center"/>
              <w:ind w:right="158"/>
              <w:spacing w:after="0"/>
              <w:rPr>
                <w:sz w:val="20"/>
                <w:szCs w:val="20"/>
                <w:color w:val="auto"/>
              </w:rPr>
            </w:pPr>
            <w:r>
              <w:rPr>
                <w:rFonts w:ascii="Arial" w:cs="Arial" w:eastAsia="Arial" w:hAnsi="Arial"/>
                <w:sz w:val="12"/>
                <w:szCs w:val="12"/>
                <w:color w:val="auto"/>
              </w:rPr>
              <w:t>(0.4)%</w:t>
            </w:r>
          </w:p>
        </w:tc>
      </w:tr>
    </w:tbl>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5974715</wp:posOffset>
            </wp:positionH>
            <wp:positionV relativeFrom="page">
              <wp:posOffset>237490</wp:posOffset>
            </wp:positionV>
            <wp:extent cx="5715"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15" cy="257175"/>
                    </a:xfrm>
                    <a:prstGeom prst="rect">
                      <a:avLst/>
                    </a:prstGeom>
                    <a:noFill/>
                  </pic:spPr>
                </pic:pic>
              </a:graphicData>
            </a:graphic>
          </wp:anchor>
        </w:drawing>
        <w:drawing>
          <wp:anchor simplePos="0" relativeHeight="251657728" behindDoc="1" locked="0" layoutInCell="0" allowOverlap="1">
            <wp:simplePos x="0" y="0"/>
            <wp:positionH relativeFrom="page">
              <wp:posOffset>3500120</wp:posOffset>
            </wp:positionH>
            <wp:positionV relativeFrom="page">
              <wp:posOffset>237490</wp:posOffset>
            </wp:positionV>
            <wp:extent cx="5715"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5" cy="257175"/>
                    </a:xfrm>
                    <a:prstGeom prst="rect">
                      <a:avLst/>
                    </a:prstGeom>
                    <a:noFill/>
                  </pic:spPr>
                </pic:pic>
              </a:graphicData>
            </a:graphic>
          </wp:anchor>
        </w:drawing>
      </w:r>
    </w:p>
    <w:p>
      <w:pPr>
        <w:ind w:left="420"/>
        <w:spacing w:after="0"/>
        <w:rPr>
          <w:sz w:val="20"/>
          <w:szCs w:val="20"/>
          <w:color w:val="auto"/>
        </w:rPr>
      </w:pPr>
      <w:r>
        <w:rPr>
          <w:rFonts w:ascii="Arial" w:cs="Arial" w:eastAsia="Arial" w:hAnsi="Arial"/>
          <w:sz w:val="8"/>
          <w:szCs w:val="8"/>
          <w:color w:val="auto"/>
        </w:rPr>
        <w:t>(1) As of August 2, 2025 inventory per store was up 4.5% in units and 8.2%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5721350</wp:posOffset>
            </wp:positionH>
            <wp:positionV relativeFrom="paragraph">
              <wp:posOffset>120650</wp:posOffset>
            </wp:positionV>
            <wp:extent cx="5715" cy="257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5" cy="257175"/>
                    </a:xfrm>
                    <a:prstGeom prst="rect">
                      <a:avLst/>
                    </a:prstGeom>
                    <a:noFill/>
                  </pic:spPr>
                </pic:pic>
              </a:graphicData>
            </a:graphic>
          </wp:anchor>
        </w:drawing>
        <w:drawing>
          <wp:anchor simplePos="0" relativeHeight="251657728" behindDoc="1" locked="0" layoutInCell="0" allowOverlap="1">
            <wp:simplePos x="0" y="0"/>
            <wp:positionH relativeFrom="column">
              <wp:posOffset>3309620</wp:posOffset>
            </wp:positionH>
            <wp:positionV relativeFrom="paragraph">
              <wp:posOffset>120650</wp:posOffset>
            </wp:positionV>
            <wp:extent cx="5715" cy="257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15" cy="257175"/>
                    </a:xfrm>
                    <a:prstGeom prst="rect">
                      <a:avLst/>
                    </a:prstGeom>
                    <a:noFill/>
                  </pic:spPr>
                </pic:pic>
              </a:graphicData>
            </a:graphic>
          </wp:anchor>
        </w:drawing>
      </w:r>
    </w:p>
    <w:p>
      <w:pPr>
        <w:spacing w:after="0" w:line="150" w:lineRule="exact"/>
        <w:rPr>
          <w:sz w:val="20"/>
          <w:szCs w:val="20"/>
          <w:color w:val="auto"/>
        </w:rPr>
      </w:pPr>
    </w:p>
    <w:tbl>
      <w:tblPr>
        <w:tblLayout w:type="fixed"/>
        <w:tblInd w:w="730" w:type="dxa"/>
        <w:tblCellMar>
          <w:top w:w="0" w:type="dxa"/>
          <w:left w:w="0" w:type="dxa"/>
          <w:bottom w:w="0" w:type="dxa"/>
          <w:right w:w="0" w:type="dxa"/>
        </w:tblCellMar>
      </w:tblPr>
      <w:tr>
        <w:trPr>
          <w:trHeight w:val="192"/>
        </w:trPr>
        <w:tc>
          <w:tcPr>
            <w:tcW w:w="4500" w:type="dxa"/>
            <w:vAlign w:val="bottom"/>
            <w:tcBorders>
              <w:top w:val="single" w:sz="8" w:color="auto"/>
              <w:left w:val="single" w:sz="8" w:color="auto"/>
            </w:tcBorders>
            <w:shd w:val="clear" w:color="auto" w:fill="1928A0"/>
          </w:tcPr>
          <w:p>
            <w:pPr>
              <w:spacing w:after="0"/>
              <w:rPr>
                <w:sz w:val="16"/>
                <w:szCs w:val="16"/>
                <w:color w:val="auto"/>
              </w:rPr>
            </w:pPr>
          </w:p>
        </w:tc>
        <w:tc>
          <w:tcPr>
            <w:tcW w:w="3360" w:type="dxa"/>
            <w:vAlign w:val="bottom"/>
            <w:tcBorders>
              <w:top w:val="single" w:sz="8" w:color="auto"/>
            </w:tcBorders>
            <w:gridSpan w:val="3"/>
            <w:shd w:val="clear" w:color="auto" w:fill="1928A0"/>
          </w:tcPr>
          <w:p>
            <w:pPr>
              <w:jc w:val="right"/>
              <w:ind w:right="618"/>
              <w:spacing w:after="0"/>
              <w:rPr>
                <w:sz w:val="20"/>
                <w:szCs w:val="20"/>
                <w:color w:val="auto"/>
              </w:rPr>
            </w:pPr>
            <w:r>
              <w:rPr>
                <w:rFonts w:ascii="Arial" w:cs="Arial" w:eastAsia="Arial" w:hAnsi="Arial"/>
                <w:sz w:val="13"/>
                <w:szCs w:val="13"/>
                <w:b w:val="1"/>
                <w:bCs w:val="1"/>
                <w:color w:val="FFFFFF"/>
              </w:rPr>
              <w:t>Twenty-Six Weeks Ended</w:t>
            </w:r>
          </w:p>
        </w:tc>
        <w:tc>
          <w:tcPr>
            <w:tcW w:w="680" w:type="dxa"/>
            <w:vAlign w:val="bottom"/>
            <w:tcBorders>
              <w:top w:val="single" w:sz="8" w:color="auto"/>
            </w:tcBorders>
            <w:shd w:val="clear" w:color="auto" w:fill="1928A0"/>
          </w:tcPr>
          <w:p>
            <w:pPr>
              <w:spacing w:after="0"/>
              <w:rPr>
                <w:sz w:val="16"/>
                <w:szCs w:val="16"/>
                <w:color w:val="auto"/>
              </w:rPr>
            </w:pPr>
          </w:p>
        </w:tc>
        <w:tc>
          <w:tcPr>
            <w:tcW w:w="1320" w:type="dxa"/>
            <w:vAlign w:val="bottom"/>
            <w:tcBorders>
              <w:top w:val="single" w:sz="8" w:color="auto"/>
              <w:right w:val="single" w:sz="8" w:color="auto"/>
            </w:tcBorders>
            <w:shd w:val="clear" w:color="auto" w:fill="1928A0"/>
          </w:tcPr>
          <w:p>
            <w:pPr>
              <w:jc w:val="right"/>
              <w:ind w:right="477"/>
              <w:spacing w:after="0"/>
              <w:rPr>
                <w:sz w:val="20"/>
                <w:szCs w:val="20"/>
                <w:color w:val="auto"/>
              </w:rPr>
            </w:pPr>
            <w:r>
              <w:rPr>
                <w:rFonts w:ascii="Arial" w:cs="Arial" w:eastAsia="Arial" w:hAnsi="Arial"/>
                <w:sz w:val="13"/>
                <w:szCs w:val="13"/>
                <w:b w:val="1"/>
                <w:bCs w:val="1"/>
                <w:color w:val="FFFFFF"/>
              </w:rPr>
              <w:t>Change</w:t>
            </w:r>
          </w:p>
        </w:tc>
      </w:tr>
      <w:tr>
        <w:trPr>
          <w:trHeight w:val="213"/>
        </w:trPr>
        <w:tc>
          <w:tcPr>
            <w:tcW w:w="4500" w:type="dxa"/>
            <w:vAlign w:val="bottom"/>
            <w:tcBorders>
              <w:left w:val="single" w:sz="8" w:color="auto"/>
            </w:tcBorders>
            <w:shd w:val="clear" w:color="auto" w:fill="1928A0"/>
          </w:tcPr>
          <w:p>
            <w:pPr>
              <w:ind w:left="20"/>
              <w:spacing w:after="0"/>
              <w:rPr>
                <w:sz w:val="20"/>
                <w:szCs w:val="20"/>
                <w:color w:val="auto"/>
              </w:rPr>
            </w:pPr>
            <w:r>
              <w:rPr>
                <w:rFonts w:ascii="Arial" w:cs="Arial" w:eastAsia="Arial" w:hAnsi="Arial"/>
                <w:sz w:val="13"/>
                <w:szCs w:val="13"/>
                <w:b w:val="1"/>
                <w:bCs w:val="1"/>
                <w:color w:val="FFFFFF"/>
              </w:rPr>
              <w:t xml:space="preserve">Capital Allocation </w:t>
            </w:r>
            <w:r>
              <w:rPr>
                <w:rFonts w:ascii="Arial" w:cs="Arial" w:eastAsia="Arial" w:hAnsi="Arial"/>
                <w:sz w:val="9"/>
                <w:szCs w:val="9"/>
                <w:b w:val="1"/>
                <w:bCs w:val="1"/>
                <w:color w:val="FFFFFF"/>
              </w:rPr>
              <w:t>($ in millions)</w:t>
            </w:r>
          </w:p>
        </w:tc>
        <w:tc>
          <w:tcPr>
            <w:tcW w:w="1500" w:type="dxa"/>
            <w:vAlign w:val="bottom"/>
            <w:shd w:val="clear" w:color="auto" w:fill="1928A0"/>
          </w:tcPr>
          <w:p>
            <w:pPr>
              <w:jc w:val="right"/>
              <w:ind w:right="43"/>
              <w:spacing w:after="0"/>
              <w:rPr>
                <w:sz w:val="20"/>
                <w:szCs w:val="20"/>
                <w:color w:val="auto"/>
              </w:rPr>
            </w:pPr>
            <w:r>
              <w:rPr>
                <w:rFonts w:ascii="Arial" w:cs="Arial" w:eastAsia="Arial" w:hAnsi="Arial"/>
                <w:sz w:val="13"/>
                <w:szCs w:val="13"/>
                <w:b w:val="1"/>
                <w:bCs w:val="1"/>
                <w:color w:val="FFFFFF"/>
              </w:rPr>
              <w:t>August 2, 2025</w:t>
            </w:r>
          </w:p>
        </w:tc>
        <w:tc>
          <w:tcPr>
            <w:tcW w:w="360" w:type="dxa"/>
            <w:vAlign w:val="bottom"/>
            <w:shd w:val="clear" w:color="auto" w:fill="1928A0"/>
          </w:tcPr>
          <w:p>
            <w:pPr>
              <w:spacing w:after="0"/>
              <w:rPr>
                <w:sz w:val="18"/>
                <w:szCs w:val="18"/>
                <w:color w:val="auto"/>
              </w:rPr>
            </w:pPr>
          </w:p>
        </w:tc>
        <w:tc>
          <w:tcPr>
            <w:tcW w:w="1500" w:type="dxa"/>
            <w:vAlign w:val="bottom"/>
            <w:shd w:val="clear" w:color="auto" w:fill="1928A0"/>
          </w:tcPr>
          <w:p>
            <w:pPr>
              <w:jc w:val="right"/>
              <w:spacing w:after="0"/>
              <w:rPr>
                <w:sz w:val="20"/>
                <w:szCs w:val="20"/>
                <w:color w:val="auto"/>
              </w:rPr>
            </w:pPr>
            <w:r>
              <w:rPr>
                <w:rFonts w:ascii="Arial" w:cs="Arial" w:eastAsia="Arial" w:hAnsi="Arial"/>
                <w:sz w:val="13"/>
                <w:szCs w:val="13"/>
                <w:b w:val="1"/>
                <w:bCs w:val="1"/>
                <w:color w:val="FFFFFF"/>
              </w:rPr>
              <w:t>August 3, 2024</w:t>
            </w:r>
          </w:p>
        </w:tc>
        <w:tc>
          <w:tcPr>
            <w:tcW w:w="680" w:type="dxa"/>
            <w:vAlign w:val="bottom"/>
            <w:shd w:val="clear" w:color="auto" w:fill="1928A0"/>
          </w:tcPr>
          <w:p>
            <w:pPr>
              <w:spacing w:after="0"/>
              <w:rPr>
                <w:sz w:val="18"/>
                <w:szCs w:val="18"/>
                <w:color w:val="auto"/>
              </w:rPr>
            </w:pPr>
          </w:p>
        </w:tc>
        <w:tc>
          <w:tcPr>
            <w:tcW w:w="1320" w:type="dxa"/>
            <w:vAlign w:val="bottom"/>
            <w:tcBorders>
              <w:right w:val="single" w:sz="8" w:color="auto"/>
            </w:tcBorders>
            <w:shd w:val="clear" w:color="auto" w:fill="1928A0"/>
          </w:tcPr>
          <w:p>
            <w:pPr>
              <w:jc w:val="right"/>
              <w:ind w:right="677"/>
              <w:spacing w:after="0"/>
              <w:rPr>
                <w:sz w:val="20"/>
                <w:szCs w:val="20"/>
                <w:color w:val="auto"/>
              </w:rPr>
            </w:pPr>
            <w:r>
              <w:rPr>
                <w:rFonts w:ascii="Arial" w:cs="Arial" w:eastAsia="Arial" w:hAnsi="Arial"/>
                <w:sz w:val="13"/>
                <w:szCs w:val="13"/>
                <w:b w:val="1"/>
                <w:bCs w:val="1"/>
                <w:color w:val="FFFFFF"/>
              </w:rPr>
              <w:t>%</w:t>
            </w:r>
          </w:p>
        </w:tc>
      </w:tr>
      <w:tr>
        <w:trPr>
          <w:trHeight w:val="180"/>
        </w:trPr>
        <w:tc>
          <w:tcPr>
            <w:tcW w:w="450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2"/>
                <w:szCs w:val="12"/>
                <w:color w:val="auto"/>
              </w:rPr>
              <w:t>Share repurchases</w:t>
            </w:r>
          </w:p>
        </w:tc>
        <w:tc>
          <w:tcPr>
            <w:tcW w:w="1500" w:type="dxa"/>
            <w:vAlign w:val="bottom"/>
            <w:shd w:val="clear" w:color="auto" w:fill="DBDBDB"/>
          </w:tcPr>
          <w:p>
            <w:pPr>
              <w:jc w:val="right"/>
              <w:ind w:right="1383"/>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99.9</w:t>
            </w:r>
          </w:p>
        </w:tc>
        <w:tc>
          <w:tcPr>
            <w:tcW w:w="1500" w:type="dxa"/>
            <w:vAlign w:val="bottom"/>
            <w:shd w:val="clear" w:color="auto" w:fill="DBDBDB"/>
          </w:tcPr>
          <w:p>
            <w:pPr>
              <w:jc w:val="right"/>
              <w:ind w:right="1338"/>
              <w:spacing w:after="0"/>
              <w:rPr>
                <w:sz w:val="20"/>
                <w:szCs w:val="20"/>
                <w:color w:val="auto"/>
              </w:rPr>
            </w:pPr>
            <w:r>
              <w:rPr>
                <w:rFonts w:ascii="Arial" w:cs="Arial" w:eastAsia="Arial" w:hAnsi="Arial"/>
                <w:sz w:val="12"/>
                <w:szCs w:val="12"/>
                <w:color w:val="auto"/>
              </w:rPr>
              <w:t>$</w:t>
            </w:r>
          </w:p>
        </w:tc>
        <w:tc>
          <w:tcPr>
            <w:tcW w:w="680" w:type="dxa"/>
            <w:vAlign w:val="bottom"/>
            <w:shd w:val="clear" w:color="auto" w:fill="DBDBDB"/>
          </w:tcPr>
          <w:p>
            <w:pPr>
              <w:jc w:val="right"/>
              <w:ind w:right="240"/>
              <w:spacing w:after="0"/>
              <w:rPr>
                <w:sz w:val="20"/>
                <w:szCs w:val="20"/>
                <w:color w:val="auto"/>
              </w:rPr>
            </w:pPr>
            <w:r>
              <w:rPr>
                <w:rFonts w:ascii="Arial" w:cs="Arial" w:eastAsia="Arial" w:hAnsi="Arial"/>
                <w:sz w:val="12"/>
                <w:szCs w:val="12"/>
                <w:color w:val="auto"/>
              </w:rPr>
              <w:t>222.3</w:t>
            </w:r>
          </w:p>
        </w:tc>
        <w:tc>
          <w:tcPr>
            <w:tcW w:w="1320" w:type="dxa"/>
            <w:vAlign w:val="bottom"/>
            <w:tcBorders>
              <w:right w:val="single" w:sz="8" w:color="auto"/>
            </w:tcBorders>
            <w:shd w:val="clear" w:color="auto" w:fill="DBDBDB"/>
          </w:tcPr>
          <w:p>
            <w:pPr>
              <w:jc w:val="right"/>
              <w:ind w:right="517"/>
              <w:spacing w:after="0"/>
              <w:rPr>
                <w:sz w:val="20"/>
                <w:szCs w:val="20"/>
                <w:color w:val="auto"/>
              </w:rPr>
            </w:pPr>
            <w:r>
              <w:rPr>
                <w:rFonts w:ascii="Arial" w:cs="Arial" w:eastAsia="Arial" w:hAnsi="Arial"/>
                <w:sz w:val="12"/>
                <w:szCs w:val="12"/>
                <w:color w:val="auto"/>
              </w:rPr>
              <w:t>(55.1)%</w:t>
            </w:r>
          </w:p>
        </w:tc>
      </w:tr>
      <w:tr>
        <w:trPr>
          <w:trHeight w:val="172"/>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Dividends paid</w:t>
            </w:r>
          </w:p>
        </w:tc>
        <w:tc>
          <w:tcPr>
            <w:tcW w:w="1500" w:type="dxa"/>
            <w:vAlign w:val="bottom"/>
            <w:tcBorders>
              <w:bottom w:val="single" w:sz="8" w:color="auto"/>
            </w:tcBorders>
          </w:tcPr>
          <w:p>
            <w:pPr>
              <w:jc w:val="right"/>
              <w:ind w:right="1383"/>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17.4</w:t>
            </w:r>
          </w:p>
        </w:tc>
        <w:tc>
          <w:tcPr>
            <w:tcW w:w="1500" w:type="dxa"/>
            <w:vAlign w:val="bottom"/>
            <w:tcBorders>
              <w:bottom w:val="single" w:sz="8" w:color="auto"/>
            </w:tcBorders>
          </w:tcPr>
          <w:p>
            <w:pPr>
              <w:jc w:val="right"/>
              <w:ind w:right="1338"/>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16.1</w:t>
            </w:r>
          </w:p>
        </w:tc>
        <w:tc>
          <w:tcPr>
            <w:tcW w:w="1320" w:type="dxa"/>
            <w:vAlign w:val="bottom"/>
            <w:tcBorders>
              <w:bottom w:val="single" w:sz="8" w:color="auto"/>
              <w:right w:val="single" w:sz="8" w:color="auto"/>
            </w:tcBorders>
          </w:tcPr>
          <w:p>
            <w:pPr>
              <w:jc w:val="right"/>
              <w:ind w:right="597"/>
              <w:spacing w:after="0"/>
              <w:rPr>
                <w:sz w:val="20"/>
                <w:szCs w:val="20"/>
                <w:color w:val="auto"/>
              </w:rPr>
            </w:pPr>
            <w:r>
              <w:rPr>
                <w:rFonts w:ascii="Arial" w:cs="Arial" w:eastAsia="Arial" w:hAnsi="Arial"/>
                <w:sz w:val="12"/>
                <w:szCs w:val="12"/>
                <w:color w:val="auto"/>
              </w:rPr>
              <w:t>8.1%</w:t>
            </w:r>
          </w:p>
        </w:tc>
      </w:tr>
    </w:tbl>
    <w:p>
      <w:pPr>
        <w:spacing w:after="0" w:line="203" w:lineRule="exact"/>
        <w:rPr>
          <w:sz w:val="20"/>
          <w:szCs w:val="20"/>
          <w:color w:val="auto"/>
        </w:rPr>
      </w:pPr>
    </w:p>
    <w:p>
      <w:pPr>
        <w:ind w:right="20"/>
        <w:spacing w:after="0" w:line="253" w:lineRule="auto"/>
        <w:rPr>
          <w:sz w:val="20"/>
          <w:szCs w:val="20"/>
          <w:color w:val="auto"/>
        </w:rPr>
      </w:pPr>
      <w:r>
        <w:rPr>
          <w:rFonts w:ascii="Arial" w:cs="Arial" w:eastAsia="Arial" w:hAnsi="Arial"/>
          <w:sz w:val="12"/>
          <w:szCs w:val="12"/>
          <w:color w:val="auto"/>
        </w:rPr>
        <w:t>Subsequent to the end of the second quarter, on August 28, 2025, Academy's Board of Directors declared a quarterly cash dividend of $0.13 per share of common stock. The dividend is payable on October 9, 2025, to stockholders of record as of the close of business on September 11, 2025.</w:t>
      </w:r>
    </w:p>
    <w:p>
      <w:pPr>
        <w:spacing w:after="0" w:line="234" w:lineRule="auto"/>
        <w:rPr>
          <w:sz w:val="20"/>
          <w:szCs w:val="20"/>
          <w:color w:val="auto"/>
        </w:rPr>
      </w:pPr>
      <w:r>
        <w:rPr>
          <w:rFonts w:ascii="Arial" w:cs="Arial" w:eastAsia="Arial" w:hAnsi="Arial"/>
          <w:sz w:val="12"/>
          <w:szCs w:val="12"/>
          <w:b w:val="1"/>
          <w:bCs w:val="1"/>
          <w:u w:val="single" w:color="auto"/>
          <w:color w:val="auto"/>
        </w:rPr>
        <w:t>New Store Openings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Academy opened three new stores during the second quarter, bringing its total to 306 locations across 21 states. The Company plans to open a total of 20 to 25 stores in fiscal 2025.</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Academy Store Footprint Update</w:t>
      </w:r>
    </w:p>
    <w:p>
      <w:pPr>
        <w:spacing w:after="0" w:line="190" w:lineRule="exact"/>
        <w:rPr>
          <w:sz w:val="20"/>
          <w:szCs w:val="20"/>
          <w:color w:val="auto"/>
        </w:rPr>
      </w:pPr>
    </w:p>
    <w:tbl>
      <w:tblPr>
        <w:tblLayout w:type="fixed"/>
        <w:tblInd w:w="420" w:type="dxa"/>
        <w:tblCellMar>
          <w:top w:w="0" w:type="dxa"/>
          <w:left w:w="0" w:type="dxa"/>
          <w:bottom w:w="0" w:type="dxa"/>
          <w:right w:w="0" w:type="dxa"/>
        </w:tblCellMar>
      </w:tblPr>
      <w:tr>
        <w:trPr>
          <w:trHeight w:val="157"/>
        </w:trPr>
        <w:tc>
          <w:tcPr>
            <w:tcW w:w="360" w:type="dxa"/>
            <w:vAlign w:val="bottom"/>
          </w:tcPr>
          <w:p>
            <w:pPr>
              <w:spacing w:after="0"/>
              <w:rPr>
                <w:sz w:val="13"/>
                <w:szCs w:val="13"/>
                <w:color w:val="auto"/>
              </w:rPr>
            </w:pPr>
          </w:p>
        </w:tc>
        <w:tc>
          <w:tcPr>
            <w:tcW w:w="1660" w:type="dxa"/>
            <w:vAlign w:val="bottom"/>
            <w:shd w:val="clear" w:color="auto" w:fill="0E32E1"/>
          </w:tcPr>
          <w:p>
            <w:pPr>
              <w:spacing w:after="0"/>
              <w:rPr>
                <w:sz w:val="13"/>
                <w:szCs w:val="13"/>
                <w:color w:val="auto"/>
              </w:rPr>
            </w:pPr>
          </w:p>
        </w:tc>
        <w:tc>
          <w:tcPr>
            <w:tcW w:w="4200" w:type="dxa"/>
            <w:vAlign w:val="bottom"/>
            <w:gridSpan w:val="2"/>
            <w:shd w:val="clear" w:color="auto" w:fill="0E32E1"/>
          </w:tcPr>
          <w:p>
            <w:pPr>
              <w:ind w:left="320"/>
              <w:spacing w:after="0"/>
              <w:rPr>
                <w:sz w:val="20"/>
                <w:szCs w:val="20"/>
                <w:color w:val="auto"/>
              </w:rPr>
            </w:pPr>
            <w:r>
              <w:rPr>
                <w:rFonts w:ascii="Arial" w:cs="Arial" w:eastAsia="Arial" w:hAnsi="Arial"/>
                <w:sz w:val="13"/>
                <w:szCs w:val="13"/>
                <w:color w:val="FFFFFF"/>
              </w:rPr>
              <w:t>Total stores open at beginning of Number of stores opened during</w:t>
            </w:r>
          </w:p>
        </w:tc>
        <w:tc>
          <w:tcPr>
            <w:tcW w:w="196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Number of stores closed during</w:t>
            </w:r>
          </w:p>
        </w:tc>
        <w:tc>
          <w:tcPr>
            <w:tcW w:w="192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Total stores open at end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1660" w:type="dxa"/>
            <w:vAlign w:val="bottom"/>
            <w:tcBorders>
              <w:bottom w:val="single" w:sz="8" w:color="0E32E1"/>
            </w:tcBorders>
            <w:shd w:val="clear" w:color="auto" w:fill="0E32E1"/>
          </w:tcPr>
          <w:p>
            <w:pPr>
              <w:ind w:left="620"/>
              <w:spacing w:after="0"/>
              <w:rPr>
                <w:sz w:val="20"/>
                <w:szCs w:val="20"/>
                <w:color w:val="auto"/>
              </w:rPr>
            </w:pPr>
            <w:r>
              <w:rPr>
                <w:rFonts w:ascii="Arial" w:cs="Arial" w:eastAsia="Arial" w:hAnsi="Arial"/>
                <w:sz w:val="13"/>
                <w:szCs w:val="13"/>
                <w:color w:val="FFFFFF"/>
              </w:rPr>
              <w:t>Time Frame</w:t>
            </w:r>
          </w:p>
        </w:tc>
        <w:tc>
          <w:tcPr>
            <w:tcW w:w="2300" w:type="dxa"/>
            <w:vAlign w:val="bottom"/>
            <w:tcBorders>
              <w:bottom w:val="single" w:sz="8" w:color="0E32E1"/>
            </w:tcBorders>
            <w:shd w:val="clear" w:color="auto" w:fill="0E32E1"/>
          </w:tcPr>
          <w:p>
            <w:pPr>
              <w:jc w:val="center"/>
              <w:ind w:left="174"/>
              <w:spacing w:after="0"/>
              <w:rPr>
                <w:sz w:val="20"/>
                <w:szCs w:val="20"/>
                <w:color w:val="auto"/>
              </w:rPr>
            </w:pPr>
            <w:r>
              <w:rPr>
                <w:rFonts w:ascii="Arial" w:cs="Arial" w:eastAsia="Arial" w:hAnsi="Arial"/>
                <w:sz w:val="13"/>
                <w:szCs w:val="13"/>
                <w:color w:val="FFFFFF"/>
              </w:rPr>
              <w:t>the period</w:t>
            </w:r>
          </w:p>
        </w:tc>
        <w:tc>
          <w:tcPr>
            <w:tcW w:w="1900" w:type="dxa"/>
            <w:vAlign w:val="bottom"/>
            <w:tcBorders>
              <w:bottom w:val="single" w:sz="8" w:color="0E32E1"/>
            </w:tcBorders>
            <w:shd w:val="clear" w:color="auto" w:fill="0E32E1"/>
          </w:tcPr>
          <w:p>
            <w:pPr>
              <w:jc w:val="center"/>
              <w:ind w:right="14"/>
              <w:spacing w:after="0"/>
              <w:rPr>
                <w:sz w:val="20"/>
                <w:szCs w:val="20"/>
                <w:color w:val="auto"/>
              </w:rPr>
            </w:pPr>
            <w:r>
              <w:rPr>
                <w:rFonts w:ascii="Arial" w:cs="Arial" w:eastAsia="Arial" w:hAnsi="Arial"/>
                <w:sz w:val="13"/>
                <w:szCs w:val="13"/>
                <w:color w:val="FFFFFF"/>
              </w:rPr>
              <w:t>the period</w:t>
            </w:r>
          </w:p>
        </w:tc>
        <w:tc>
          <w:tcPr>
            <w:tcW w:w="1960" w:type="dxa"/>
            <w:vAlign w:val="bottom"/>
            <w:tcBorders>
              <w:bottom w:val="single" w:sz="8" w:color="0E32E1"/>
            </w:tcBorders>
            <w:shd w:val="clear" w:color="auto" w:fill="0E32E1"/>
          </w:tcPr>
          <w:p>
            <w:pPr>
              <w:jc w:val="center"/>
              <w:spacing w:after="0"/>
              <w:rPr>
                <w:sz w:val="20"/>
                <w:szCs w:val="20"/>
                <w:color w:val="auto"/>
              </w:rPr>
            </w:pPr>
            <w:r>
              <w:rPr>
                <w:rFonts w:ascii="Arial" w:cs="Arial" w:eastAsia="Arial" w:hAnsi="Arial"/>
                <w:sz w:val="13"/>
                <w:szCs w:val="13"/>
                <w:color w:val="FFFFFF"/>
              </w:rPr>
              <w:t>the period</w:t>
            </w:r>
          </w:p>
        </w:tc>
        <w:tc>
          <w:tcPr>
            <w:tcW w:w="1920" w:type="dxa"/>
            <w:vAlign w:val="bottom"/>
            <w:tcBorders>
              <w:bottom w:val="single" w:sz="8" w:color="0E32E1"/>
            </w:tcBorders>
            <w:shd w:val="clear" w:color="auto" w:fill="0E32E1"/>
          </w:tcPr>
          <w:p>
            <w:pPr>
              <w:jc w:val="center"/>
              <w:spacing w:after="0"/>
              <w:rPr>
                <w:sz w:val="20"/>
                <w:szCs w:val="20"/>
                <w:color w:val="auto"/>
              </w:rPr>
            </w:pPr>
            <w:r>
              <w:rPr>
                <w:rFonts w:ascii="Arial" w:cs="Arial" w:eastAsia="Arial" w:hAnsi="Arial"/>
                <w:sz w:val="13"/>
                <w:szCs w:val="13"/>
                <w:color w:val="FFFFFF"/>
                <w:w w:val="99"/>
              </w:rPr>
              <w:t>period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1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FY 2024</w:t>
            </w:r>
          </w:p>
        </w:tc>
        <w:tc>
          <w:tcPr>
            <w:tcW w:w="2300" w:type="dxa"/>
            <w:vAlign w:val="bottom"/>
            <w:tcBorders>
              <w:bottom w:val="single" w:sz="8" w:color="DBDBDB"/>
            </w:tcBorders>
            <w:shd w:val="clear" w:color="auto" w:fill="DBDBDB"/>
          </w:tcPr>
          <w:p>
            <w:pPr>
              <w:jc w:val="center"/>
              <w:ind w:left="174"/>
              <w:spacing w:after="0"/>
              <w:rPr>
                <w:sz w:val="20"/>
                <w:szCs w:val="20"/>
                <w:color w:val="auto"/>
              </w:rPr>
            </w:pPr>
            <w:r>
              <w:rPr>
                <w:rFonts w:ascii="Arial" w:cs="Arial" w:eastAsia="Arial" w:hAnsi="Arial"/>
                <w:sz w:val="13"/>
                <w:szCs w:val="13"/>
                <w:color w:val="auto"/>
              </w:rPr>
              <w:t>282</w:t>
            </w:r>
          </w:p>
        </w:tc>
        <w:tc>
          <w:tcPr>
            <w:tcW w:w="1900" w:type="dxa"/>
            <w:vAlign w:val="bottom"/>
            <w:tcBorders>
              <w:bottom w:val="single" w:sz="8" w:color="DBDBDB"/>
            </w:tcBorders>
            <w:shd w:val="clear" w:color="auto" w:fill="DBDBDB"/>
          </w:tcPr>
          <w:p>
            <w:pPr>
              <w:jc w:val="center"/>
              <w:ind w:right="14"/>
              <w:spacing w:after="0"/>
              <w:rPr>
                <w:sz w:val="20"/>
                <w:szCs w:val="20"/>
                <w:color w:val="auto"/>
              </w:rPr>
            </w:pPr>
            <w:r>
              <w:rPr>
                <w:rFonts w:ascii="Arial" w:cs="Arial" w:eastAsia="Arial" w:hAnsi="Arial"/>
                <w:sz w:val="13"/>
                <w:szCs w:val="13"/>
                <w:color w:val="auto"/>
                <w:w w:val="96"/>
              </w:rPr>
              <w:t>16</w:t>
            </w:r>
          </w:p>
        </w:tc>
        <w:tc>
          <w:tcPr>
            <w:tcW w:w="19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9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rPr>
              <w:t>298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0" w:type="dxa"/>
            <w:vAlign w:val="bottom"/>
          </w:tcPr>
          <w:p>
            <w:pPr>
              <w:spacing w:after="0"/>
              <w:rPr>
                <w:sz w:val="15"/>
                <w:szCs w:val="15"/>
                <w:color w:val="auto"/>
              </w:rPr>
            </w:pPr>
          </w:p>
        </w:tc>
        <w:tc>
          <w:tcPr>
            <w:tcW w:w="1660" w:type="dxa"/>
            <w:vAlign w:val="bottom"/>
          </w:tcPr>
          <w:p>
            <w:pPr>
              <w:ind w:left="20"/>
              <w:spacing w:after="0"/>
              <w:rPr>
                <w:sz w:val="20"/>
                <w:szCs w:val="20"/>
                <w:color w:val="auto"/>
              </w:rPr>
            </w:pPr>
            <w:r>
              <w:rPr>
                <w:rFonts w:ascii="Arial" w:cs="Arial" w:eastAsia="Arial" w:hAnsi="Arial"/>
                <w:sz w:val="13"/>
                <w:szCs w:val="13"/>
                <w:color w:val="auto"/>
              </w:rPr>
              <w:t>1st Quarter 2025</w:t>
            </w:r>
          </w:p>
        </w:tc>
        <w:tc>
          <w:tcPr>
            <w:tcW w:w="2300" w:type="dxa"/>
            <w:vAlign w:val="bottom"/>
          </w:tcPr>
          <w:p>
            <w:pPr>
              <w:jc w:val="center"/>
              <w:ind w:left="174"/>
              <w:spacing w:after="0"/>
              <w:rPr>
                <w:sz w:val="20"/>
                <w:szCs w:val="20"/>
                <w:color w:val="auto"/>
              </w:rPr>
            </w:pPr>
            <w:r>
              <w:rPr>
                <w:rFonts w:ascii="Arial" w:cs="Arial" w:eastAsia="Arial" w:hAnsi="Arial"/>
                <w:sz w:val="13"/>
                <w:szCs w:val="13"/>
                <w:color w:val="auto"/>
              </w:rPr>
              <w:t>298</w:t>
            </w:r>
          </w:p>
        </w:tc>
        <w:tc>
          <w:tcPr>
            <w:tcW w:w="1900" w:type="dxa"/>
            <w:vAlign w:val="bottom"/>
          </w:tcPr>
          <w:p>
            <w:pPr>
              <w:jc w:val="center"/>
              <w:ind w:right="14"/>
              <w:spacing w:after="0"/>
              <w:rPr>
                <w:sz w:val="20"/>
                <w:szCs w:val="20"/>
                <w:color w:val="auto"/>
              </w:rPr>
            </w:pPr>
            <w:r>
              <w:rPr>
                <w:rFonts w:ascii="Arial" w:cs="Arial" w:eastAsia="Arial" w:hAnsi="Arial"/>
                <w:sz w:val="13"/>
                <w:szCs w:val="13"/>
                <w:color w:val="auto"/>
                <w:w w:val="82"/>
              </w:rPr>
              <w:t>5</w:t>
            </w:r>
          </w:p>
        </w:tc>
        <w:tc>
          <w:tcPr>
            <w:tcW w:w="1960" w:type="dxa"/>
            <w:vAlign w:val="bottom"/>
          </w:tcPr>
          <w:p>
            <w:pPr>
              <w:jc w:val="center"/>
              <w:spacing w:after="0"/>
              <w:rPr>
                <w:sz w:val="20"/>
                <w:szCs w:val="20"/>
                <w:color w:val="auto"/>
              </w:rPr>
            </w:pPr>
            <w:r>
              <w:rPr>
                <w:rFonts w:ascii="Arial" w:cs="Arial" w:eastAsia="Arial" w:hAnsi="Arial"/>
                <w:sz w:val="13"/>
                <w:szCs w:val="13"/>
                <w:color w:val="auto"/>
              </w:rPr>
              <w:t>—</w:t>
            </w:r>
          </w:p>
        </w:tc>
        <w:tc>
          <w:tcPr>
            <w:tcW w:w="1920" w:type="dxa"/>
            <w:vAlign w:val="bottom"/>
          </w:tcPr>
          <w:p>
            <w:pPr>
              <w:jc w:val="center"/>
              <w:spacing w:after="0"/>
              <w:rPr>
                <w:sz w:val="20"/>
                <w:szCs w:val="20"/>
                <w:color w:val="auto"/>
              </w:rPr>
            </w:pPr>
            <w:r>
              <w:rPr>
                <w:rFonts w:ascii="Arial" w:cs="Arial" w:eastAsia="Arial" w:hAnsi="Arial"/>
                <w:sz w:val="13"/>
                <w:szCs w:val="13"/>
                <w:color w:val="auto"/>
              </w:rPr>
              <w:t>303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0" w:type="dxa"/>
            <w:vAlign w:val="bottom"/>
          </w:tcPr>
          <w:p>
            <w:pPr>
              <w:spacing w:after="0"/>
              <w:rPr>
                <w:sz w:val="15"/>
                <w:szCs w:val="15"/>
                <w:color w:val="auto"/>
              </w:rPr>
            </w:pPr>
          </w:p>
        </w:tc>
        <w:tc>
          <w:tcPr>
            <w:tcW w:w="1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2nd Quarter 2025</w:t>
            </w:r>
          </w:p>
        </w:tc>
        <w:tc>
          <w:tcPr>
            <w:tcW w:w="2300" w:type="dxa"/>
            <w:vAlign w:val="bottom"/>
            <w:tcBorders>
              <w:bottom w:val="single" w:sz="8" w:color="DBDBDB"/>
            </w:tcBorders>
            <w:shd w:val="clear" w:color="auto" w:fill="DBDBDB"/>
          </w:tcPr>
          <w:p>
            <w:pPr>
              <w:jc w:val="center"/>
              <w:ind w:left="174"/>
              <w:spacing w:after="0"/>
              <w:rPr>
                <w:sz w:val="20"/>
                <w:szCs w:val="20"/>
                <w:color w:val="auto"/>
              </w:rPr>
            </w:pPr>
            <w:r>
              <w:rPr>
                <w:rFonts w:ascii="Arial" w:cs="Arial" w:eastAsia="Arial" w:hAnsi="Arial"/>
                <w:sz w:val="13"/>
                <w:szCs w:val="13"/>
                <w:color w:val="auto"/>
              </w:rPr>
              <w:t>303</w:t>
            </w:r>
          </w:p>
        </w:tc>
        <w:tc>
          <w:tcPr>
            <w:tcW w:w="1900" w:type="dxa"/>
            <w:vAlign w:val="bottom"/>
            <w:tcBorders>
              <w:bottom w:val="single" w:sz="8" w:color="DBDBDB"/>
            </w:tcBorders>
            <w:shd w:val="clear" w:color="auto" w:fill="DBDBDB"/>
          </w:tcPr>
          <w:p>
            <w:pPr>
              <w:jc w:val="center"/>
              <w:ind w:right="14"/>
              <w:spacing w:after="0"/>
              <w:rPr>
                <w:sz w:val="20"/>
                <w:szCs w:val="20"/>
                <w:color w:val="auto"/>
              </w:rPr>
            </w:pPr>
            <w:r>
              <w:rPr>
                <w:rFonts w:ascii="Arial" w:cs="Arial" w:eastAsia="Arial" w:hAnsi="Arial"/>
                <w:sz w:val="13"/>
                <w:szCs w:val="13"/>
                <w:color w:val="auto"/>
                <w:w w:val="82"/>
              </w:rPr>
              <w:t>3</w:t>
            </w:r>
          </w:p>
        </w:tc>
        <w:tc>
          <w:tcPr>
            <w:tcW w:w="19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9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rPr>
              <w:t>306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20" w:type="dxa"/>
            <w:vAlign w:val="bottom"/>
            <w:gridSpan w:val="2"/>
          </w:tcPr>
          <w:p>
            <w:pPr>
              <w:spacing w:after="0"/>
              <w:rPr>
                <w:sz w:val="20"/>
                <w:szCs w:val="20"/>
                <w:color w:val="auto"/>
              </w:rPr>
            </w:pPr>
            <w:r>
              <w:rPr>
                <w:rFonts w:ascii="Arial" w:cs="Arial" w:eastAsia="Arial" w:hAnsi="Arial"/>
                <w:sz w:val="8"/>
                <w:szCs w:val="8"/>
                <w:color w:val="auto"/>
              </w:rPr>
              <w:t>Note: 21 new stores added LTM</w:t>
            </w:r>
          </w:p>
        </w:tc>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0" w:type="dxa"/>
            <w:vAlign w:val="bottom"/>
            <w:tcBorders>
              <w:right w:val="single" w:sz="8" w:color="0E32E1"/>
            </w:tcBorders>
          </w:tcPr>
          <w:p>
            <w:pPr>
              <w:spacing w:after="0"/>
              <w:rPr>
                <w:sz w:val="14"/>
                <w:szCs w:val="14"/>
                <w:color w:val="auto"/>
              </w:rPr>
            </w:pPr>
          </w:p>
        </w:tc>
        <w:tc>
          <w:tcPr>
            <w:tcW w:w="1660" w:type="dxa"/>
            <w:vAlign w:val="bottom"/>
            <w:vMerge w:val="restart"/>
            <w:shd w:val="clear" w:color="auto" w:fill="0E32E1"/>
          </w:tcPr>
          <w:p>
            <w:pPr>
              <w:ind w:left="620"/>
              <w:spacing w:after="0"/>
              <w:rPr>
                <w:sz w:val="20"/>
                <w:szCs w:val="20"/>
                <w:color w:val="auto"/>
              </w:rPr>
            </w:pPr>
            <w:r>
              <w:rPr>
                <w:rFonts w:ascii="Arial" w:cs="Arial" w:eastAsia="Arial" w:hAnsi="Arial"/>
                <w:sz w:val="13"/>
                <w:szCs w:val="13"/>
                <w:color w:val="FFFFFF"/>
              </w:rPr>
              <w:t>Time Frame</w:t>
            </w:r>
          </w:p>
        </w:tc>
        <w:tc>
          <w:tcPr>
            <w:tcW w:w="2300" w:type="dxa"/>
            <w:vAlign w:val="bottom"/>
            <w:shd w:val="clear" w:color="auto" w:fill="0E32E1"/>
          </w:tcPr>
          <w:p>
            <w:pPr>
              <w:jc w:val="center"/>
              <w:ind w:left="194"/>
              <w:spacing w:after="0"/>
              <w:rPr>
                <w:sz w:val="20"/>
                <w:szCs w:val="20"/>
                <w:color w:val="auto"/>
              </w:rPr>
            </w:pPr>
            <w:r>
              <w:rPr>
                <w:rFonts w:ascii="Arial" w:cs="Arial" w:eastAsia="Arial" w:hAnsi="Arial"/>
                <w:sz w:val="13"/>
                <w:szCs w:val="13"/>
                <w:color w:val="FFFFFF"/>
              </w:rPr>
              <w:t>Total gross square feet open at</w:t>
            </w:r>
          </w:p>
        </w:tc>
        <w:tc>
          <w:tcPr>
            <w:tcW w:w="190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Gross square feet for stores</w:t>
            </w:r>
          </w:p>
        </w:tc>
        <w:tc>
          <w:tcPr>
            <w:tcW w:w="196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Gross square feet for stores</w:t>
            </w:r>
          </w:p>
        </w:tc>
        <w:tc>
          <w:tcPr>
            <w:tcW w:w="192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Total gross square feet at the</w:t>
            </w:r>
          </w:p>
        </w:tc>
        <w:tc>
          <w:tcPr>
            <w:tcW w:w="20" w:type="dxa"/>
            <w:vAlign w:val="bottom"/>
            <w:shd w:val="clear" w:color="auto" w:fill="0E32E1"/>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60" w:type="dxa"/>
            <w:vAlign w:val="bottom"/>
            <w:tcBorders>
              <w:right w:val="single" w:sz="8" w:color="0E32E1"/>
            </w:tcBorders>
          </w:tcPr>
          <w:p>
            <w:pPr>
              <w:spacing w:after="0"/>
              <w:rPr>
                <w:sz w:val="16"/>
                <w:szCs w:val="16"/>
                <w:color w:val="auto"/>
              </w:rPr>
            </w:pPr>
          </w:p>
        </w:tc>
        <w:tc>
          <w:tcPr>
            <w:tcW w:w="1660" w:type="dxa"/>
            <w:vAlign w:val="bottom"/>
            <w:vMerge w:val="continue"/>
            <w:shd w:val="clear" w:color="auto" w:fill="0E32E1"/>
          </w:tcPr>
          <w:p>
            <w:pPr>
              <w:spacing w:after="0"/>
              <w:rPr>
                <w:sz w:val="16"/>
                <w:szCs w:val="16"/>
                <w:color w:val="auto"/>
              </w:rPr>
            </w:pPr>
          </w:p>
        </w:tc>
        <w:tc>
          <w:tcPr>
            <w:tcW w:w="2300" w:type="dxa"/>
            <w:vAlign w:val="bottom"/>
            <w:shd w:val="clear" w:color="auto" w:fill="0E32E1"/>
          </w:tcPr>
          <w:p>
            <w:pPr>
              <w:jc w:val="center"/>
              <w:ind w:left="174"/>
              <w:spacing w:after="0"/>
              <w:rPr>
                <w:sz w:val="20"/>
                <w:szCs w:val="20"/>
                <w:color w:val="auto"/>
              </w:rPr>
            </w:pPr>
            <w:r>
              <w:rPr>
                <w:rFonts w:ascii="Arial" w:cs="Arial" w:eastAsia="Arial" w:hAnsi="Arial"/>
                <w:sz w:val="13"/>
                <w:szCs w:val="13"/>
                <w:color w:val="FFFFFF"/>
              </w:rPr>
              <w:t>beginning of the period</w:t>
            </w:r>
          </w:p>
        </w:tc>
        <w:tc>
          <w:tcPr>
            <w:tcW w:w="190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opened during the period</w:t>
            </w:r>
          </w:p>
        </w:tc>
        <w:tc>
          <w:tcPr>
            <w:tcW w:w="196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closed during the period</w:t>
            </w:r>
          </w:p>
        </w:tc>
        <w:tc>
          <w:tcPr>
            <w:tcW w:w="1920" w:type="dxa"/>
            <w:vAlign w:val="bottom"/>
            <w:shd w:val="clear" w:color="auto" w:fill="0E32E1"/>
          </w:tcPr>
          <w:p>
            <w:pPr>
              <w:jc w:val="center"/>
              <w:spacing w:after="0"/>
              <w:rPr>
                <w:sz w:val="20"/>
                <w:szCs w:val="20"/>
                <w:color w:val="auto"/>
              </w:rPr>
            </w:pPr>
            <w:r>
              <w:rPr>
                <w:rFonts w:ascii="Arial" w:cs="Arial" w:eastAsia="Arial" w:hAnsi="Arial"/>
                <w:sz w:val="13"/>
                <w:szCs w:val="13"/>
                <w:color w:val="FFFFFF"/>
              </w:rPr>
              <w:t>end of the period</w:t>
            </w:r>
          </w:p>
        </w:tc>
        <w:tc>
          <w:tcPr>
            <w:tcW w:w="20" w:type="dxa"/>
            <w:vAlign w:val="bottom"/>
            <w:shd w:val="clear" w:color="auto" w:fill="0E32E1"/>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60" w:type="dxa"/>
            <w:vAlign w:val="bottom"/>
            <w:tcBorders>
              <w:right w:val="single" w:sz="8" w:color="DBDBDB"/>
            </w:tcBorders>
          </w:tcPr>
          <w:p>
            <w:pPr>
              <w:spacing w:after="0"/>
              <w:rPr>
                <w:sz w:val="15"/>
                <w:szCs w:val="15"/>
                <w:color w:val="auto"/>
              </w:rPr>
            </w:pPr>
          </w:p>
        </w:tc>
        <w:tc>
          <w:tcPr>
            <w:tcW w:w="16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FY 2024</w:t>
            </w:r>
          </w:p>
        </w:tc>
        <w:tc>
          <w:tcPr>
            <w:tcW w:w="2300" w:type="dxa"/>
            <w:vAlign w:val="bottom"/>
            <w:tcBorders>
              <w:bottom w:val="single" w:sz="8" w:color="DBDBDB"/>
            </w:tcBorders>
            <w:shd w:val="clear" w:color="auto" w:fill="DBDBDB"/>
          </w:tcPr>
          <w:p>
            <w:pPr>
              <w:jc w:val="center"/>
              <w:ind w:left="194"/>
              <w:spacing w:after="0"/>
              <w:rPr>
                <w:sz w:val="20"/>
                <w:szCs w:val="20"/>
                <w:color w:val="auto"/>
              </w:rPr>
            </w:pPr>
            <w:r>
              <w:rPr>
                <w:rFonts w:ascii="Arial" w:cs="Arial" w:eastAsia="Arial" w:hAnsi="Arial"/>
                <w:sz w:val="13"/>
                <w:szCs w:val="13"/>
                <w:color w:val="auto"/>
              </w:rPr>
              <w:t>19,679</w:t>
            </w:r>
          </w:p>
        </w:tc>
        <w:tc>
          <w:tcPr>
            <w:tcW w:w="19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rPr>
              <w:t>925</w:t>
            </w:r>
          </w:p>
        </w:tc>
        <w:tc>
          <w:tcPr>
            <w:tcW w:w="19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9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rPr>
              <w:t>20,604</w:t>
            </w:r>
          </w:p>
        </w:tc>
        <w:tc>
          <w:tcPr>
            <w:tcW w:w="2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0" w:type="dxa"/>
            <w:vAlign w:val="bottom"/>
          </w:tcPr>
          <w:p>
            <w:pPr>
              <w:spacing w:after="0"/>
              <w:rPr>
                <w:sz w:val="15"/>
                <w:szCs w:val="15"/>
                <w:color w:val="auto"/>
              </w:rPr>
            </w:pPr>
          </w:p>
        </w:tc>
        <w:tc>
          <w:tcPr>
            <w:tcW w:w="1660" w:type="dxa"/>
            <w:vAlign w:val="bottom"/>
          </w:tcPr>
          <w:p>
            <w:pPr>
              <w:spacing w:after="0"/>
              <w:rPr>
                <w:sz w:val="20"/>
                <w:szCs w:val="20"/>
                <w:color w:val="auto"/>
              </w:rPr>
            </w:pPr>
            <w:r>
              <w:rPr>
                <w:rFonts w:ascii="Arial" w:cs="Arial" w:eastAsia="Arial" w:hAnsi="Arial"/>
                <w:sz w:val="13"/>
                <w:szCs w:val="13"/>
                <w:color w:val="auto"/>
              </w:rPr>
              <w:t>1st Quarter 2025</w:t>
            </w:r>
          </w:p>
        </w:tc>
        <w:tc>
          <w:tcPr>
            <w:tcW w:w="2300" w:type="dxa"/>
            <w:vAlign w:val="bottom"/>
          </w:tcPr>
          <w:p>
            <w:pPr>
              <w:jc w:val="center"/>
              <w:ind w:left="194"/>
              <w:spacing w:after="0"/>
              <w:rPr>
                <w:sz w:val="20"/>
                <w:szCs w:val="20"/>
                <w:color w:val="auto"/>
              </w:rPr>
            </w:pPr>
            <w:r>
              <w:rPr>
                <w:rFonts w:ascii="Arial" w:cs="Arial" w:eastAsia="Arial" w:hAnsi="Arial"/>
                <w:sz w:val="13"/>
                <w:szCs w:val="13"/>
                <w:color w:val="auto"/>
              </w:rPr>
              <w:t>20,604</w:t>
            </w:r>
          </w:p>
        </w:tc>
        <w:tc>
          <w:tcPr>
            <w:tcW w:w="1900" w:type="dxa"/>
            <w:vAlign w:val="bottom"/>
          </w:tcPr>
          <w:p>
            <w:pPr>
              <w:jc w:val="center"/>
              <w:spacing w:after="0"/>
              <w:rPr>
                <w:sz w:val="20"/>
                <w:szCs w:val="20"/>
                <w:color w:val="auto"/>
              </w:rPr>
            </w:pPr>
            <w:r>
              <w:rPr>
                <w:rFonts w:ascii="Arial" w:cs="Arial" w:eastAsia="Arial" w:hAnsi="Arial"/>
                <w:sz w:val="13"/>
                <w:szCs w:val="13"/>
                <w:color w:val="auto"/>
              </w:rPr>
              <w:t>275</w:t>
            </w:r>
          </w:p>
        </w:tc>
        <w:tc>
          <w:tcPr>
            <w:tcW w:w="1960" w:type="dxa"/>
            <w:vAlign w:val="bottom"/>
          </w:tcPr>
          <w:p>
            <w:pPr>
              <w:jc w:val="center"/>
              <w:spacing w:after="0"/>
              <w:rPr>
                <w:sz w:val="20"/>
                <w:szCs w:val="20"/>
                <w:color w:val="auto"/>
              </w:rPr>
            </w:pPr>
            <w:r>
              <w:rPr>
                <w:rFonts w:ascii="Arial" w:cs="Arial" w:eastAsia="Arial" w:hAnsi="Arial"/>
                <w:sz w:val="13"/>
                <w:szCs w:val="13"/>
                <w:color w:val="auto"/>
              </w:rPr>
              <w:t>—</w:t>
            </w:r>
          </w:p>
        </w:tc>
        <w:tc>
          <w:tcPr>
            <w:tcW w:w="1920" w:type="dxa"/>
            <w:vAlign w:val="bottom"/>
          </w:tcPr>
          <w:p>
            <w:pPr>
              <w:jc w:val="center"/>
              <w:spacing w:after="0"/>
              <w:rPr>
                <w:sz w:val="20"/>
                <w:szCs w:val="20"/>
                <w:color w:val="auto"/>
              </w:rPr>
            </w:pPr>
            <w:r>
              <w:rPr>
                <w:rFonts w:ascii="Arial" w:cs="Arial" w:eastAsia="Arial" w:hAnsi="Arial"/>
                <w:sz w:val="13"/>
                <w:szCs w:val="13"/>
                <w:color w:val="auto"/>
              </w:rPr>
              <w:t>20,879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0" w:type="dxa"/>
            <w:vAlign w:val="bottom"/>
            <w:tcBorders>
              <w:right w:val="single" w:sz="8" w:color="DBDBDB"/>
            </w:tcBorders>
          </w:tcPr>
          <w:p>
            <w:pPr>
              <w:spacing w:after="0"/>
              <w:rPr>
                <w:sz w:val="15"/>
                <w:szCs w:val="15"/>
                <w:color w:val="auto"/>
              </w:rPr>
            </w:pPr>
          </w:p>
        </w:tc>
        <w:tc>
          <w:tcPr>
            <w:tcW w:w="1660" w:type="dxa"/>
            <w:vAlign w:val="bottom"/>
            <w:shd w:val="clear" w:color="auto" w:fill="DBDBDB"/>
          </w:tcPr>
          <w:p>
            <w:pPr>
              <w:spacing w:after="0"/>
              <w:rPr>
                <w:sz w:val="20"/>
                <w:szCs w:val="20"/>
                <w:color w:val="auto"/>
              </w:rPr>
            </w:pPr>
            <w:r>
              <w:rPr>
                <w:rFonts w:ascii="Arial" w:cs="Arial" w:eastAsia="Arial" w:hAnsi="Arial"/>
                <w:sz w:val="13"/>
                <w:szCs w:val="13"/>
                <w:color w:val="auto"/>
              </w:rPr>
              <w:t>2nd Quarter 2025</w:t>
            </w:r>
          </w:p>
        </w:tc>
        <w:tc>
          <w:tcPr>
            <w:tcW w:w="2300" w:type="dxa"/>
            <w:vAlign w:val="bottom"/>
            <w:shd w:val="clear" w:color="auto" w:fill="DBDBDB"/>
          </w:tcPr>
          <w:p>
            <w:pPr>
              <w:jc w:val="center"/>
              <w:ind w:left="194"/>
              <w:spacing w:after="0"/>
              <w:rPr>
                <w:sz w:val="20"/>
                <w:szCs w:val="20"/>
                <w:color w:val="auto"/>
              </w:rPr>
            </w:pPr>
            <w:r>
              <w:rPr>
                <w:rFonts w:ascii="Arial" w:cs="Arial" w:eastAsia="Arial" w:hAnsi="Arial"/>
                <w:sz w:val="13"/>
                <w:szCs w:val="13"/>
                <w:color w:val="auto"/>
              </w:rPr>
              <w:t>20,879</w:t>
            </w:r>
          </w:p>
        </w:tc>
        <w:tc>
          <w:tcPr>
            <w:tcW w:w="1900" w:type="dxa"/>
            <w:vAlign w:val="bottom"/>
            <w:shd w:val="clear" w:color="auto" w:fill="DBDBDB"/>
          </w:tcPr>
          <w:p>
            <w:pPr>
              <w:jc w:val="center"/>
              <w:spacing w:after="0"/>
              <w:rPr>
                <w:sz w:val="20"/>
                <w:szCs w:val="20"/>
                <w:color w:val="auto"/>
              </w:rPr>
            </w:pPr>
            <w:r>
              <w:rPr>
                <w:rFonts w:ascii="Arial" w:cs="Arial" w:eastAsia="Arial" w:hAnsi="Arial"/>
                <w:sz w:val="13"/>
                <w:szCs w:val="13"/>
                <w:color w:val="auto"/>
              </w:rPr>
              <w:t>191</w:t>
            </w:r>
          </w:p>
        </w:tc>
        <w:tc>
          <w:tcPr>
            <w:tcW w:w="1960" w:type="dxa"/>
            <w:vAlign w:val="bottom"/>
            <w:shd w:val="clear" w:color="auto" w:fill="DBDBDB"/>
          </w:tcPr>
          <w:p>
            <w:pPr>
              <w:jc w:val="center"/>
              <w:spacing w:after="0"/>
              <w:rPr>
                <w:sz w:val="20"/>
                <w:szCs w:val="20"/>
                <w:color w:val="auto"/>
              </w:rPr>
            </w:pPr>
            <w:r>
              <w:rPr>
                <w:rFonts w:ascii="Arial" w:cs="Arial" w:eastAsia="Arial" w:hAnsi="Arial"/>
                <w:sz w:val="13"/>
                <w:szCs w:val="13"/>
                <w:color w:val="auto"/>
              </w:rPr>
              <w:t>—</w:t>
            </w:r>
          </w:p>
        </w:tc>
        <w:tc>
          <w:tcPr>
            <w:tcW w:w="1920" w:type="dxa"/>
            <w:vAlign w:val="bottom"/>
            <w:shd w:val="clear" w:color="auto" w:fill="DBDBDB"/>
          </w:tcPr>
          <w:p>
            <w:pPr>
              <w:jc w:val="center"/>
              <w:spacing w:after="0"/>
              <w:rPr>
                <w:sz w:val="20"/>
                <w:szCs w:val="20"/>
                <w:color w:val="auto"/>
              </w:rPr>
            </w:pPr>
            <w:r>
              <w:rPr>
                <w:rFonts w:ascii="Arial" w:cs="Arial" w:eastAsia="Arial" w:hAnsi="Arial"/>
                <w:sz w:val="13"/>
                <w:szCs w:val="13"/>
                <w:color w:val="auto"/>
              </w:rPr>
              <w:t>21,070</w:t>
            </w:r>
          </w:p>
        </w:tc>
        <w:tc>
          <w:tcPr>
            <w:tcW w:w="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60" w:type="dxa"/>
            <w:vAlign w:val="bottom"/>
            <w:tcBorders>
              <w:right w:val="single" w:sz="8" w:color="DBDBDB"/>
            </w:tcBorders>
          </w:tcPr>
          <w:p>
            <w:pPr>
              <w:spacing w:after="0" w:line="20" w:lineRule="exact"/>
              <w:rPr>
                <w:sz w:val="1"/>
                <w:szCs w:val="1"/>
                <w:color w:val="auto"/>
              </w:rPr>
            </w:pPr>
          </w:p>
        </w:tc>
        <w:tc>
          <w:tcPr>
            <w:tcW w:w="1660" w:type="dxa"/>
            <w:vAlign w:val="bottom"/>
            <w:shd w:val="clear" w:color="auto" w:fill="DBDBDB"/>
          </w:tcPr>
          <w:p>
            <w:pPr>
              <w:spacing w:after="0" w:line="20" w:lineRule="exact"/>
              <w:rPr>
                <w:sz w:val="1"/>
                <w:szCs w:val="1"/>
                <w:color w:val="auto"/>
              </w:rPr>
            </w:pPr>
          </w:p>
        </w:tc>
        <w:tc>
          <w:tcPr>
            <w:tcW w:w="2300" w:type="dxa"/>
            <w:vAlign w:val="bottom"/>
            <w:shd w:val="clear" w:color="auto" w:fill="DBDBDB"/>
          </w:tcPr>
          <w:p>
            <w:pPr>
              <w:spacing w:after="0" w:line="20" w:lineRule="exact"/>
              <w:rPr>
                <w:sz w:val="1"/>
                <w:szCs w:val="1"/>
                <w:color w:val="auto"/>
              </w:rPr>
            </w:pPr>
          </w:p>
        </w:tc>
        <w:tc>
          <w:tcPr>
            <w:tcW w:w="1900" w:type="dxa"/>
            <w:vAlign w:val="bottom"/>
            <w:shd w:val="clear" w:color="auto" w:fill="DBDBDB"/>
          </w:tcPr>
          <w:p>
            <w:pPr>
              <w:spacing w:after="0" w:line="20" w:lineRule="exact"/>
              <w:rPr>
                <w:sz w:val="1"/>
                <w:szCs w:val="1"/>
                <w:color w:val="auto"/>
              </w:rPr>
            </w:pPr>
          </w:p>
        </w:tc>
        <w:tc>
          <w:tcPr>
            <w:tcW w:w="1960" w:type="dxa"/>
            <w:vAlign w:val="bottom"/>
            <w:shd w:val="clear" w:color="auto" w:fill="DBDBDB"/>
          </w:tcPr>
          <w:p>
            <w:pPr>
              <w:spacing w:after="0" w:line="20" w:lineRule="exact"/>
              <w:rPr>
                <w:sz w:val="1"/>
                <w:szCs w:val="1"/>
                <w:color w:val="auto"/>
              </w:rPr>
            </w:pPr>
          </w:p>
        </w:tc>
        <w:tc>
          <w:tcPr>
            <w:tcW w:w="19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420"/>
        <w:spacing w:after="0"/>
        <w:rPr>
          <w:sz w:val="20"/>
          <w:szCs w:val="20"/>
          <w:color w:val="auto"/>
        </w:rPr>
      </w:pPr>
      <w:r>
        <w:rPr>
          <w:rFonts w:ascii="Arial" w:cs="Arial" w:eastAsia="Arial" w:hAnsi="Arial"/>
          <w:sz w:val="8"/>
          <w:szCs w:val="8"/>
          <w:color w:val="auto"/>
        </w:rPr>
        <w:t>Note: Figures in thousands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Tariff Mitigation Actions</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The Company believes that it has mostly offset the impact of the current incremental tariffs on its business for fiscal 2025. The Company deployed multiple tactics, including:</w:t>
      </w:r>
    </w:p>
    <w:p>
      <w:pPr>
        <w:spacing w:after="0" w:line="147"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Partnering with factories and vendors to absorb a portion of the incremental expense</w:t>
      </w:r>
    </w:p>
    <w:p>
      <w:pPr>
        <w:spacing w:after="0" w:line="18" w:lineRule="exact"/>
        <w:rPr>
          <w:rFonts w:ascii="Arial" w:cs="Arial" w:eastAsia="Arial" w:hAnsi="Arial"/>
          <w:sz w:val="12"/>
          <w:szCs w:val="12"/>
          <w:color w:val="auto"/>
        </w:rPr>
      </w:pPr>
    </w:p>
    <w:p>
      <w:pPr>
        <w:ind w:left="420" w:hanging="212"/>
        <w:spacing w:after="0" w:line="234"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Working with overseas partners to shift country of origin where it made sense</w:t>
      </w:r>
    </w:p>
    <w:p>
      <w:pPr>
        <w:ind w:left="420" w:hanging="212"/>
        <w:spacing w:after="0" w:line="234"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Adjusting unit buys where needed</w:t>
      </w: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Pulling in additional inventory from brands that had available goods in domestic warehouses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Utilizing our pricing optimization tool to create strategies to drive higher Average Unit Retails (AUR’s)</w:t>
      </w:r>
    </w:p>
    <w:p>
      <w:pPr>
        <w:spacing w:after="0" w:line="147" w:lineRule="exact"/>
        <w:rPr>
          <w:sz w:val="20"/>
          <w:szCs w:val="20"/>
          <w:color w:val="auto"/>
        </w:rPr>
      </w:pPr>
    </w:p>
    <w:p>
      <w:pPr>
        <w:ind w:right="160"/>
        <w:spacing w:after="0" w:line="270" w:lineRule="auto"/>
        <w:rPr>
          <w:sz w:val="20"/>
          <w:szCs w:val="20"/>
          <w:color w:val="auto"/>
        </w:rPr>
      </w:pPr>
      <w:r>
        <w:rPr>
          <w:rFonts w:ascii="Arial" w:cs="Arial" w:eastAsia="Arial" w:hAnsi="Arial"/>
          <w:sz w:val="12"/>
          <w:szCs w:val="12"/>
          <w:color w:val="auto"/>
        </w:rPr>
        <w:t>The Company believes these actions should mitigate the impact of the tariffs throughout the remainder of this year while still being able to serve customers by delivering a strong value proposition. In the event of additional tariffs, the Company will continue to develop strategies to offset any impacts utilizing the tactics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0"/>
          <w:szCs w:val="10"/>
          <w:color w:val="auto"/>
        </w:rPr>
        <w:t>2</w:t>
      </w:r>
    </w:p>
    <w:p>
      <w:pPr>
        <w:sectPr>
          <w:pgSz w:w="11900" w:h="16838" w:orient="portrait"/>
          <w:cols w:equalWidth="0" w:num="1">
            <w:col w:w="11300"/>
          </w:cols>
          <w:pgMar w:left="300" w:top="354" w:right="299" w:bottom="1440" w:gutter="0" w:footer="0" w:header="0"/>
        </w:sectPr>
      </w:pPr>
    </w:p>
    <w:bookmarkStart w:id="5" w:name="page6"/>
    <w:bookmarkEnd w:id="5"/>
    <w:p>
      <w:pPr>
        <w:ind w:left="8"/>
        <w:spacing w:after="0"/>
        <w:rPr>
          <w:sz w:val="20"/>
          <w:szCs w:val="20"/>
          <w:color w:val="auto"/>
        </w:rPr>
      </w:pPr>
      <w:r>
        <w:rPr>
          <w:rFonts w:ascii="Arial" w:cs="Arial" w:eastAsia="Arial" w:hAnsi="Arial"/>
          <w:sz w:val="12"/>
          <w:szCs w:val="12"/>
          <w:b w:val="1"/>
          <w:bCs w:val="1"/>
          <w:u w:val="single" w:color="auto"/>
          <w:color w:val="auto"/>
        </w:rPr>
        <w:t>2025 Outlook</w:t>
      </w:r>
    </w:p>
    <w:p>
      <w:pPr>
        <w:spacing w:after="0" w:line="9" w:lineRule="exact"/>
        <w:rPr>
          <w:sz w:val="20"/>
          <w:szCs w:val="20"/>
          <w:color w:val="auto"/>
        </w:rPr>
      </w:pPr>
    </w:p>
    <w:p>
      <w:pPr>
        <w:ind w:left="8" w:right="80"/>
        <w:spacing w:after="0" w:line="250" w:lineRule="auto"/>
        <w:rPr>
          <w:sz w:val="20"/>
          <w:szCs w:val="20"/>
          <w:color w:val="auto"/>
        </w:rPr>
      </w:pPr>
      <w:r>
        <w:rPr>
          <w:rFonts w:ascii="Arial" w:cs="Arial" w:eastAsia="Arial" w:hAnsi="Arial"/>
          <w:sz w:val="12"/>
          <w:szCs w:val="12"/>
          <w:color w:val="auto"/>
        </w:rPr>
        <w:t>"Sales for the second quarter continued to improve, and we saw meaningful acceleration in our strategic initiatives. In addition, we believe we now have additional visibility into tariff impacts and are well positioned to mitigate them," said Carl Ford, Chief Financial Officer. "Based on the results from the first half of the year and the expectations for the remainder of fiscal 2025, we are narrowing the low end of our sales guidance from -4.0% to -3.0%. The updated sales guidance range is -3.0% to positive 1.0%. We expect the tax rate for the year to be 23.5%.”</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2"/>
          <w:szCs w:val="12"/>
          <w:color w:val="auto"/>
        </w:rPr>
        <w:t>Academy is revising its previous guidance for fiscal 2025 as follows:</w:t>
      </w:r>
    </w:p>
    <w:p>
      <w:pPr>
        <w:spacing w:after="0" w:line="21" w:lineRule="exact"/>
        <w:rPr>
          <w:sz w:val="20"/>
          <w:szCs w:val="20"/>
          <w:color w:val="auto"/>
        </w:rPr>
      </w:pPr>
    </w:p>
    <w:tbl>
      <w:tblPr>
        <w:tblLayout w:type="fixed"/>
        <w:tblInd w:w="1238" w:type="dxa"/>
        <w:tblCellMar>
          <w:top w:w="0" w:type="dxa"/>
          <w:left w:w="0" w:type="dxa"/>
          <w:bottom w:w="0" w:type="dxa"/>
          <w:right w:w="0" w:type="dxa"/>
        </w:tblCellMar>
      </w:tblPr>
      <w:tr>
        <w:trPr>
          <w:trHeight w:val="180"/>
        </w:trPr>
        <w:tc>
          <w:tcPr>
            <w:tcW w:w="3900" w:type="dxa"/>
            <w:vAlign w:val="bottom"/>
            <w:tcBorders>
              <w:top w:val="single" w:sz="8" w:color="auto"/>
              <w:left w:val="single" w:sz="8" w:color="auto"/>
              <w:right w:val="single" w:sz="8" w:color="auto"/>
            </w:tcBorders>
            <w:shd w:val="clear" w:color="auto" w:fill="0E32E1"/>
          </w:tcPr>
          <w:p>
            <w:pPr>
              <w:spacing w:after="0"/>
              <w:rPr>
                <w:sz w:val="15"/>
                <w:szCs w:val="15"/>
                <w:color w:val="auto"/>
              </w:rPr>
            </w:pPr>
          </w:p>
        </w:tc>
        <w:tc>
          <w:tcPr>
            <w:tcW w:w="2100" w:type="dxa"/>
            <w:vAlign w:val="bottom"/>
            <w:tcBorders>
              <w:top w:val="single" w:sz="8" w:color="auto"/>
            </w:tcBorders>
            <w:gridSpan w:val="2"/>
            <w:shd w:val="clear" w:color="auto" w:fill="0E32E1"/>
          </w:tcPr>
          <w:p>
            <w:pPr>
              <w:ind w:left="380"/>
              <w:spacing w:after="0"/>
              <w:rPr>
                <w:sz w:val="20"/>
                <w:szCs w:val="20"/>
                <w:color w:val="auto"/>
              </w:rPr>
            </w:pPr>
            <w:r>
              <w:rPr>
                <w:rFonts w:ascii="Arial" w:cs="Arial" w:eastAsia="Arial" w:hAnsi="Arial"/>
                <w:sz w:val="11"/>
                <w:szCs w:val="11"/>
                <w:b w:val="1"/>
                <w:bCs w:val="1"/>
                <w:color w:val="FFFFFF"/>
                <w:w w:val="99"/>
              </w:rPr>
              <w:t>Fiscal 2025 Guidance Q1 Update</w:t>
            </w:r>
          </w:p>
        </w:tc>
        <w:tc>
          <w:tcPr>
            <w:tcW w:w="380" w:type="dxa"/>
            <w:vAlign w:val="bottom"/>
            <w:tcBorders>
              <w:top w:val="single" w:sz="8" w:color="auto"/>
              <w:right w:val="single" w:sz="8" w:color="auto"/>
            </w:tcBorders>
            <w:shd w:val="clear" w:color="auto" w:fill="0E32E1"/>
          </w:tcPr>
          <w:p>
            <w:pPr>
              <w:spacing w:after="0"/>
              <w:rPr>
                <w:sz w:val="15"/>
                <w:szCs w:val="15"/>
                <w:color w:val="auto"/>
              </w:rPr>
            </w:pPr>
          </w:p>
        </w:tc>
        <w:tc>
          <w:tcPr>
            <w:tcW w:w="2480" w:type="dxa"/>
            <w:vAlign w:val="bottom"/>
            <w:tcBorders>
              <w:top w:val="single" w:sz="8" w:color="auto"/>
              <w:right w:val="single" w:sz="8" w:color="auto"/>
            </w:tcBorders>
            <w:gridSpan w:val="2"/>
            <w:shd w:val="clear" w:color="auto" w:fill="0E32E1"/>
          </w:tcPr>
          <w:p>
            <w:pPr>
              <w:jc w:val="right"/>
              <w:ind w:right="426"/>
              <w:spacing w:after="0"/>
              <w:rPr>
                <w:sz w:val="20"/>
                <w:szCs w:val="20"/>
                <w:color w:val="auto"/>
              </w:rPr>
            </w:pPr>
            <w:r>
              <w:rPr>
                <w:rFonts w:ascii="Arial" w:cs="Arial" w:eastAsia="Arial" w:hAnsi="Arial"/>
                <w:sz w:val="11"/>
                <w:szCs w:val="11"/>
                <w:b w:val="1"/>
                <w:bCs w:val="1"/>
                <w:color w:val="FFFFFF"/>
              </w:rPr>
              <w:t>Updated Fiscal 2025 Guidance</w:t>
            </w:r>
          </w:p>
        </w:tc>
      </w:tr>
      <w:tr>
        <w:trPr>
          <w:trHeight w:val="173"/>
        </w:trPr>
        <w:tc>
          <w:tcPr>
            <w:tcW w:w="3900" w:type="dxa"/>
            <w:vAlign w:val="bottom"/>
            <w:tcBorders>
              <w:left w:val="single" w:sz="8" w:color="auto"/>
              <w:bottom w:val="single" w:sz="8" w:color="auto"/>
              <w:right w:val="single" w:sz="8" w:color="auto"/>
            </w:tcBorders>
            <w:shd w:val="clear" w:color="auto" w:fill="0E32E1"/>
          </w:tcPr>
          <w:p>
            <w:pPr>
              <w:ind w:left="20"/>
              <w:spacing w:after="0"/>
              <w:rPr>
                <w:sz w:val="20"/>
                <w:szCs w:val="20"/>
                <w:color w:val="auto"/>
              </w:rPr>
            </w:pPr>
            <w:r>
              <w:rPr>
                <w:rFonts w:ascii="Arial" w:cs="Arial" w:eastAsia="Arial" w:hAnsi="Arial"/>
                <w:sz w:val="8"/>
                <w:szCs w:val="8"/>
                <w:b w:val="1"/>
                <w:bCs w:val="1"/>
                <w:color w:val="FFFFFF"/>
              </w:rPr>
              <w:t>(in millions, except per share amounts)</w:t>
            </w:r>
          </w:p>
        </w:tc>
        <w:tc>
          <w:tcPr>
            <w:tcW w:w="840" w:type="dxa"/>
            <w:vAlign w:val="bottom"/>
            <w:tcBorders>
              <w:bottom w:val="single" w:sz="8" w:color="auto"/>
            </w:tcBorders>
            <w:shd w:val="clear" w:color="auto" w:fill="0E32E1"/>
          </w:tcPr>
          <w:p>
            <w:pPr>
              <w:ind w:left="380"/>
              <w:spacing w:after="0"/>
              <w:rPr>
                <w:sz w:val="20"/>
                <w:szCs w:val="20"/>
                <w:color w:val="auto"/>
              </w:rPr>
            </w:pPr>
            <w:r>
              <w:rPr>
                <w:rFonts w:ascii="Arial" w:cs="Arial" w:eastAsia="Arial" w:hAnsi="Arial"/>
                <w:sz w:val="11"/>
                <w:szCs w:val="11"/>
                <w:b w:val="1"/>
                <w:bCs w:val="1"/>
                <w:color w:val="FFFFFF"/>
                <w:w w:val="98"/>
              </w:rPr>
              <w:t>Low end</w:t>
            </w:r>
          </w:p>
        </w:tc>
        <w:tc>
          <w:tcPr>
            <w:tcW w:w="1260" w:type="dxa"/>
            <w:vAlign w:val="bottom"/>
            <w:tcBorders>
              <w:bottom w:val="single" w:sz="8" w:color="auto"/>
            </w:tcBorders>
            <w:shd w:val="clear" w:color="auto" w:fill="0E32E1"/>
          </w:tcPr>
          <w:p>
            <w:pPr>
              <w:jc w:val="right"/>
              <w:spacing w:after="0"/>
              <w:rPr>
                <w:sz w:val="20"/>
                <w:szCs w:val="20"/>
                <w:color w:val="auto"/>
              </w:rPr>
            </w:pPr>
            <w:r>
              <w:rPr>
                <w:rFonts w:ascii="Arial" w:cs="Arial" w:eastAsia="Arial" w:hAnsi="Arial"/>
                <w:sz w:val="11"/>
                <w:szCs w:val="11"/>
                <w:b w:val="1"/>
                <w:bCs w:val="1"/>
                <w:color w:val="FFFFFF"/>
              </w:rPr>
              <w:t>High End</w:t>
            </w:r>
          </w:p>
        </w:tc>
        <w:tc>
          <w:tcPr>
            <w:tcW w:w="380" w:type="dxa"/>
            <w:vAlign w:val="bottom"/>
            <w:tcBorders>
              <w:bottom w:val="single" w:sz="8" w:color="auto"/>
              <w:right w:val="single" w:sz="8" w:color="auto"/>
            </w:tcBorders>
            <w:shd w:val="clear" w:color="auto" w:fill="0E32E1"/>
          </w:tcPr>
          <w:p>
            <w:pPr>
              <w:spacing w:after="0"/>
              <w:rPr>
                <w:sz w:val="15"/>
                <w:szCs w:val="15"/>
                <w:color w:val="auto"/>
              </w:rPr>
            </w:pPr>
          </w:p>
        </w:tc>
        <w:tc>
          <w:tcPr>
            <w:tcW w:w="1420" w:type="dxa"/>
            <w:vAlign w:val="bottom"/>
            <w:tcBorders>
              <w:bottom w:val="single" w:sz="8" w:color="auto"/>
            </w:tcBorders>
            <w:shd w:val="clear" w:color="auto" w:fill="0E32E1"/>
          </w:tcPr>
          <w:p>
            <w:pPr>
              <w:jc w:val="right"/>
              <w:ind w:right="546"/>
              <w:spacing w:after="0"/>
              <w:rPr>
                <w:sz w:val="20"/>
                <w:szCs w:val="20"/>
                <w:color w:val="auto"/>
              </w:rPr>
            </w:pPr>
            <w:r>
              <w:rPr>
                <w:rFonts w:ascii="Arial" w:cs="Arial" w:eastAsia="Arial" w:hAnsi="Arial"/>
                <w:sz w:val="11"/>
                <w:szCs w:val="11"/>
                <w:b w:val="1"/>
                <w:bCs w:val="1"/>
                <w:color w:val="FFFFFF"/>
              </w:rPr>
              <w:t>Low end</w:t>
            </w:r>
          </w:p>
        </w:tc>
        <w:tc>
          <w:tcPr>
            <w:tcW w:w="1060" w:type="dxa"/>
            <w:vAlign w:val="bottom"/>
            <w:tcBorders>
              <w:bottom w:val="single" w:sz="8" w:color="auto"/>
              <w:right w:val="single" w:sz="8" w:color="auto"/>
            </w:tcBorders>
            <w:shd w:val="clear" w:color="auto" w:fill="0E32E1"/>
          </w:tcPr>
          <w:p>
            <w:pPr>
              <w:jc w:val="right"/>
              <w:ind w:right="346"/>
              <w:spacing w:after="0"/>
              <w:rPr>
                <w:sz w:val="20"/>
                <w:szCs w:val="20"/>
                <w:color w:val="auto"/>
              </w:rPr>
            </w:pPr>
            <w:r>
              <w:rPr>
                <w:rFonts w:ascii="Arial" w:cs="Arial" w:eastAsia="Arial" w:hAnsi="Arial"/>
                <w:sz w:val="11"/>
                <w:szCs w:val="11"/>
                <w:b w:val="1"/>
                <w:bCs w:val="1"/>
                <w:color w:val="FFFFFF"/>
              </w:rPr>
              <w:t>High end</w:t>
            </w:r>
          </w:p>
        </w:tc>
      </w:tr>
      <w:tr>
        <w:trPr>
          <w:trHeight w:val="143"/>
        </w:trPr>
        <w:tc>
          <w:tcPr>
            <w:tcW w:w="3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Net sales</w:t>
            </w:r>
          </w:p>
        </w:tc>
        <w:tc>
          <w:tcPr>
            <w:tcW w:w="840" w:type="dxa"/>
            <w:vAlign w:val="bottom"/>
          </w:tcPr>
          <w:p>
            <w:pPr>
              <w:spacing w:after="0"/>
              <w:rPr>
                <w:sz w:val="12"/>
                <w:szCs w:val="12"/>
                <w:color w:val="auto"/>
              </w:rPr>
            </w:pPr>
          </w:p>
        </w:tc>
        <w:tc>
          <w:tcPr>
            <w:tcW w:w="1260" w:type="dxa"/>
            <w:vAlign w:val="bottom"/>
          </w:tcPr>
          <w:p>
            <w:pPr>
              <w:jc w:val="right"/>
              <w:ind w:right="846"/>
              <w:spacing w:after="0"/>
              <w:rPr>
                <w:sz w:val="20"/>
                <w:szCs w:val="20"/>
                <w:color w:val="auto"/>
              </w:rPr>
            </w:pPr>
            <w:r>
              <w:rPr>
                <w:rFonts w:ascii="Arial" w:cs="Arial" w:eastAsia="Arial" w:hAnsi="Arial"/>
                <w:sz w:val="11"/>
                <w:szCs w:val="11"/>
                <w:color w:val="auto"/>
              </w:rPr>
              <w:t>$5,970</w:t>
            </w:r>
          </w:p>
        </w:tc>
        <w:tc>
          <w:tcPr>
            <w:tcW w:w="380" w:type="dxa"/>
            <w:vAlign w:val="bottom"/>
          </w:tcPr>
          <w:p>
            <w:pPr>
              <w:jc w:val="right"/>
              <w:spacing w:after="0"/>
              <w:rPr>
                <w:sz w:val="20"/>
                <w:szCs w:val="20"/>
                <w:color w:val="auto"/>
              </w:rPr>
            </w:pPr>
            <w:r>
              <w:rPr>
                <w:rFonts w:ascii="Arial" w:cs="Arial" w:eastAsia="Arial" w:hAnsi="Arial"/>
                <w:sz w:val="11"/>
                <w:szCs w:val="11"/>
                <w:color w:val="auto"/>
                <w:w w:val="94"/>
              </w:rPr>
              <w:t>$6,265</w:t>
            </w:r>
          </w:p>
        </w:tc>
        <w:tc>
          <w:tcPr>
            <w:tcW w:w="1420" w:type="dxa"/>
            <w:vAlign w:val="bottom"/>
          </w:tcPr>
          <w:p>
            <w:pPr>
              <w:jc w:val="right"/>
              <w:ind w:right="166"/>
              <w:spacing w:after="0"/>
              <w:rPr>
                <w:sz w:val="20"/>
                <w:szCs w:val="20"/>
                <w:color w:val="auto"/>
              </w:rPr>
            </w:pPr>
            <w:r>
              <w:rPr>
                <w:rFonts w:ascii="Arial" w:cs="Arial" w:eastAsia="Arial" w:hAnsi="Arial"/>
                <w:sz w:val="11"/>
                <w:szCs w:val="11"/>
                <w:color w:val="auto"/>
              </w:rPr>
              <w:t>$6,000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$6,265</w:t>
            </w:r>
          </w:p>
        </w:tc>
      </w:tr>
      <w:tr>
        <w:trPr>
          <w:trHeight w:val="234"/>
        </w:trPr>
        <w:tc>
          <w:tcPr>
            <w:tcW w:w="3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 xml:space="preserve">Comparable sales </w:t>
            </w:r>
            <w:r>
              <w:rPr>
                <w:rFonts w:ascii="Arial" w:cs="Arial" w:eastAsia="Arial" w:hAnsi="Arial"/>
                <w:sz w:val="5"/>
                <w:szCs w:val="5"/>
                <w:color w:val="auto"/>
              </w:rPr>
              <w:t>(1)</w:t>
            </w:r>
          </w:p>
        </w:tc>
        <w:tc>
          <w:tcPr>
            <w:tcW w:w="840" w:type="dxa"/>
            <w:vAlign w:val="bottom"/>
          </w:tcPr>
          <w:p>
            <w:pPr>
              <w:spacing w:after="0"/>
              <w:rPr>
                <w:sz w:val="20"/>
                <w:szCs w:val="20"/>
                <w:color w:val="auto"/>
              </w:rPr>
            </w:pPr>
          </w:p>
        </w:tc>
        <w:tc>
          <w:tcPr>
            <w:tcW w:w="1260" w:type="dxa"/>
            <w:vAlign w:val="bottom"/>
          </w:tcPr>
          <w:p>
            <w:pPr>
              <w:jc w:val="right"/>
              <w:ind w:right="846"/>
              <w:spacing w:after="0"/>
              <w:rPr>
                <w:sz w:val="20"/>
                <w:szCs w:val="20"/>
                <w:color w:val="auto"/>
              </w:rPr>
            </w:pPr>
            <w:r>
              <w:rPr>
                <w:rFonts w:ascii="Arial" w:cs="Arial" w:eastAsia="Arial" w:hAnsi="Arial"/>
                <w:sz w:val="11"/>
                <w:szCs w:val="11"/>
                <w:color w:val="auto"/>
              </w:rPr>
              <w:t>(4.0)%</w:t>
            </w:r>
          </w:p>
        </w:tc>
        <w:tc>
          <w:tcPr>
            <w:tcW w:w="380" w:type="dxa"/>
            <w:vAlign w:val="bottom"/>
          </w:tcPr>
          <w:p>
            <w:pPr>
              <w:jc w:val="right"/>
              <w:spacing w:after="0"/>
              <w:rPr>
                <w:sz w:val="20"/>
                <w:szCs w:val="20"/>
                <w:color w:val="auto"/>
              </w:rPr>
            </w:pPr>
            <w:r>
              <w:rPr>
                <w:rFonts w:ascii="Arial" w:cs="Arial" w:eastAsia="Arial" w:hAnsi="Arial"/>
                <w:sz w:val="11"/>
                <w:szCs w:val="11"/>
                <w:color w:val="auto"/>
              </w:rPr>
              <w:t>1.0 %</w:t>
            </w:r>
          </w:p>
        </w:tc>
        <w:tc>
          <w:tcPr>
            <w:tcW w:w="1420" w:type="dxa"/>
            <w:vAlign w:val="bottom"/>
          </w:tcPr>
          <w:p>
            <w:pPr>
              <w:jc w:val="right"/>
              <w:ind w:right="166"/>
              <w:spacing w:after="0"/>
              <w:rPr>
                <w:sz w:val="20"/>
                <w:szCs w:val="20"/>
                <w:color w:val="auto"/>
              </w:rPr>
            </w:pPr>
            <w:r>
              <w:rPr>
                <w:rFonts w:ascii="Arial" w:cs="Arial" w:eastAsia="Arial" w:hAnsi="Arial"/>
                <w:sz w:val="11"/>
                <w:szCs w:val="11"/>
                <w:color w:val="auto"/>
              </w:rPr>
              <w:t>(3.0)%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1.0 %</w:t>
            </w:r>
          </w:p>
        </w:tc>
      </w:tr>
      <w:tr>
        <w:trPr>
          <w:trHeight w:val="324"/>
        </w:trPr>
        <w:tc>
          <w:tcPr>
            <w:tcW w:w="3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Gross margin rate</w:t>
            </w:r>
          </w:p>
        </w:tc>
        <w:tc>
          <w:tcPr>
            <w:tcW w:w="840" w:type="dxa"/>
            <w:vAlign w:val="bottom"/>
          </w:tcPr>
          <w:p>
            <w:pPr>
              <w:spacing w:after="0"/>
              <w:rPr>
                <w:sz w:val="24"/>
                <w:szCs w:val="24"/>
                <w:color w:val="auto"/>
              </w:rPr>
            </w:pPr>
          </w:p>
        </w:tc>
        <w:tc>
          <w:tcPr>
            <w:tcW w:w="1260" w:type="dxa"/>
            <w:vAlign w:val="bottom"/>
          </w:tcPr>
          <w:p>
            <w:pPr>
              <w:jc w:val="right"/>
              <w:ind w:right="846"/>
              <w:spacing w:after="0"/>
              <w:rPr>
                <w:sz w:val="20"/>
                <w:szCs w:val="20"/>
                <w:color w:val="auto"/>
              </w:rPr>
            </w:pPr>
            <w:r>
              <w:rPr>
                <w:rFonts w:ascii="Arial" w:cs="Arial" w:eastAsia="Arial" w:hAnsi="Arial"/>
                <w:sz w:val="11"/>
                <w:szCs w:val="11"/>
                <w:color w:val="auto"/>
                <w:w w:val="99"/>
              </w:rPr>
              <w:t>34.0 %</w:t>
            </w:r>
          </w:p>
        </w:tc>
        <w:tc>
          <w:tcPr>
            <w:tcW w:w="380" w:type="dxa"/>
            <w:vAlign w:val="bottom"/>
          </w:tcPr>
          <w:p>
            <w:pPr>
              <w:jc w:val="right"/>
              <w:spacing w:after="0"/>
              <w:rPr>
                <w:sz w:val="20"/>
                <w:szCs w:val="20"/>
                <w:color w:val="auto"/>
              </w:rPr>
            </w:pPr>
            <w:r>
              <w:rPr>
                <w:rFonts w:ascii="Arial" w:cs="Arial" w:eastAsia="Arial" w:hAnsi="Arial"/>
                <w:sz w:val="11"/>
                <w:szCs w:val="11"/>
                <w:color w:val="auto"/>
                <w:w w:val="93"/>
              </w:rPr>
              <w:t>34.5 %</w:t>
            </w:r>
          </w:p>
        </w:tc>
        <w:tc>
          <w:tcPr>
            <w:tcW w:w="1420" w:type="dxa"/>
            <w:vAlign w:val="bottom"/>
          </w:tcPr>
          <w:p>
            <w:pPr>
              <w:jc w:val="right"/>
              <w:ind w:right="166"/>
              <w:spacing w:after="0"/>
              <w:rPr>
                <w:sz w:val="20"/>
                <w:szCs w:val="20"/>
                <w:color w:val="auto"/>
              </w:rPr>
            </w:pPr>
            <w:r>
              <w:rPr>
                <w:rFonts w:ascii="Arial" w:cs="Arial" w:eastAsia="Arial" w:hAnsi="Arial"/>
                <w:sz w:val="11"/>
                <w:szCs w:val="11"/>
                <w:color w:val="auto"/>
              </w:rPr>
              <w:t>34.0 %</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34.5 %</w:t>
            </w:r>
          </w:p>
        </w:tc>
      </w:tr>
      <w:tr>
        <w:trPr>
          <w:trHeight w:val="225"/>
        </w:trPr>
        <w:tc>
          <w:tcPr>
            <w:tcW w:w="3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GAAP net income</w:t>
            </w:r>
          </w:p>
        </w:tc>
        <w:tc>
          <w:tcPr>
            <w:tcW w:w="840" w:type="dxa"/>
            <w:vAlign w:val="bottom"/>
          </w:tcPr>
          <w:p>
            <w:pPr>
              <w:spacing w:after="0"/>
              <w:rPr>
                <w:sz w:val="19"/>
                <w:szCs w:val="19"/>
                <w:color w:val="auto"/>
              </w:rPr>
            </w:pPr>
          </w:p>
        </w:tc>
        <w:tc>
          <w:tcPr>
            <w:tcW w:w="1260" w:type="dxa"/>
            <w:vAlign w:val="bottom"/>
          </w:tcPr>
          <w:p>
            <w:pPr>
              <w:jc w:val="right"/>
              <w:ind w:right="846"/>
              <w:spacing w:after="0"/>
              <w:rPr>
                <w:sz w:val="20"/>
                <w:szCs w:val="20"/>
                <w:color w:val="auto"/>
              </w:rPr>
            </w:pPr>
            <w:r>
              <w:rPr>
                <w:rFonts w:ascii="Arial" w:cs="Arial" w:eastAsia="Arial" w:hAnsi="Arial"/>
                <w:sz w:val="11"/>
                <w:szCs w:val="11"/>
                <w:color w:val="auto"/>
              </w:rPr>
              <w:t>$350</w:t>
            </w:r>
          </w:p>
        </w:tc>
        <w:tc>
          <w:tcPr>
            <w:tcW w:w="380" w:type="dxa"/>
            <w:vAlign w:val="bottom"/>
          </w:tcPr>
          <w:p>
            <w:pPr>
              <w:jc w:val="right"/>
              <w:spacing w:after="0"/>
              <w:rPr>
                <w:sz w:val="20"/>
                <w:szCs w:val="20"/>
                <w:color w:val="auto"/>
              </w:rPr>
            </w:pPr>
            <w:r>
              <w:rPr>
                <w:rFonts w:ascii="Arial" w:cs="Arial" w:eastAsia="Arial" w:hAnsi="Arial"/>
                <w:sz w:val="11"/>
                <w:szCs w:val="11"/>
                <w:color w:val="auto"/>
              </w:rPr>
              <w:t>$410</w:t>
            </w:r>
          </w:p>
        </w:tc>
        <w:tc>
          <w:tcPr>
            <w:tcW w:w="1420" w:type="dxa"/>
            <w:vAlign w:val="bottom"/>
          </w:tcPr>
          <w:p>
            <w:pPr>
              <w:jc w:val="right"/>
              <w:ind w:right="166"/>
              <w:spacing w:after="0"/>
              <w:rPr>
                <w:sz w:val="20"/>
                <w:szCs w:val="20"/>
                <w:color w:val="auto"/>
              </w:rPr>
            </w:pPr>
            <w:r>
              <w:rPr>
                <w:rFonts w:ascii="Arial" w:cs="Arial" w:eastAsia="Arial" w:hAnsi="Arial"/>
                <w:sz w:val="11"/>
                <w:szCs w:val="11"/>
                <w:color w:val="auto"/>
              </w:rPr>
              <w:t>$360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$410</w:t>
            </w:r>
          </w:p>
        </w:tc>
      </w:tr>
      <w:tr>
        <w:trPr>
          <w:trHeight w:val="225"/>
        </w:trPr>
        <w:tc>
          <w:tcPr>
            <w:tcW w:w="3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 xml:space="preserve">Adjusted net income </w:t>
            </w:r>
            <w:r>
              <w:rPr>
                <w:rFonts w:ascii="Arial" w:cs="Arial" w:eastAsia="Arial" w:hAnsi="Arial"/>
                <w:sz w:val="5"/>
                <w:szCs w:val="5"/>
                <w:color w:val="auto"/>
              </w:rPr>
              <w:t>(2)</w:t>
            </w:r>
          </w:p>
        </w:tc>
        <w:tc>
          <w:tcPr>
            <w:tcW w:w="840" w:type="dxa"/>
            <w:vAlign w:val="bottom"/>
          </w:tcPr>
          <w:p>
            <w:pPr>
              <w:spacing w:after="0"/>
              <w:rPr>
                <w:sz w:val="19"/>
                <w:szCs w:val="19"/>
                <w:color w:val="auto"/>
              </w:rPr>
            </w:pPr>
          </w:p>
        </w:tc>
        <w:tc>
          <w:tcPr>
            <w:tcW w:w="1260" w:type="dxa"/>
            <w:vAlign w:val="bottom"/>
          </w:tcPr>
          <w:p>
            <w:pPr>
              <w:jc w:val="right"/>
              <w:ind w:right="846"/>
              <w:spacing w:after="0"/>
              <w:rPr>
                <w:sz w:val="20"/>
                <w:szCs w:val="20"/>
                <w:color w:val="auto"/>
              </w:rPr>
            </w:pPr>
            <w:r>
              <w:rPr>
                <w:rFonts w:ascii="Arial" w:cs="Arial" w:eastAsia="Arial" w:hAnsi="Arial"/>
                <w:sz w:val="11"/>
                <w:szCs w:val="11"/>
                <w:color w:val="auto"/>
              </w:rPr>
              <w:t>$375</w:t>
            </w:r>
          </w:p>
        </w:tc>
        <w:tc>
          <w:tcPr>
            <w:tcW w:w="380" w:type="dxa"/>
            <w:vAlign w:val="bottom"/>
          </w:tcPr>
          <w:p>
            <w:pPr>
              <w:jc w:val="right"/>
              <w:spacing w:after="0"/>
              <w:rPr>
                <w:sz w:val="20"/>
                <w:szCs w:val="20"/>
                <w:color w:val="auto"/>
              </w:rPr>
            </w:pPr>
            <w:r>
              <w:rPr>
                <w:rFonts w:ascii="Arial" w:cs="Arial" w:eastAsia="Arial" w:hAnsi="Arial"/>
                <w:sz w:val="11"/>
                <w:szCs w:val="11"/>
                <w:color w:val="auto"/>
              </w:rPr>
              <w:t>$435</w:t>
            </w:r>
          </w:p>
        </w:tc>
        <w:tc>
          <w:tcPr>
            <w:tcW w:w="1420" w:type="dxa"/>
            <w:vAlign w:val="bottom"/>
          </w:tcPr>
          <w:p>
            <w:pPr>
              <w:jc w:val="right"/>
              <w:ind w:right="166"/>
              <w:spacing w:after="0"/>
              <w:rPr>
                <w:sz w:val="20"/>
                <w:szCs w:val="20"/>
                <w:color w:val="auto"/>
              </w:rPr>
            </w:pPr>
            <w:r>
              <w:rPr>
                <w:rFonts w:ascii="Arial" w:cs="Arial" w:eastAsia="Arial" w:hAnsi="Arial"/>
                <w:sz w:val="11"/>
                <w:szCs w:val="11"/>
                <w:color w:val="auto"/>
              </w:rPr>
              <w:t>$380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$430</w:t>
            </w:r>
          </w:p>
        </w:tc>
      </w:tr>
      <w:tr>
        <w:trPr>
          <w:trHeight w:val="225"/>
        </w:trPr>
        <w:tc>
          <w:tcPr>
            <w:tcW w:w="3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GAAP earnings per common share, diluted</w:t>
            </w:r>
          </w:p>
        </w:tc>
        <w:tc>
          <w:tcPr>
            <w:tcW w:w="840" w:type="dxa"/>
            <w:vAlign w:val="bottom"/>
          </w:tcPr>
          <w:p>
            <w:pPr>
              <w:spacing w:after="0"/>
              <w:rPr>
                <w:sz w:val="19"/>
                <w:szCs w:val="19"/>
                <w:color w:val="auto"/>
              </w:rPr>
            </w:pPr>
          </w:p>
        </w:tc>
        <w:tc>
          <w:tcPr>
            <w:tcW w:w="1260" w:type="dxa"/>
            <w:vAlign w:val="bottom"/>
          </w:tcPr>
          <w:p>
            <w:pPr>
              <w:jc w:val="right"/>
              <w:ind w:right="846"/>
              <w:spacing w:after="0"/>
              <w:rPr>
                <w:sz w:val="20"/>
                <w:szCs w:val="20"/>
                <w:color w:val="auto"/>
              </w:rPr>
            </w:pPr>
            <w:r>
              <w:rPr>
                <w:rFonts w:ascii="Arial" w:cs="Arial" w:eastAsia="Arial" w:hAnsi="Arial"/>
                <w:sz w:val="11"/>
                <w:szCs w:val="11"/>
                <w:color w:val="auto"/>
              </w:rPr>
              <w:t>$5.10</w:t>
            </w:r>
          </w:p>
        </w:tc>
        <w:tc>
          <w:tcPr>
            <w:tcW w:w="380" w:type="dxa"/>
            <w:vAlign w:val="bottom"/>
          </w:tcPr>
          <w:p>
            <w:pPr>
              <w:jc w:val="right"/>
              <w:spacing w:after="0"/>
              <w:rPr>
                <w:sz w:val="20"/>
                <w:szCs w:val="20"/>
                <w:color w:val="auto"/>
              </w:rPr>
            </w:pPr>
            <w:r>
              <w:rPr>
                <w:rFonts w:ascii="Arial" w:cs="Arial" w:eastAsia="Arial" w:hAnsi="Arial"/>
                <w:sz w:val="11"/>
                <w:szCs w:val="11"/>
                <w:color w:val="auto"/>
              </w:rPr>
              <w:t>$5.90</w:t>
            </w:r>
          </w:p>
        </w:tc>
        <w:tc>
          <w:tcPr>
            <w:tcW w:w="1420" w:type="dxa"/>
            <w:vAlign w:val="bottom"/>
          </w:tcPr>
          <w:p>
            <w:pPr>
              <w:jc w:val="right"/>
              <w:ind w:right="166"/>
              <w:spacing w:after="0"/>
              <w:rPr>
                <w:sz w:val="20"/>
                <w:szCs w:val="20"/>
                <w:color w:val="auto"/>
              </w:rPr>
            </w:pPr>
            <w:r>
              <w:rPr>
                <w:rFonts w:ascii="Arial" w:cs="Arial" w:eastAsia="Arial" w:hAnsi="Arial"/>
                <w:sz w:val="11"/>
                <w:szCs w:val="11"/>
                <w:color w:val="auto"/>
              </w:rPr>
              <w:t>$5.30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$6.00</w:t>
            </w:r>
          </w:p>
        </w:tc>
      </w:tr>
      <w:tr>
        <w:trPr>
          <w:trHeight w:val="324"/>
        </w:trPr>
        <w:tc>
          <w:tcPr>
            <w:tcW w:w="3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 xml:space="preserve">Adjusted earnings per common share, diluted </w:t>
            </w:r>
            <w:r>
              <w:rPr>
                <w:rFonts w:ascii="Arial" w:cs="Arial" w:eastAsia="Arial" w:hAnsi="Arial"/>
                <w:sz w:val="5"/>
                <w:szCs w:val="5"/>
                <w:color w:val="auto"/>
              </w:rPr>
              <w:t>(2)</w:t>
            </w:r>
          </w:p>
        </w:tc>
        <w:tc>
          <w:tcPr>
            <w:tcW w:w="840" w:type="dxa"/>
            <w:vAlign w:val="bottom"/>
          </w:tcPr>
          <w:p>
            <w:pPr>
              <w:spacing w:after="0"/>
              <w:rPr>
                <w:sz w:val="24"/>
                <w:szCs w:val="24"/>
                <w:color w:val="auto"/>
              </w:rPr>
            </w:pPr>
          </w:p>
        </w:tc>
        <w:tc>
          <w:tcPr>
            <w:tcW w:w="1260" w:type="dxa"/>
            <w:vAlign w:val="bottom"/>
          </w:tcPr>
          <w:p>
            <w:pPr>
              <w:jc w:val="right"/>
              <w:ind w:right="846"/>
              <w:spacing w:after="0"/>
              <w:rPr>
                <w:sz w:val="20"/>
                <w:szCs w:val="20"/>
                <w:color w:val="auto"/>
              </w:rPr>
            </w:pPr>
            <w:r>
              <w:rPr>
                <w:rFonts w:ascii="Arial" w:cs="Arial" w:eastAsia="Arial" w:hAnsi="Arial"/>
                <w:sz w:val="11"/>
                <w:szCs w:val="11"/>
                <w:color w:val="auto"/>
              </w:rPr>
              <w:t>$5.45</w:t>
            </w:r>
          </w:p>
        </w:tc>
        <w:tc>
          <w:tcPr>
            <w:tcW w:w="380" w:type="dxa"/>
            <w:vAlign w:val="bottom"/>
          </w:tcPr>
          <w:p>
            <w:pPr>
              <w:jc w:val="right"/>
              <w:spacing w:after="0"/>
              <w:rPr>
                <w:sz w:val="20"/>
                <w:szCs w:val="20"/>
                <w:color w:val="auto"/>
              </w:rPr>
            </w:pPr>
            <w:r>
              <w:rPr>
                <w:rFonts w:ascii="Arial" w:cs="Arial" w:eastAsia="Arial" w:hAnsi="Arial"/>
                <w:sz w:val="11"/>
                <w:szCs w:val="11"/>
                <w:color w:val="auto"/>
              </w:rPr>
              <w:t>$6.25</w:t>
            </w:r>
          </w:p>
        </w:tc>
        <w:tc>
          <w:tcPr>
            <w:tcW w:w="1420" w:type="dxa"/>
            <w:vAlign w:val="bottom"/>
          </w:tcPr>
          <w:p>
            <w:pPr>
              <w:jc w:val="right"/>
              <w:ind w:right="166"/>
              <w:spacing w:after="0"/>
              <w:rPr>
                <w:sz w:val="20"/>
                <w:szCs w:val="20"/>
                <w:color w:val="auto"/>
              </w:rPr>
            </w:pPr>
            <w:r>
              <w:rPr>
                <w:rFonts w:ascii="Arial" w:cs="Arial" w:eastAsia="Arial" w:hAnsi="Arial"/>
                <w:sz w:val="11"/>
                <w:szCs w:val="11"/>
                <w:color w:val="auto"/>
              </w:rPr>
              <w:t>$5.60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$6.30</w:t>
            </w:r>
          </w:p>
        </w:tc>
      </w:tr>
      <w:tr>
        <w:trPr>
          <w:trHeight w:val="225"/>
        </w:trPr>
        <w:tc>
          <w:tcPr>
            <w:tcW w:w="3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Diluted weighted average common shares</w:t>
            </w:r>
          </w:p>
        </w:tc>
        <w:tc>
          <w:tcPr>
            <w:tcW w:w="840" w:type="dxa"/>
            <w:vAlign w:val="bottom"/>
          </w:tcPr>
          <w:p>
            <w:pPr>
              <w:spacing w:after="0"/>
              <w:rPr>
                <w:sz w:val="19"/>
                <w:szCs w:val="19"/>
                <w:color w:val="auto"/>
              </w:rPr>
            </w:pPr>
          </w:p>
        </w:tc>
        <w:tc>
          <w:tcPr>
            <w:tcW w:w="1260" w:type="dxa"/>
            <w:vAlign w:val="bottom"/>
          </w:tcPr>
          <w:p>
            <w:pPr>
              <w:jc w:val="right"/>
              <w:ind w:right="846"/>
              <w:spacing w:after="0"/>
              <w:rPr>
                <w:sz w:val="20"/>
                <w:szCs w:val="20"/>
                <w:color w:val="auto"/>
              </w:rPr>
            </w:pPr>
            <w:r>
              <w:rPr>
                <w:rFonts w:ascii="Arial" w:cs="Arial" w:eastAsia="Arial" w:hAnsi="Arial"/>
                <w:sz w:val="11"/>
                <w:szCs w:val="11"/>
                <w:color w:val="auto"/>
              </w:rPr>
              <w:t>~69</w:t>
            </w:r>
          </w:p>
        </w:tc>
        <w:tc>
          <w:tcPr>
            <w:tcW w:w="380" w:type="dxa"/>
            <w:vAlign w:val="bottom"/>
          </w:tcPr>
          <w:p>
            <w:pPr>
              <w:jc w:val="right"/>
              <w:spacing w:after="0"/>
              <w:rPr>
                <w:sz w:val="20"/>
                <w:szCs w:val="20"/>
                <w:color w:val="auto"/>
              </w:rPr>
            </w:pPr>
            <w:r>
              <w:rPr>
                <w:rFonts w:ascii="Arial" w:cs="Arial" w:eastAsia="Arial" w:hAnsi="Arial"/>
                <w:sz w:val="11"/>
                <w:szCs w:val="11"/>
                <w:color w:val="auto"/>
              </w:rPr>
              <w:t>~69</w:t>
            </w:r>
          </w:p>
        </w:tc>
        <w:tc>
          <w:tcPr>
            <w:tcW w:w="1420" w:type="dxa"/>
            <w:vAlign w:val="bottom"/>
          </w:tcPr>
          <w:p>
            <w:pPr>
              <w:jc w:val="right"/>
              <w:ind w:right="166"/>
              <w:spacing w:after="0"/>
              <w:rPr>
                <w:sz w:val="20"/>
                <w:szCs w:val="20"/>
                <w:color w:val="auto"/>
              </w:rPr>
            </w:pPr>
            <w:r>
              <w:rPr>
                <w:rFonts w:ascii="Arial" w:cs="Arial" w:eastAsia="Arial" w:hAnsi="Arial"/>
                <w:sz w:val="11"/>
                <w:szCs w:val="11"/>
                <w:color w:val="auto"/>
              </w:rPr>
              <w:t>~68</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~68</w:t>
            </w:r>
          </w:p>
        </w:tc>
      </w:tr>
      <w:tr>
        <w:trPr>
          <w:trHeight w:val="225"/>
        </w:trPr>
        <w:tc>
          <w:tcPr>
            <w:tcW w:w="3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Capital Expenditures</w:t>
            </w:r>
          </w:p>
        </w:tc>
        <w:tc>
          <w:tcPr>
            <w:tcW w:w="840" w:type="dxa"/>
            <w:vAlign w:val="bottom"/>
          </w:tcPr>
          <w:p>
            <w:pPr>
              <w:spacing w:after="0"/>
              <w:rPr>
                <w:sz w:val="19"/>
                <w:szCs w:val="19"/>
                <w:color w:val="auto"/>
              </w:rPr>
            </w:pPr>
          </w:p>
        </w:tc>
        <w:tc>
          <w:tcPr>
            <w:tcW w:w="1260" w:type="dxa"/>
            <w:vAlign w:val="bottom"/>
          </w:tcPr>
          <w:p>
            <w:pPr>
              <w:jc w:val="right"/>
              <w:ind w:right="846"/>
              <w:spacing w:after="0"/>
              <w:rPr>
                <w:sz w:val="20"/>
                <w:szCs w:val="20"/>
                <w:color w:val="auto"/>
              </w:rPr>
            </w:pPr>
            <w:r>
              <w:rPr>
                <w:rFonts w:ascii="Arial" w:cs="Arial" w:eastAsia="Arial" w:hAnsi="Arial"/>
                <w:sz w:val="11"/>
                <w:szCs w:val="11"/>
                <w:color w:val="auto"/>
              </w:rPr>
              <w:t>$180</w:t>
            </w:r>
          </w:p>
        </w:tc>
        <w:tc>
          <w:tcPr>
            <w:tcW w:w="380" w:type="dxa"/>
            <w:vAlign w:val="bottom"/>
          </w:tcPr>
          <w:p>
            <w:pPr>
              <w:jc w:val="right"/>
              <w:spacing w:after="0"/>
              <w:rPr>
                <w:sz w:val="20"/>
                <w:szCs w:val="20"/>
                <w:color w:val="auto"/>
              </w:rPr>
            </w:pPr>
            <w:r>
              <w:rPr>
                <w:rFonts w:ascii="Arial" w:cs="Arial" w:eastAsia="Arial" w:hAnsi="Arial"/>
                <w:sz w:val="11"/>
                <w:szCs w:val="11"/>
                <w:color w:val="auto"/>
              </w:rPr>
              <w:t>$220</w:t>
            </w:r>
          </w:p>
        </w:tc>
        <w:tc>
          <w:tcPr>
            <w:tcW w:w="1420" w:type="dxa"/>
            <w:vAlign w:val="bottom"/>
          </w:tcPr>
          <w:p>
            <w:pPr>
              <w:jc w:val="right"/>
              <w:ind w:right="166"/>
              <w:spacing w:after="0"/>
              <w:rPr>
                <w:sz w:val="20"/>
                <w:szCs w:val="20"/>
                <w:color w:val="auto"/>
              </w:rPr>
            </w:pPr>
            <w:r>
              <w:rPr>
                <w:rFonts w:ascii="Arial" w:cs="Arial" w:eastAsia="Arial" w:hAnsi="Arial"/>
                <w:sz w:val="11"/>
                <w:szCs w:val="11"/>
                <w:color w:val="auto"/>
              </w:rPr>
              <w:t>$180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$220</w:t>
            </w:r>
          </w:p>
        </w:tc>
      </w:tr>
      <w:tr>
        <w:trPr>
          <w:trHeight w:val="225"/>
        </w:trPr>
        <w:tc>
          <w:tcPr>
            <w:tcW w:w="3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 xml:space="preserve">Adjusted free cash flow </w:t>
            </w:r>
            <w:r>
              <w:rPr>
                <w:rFonts w:ascii="Arial" w:cs="Arial" w:eastAsia="Arial" w:hAnsi="Arial"/>
                <w:sz w:val="5"/>
                <w:szCs w:val="5"/>
                <w:color w:val="auto"/>
              </w:rPr>
              <w:t>(2), (3)</w:t>
            </w:r>
          </w:p>
        </w:tc>
        <w:tc>
          <w:tcPr>
            <w:tcW w:w="840" w:type="dxa"/>
            <w:vAlign w:val="bottom"/>
          </w:tcPr>
          <w:p>
            <w:pPr>
              <w:spacing w:after="0"/>
              <w:rPr>
                <w:sz w:val="19"/>
                <w:szCs w:val="19"/>
                <w:color w:val="auto"/>
              </w:rPr>
            </w:pPr>
          </w:p>
        </w:tc>
        <w:tc>
          <w:tcPr>
            <w:tcW w:w="1260" w:type="dxa"/>
            <w:vAlign w:val="bottom"/>
          </w:tcPr>
          <w:p>
            <w:pPr>
              <w:jc w:val="right"/>
              <w:ind w:right="846"/>
              <w:spacing w:after="0"/>
              <w:rPr>
                <w:sz w:val="20"/>
                <w:szCs w:val="20"/>
                <w:color w:val="auto"/>
              </w:rPr>
            </w:pPr>
            <w:r>
              <w:rPr>
                <w:rFonts w:ascii="Arial" w:cs="Arial" w:eastAsia="Arial" w:hAnsi="Arial"/>
                <w:sz w:val="11"/>
                <w:szCs w:val="11"/>
                <w:color w:val="auto"/>
              </w:rPr>
              <w:t>$250</w:t>
            </w:r>
          </w:p>
        </w:tc>
        <w:tc>
          <w:tcPr>
            <w:tcW w:w="380" w:type="dxa"/>
            <w:vAlign w:val="bottom"/>
          </w:tcPr>
          <w:p>
            <w:pPr>
              <w:jc w:val="right"/>
              <w:spacing w:after="0"/>
              <w:rPr>
                <w:sz w:val="20"/>
                <w:szCs w:val="20"/>
                <w:color w:val="auto"/>
              </w:rPr>
            </w:pPr>
            <w:r>
              <w:rPr>
                <w:rFonts w:ascii="Arial" w:cs="Arial" w:eastAsia="Arial" w:hAnsi="Arial"/>
                <w:sz w:val="11"/>
                <w:szCs w:val="11"/>
                <w:color w:val="auto"/>
              </w:rPr>
              <w:t>$320</w:t>
            </w:r>
          </w:p>
        </w:tc>
        <w:tc>
          <w:tcPr>
            <w:tcW w:w="1420" w:type="dxa"/>
            <w:vAlign w:val="bottom"/>
          </w:tcPr>
          <w:p>
            <w:pPr>
              <w:jc w:val="right"/>
              <w:ind w:right="166"/>
              <w:spacing w:after="0"/>
              <w:rPr>
                <w:sz w:val="20"/>
                <w:szCs w:val="20"/>
                <w:color w:val="auto"/>
              </w:rPr>
            </w:pPr>
            <w:r>
              <w:rPr>
                <w:rFonts w:ascii="Arial" w:cs="Arial" w:eastAsia="Arial" w:hAnsi="Arial"/>
                <w:sz w:val="11"/>
                <w:szCs w:val="11"/>
                <w:color w:val="auto"/>
              </w:rPr>
              <w:t>$250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$320</w:t>
            </w:r>
          </w:p>
        </w:tc>
      </w:tr>
      <w:tr>
        <w:trPr>
          <w:trHeight w:val="74"/>
        </w:trPr>
        <w:tc>
          <w:tcPr>
            <w:tcW w:w="390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3233420</wp:posOffset>
            </wp:positionH>
            <wp:positionV relativeFrom="paragraph">
              <wp:posOffset>-1692275</wp:posOffset>
            </wp:positionV>
            <wp:extent cx="3174365" cy="31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74365" cy="31115"/>
                    </a:xfrm>
                    <a:prstGeom prst="rect">
                      <a:avLst/>
                    </a:prstGeom>
                    <a:noFill/>
                  </pic:spPr>
                </pic:pic>
              </a:graphicData>
            </a:graphic>
          </wp:anchor>
        </w:drawing>
      </w:r>
    </w:p>
    <w:p>
      <w:pPr>
        <w:spacing w:after="0" w:line="364" w:lineRule="exact"/>
        <w:rPr>
          <w:sz w:val="20"/>
          <w:szCs w:val="20"/>
          <w:color w:val="auto"/>
        </w:rPr>
      </w:pPr>
    </w:p>
    <w:p>
      <w:pPr>
        <w:ind w:left="128" w:hanging="128"/>
        <w:spacing w:after="0"/>
        <w:tabs>
          <w:tab w:leader="none" w:pos="128" w:val="left"/>
        </w:tabs>
        <w:numPr>
          <w:ilvl w:val="0"/>
          <w:numId w:val="5"/>
        </w:numPr>
        <w:rPr>
          <w:rFonts w:ascii="Arial" w:cs="Arial" w:eastAsia="Arial" w:hAnsi="Arial"/>
          <w:sz w:val="8"/>
          <w:szCs w:val="8"/>
          <w:color w:val="auto"/>
        </w:rPr>
      </w:pPr>
      <w:r>
        <w:rPr>
          <w:rFonts w:ascii="Arial" w:cs="Arial" w:eastAsia="Arial" w:hAnsi="Arial"/>
          <w:sz w:val="8"/>
          <w:szCs w:val="8"/>
          <w:color w:val="auto"/>
        </w:rPr>
        <w:t>We define comparable sales as the percentage of period-over-period net sales increase or decrease, in the aggregate, for stores open after thirteen full fiscal months, as well as for all eCommerce sales.</w:t>
      </w:r>
    </w:p>
    <w:p>
      <w:pPr>
        <w:spacing w:after="0" w:line="169" w:lineRule="exact"/>
        <w:rPr>
          <w:rFonts w:ascii="Arial" w:cs="Arial" w:eastAsia="Arial" w:hAnsi="Arial"/>
          <w:sz w:val="8"/>
          <w:szCs w:val="8"/>
          <w:color w:val="auto"/>
        </w:rPr>
      </w:pPr>
    </w:p>
    <w:p>
      <w:pPr>
        <w:ind w:left="8" w:hanging="8"/>
        <w:spacing w:after="0" w:line="281" w:lineRule="auto"/>
        <w:tabs>
          <w:tab w:leader="none" w:pos="140" w:val="left"/>
        </w:tabs>
        <w:numPr>
          <w:ilvl w:val="0"/>
          <w:numId w:val="5"/>
        </w:numPr>
        <w:rPr>
          <w:rFonts w:ascii="Arial" w:cs="Arial" w:eastAsia="Arial" w:hAnsi="Arial"/>
          <w:sz w:val="8"/>
          <w:szCs w:val="8"/>
          <w:color w:val="auto"/>
        </w:rPr>
      </w:pPr>
      <w:r>
        <w:rPr>
          <w:rFonts w:ascii="Arial" w:cs="Arial" w:eastAsia="Arial" w:hAnsi="Arial"/>
          <w:sz w:val="8"/>
          <w:szCs w:val="8"/>
          <w:color w:val="auto"/>
        </w:rPr>
        <w:t>Adjusted net income, adjusted earnings per common share (EPS), diluted, and adjusted free cash flow are non-GAAP measures. See "Non-GAAP Measures" and "Reconciliations of GAAP to Non-GAAP Financial Measures" below for reconciliations of non-GAAP financial measures to their most directly comparable GAAP financial measures.</w:t>
      </w:r>
    </w:p>
    <w:p>
      <w:pPr>
        <w:spacing w:after="0" w:line="135" w:lineRule="exact"/>
        <w:rPr>
          <w:rFonts w:ascii="Arial" w:cs="Arial" w:eastAsia="Arial" w:hAnsi="Arial"/>
          <w:sz w:val="8"/>
          <w:szCs w:val="8"/>
          <w:color w:val="auto"/>
        </w:rPr>
      </w:pPr>
    </w:p>
    <w:p>
      <w:pPr>
        <w:ind w:left="8" w:hanging="8"/>
        <w:spacing w:after="0" w:line="305" w:lineRule="auto"/>
        <w:tabs>
          <w:tab w:leader="none" w:pos="135" w:val="left"/>
        </w:tabs>
        <w:numPr>
          <w:ilvl w:val="0"/>
          <w:numId w:val="5"/>
        </w:numPr>
        <w:rPr>
          <w:rFonts w:ascii="Arial" w:cs="Arial" w:eastAsia="Arial" w:hAnsi="Arial"/>
          <w:sz w:val="8"/>
          <w:szCs w:val="8"/>
          <w:color w:val="auto"/>
        </w:rPr>
      </w:pPr>
      <w:r>
        <w:rPr>
          <w:rFonts w:ascii="Arial" w:cs="Arial" w:eastAsia="Arial" w:hAnsi="Arial"/>
          <w:sz w:val="8"/>
          <w:szCs w:val="8"/>
          <w:color w:val="auto"/>
        </w:rPr>
        <w:t>We have not reconciled guidance for adjusted free cash flow to the most comparable GAAP measure because it is not possible to do so without unreasonable efforts given the uncertainty and potential variability of reconciling items, which are dependent on future events often outside of management's control and could be significant; therefore, we are unable to provide an estimate of the most closely comparable GAAP measure at this time.</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Conference Call Info</w:t>
      </w:r>
    </w:p>
    <w:p>
      <w:pPr>
        <w:spacing w:after="0" w:line="18" w:lineRule="exact"/>
        <w:rPr>
          <w:sz w:val="20"/>
          <w:szCs w:val="20"/>
          <w:color w:val="auto"/>
        </w:rPr>
      </w:pPr>
    </w:p>
    <w:p>
      <w:pPr>
        <w:jc w:val="both"/>
        <w:ind w:left="8"/>
        <w:spacing w:after="0" w:line="249" w:lineRule="auto"/>
        <w:rPr>
          <w:sz w:val="20"/>
          <w:szCs w:val="20"/>
          <w:color w:val="auto"/>
        </w:rPr>
      </w:pPr>
      <w:r>
        <w:rPr>
          <w:rFonts w:ascii="Arial" w:cs="Arial" w:eastAsia="Arial" w:hAnsi="Arial"/>
          <w:sz w:val="12"/>
          <w:szCs w:val="12"/>
          <w:color w:val="auto"/>
        </w:rPr>
        <w:t xml:space="preserve">Academy will host a conference call today at 10:00 a.m. Eastern Time to discuss its financial results and related matters. The call will be webcast at </w:t>
      </w:r>
      <w:r>
        <w:rPr>
          <w:rFonts w:ascii="Arial" w:cs="Arial" w:eastAsia="Arial" w:hAnsi="Arial"/>
          <w:sz w:val="12"/>
          <w:szCs w:val="12"/>
          <w:u w:val="single" w:color="auto"/>
          <w:color w:val="0E32E1"/>
        </w:rPr>
        <w:t>investors.academy.com.</w:t>
      </w:r>
      <w:r>
        <w:rPr>
          <w:rFonts w:ascii="Arial" w:cs="Arial" w:eastAsia="Arial" w:hAnsi="Arial"/>
          <w:sz w:val="12"/>
          <w:szCs w:val="12"/>
          <w:color w:val="auto"/>
        </w:rPr>
        <w:t xml:space="preserve"> The following information is provided for those who would like to participate in the conference call:</w:t>
      </w:r>
    </w:p>
    <w:p>
      <w:pPr>
        <w:spacing w:after="0" w:line="134" w:lineRule="exact"/>
        <w:rPr>
          <w:sz w:val="20"/>
          <w:szCs w:val="20"/>
          <w:color w:val="auto"/>
        </w:rPr>
      </w:pPr>
    </w:p>
    <w:tbl>
      <w:tblPr>
        <w:tblLayout w:type="fixed"/>
        <w:tblInd w:w="428" w:type="dxa"/>
        <w:tblCellMar>
          <w:top w:w="0" w:type="dxa"/>
          <w:left w:w="0" w:type="dxa"/>
          <w:bottom w:w="0" w:type="dxa"/>
          <w:right w:w="0" w:type="dxa"/>
        </w:tblCellMar>
      </w:tblPr>
      <w:tr>
        <w:trPr>
          <w:trHeight w:val="144"/>
        </w:trPr>
        <w:tc>
          <w:tcPr>
            <w:tcW w:w="800" w:type="dxa"/>
            <w:vAlign w:val="bottom"/>
          </w:tcPr>
          <w:p>
            <w:pPr>
              <w:spacing w:after="0"/>
              <w:rPr>
                <w:sz w:val="20"/>
                <w:szCs w:val="20"/>
                <w:color w:val="auto"/>
              </w:rPr>
            </w:pPr>
            <w:r>
              <w:rPr>
                <w:rFonts w:ascii="Arial" w:cs="Arial" w:eastAsia="Arial" w:hAnsi="Arial"/>
                <w:sz w:val="12"/>
                <w:szCs w:val="12"/>
                <w:color w:val="auto"/>
              </w:rPr>
              <w:t>U.S. callers</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1-877-407-3982</w:t>
            </w:r>
          </w:p>
        </w:tc>
      </w:tr>
      <w:tr>
        <w:trPr>
          <w:trHeight w:val="135"/>
        </w:trPr>
        <w:tc>
          <w:tcPr>
            <w:tcW w:w="1180" w:type="dxa"/>
            <w:vAlign w:val="bottom"/>
            <w:gridSpan w:val="2"/>
          </w:tcPr>
          <w:p>
            <w:pPr>
              <w:spacing w:after="0" w:line="135" w:lineRule="exact"/>
              <w:rPr>
                <w:sz w:val="20"/>
                <w:szCs w:val="20"/>
                <w:color w:val="auto"/>
              </w:rPr>
            </w:pPr>
            <w:r>
              <w:rPr>
                <w:rFonts w:ascii="Arial" w:cs="Arial" w:eastAsia="Arial" w:hAnsi="Arial"/>
                <w:sz w:val="12"/>
                <w:szCs w:val="12"/>
                <w:color w:val="auto"/>
              </w:rPr>
              <w:t>International callers</w:t>
            </w: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1-201-493-6780</w:t>
            </w:r>
          </w:p>
        </w:tc>
      </w:tr>
      <w:tr>
        <w:trPr>
          <w:trHeight w:val="159"/>
        </w:trPr>
        <w:tc>
          <w:tcPr>
            <w:tcW w:w="800" w:type="dxa"/>
            <w:vAlign w:val="bottom"/>
          </w:tcPr>
          <w:p>
            <w:pPr>
              <w:spacing w:after="0"/>
              <w:rPr>
                <w:sz w:val="20"/>
                <w:szCs w:val="20"/>
                <w:color w:val="auto"/>
              </w:rPr>
            </w:pPr>
            <w:r>
              <w:rPr>
                <w:rFonts w:ascii="Arial" w:cs="Arial" w:eastAsia="Arial" w:hAnsi="Arial"/>
                <w:sz w:val="12"/>
                <w:szCs w:val="12"/>
                <w:color w:val="auto"/>
              </w:rPr>
              <w:t>Passcode</w:t>
            </w:r>
          </w:p>
        </w:tc>
        <w:tc>
          <w:tcPr>
            <w:tcW w:w="1360" w:type="dxa"/>
            <w:vAlign w:val="bottom"/>
            <w:gridSpan w:val="2"/>
          </w:tcPr>
          <w:p>
            <w:pPr>
              <w:jc w:val="right"/>
              <w:ind w:right="600"/>
              <w:spacing w:after="0"/>
              <w:rPr>
                <w:sz w:val="20"/>
                <w:szCs w:val="20"/>
                <w:color w:val="auto"/>
              </w:rPr>
            </w:pPr>
            <w:r>
              <w:rPr>
                <w:rFonts w:ascii="Arial" w:cs="Arial" w:eastAsia="Arial" w:hAnsi="Arial"/>
                <w:sz w:val="12"/>
                <w:szCs w:val="12"/>
                <w:color w:val="auto"/>
              </w:rPr>
              <w:t>13755467</w:t>
            </w:r>
          </w:p>
        </w:tc>
      </w:tr>
    </w:tbl>
    <w:p>
      <w:pPr>
        <w:spacing w:after="0" w:line="138" w:lineRule="exact"/>
        <w:rPr>
          <w:sz w:val="20"/>
          <w:szCs w:val="20"/>
          <w:color w:val="auto"/>
        </w:rPr>
      </w:pPr>
    </w:p>
    <w:p>
      <w:pPr>
        <w:ind w:left="8"/>
        <w:spacing w:after="0"/>
        <w:rPr>
          <w:sz w:val="20"/>
          <w:szCs w:val="20"/>
          <w:color w:val="auto"/>
        </w:rPr>
      </w:pPr>
      <w:r>
        <w:rPr>
          <w:rFonts w:ascii="Arial" w:cs="Arial" w:eastAsia="Arial" w:hAnsi="Arial"/>
          <w:sz w:val="12"/>
          <w:szCs w:val="12"/>
          <w:color w:val="auto"/>
        </w:rPr>
        <w:t>A replay of the conference call will be available for approximately 30 days on the Company's website.</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About Academy Sports + Outdoors</w:t>
      </w:r>
    </w:p>
    <w:p>
      <w:pPr>
        <w:spacing w:after="0" w:line="9" w:lineRule="exact"/>
        <w:rPr>
          <w:sz w:val="20"/>
          <w:szCs w:val="20"/>
          <w:color w:val="auto"/>
        </w:rPr>
      </w:pPr>
    </w:p>
    <w:p>
      <w:pPr>
        <w:jc w:val="both"/>
        <w:ind w:left="8"/>
        <w:spacing w:after="0" w:line="244" w:lineRule="auto"/>
        <w:rPr>
          <w:sz w:val="20"/>
          <w:szCs w:val="20"/>
          <w:color w:val="auto"/>
        </w:rPr>
      </w:pPr>
      <w:r>
        <w:rPr>
          <w:rFonts w:ascii="Arial" w:cs="Arial" w:eastAsia="Arial" w:hAnsi="Arial"/>
          <w:sz w:val="12"/>
          <w:szCs w:val="12"/>
          <w:color w:val="auto"/>
        </w:rPr>
        <w:t>Academy is a leading full-line sporting goods and outdoor recreation retailer in the United States. Originally founded in 1938 as a family business in Texas, Academy has grown to more than 300 stores across 21 states and counting. Academy’s mission is to provide “Fun for All” and Academy fulfills this mission with a localized merchandising strategy and value proposition that strongly connects with a broad range of consumers. Academy’s product assortment focuses on key categories of outdoor, apparel, sports &amp; recreation and footwear through both leading national brands and a portfolio of private label brands. For more information, visit www.academy.com.</w:t>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1308"/>
          </w:cols>
          <w:pgMar w:left="292" w:top="667" w:right="29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u w:val="single" w:color="auto"/>
          <w:color w:val="auto"/>
        </w:rPr>
        <w:t>Non-GAAP Measures</w:t>
      </w:r>
    </w:p>
    <w:p>
      <w:pPr>
        <w:jc w:val="both"/>
        <w:spacing w:after="0" w:line="237" w:lineRule="auto"/>
        <w:rPr>
          <w:sz w:val="20"/>
          <w:szCs w:val="20"/>
          <w:color w:val="auto"/>
        </w:rPr>
      </w:pPr>
      <w:r>
        <w:rPr>
          <w:rFonts w:ascii="Arial" w:cs="Arial" w:eastAsia="Arial" w:hAnsi="Arial"/>
          <w:sz w:val="12"/>
          <w:szCs w:val="12"/>
          <w:color w:val="auto"/>
        </w:rPr>
        <w:t xml:space="preserve">Adjusted EBITDA, Adjusted EBIT, Adjusted Net Income, Adjusted Earnings per Common Share, and Adjusted Free Cash Flow have been presented in this press release as supplemental measures of financial performance that are not required by, or presented in accordance with, generally accepted accounting principles (“GAAP”). The Company believes that the presentation of these non-GAAP measures is useful to investors as they provide additional information on comparisons between periods by excluding certain items that affect overall comparability. The Company uses these non-GAAP financial measures for business planning purposes, to consider underlying trends of its business, and in measuring its performance relative to others in the market, and believes presenting these measures also provides information to investors and others for understanding and evaluating trends in the Company’s operating results or measuring performance in the same manner as the Company’s management. Non-GAAP financial measures should be considered in addition to, and not as an alternative for, the Company’s reported results prepared in accordance with GAAP. The calculation of these non-GAAP financial measures may differ from similar measures reported by other companies and may not be comparable to other similarly titled measures. For additional information on these non-GAAP financial measures, please see our Annual Report for the fiscal year ended February 1, 2025 (the "Annual Report"), filed on March 20, 2025 and our Quarterly Report for the thirteen weeks ended August 2, 2025 to be filed on September 2, 2025 ("the Quarterly Report"), which may be updated from time to time in our periodic filings with the Securities and Exchange Commission (the "SEC"), which are accessible on the SEC's website at </w:t>
      </w:r>
      <w:r>
        <w:rPr>
          <w:rFonts w:ascii="Arial" w:cs="Arial" w:eastAsia="Arial" w:hAnsi="Arial"/>
          <w:sz w:val="12"/>
          <w:szCs w:val="12"/>
          <w:u w:val="single" w:color="auto"/>
          <w:color w:val="0E32E1"/>
        </w:rPr>
        <w:t>www.sec.gov</w:t>
      </w:r>
      <w:r>
        <w:rPr>
          <w:rFonts w:ascii="Arial" w:cs="Arial" w:eastAsia="Arial" w:hAnsi="Arial"/>
          <w:sz w:val="12"/>
          <w:szCs w:val="12"/>
          <w:color w:val="auto"/>
        </w:rPr>
        <w:t>.</w:t>
      </w:r>
    </w:p>
    <w:p>
      <w:pPr>
        <w:spacing w:after="0" w:line="150" w:lineRule="exact"/>
        <w:rPr>
          <w:sz w:val="20"/>
          <w:szCs w:val="20"/>
          <w:color w:val="auto"/>
        </w:rPr>
      </w:pPr>
    </w:p>
    <w:p>
      <w:pPr>
        <w:jc w:val="both"/>
        <w:ind w:right="20"/>
        <w:spacing w:after="0" w:line="267" w:lineRule="auto"/>
        <w:rPr>
          <w:sz w:val="20"/>
          <w:szCs w:val="20"/>
          <w:color w:val="auto"/>
        </w:rPr>
      </w:pPr>
      <w:r>
        <w:rPr>
          <w:rFonts w:ascii="Arial" w:cs="Arial" w:eastAsia="Arial" w:hAnsi="Arial"/>
          <w:sz w:val="12"/>
          <w:szCs w:val="12"/>
          <w:i w:val="1"/>
          <w:iCs w:val="1"/>
          <w:color w:val="auto"/>
        </w:rPr>
        <w:t>See “Reconciliations of GAAP to Non-GAAP Financial Measures” below for reconciliations of non-GAAP financial measures presented in this press release to their most directly comparable GAAP financial measures.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Forward Looking Statements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This press release contains forward-looking statements within the meaning of Section 27A of the Securities Act of 1933, as amended, and Section 21E of the Securities Exchange Act of 1934, as amended. These</w:t>
      </w:r>
    </w:p>
    <w:p>
      <w:pPr>
        <w:jc w:val="both"/>
        <w:spacing w:after="0" w:line="226" w:lineRule="auto"/>
        <w:rPr>
          <w:sz w:val="20"/>
          <w:szCs w:val="20"/>
          <w:color w:val="auto"/>
        </w:rPr>
      </w:pPr>
      <w:r>
        <w:rPr>
          <w:rFonts w:ascii="Arial" w:cs="Arial" w:eastAsia="Arial" w:hAnsi="Arial"/>
          <w:sz w:val="12"/>
          <w:szCs w:val="12"/>
          <w:color w:val="auto"/>
        </w:rPr>
        <w:t>forward-looking statements are based on Academy’s current expectations and are not guarantees of future performance. Forward-looking statements may incorporate words such as “believe,” “expect,” “anticipate,” “forward,” “ahead,” “opportunities,” “plans,” “priorities,” “goals,” “future,” “short/long term,” “will,” “should,” or the negative version of these words or other comparable words. The forward-looking statements in this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press release include, among other things, statements regarding the Company’s fiscal 2025 outlook under the caption “2025 Outlook”, the Company’s plans and expectations regarding tariff-mitigation actions, the Company’s strategic plans and financial objectives, including the implementation of such plans, the growth of the Company’s business and operations, including the opening of new stores and the expansion into new markets, as well as their performance, the Company’s payment of dividends, including the timing and amount thereof, share repurchases by the Company, and the Company's expectations regarding its future performance and financial condition and the Company’s plans to reduce direct import cost exposure to China. These forward-looking statements are subject to various risks, uncertainties, assumptions, or changes in circumstances that are all difficult to predict or quantify. Actual results may differ materially from these expectations due to changes in global, regional, or local economic, business, competitive, market, regulatory, environmental, and other factors that could affect overall consumer spending or our industry, including the possible effects of ongoing macroeconomic challenges, inflation and higher interest rates, trade policy changes or additional tariffs or changes in tariffs, geopolitical tensions, or changes to the financial health of our customers, many of which are beyond Academy's control. These and other important factors that could cause actual results to differ materially from those in the forward-looking statements are set forth in Academy's filings with the SEC, including the Annual Report and the Quarterly Report, under the caption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9"/>
              </w:rPr>
              <w:t>Investor Contact</w:t>
            </w:r>
          </w:p>
        </w:tc>
        <w:tc>
          <w:tcPr>
            <w:tcW w:w="3360" w:type="dxa"/>
            <w:vAlign w:val="bottom"/>
          </w:tcPr>
          <w:p>
            <w:pPr>
              <w:spacing w:after="0"/>
              <w:rPr>
                <w:sz w:val="13"/>
                <w:szCs w:val="13"/>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7"/>
              </w:rPr>
              <w:t>Media Contact</w:t>
            </w:r>
          </w:p>
        </w:tc>
        <w:tc>
          <w:tcPr>
            <w:tcW w:w="780" w:type="dxa"/>
            <w:vAlign w:val="bottom"/>
          </w:tcPr>
          <w:p>
            <w:pPr>
              <w:spacing w:after="0"/>
              <w:rPr>
                <w:sz w:val="13"/>
                <w:szCs w:val="13"/>
                <w:color w:val="auto"/>
              </w:rPr>
            </w:pPr>
          </w:p>
        </w:tc>
      </w:tr>
      <w:tr>
        <w:trPr>
          <w:trHeight w:val="189"/>
        </w:trPr>
        <w:tc>
          <w:tcPr>
            <w:tcW w:w="4320" w:type="dxa"/>
            <w:vAlign w:val="bottom"/>
            <w:gridSpan w:val="2"/>
          </w:tcPr>
          <w:p>
            <w:pPr>
              <w:spacing w:after="0"/>
              <w:rPr>
                <w:sz w:val="20"/>
                <w:szCs w:val="20"/>
                <w:color w:val="auto"/>
              </w:rPr>
            </w:pPr>
            <w:r>
              <w:rPr>
                <w:rFonts w:ascii="Arial" w:cs="Arial" w:eastAsia="Arial" w:hAnsi="Arial"/>
                <w:sz w:val="12"/>
                <w:szCs w:val="12"/>
                <w:color w:val="auto"/>
              </w:rPr>
              <w:t>Dan Aldridge</w:t>
            </w:r>
          </w:p>
        </w:tc>
        <w:tc>
          <w:tcPr>
            <w:tcW w:w="1600" w:type="dxa"/>
            <w:vAlign w:val="bottom"/>
            <w:gridSpan w:val="2"/>
          </w:tcPr>
          <w:p>
            <w:pPr>
              <w:spacing w:after="0"/>
              <w:rPr>
                <w:sz w:val="20"/>
                <w:szCs w:val="20"/>
                <w:color w:val="auto"/>
              </w:rPr>
            </w:pPr>
            <w:r>
              <w:rPr>
                <w:rFonts w:ascii="Arial" w:cs="Arial" w:eastAsia="Arial" w:hAnsi="Arial"/>
                <w:sz w:val="12"/>
                <w:szCs w:val="12"/>
                <w:color w:val="auto"/>
              </w:rPr>
              <w:t>Meredith Klein</w:t>
            </w:r>
          </w:p>
        </w:tc>
      </w:tr>
      <w:tr>
        <w:trPr>
          <w:trHeight w:val="180"/>
        </w:trPr>
        <w:tc>
          <w:tcPr>
            <w:tcW w:w="4320" w:type="dxa"/>
            <w:vAlign w:val="bottom"/>
            <w:gridSpan w:val="2"/>
          </w:tcPr>
          <w:p>
            <w:pPr>
              <w:spacing w:after="0"/>
              <w:rPr>
                <w:sz w:val="20"/>
                <w:szCs w:val="20"/>
                <w:color w:val="auto"/>
              </w:rPr>
            </w:pPr>
            <w:r>
              <w:rPr>
                <w:rFonts w:ascii="Arial" w:cs="Arial" w:eastAsia="Arial" w:hAnsi="Arial"/>
                <w:sz w:val="12"/>
                <w:szCs w:val="12"/>
                <w:color w:val="auto"/>
              </w:rPr>
              <w:t>VP, Investor Relations</w:t>
            </w:r>
          </w:p>
        </w:tc>
        <w:tc>
          <w:tcPr>
            <w:tcW w:w="1600" w:type="dxa"/>
            <w:vAlign w:val="bottom"/>
            <w:gridSpan w:val="2"/>
          </w:tcPr>
          <w:p>
            <w:pPr>
              <w:spacing w:after="0"/>
              <w:rPr>
                <w:sz w:val="20"/>
                <w:szCs w:val="20"/>
                <w:color w:val="auto"/>
              </w:rPr>
            </w:pPr>
            <w:r>
              <w:rPr>
                <w:rFonts w:ascii="Arial" w:cs="Arial" w:eastAsia="Arial" w:hAnsi="Arial"/>
                <w:sz w:val="12"/>
                <w:szCs w:val="12"/>
                <w:color w:val="auto"/>
              </w:rPr>
              <w:t>VP, Communications</w:t>
            </w:r>
          </w:p>
        </w:tc>
      </w:tr>
      <w:tr>
        <w:trPr>
          <w:trHeight w:val="180"/>
        </w:trPr>
        <w:tc>
          <w:tcPr>
            <w:tcW w:w="960" w:type="dxa"/>
            <w:vAlign w:val="bottom"/>
          </w:tcPr>
          <w:p>
            <w:pPr>
              <w:spacing w:after="0"/>
              <w:rPr>
                <w:sz w:val="20"/>
                <w:szCs w:val="20"/>
                <w:color w:val="auto"/>
              </w:rPr>
            </w:pPr>
            <w:r>
              <w:rPr>
                <w:rFonts w:ascii="Arial" w:cs="Arial" w:eastAsia="Arial" w:hAnsi="Arial"/>
                <w:sz w:val="12"/>
                <w:szCs w:val="12"/>
                <w:color w:val="auto"/>
              </w:rPr>
              <w:t>832-739-4102</w:t>
            </w:r>
          </w:p>
        </w:tc>
        <w:tc>
          <w:tcPr>
            <w:tcW w:w="33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color w:val="auto"/>
              </w:rPr>
              <w:t>346-823-6615</w:t>
            </w:r>
          </w:p>
        </w:tc>
        <w:tc>
          <w:tcPr>
            <w:tcW w:w="780" w:type="dxa"/>
            <w:vAlign w:val="bottom"/>
          </w:tcPr>
          <w:p>
            <w:pPr>
              <w:spacing w:after="0"/>
              <w:rPr>
                <w:sz w:val="15"/>
                <w:szCs w:val="15"/>
                <w:color w:val="auto"/>
              </w:rPr>
            </w:pPr>
          </w:p>
        </w:tc>
      </w:tr>
      <w:tr>
        <w:trPr>
          <w:trHeight w:val="180"/>
        </w:trPr>
        <w:tc>
          <w:tcPr>
            <w:tcW w:w="4320" w:type="dxa"/>
            <w:vAlign w:val="bottom"/>
            <w:gridSpan w:val="2"/>
          </w:tcPr>
          <w:p>
            <w:pPr>
              <w:spacing w:after="0"/>
              <w:rPr>
                <w:sz w:val="20"/>
                <w:szCs w:val="20"/>
                <w:color w:val="auto"/>
              </w:rPr>
            </w:pPr>
            <w:r>
              <w:rPr>
                <w:rFonts w:ascii="Arial" w:cs="Arial" w:eastAsia="Arial" w:hAnsi="Arial"/>
                <w:sz w:val="12"/>
                <w:szCs w:val="12"/>
                <w:color w:val="auto"/>
              </w:rPr>
              <w:t>dan.aldridge@academy.com</w:t>
            </w:r>
          </w:p>
        </w:tc>
        <w:tc>
          <w:tcPr>
            <w:tcW w:w="1600" w:type="dxa"/>
            <w:vAlign w:val="bottom"/>
            <w:gridSpan w:val="2"/>
          </w:tcPr>
          <w:p>
            <w:pPr>
              <w:spacing w:after="0"/>
              <w:rPr>
                <w:sz w:val="20"/>
                <w:szCs w:val="20"/>
                <w:color w:val="auto"/>
              </w:rPr>
            </w:pPr>
            <w:r>
              <w:rPr>
                <w:rFonts w:ascii="Arial" w:cs="Arial" w:eastAsia="Arial" w:hAnsi="Arial"/>
                <w:sz w:val="12"/>
                <w:szCs w:val="12"/>
                <w:color w:val="auto"/>
                <w:w w:val="97"/>
              </w:rPr>
              <w:t>meredith.klein@academy.com</w:t>
            </w:r>
          </w:p>
        </w:tc>
      </w:tr>
    </w:tbl>
    <w:p>
      <w:pPr>
        <w:spacing w:after="0" w:line="218" w:lineRule="exact"/>
        <w:rPr>
          <w:sz w:val="20"/>
          <w:szCs w:val="20"/>
          <w:color w:val="auto"/>
        </w:rPr>
      </w:pPr>
    </w:p>
    <w:p>
      <w:pPr>
        <w:jc w:val="right"/>
        <w:spacing w:after="0"/>
        <w:rPr>
          <w:sz w:val="20"/>
          <w:szCs w:val="20"/>
          <w:color w:val="auto"/>
        </w:rPr>
      </w:pPr>
      <w:r>
        <w:rPr>
          <w:rFonts w:ascii="Arial" w:cs="Arial" w:eastAsia="Arial" w:hAnsi="Arial"/>
          <w:sz w:val="10"/>
          <w:szCs w:val="10"/>
          <w:color w:val="auto"/>
        </w:rPr>
        <w:t>4</w:t>
      </w:r>
    </w:p>
    <w:p>
      <w:pPr>
        <w:sectPr>
          <w:pgSz w:w="11900" w:h="16838" w:orient="portrait"/>
          <w:cols w:equalWidth="0" w:num="1">
            <w:col w:w="11300"/>
          </w:cols>
          <w:pgMar w:left="300" w:top="343" w:right="299" w:bottom="1440" w:gutter="0" w:footer="0" w:header="0"/>
        </w:sectPr>
      </w:pPr>
    </w:p>
    <w:bookmarkStart w:id="7" w:name="page8"/>
    <w:bookmarkEnd w:id="7"/>
    <w:p>
      <w:pPr>
        <w:jc w:val="center"/>
        <w:ind w:right="-7"/>
        <w:spacing w:after="0"/>
        <w:rPr>
          <w:sz w:val="20"/>
          <w:szCs w:val="20"/>
          <w:color w:val="auto"/>
        </w:rPr>
      </w:pPr>
      <w:r>
        <w:rPr>
          <w:rFonts w:ascii="Arial" w:cs="Arial" w:eastAsia="Arial" w:hAnsi="Arial"/>
          <w:sz w:val="12"/>
          <w:szCs w:val="12"/>
          <w:b w:val="1"/>
          <w:bCs w:val="1"/>
          <w:color w:val="auto"/>
        </w:rPr>
        <w:t>ACADEMY SPORTS AND OUTDOORS, INC.</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CONSOLIDATED STATEMENTS OF INCOME</w:t>
      </w:r>
    </w:p>
    <w:p>
      <w:pPr>
        <w:jc w:val="center"/>
        <w:ind w:right="-7"/>
        <w:spacing w:after="0" w:line="234" w:lineRule="auto"/>
        <w:rPr>
          <w:sz w:val="20"/>
          <w:szCs w:val="20"/>
          <w:color w:val="auto"/>
        </w:rPr>
      </w:pPr>
      <w:r>
        <w:rPr>
          <w:rFonts w:ascii="Arial" w:cs="Arial" w:eastAsia="Arial" w:hAnsi="Arial"/>
          <w:sz w:val="12"/>
          <w:szCs w:val="12"/>
          <w:b w:val="1"/>
          <w:bCs w:val="1"/>
          <w:color w:val="auto"/>
        </w:rPr>
        <w:t>(Unaudited)</w:t>
      </w:r>
    </w:p>
    <w:p>
      <w:pPr>
        <w:jc w:val="center"/>
        <w:ind w:right="-7"/>
        <w:spacing w:after="0"/>
        <w:rPr>
          <w:sz w:val="20"/>
          <w:szCs w:val="20"/>
          <w:color w:val="auto"/>
        </w:rPr>
      </w:pPr>
      <w:r>
        <w:rPr>
          <w:rFonts w:ascii="Arial" w:cs="Arial" w:eastAsia="Arial" w:hAnsi="Arial"/>
          <w:sz w:val="12"/>
          <w:szCs w:val="12"/>
          <w:b w:val="1"/>
          <w:bCs w:val="1"/>
          <w:color w:val="auto"/>
        </w:rPr>
        <w:t>(Amounts in thousands, except per share data)</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98"/>
        </w:trPr>
        <w:tc>
          <w:tcPr>
            <w:tcW w:w="4200" w:type="dxa"/>
            <w:vAlign w:val="bottom"/>
          </w:tcPr>
          <w:p>
            <w:pPr>
              <w:spacing w:after="0"/>
              <w:rPr>
                <w:sz w:val="17"/>
                <w:szCs w:val="17"/>
                <w:color w:val="auto"/>
              </w:rPr>
            </w:pPr>
          </w:p>
        </w:tc>
        <w:tc>
          <w:tcPr>
            <w:tcW w:w="260" w:type="dxa"/>
            <w:vAlign w:val="bottom"/>
            <w:shd w:val="clear" w:color="auto" w:fill="1928A0"/>
          </w:tcPr>
          <w:p>
            <w:pPr>
              <w:spacing w:after="0"/>
              <w:rPr>
                <w:sz w:val="17"/>
                <w:szCs w:val="17"/>
                <w:color w:val="auto"/>
              </w:rPr>
            </w:pPr>
          </w:p>
        </w:tc>
        <w:tc>
          <w:tcPr>
            <w:tcW w:w="1440" w:type="dxa"/>
            <w:vAlign w:val="bottom"/>
            <w:shd w:val="clear" w:color="auto" w:fill="1928A0"/>
          </w:tcPr>
          <w:p>
            <w:pPr>
              <w:spacing w:after="0"/>
              <w:rPr>
                <w:sz w:val="17"/>
                <w:szCs w:val="17"/>
                <w:color w:val="auto"/>
              </w:rPr>
            </w:pPr>
          </w:p>
        </w:tc>
        <w:tc>
          <w:tcPr>
            <w:tcW w:w="3660" w:type="dxa"/>
            <w:vAlign w:val="bottom"/>
            <w:gridSpan w:val="3"/>
            <w:shd w:val="clear" w:color="auto" w:fill="1928A0"/>
          </w:tcPr>
          <w:p>
            <w:pPr>
              <w:jc w:val="right"/>
              <w:ind w:right="1060"/>
              <w:spacing w:after="0"/>
              <w:rPr>
                <w:sz w:val="20"/>
                <w:szCs w:val="20"/>
                <w:color w:val="auto"/>
              </w:rPr>
            </w:pPr>
            <w:r>
              <w:rPr>
                <w:rFonts w:ascii="Arial" w:cs="Arial" w:eastAsia="Arial" w:hAnsi="Arial"/>
                <w:sz w:val="13"/>
                <w:szCs w:val="13"/>
                <w:b w:val="1"/>
                <w:bCs w:val="1"/>
                <w:color w:val="FFFFFF"/>
              </w:rPr>
              <w:t>Thirteen Weeks Ended</w:t>
            </w:r>
          </w:p>
        </w:tc>
        <w:tc>
          <w:tcPr>
            <w:tcW w:w="1720" w:type="dxa"/>
            <w:vAlign w:val="bottom"/>
            <w:shd w:val="clear" w:color="auto" w:fill="1928A0"/>
          </w:tcPr>
          <w:p>
            <w:pPr>
              <w:spacing w:after="0"/>
              <w:rPr>
                <w:sz w:val="17"/>
                <w:szCs w:val="17"/>
                <w:color w:val="auto"/>
              </w:rPr>
            </w:pPr>
          </w:p>
        </w:tc>
      </w:tr>
      <w:tr>
        <w:trPr>
          <w:trHeight w:val="189"/>
        </w:trPr>
        <w:tc>
          <w:tcPr>
            <w:tcW w:w="4200" w:type="dxa"/>
            <w:vAlign w:val="bottom"/>
          </w:tcPr>
          <w:p>
            <w:pPr>
              <w:spacing w:after="0"/>
              <w:rPr>
                <w:sz w:val="16"/>
                <w:szCs w:val="16"/>
                <w:color w:val="auto"/>
              </w:rPr>
            </w:pPr>
          </w:p>
        </w:tc>
        <w:tc>
          <w:tcPr>
            <w:tcW w:w="260" w:type="dxa"/>
            <w:vAlign w:val="bottom"/>
            <w:shd w:val="clear" w:color="auto" w:fill="0A2299"/>
          </w:tcPr>
          <w:p>
            <w:pPr>
              <w:spacing w:after="0"/>
              <w:rPr>
                <w:sz w:val="16"/>
                <w:szCs w:val="16"/>
                <w:color w:val="auto"/>
              </w:rPr>
            </w:pPr>
          </w:p>
        </w:tc>
        <w:tc>
          <w:tcPr>
            <w:tcW w:w="1440" w:type="dxa"/>
            <w:vAlign w:val="bottom"/>
            <w:shd w:val="clear" w:color="auto" w:fill="0A2299"/>
          </w:tcPr>
          <w:p>
            <w:pPr>
              <w:jc w:val="right"/>
              <w:ind w:right="360"/>
              <w:spacing w:after="0"/>
              <w:rPr>
                <w:sz w:val="20"/>
                <w:szCs w:val="20"/>
                <w:color w:val="auto"/>
              </w:rPr>
            </w:pPr>
            <w:r>
              <w:rPr>
                <w:rFonts w:ascii="Arial" w:cs="Arial" w:eastAsia="Arial" w:hAnsi="Arial"/>
                <w:sz w:val="12"/>
                <w:szCs w:val="12"/>
                <w:b w:val="1"/>
                <w:bCs w:val="1"/>
                <w:color w:val="FFFFFF"/>
              </w:rPr>
              <w:t>August 2, 2025</w:t>
            </w:r>
          </w:p>
        </w:tc>
        <w:tc>
          <w:tcPr>
            <w:tcW w:w="1940" w:type="dxa"/>
            <w:vAlign w:val="bottom"/>
            <w:shd w:val="clear" w:color="auto" w:fill="0A2299"/>
          </w:tcPr>
          <w:p>
            <w:pPr>
              <w:jc w:val="right"/>
              <w:ind w:right="320"/>
              <w:spacing w:after="0"/>
              <w:rPr>
                <w:sz w:val="20"/>
                <w:szCs w:val="20"/>
                <w:color w:val="auto"/>
              </w:rPr>
            </w:pPr>
            <w:r>
              <w:rPr>
                <w:rFonts w:ascii="Arial" w:cs="Arial" w:eastAsia="Arial" w:hAnsi="Arial"/>
                <w:sz w:val="12"/>
                <w:szCs w:val="12"/>
                <w:b w:val="1"/>
                <w:bCs w:val="1"/>
                <w:color w:val="FFFFFF"/>
              </w:rPr>
              <w:t xml:space="preserve">Percentage of Sales </w:t>
            </w:r>
            <w:r>
              <w:rPr>
                <w:rFonts w:ascii="Arial" w:cs="Arial" w:eastAsia="Arial" w:hAnsi="Arial"/>
                <w:sz w:val="15"/>
                <w:szCs w:val="15"/>
                <w:b w:val="1"/>
                <w:bCs w:val="1"/>
                <w:color w:val="FFFFFF"/>
                <w:vertAlign w:val="superscript"/>
              </w:rPr>
              <w:t>(1)</w:t>
            </w:r>
          </w:p>
        </w:tc>
        <w:tc>
          <w:tcPr>
            <w:tcW w:w="260" w:type="dxa"/>
            <w:vAlign w:val="bottom"/>
            <w:shd w:val="clear" w:color="auto" w:fill="0A2299"/>
          </w:tcPr>
          <w:p>
            <w:pPr>
              <w:spacing w:after="0"/>
              <w:rPr>
                <w:sz w:val="16"/>
                <w:szCs w:val="16"/>
                <w:color w:val="auto"/>
              </w:rPr>
            </w:pPr>
          </w:p>
        </w:tc>
        <w:tc>
          <w:tcPr>
            <w:tcW w:w="1460" w:type="dxa"/>
            <w:vAlign w:val="bottom"/>
            <w:shd w:val="clear" w:color="auto" w:fill="0A2299"/>
          </w:tcPr>
          <w:p>
            <w:pPr>
              <w:jc w:val="right"/>
              <w:ind w:right="380"/>
              <w:spacing w:after="0"/>
              <w:rPr>
                <w:sz w:val="20"/>
                <w:szCs w:val="20"/>
                <w:color w:val="auto"/>
              </w:rPr>
            </w:pPr>
            <w:r>
              <w:rPr>
                <w:rFonts w:ascii="Arial" w:cs="Arial" w:eastAsia="Arial" w:hAnsi="Arial"/>
                <w:sz w:val="12"/>
                <w:szCs w:val="12"/>
                <w:b w:val="1"/>
                <w:bCs w:val="1"/>
                <w:color w:val="FFFFFF"/>
              </w:rPr>
              <w:t>August 3, 2024</w:t>
            </w:r>
          </w:p>
        </w:tc>
        <w:tc>
          <w:tcPr>
            <w:tcW w:w="1720" w:type="dxa"/>
            <w:vAlign w:val="bottom"/>
            <w:shd w:val="clear" w:color="auto" w:fill="0A2299"/>
          </w:tcPr>
          <w:p>
            <w:pPr>
              <w:jc w:val="right"/>
              <w:ind w:right="120"/>
              <w:spacing w:after="0"/>
              <w:rPr>
                <w:sz w:val="20"/>
                <w:szCs w:val="20"/>
                <w:color w:val="auto"/>
              </w:rPr>
            </w:pPr>
            <w:r>
              <w:rPr>
                <w:rFonts w:ascii="Arial" w:cs="Arial" w:eastAsia="Arial" w:hAnsi="Arial"/>
                <w:sz w:val="12"/>
                <w:szCs w:val="12"/>
                <w:b w:val="1"/>
                <w:bCs w:val="1"/>
                <w:color w:val="FFFFFF"/>
              </w:rPr>
              <w:t xml:space="preserve">Percentage of Sales </w:t>
            </w:r>
            <w:r>
              <w:rPr>
                <w:rFonts w:ascii="Arial" w:cs="Arial" w:eastAsia="Arial" w:hAnsi="Arial"/>
                <w:sz w:val="15"/>
                <w:szCs w:val="15"/>
                <w:b w:val="1"/>
                <w:bCs w:val="1"/>
                <w:color w:val="FFFFFF"/>
                <w:vertAlign w:val="superscript"/>
              </w:rPr>
              <w:t>(1)</w:t>
            </w:r>
          </w:p>
        </w:tc>
      </w:tr>
      <w:tr>
        <w:trPr>
          <w:trHeight w:val="189"/>
        </w:trPr>
        <w:tc>
          <w:tcPr>
            <w:tcW w:w="4200" w:type="dxa"/>
            <w:vAlign w:val="bottom"/>
            <w:shd w:val="clear" w:color="auto" w:fill="DBDBDB"/>
          </w:tcPr>
          <w:p>
            <w:pPr>
              <w:ind w:left="20"/>
              <w:spacing w:after="0"/>
              <w:rPr>
                <w:sz w:val="20"/>
                <w:szCs w:val="20"/>
                <w:color w:val="auto"/>
              </w:rPr>
            </w:pPr>
            <w:r>
              <w:rPr>
                <w:rFonts w:ascii="Arial" w:cs="Arial" w:eastAsia="Arial" w:hAnsi="Arial"/>
                <w:sz w:val="12"/>
                <w:szCs w:val="12"/>
                <w:color w:val="auto"/>
              </w:rPr>
              <w:t>Net sales</w:t>
            </w:r>
          </w:p>
        </w:tc>
        <w:tc>
          <w:tcPr>
            <w:tcW w:w="260" w:type="dxa"/>
            <w:vAlign w:val="bottom"/>
            <w:shd w:val="clear" w:color="auto" w:fill="DBDBDB"/>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1,599,838</w:t>
            </w:r>
          </w:p>
        </w:tc>
        <w:tc>
          <w:tcPr>
            <w:tcW w:w="1940" w:type="dxa"/>
            <w:vAlign w:val="bottom"/>
            <w:shd w:val="clear" w:color="auto" w:fill="DBDBDB"/>
          </w:tcPr>
          <w:p>
            <w:pPr>
              <w:jc w:val="right"/>
              <w:ind w:right="120"/>
              <w:spacing w:after="0"/>
              <w:rPr>
                <w:sz w:val="20"/>
                <w:szCs w:val="20"/>
                <w:color w:val="auto"/>
              </w:rPr>
            </w:pPr>
            <w:r>
              <w:rPr>
                <w:rFonts w:ascii="Arial" w:cs="Arial" w:eastAsia="Arial" w:hAnsi="Arial"/>
                <w:sz w:val="12"/>
                <w:szCs w:val="12"/>
                <w:b w:val="1"/>
                <w:bCs w:val="1"/>
                <w:color w:val="auto"/>
              </w:rPr>
              <w:t>100.0 %</w:t>
            </w:r>
          </w:p>
        </w:tc>
        <w:tc>
          <w:tcPr>
            <w:tcW w:w="260" w:type="dxa"/>
            <w:vAlign w:val="bottom"/>
            <w:shd w:val="clear" w:color="auto" w:fill="DBDBDB"/>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1,548,980</w:t>
            </w:r>
          </w:p>
        </w:tc>
        <w:tc>
          <w:tcPr>
            <w:tcW w:w="1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100.0 %</w:t>
            </w:r>
          </w:p>
        </w:tc>
      </w:tr>
      <w:tr>
        <w:trPr>
          <w:trHeight w:val="175"/>
        </w:trPr>
        <w:tc>
          <w:tcPr>
            <w:tcW w:w="420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Cost of goods sold</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1,023,105</w:t>
            </w:r>
          </w:p>
        </w:tc>
        <w:tc>
          <w:tcPr>
            <w:tcW w:w="1940" w:type="dxa"/>
            <w:vAlign w:val="bottom"/>
            <w:tcBorders>
              <w:bottom w:val="single" w:sz="8" w:color="DBDBDB"/>
            </w:tcBorders>
          </w:tcPr>
          <w:p>
            <w:pPr>
              <w:jc w:val="right"/>
              <w:ind w:right="120"/>
              <w:spacing w:after="0"/>
              <w:rPr>
                <w:sz w:val="20"/>
                <w:szCs w:val="20"/>
                <w:color w:val="auto"/>
              </w:rPr>
            </w:pPr>
            <w:r>
              <w:rPr>
                <w:rFonts w:ascii="Arial" w:cs="Arial" w:eastAsia="Arial" w:hAnsi="Arial"/>
                <w:sz w:val="12"/>
                <w:szCs w:val="12"/>
                <w:b w:val="1"/>
                <w:bCs w:val="1"/>
                <w:color w:val="auto"/>
              </w:rPr>
              <w:t>64.0 %</w:t>
            </w: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990,255</w:t>
            </w:r>
          </w:p>
        </w:tc>
        <w:tc>
          <w:tcPr>
            <w:tcW w:w="1720" w:type="dxa"/>
            <w:vAlign w:val="bottom"/>
            <w:tcBorders>
              <w:bottom w:val="single" w:sz="8" w:color="DBDBDB"/>
            </w:tcBorders>
          </w:tcPr>
          <w:p>
            <w:pPr>
              <w:jc w:val="right"/>
              <w:spacing w:after="0"/>
              <w:rPr>
                <w:sz w:val="20"/>
                <w:szCs w:val="20"/>
                <w:color w:val="auto"/>
              </w:rPr>
            </w:pPr>
            <w:r>
              <w:rPr>
                <w:rFonts w:ascii="Arial" w:cs="Arial" w:eastAsia="Arial" w:hAnsi="Arial"/>
                <w:sz w:val="12"/>
                <w:szCs w:val="12"/>
                <w:color w:val="auto"/>
              </w:rPr>
              <w:t>63.9 %</w:t>
            </w:r>
          </w:p>
        </w:tc>
      </w:tr>
      <w:tr>
        <w:trPr>
          <w:trHeight w:val="174"/>
        </w:trPr>
        <w:tc>
          <w:tcPr>
            <w:tcW w:w="4200" w:type="dxa"/>
            <w:vAlign w:val="bottom"/>
            <w:shd w:val="clear" w:color="auto" w:fill="DBDBDB"/>
          </w:tcPr>
          <w:p>
            <w:pPr>
              <w:ind w:left="160"/>
              <w:spacing w:after="0"/>
              <w:rPr>
                <w:sz w:val="20"/>
                <w:szCs w:val="20"/>
                <w:color w:val="auto"/>
              </w:rPr>
            </w:pPr>
            <w:r>
              <w:rPr>
                <w:rFonts w:ascii="Arial" w:cs="Arial" w:eastAsia="Arial" w:hAnsi="Arial"/>
                <w:sz w:val="12"/>
                <w:szCs w:val="12"/>
                <w:color w:val="auto"/>
              </w:rPr>
              <w:t>Gross margin</w:t>
            </w: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576,733</w:t>
            </w:r>
          </w:p>
        </w:tc>
        <w:tc>
          <w:tcPr>
            <w:tcW w:w="1940" w:type="dxa"/>
            <w:vAlign w:val="bottom"/>
            <w:shd w:val="clear" w:color="auto" w:fill="DBDBDB"/>
          </w:tcPr>
          <w:p>
            <w:pPr>
              <w:jc w:val="right"/>
              <w:ind w:right="120"/>
              <w:spacing w:after="0"/>
              <w:rPr>
                <w:sz w:val="20"/>
                <w:szCs w:val="20"/>
                <w:color w:val="auto"/>
              </w:rPr>
            </w:pPr>
            <w:r>
              <w:rPr>
                <w:rFonts w:ascii="Arial" w:cs="Arial" w:eastAsia="Arial" w:hAnsi="Arial"/>
                <w:sz w:val="12"/>
                <w:szCs w:val="12"/>
                <w:b w:val="1"/>
                <w:bCs w:val="1"/>
                <w:color w:val="auto"/>
              </w:rPr>
              <w:t>36.0 %</w:t>
            </w:r>
          </w:p>
        </w:tc>
        <w:tc>
          <w:tcPr>
            <w:tcW w:w="260" w:type="dxa"/>
            <w:vAlign w:val="bottom"/>
            <w:shd w:val="clear" w:color="auto" w:fill="DBDBDB"/>
          </w:tcPr>
          <w:p>
            <w:pPr>
              <w:spacing w:after="0"/>
              <w:rPr>
                <w:sz w:val="15"/>
                <w:szCs w:val="15"/>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558,725</w:t>
            </w:r>
          </w:p>
        </w:tc>
        <w:tc>
          <w:tcPr>
            <w:tcW w:w="1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36.1 %</w:t>
            </w:r>
          </w:p>
        </w:tc>
      </w:tr>
      <w:tr>
        <w:trPr>
          <w:trHeight w:val="175"/>
        </w:trPr>
        <w:tc>
          <w:tcPr>
            <w:tcW w:w="420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Selling, general and administrative expenses</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404,352</w:t>
            </w:r>
          </w:p>
        </w:tc>
        <w:tc>
          <w:tcPr>
            <w:tcW w:w="1940" w:type="dxa"/>
            <w:vAlign w:val="bottom"/>
            <w:tcBorders>
              <w:bottom w:val="single" w:sz="8" w:color="DBDBDB"/>
            </w:tcBorders>
          </w:tcPr>
          <w:p>
            <w:pPr>
              <w:jc w:val="right"/>
              <w:ind w:right="120"/>
              <w:spacing w:after="0"/>
              <w:rPr>
                <w:sz w:val="20"/>
                <w:szCs w:val="20"/>
                <w:color w:val="auto"/>
              </w:rPr>
            </w:pPr>
            <w:r>
              <w:rPr>
                <w:rFonts w:ascii="Arial" w:cs="Arial" w:eastAsia="Arial" w:hAnsi="Arial"/>
                <w:sz w:val="12"/>
                <w:szCs w:val="12"/>
                <w:b w:val="1"/>
                <w:bCs w:val="1"/>
                <w:color w:val="auto"/>
              </w:rPr>
              <w:t>25.3 %</w:t>
            </w: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368,639</w:t>
            </w:r>
          </w:p>
        </w:tc>
        <w:tc>
          <w:tcPr>
            <w:tcW w:w="1720" w:type="dxa"/>
            <w:vAlign w:val="bottom"/>
            <w:tcBorders>
              <w:bottom w:val="single" w:sz="8" w:color="DBDBDB"/>
            </w:tcBorders>
          </w:tcPr>
          <w:p>
            <w:pPr>
              <w:jc w:val="right"/>
              <w:spacing w:after="0"/>
              <w:rPr>
                <w:sz w:val="20"/>
                <w:szCs w:val="20"/>
                <w:color w:val="auto"/>
              </w:rPr>
            </w:pPr>
            <w:r>
              <w:rPr>
                <w:rFonts w:ascii="Arial" w:cs="Arial" w:eastAsia="Arial" w:hAnsi="Arial"/>
                <w:sz w:val="12"/>
                <w:szCs w:val="12"/>
                <w:color w:val="auto"/>
              </w:rPr>
              <w:t>23.8 %</w:t>
            </w:r>
          </w:p>
        </w:tc>
      </w:tr>
      <w:tr>
        <w:trPr>
          <w:trHeight w:val="174"/>
        </w:trPr>
        <w:tc>
          <w:tcPr>
            <w:tcW w:w="4200" w:type="dxa"/>
            <w:vAlign w:val="bottom"/>
            <w:shd w:val="clear" w:color="auto" w:fill="DBDBDB"/>
          </w:tcPr>
          <w:p>
            <w:pPr>
              <w:ind w:left="160"/>
              <w:spacing w:after="0"/>
              <w:rPr>
                <w:sz w:val="20"/>
                <w:szCs w:val="20"/>
                <w:color w:val="auto"/>
              </w:rPr>
            </w:pPr>
            <w:r>
              <w:rPr>
                <w:rFonts w:ascii="Arial" w:cs="Arial" w:eastAsia="Arial" w:hAnsi="Arial"/>
                <w:sz w:val="12"/>
                <w:szCs w:val="12"/>
                <w:color w:val="auto"/>
              </w:rPr>
              <w:t>Operating income</w:t>
            </w: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172,381</w:t>
            </w:r>
          </w:p>
        </w:tc>
        <w:tc>
          <w:tcPr>
            <w:tcW w:w="1940" w:type="dxa"/>
            <w:vAlign w:val="bottom"/>
            <w:shd w:val="clear" w:color="auto" w:fill="DBDBDB"/>
          </w:tcPr>
          <w:p>
            <w:pPr>
              <w:jc w:val="right"/>
              <w:ind w:right="120"/>
              <w:spacing w:after="0"/>
              <w:rPr>
                <w:sz w:val="20"/>
                <w:szCs w:val="20"/>
                <w:color w:val="auto"/>
              </w:rPr>
            </w:pPr>
            <w:r>
              <w:rPr>
                <w:rFonts w:ascii="Arial" w:cs="Arial" w:eastAsia="Arial" w:hAnsi="Arial"/>
                <w:sz w:val="12"/>
                <w:szCs w:val="12"/>
                <w:b w:val="1"/>
                <w:bCs w:val="1"/>
                <w:color w:val="auto"/>
              </w:rPr>
              <w:t>10.8 %</w:t>
            </w:r>
          </w:p>
        </w:tc>
        <w:tc>
          <w:tcPr>
            <w:tcW w:w="260" w:type="dxa"/>
            <w:vAlign w:val="bottom"/>
            <w:shd w:val="clear" w:color="auto" w:fill="DBDBDB"/>
          </w:tcPr>
          <w:p>
            <w:pPr>
              <w:spacing w:after="0"/>
              <w:rPr>
                <w:sz w:val="15"/>
                <w:szCs w:val="15"/>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190,086</w:t>
            </w:r>
          </w:p>
        </w:tc>
        <w:tc>
          <w:tcPr>
            <w:tcW w:w="1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12.3 %</w:t>
            </w:r>
          </w:p>
        </w:tc>
      </w:tr>
      <w:tr>
        <w:trPr>
          <w:trHeight w:val="175"/>
        </w:trPr>
        <w:tc>
          <w:tcPr>
            <w:tcW w:w="4200" w:type="dxa"/>
            <w:vAlign w:val="bottom"/>
          </w:tcPr>
          <w:p>
            <w:pPr>
              <w:ind w:left="20"/>
              <w:spacing w:after="0"/>
              <w:rPr>
                <w:sz w:val="20"/>
                <w:szCs w:val="20"/>
                <w:color w:val="auto"/>
              </w:rPr>
            </w:pPr>
            <w:r>
              <w:rPr>
                <w:rFonts w:ascii="Arial" w:cs="Arial" w:eastAsia="Arial" w:hAnsi="Arial"/>
                <w:sz w:val="12"/>
                <w:szCs w:val="12"/>
                <w:color w:val="auto"/>
              </w:rPr>
              <w:t>Interest expense, net</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9,028</w:t>
            </w:r>
          </w:p>
        </w:tc>
        <w:tc>
          <w:tcPr>
            <w:tcW w:w="1940" w:type="dxa"/>
            <w:vAlign w:val="bottom"/>
          </w:tcPr>
          <w:p>
            <w:pPr>
              <w:jc w:val="right"/>
              <w:ind w:right="120"/>
              <w:spacing w:after="0"/>
              <w:rPr>
                <w:sz w:val="20"/>
                <w:szCs w:val="20"/>
                <w:color w:val="auto"/>
              </w:rPr>
            </w:pPr>
            <w:r>
              <w:rPr>
                <w:rFonts w:ascii="Arial" w:cs="Arial" w:eastAsia="Arial" w:hAnsi="Arial"/>
                <w:sz w:val="12"/>
                <w:szCs w:val="12"/>
                <w:b w:val="1"/>
                <w:bCs w:val="1"/>
                <w:color w:val="auto"/>
              </w:rPr>
              <w:t>0.6 %</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9,071</w:t>
            </w:r>
          </w:p>
        </w:tc>
        <w:tc>
          <w:tcPr>
            <w:tcW w:w="1720" w:type="dxa"/>
            <w:vAlign w:val="bottom"/>
          </w:tcPr>
          <w:p>
            <w:pPr>
              <w:jc w:val="right"/>
              <w:spacing w:after="0"/>
              <w:rPr>
                <w:sz w:val="20"/>
                <w:szCs w:val="20"/>
                <w:color w:val="auto"/>
              </w:rPr>
            </w:pPr>
            <w:r>
              <w:rPr>
                <w:rFonts w:ascii="Arial" w:cs="Arial" w:eastAsia="Arial" w:hAnsi="Arial"/>
                <w:sz w:val="12"/>
                <w:szCs w:val="12"/>
                <w:color w:val="auto"/>
              </w:rPr>
              <w:t>0.6 %</w:t>
            </w:r>
          </w:p>
        </w:tc>
      </w:tr>
      <w:tr>
        <w:trPr>
          <w:trHeight w:val="185"/>
        </w:trPr>
        <w:tc>
          <w:tcPr>
            <w:tcW w:w="4200" w:type="dxa"/>
            <w:vAlign w:val="bottom"/>
            <w:shd w:val="clear" w:color="auto" w:fill="DBDBDB"/>
          </w:tcPr>
          <w:p>
            <w:pPr>
              <w:ind w:left="20"/>
              <w:spacing w:after="0"/>
              <w:rPr>
                <w:sz w:val="20"/>
                <w:szCs w:val="20"/>
                <w:color w:val="auto"/>
              </w:rPr>
            </w:pPr>
            <w:r>
              <w:rPr>
                <w:rFonts w:ascii="Arial" w:cs="Arial" w:eastAsia="Arial" w:hAnsi="Arial"/>
                <w:sz w:val="12"/>
                <w:szCs w:val="12"/>
                <w:color w:val="auto"/>
              </w:rPr>
              <w:t>Other income, net</w:t>
            </w:r>
          </w:p>
        </w:tc>
        <w:tc>
          <w:tcPr>
            <w:tcW w:w="260" w:type="dxa"/>
            <w:vAlign w:val="bottom"/>
            <w:tcBorders>
              <w:bottom w:val="single" w:sz="8" w:color="auto"/>
            </w:tcBorders>
            <w:shd w:val="clear" w:color="auto" w:fill="DBDBDB"/>
          </w:tcPr>
          <w:p>
            <w:pPr>
              <w:spacing w:after="0"/>
              <w:rPr>
                <w:sz w:val="16"/>
                <w:szCs w:val="16"/>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1,480</w:t>
            </w:r>
          </w:p>
        </w:tc>
        <w:tc>
          <w:tcPr>
            <w:tcW w:w="1940" w:type="dxa"/>
            <w:vAlign w:val="bottom"/>
            <w:shd w:val="clear" w:color="auto" w:fill="DBDBDB"/>
          </w:tcPr>
          <w:p>
            <w:pPr>
              <w:jc w:val="right"/>
              <w:ind w:right="120"/>
              <w:spacing w:after="0"/>
              <w:rPr>
                <w:sz w:val="20"/>
                <w:szCs w:val="20"/>
                <w:color w:val="auto"/>
              </w:rPr>
            </w:pPr>
            <w:r>
              <w:rPr>
                <w:rFonts w:ascii="Arial" w:cs="Arial" w:eastAsia="Arial" w:hAnsi="Arial"/>
                <w:sz w:val="12"/>
                <w:szCs w:val="12"/>
                <w:b w:val="1"/>
                <w:bCs w:val="1"/>
                <w:color w:val="auto"/>
              </w:rPr>
              <w:t>0.1 %</w:t>
            </w:r>
          </w:p>
        </w:tc>
        <w:tc>
          <w:tcPr>
            <w:tcW w:w="260" w:type="dxa"/>
            <w:vAlign w:val="bottom"/>
            <w:tcBorders>
              <w:bottom w:val="single" w:sz="8" w:color="auto"/>
            </w:tcBorders>
            <w:shd w:val="clear" w:color="auto" w:fill="DBDBDB"/>
          </w:tcPr>
          <w:p>
            <w:pPr>
              <w:spacing w:after="0"/>
              <w:rPr>
                <w:sz w:val="16"/>
                <w:szCs w:val="16"/>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5,531</w:t>
            </w:r>
          </w:p>
        </w:tc>
        <w:tc>
          <w:tcPr>
            <w:tcW w:w="1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0.4 %</w:t>
            </w:r>
          </w:p>
        </w:tc>
      </w:tr>
      <w:tr>
        <w:trPr>
          <w:trHeight w:val="164"/>
        </w:trPr>
        <w:tc>
          <w:tcPr>
            <w:tcW w:w="4200" w:type="dxa"/>
            <w:vAlign w:val="bottom"/>
          </w:tcPr>
          <w:p>
            <w:pPr>
              <w:ind w:left="160"/>
              <w:spacing w:after="0"/>
              <w:rPr>
                <w:sz w:val="20"/>
                <w:szCs w:val="20"/>
                <w:color w:val="auto"/>
              </w:rPr>
            </w:pPr>
            <w:r>
              <w:rPr>
                <w:rFonts w:ascii="Arial" w:cs="Arial" w:eastAsia="Arial" w:hAnsi="Arial"/>
                <w:sz w:val="12"/>
                <w:szCs w:val="12"/>
                <w:color w:val="auto"/>
              </w:rPr>
              <w:t>Income before income taxes</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164,833</w:t>
            </w:r>
          </w:p>
        </w:tc>
        <w:tc>
          <w:tcPr>
            <w:tcW w:w="1940" w:type="dxa"/>
            <w:vAlign w:val="bottom"/>
          </w:tcPr>
          <w:p>
            <w:pPr>
              <w:jc w:val="right"/>
              <w:ind w:right="120"/>
              <w:spacing w:after="0"/>
              <w:rPr>
                <w:sz w:val="20"/>
                <w:szCs w:val="20"/>
                <w:color w:val="auto"/>
              </w:rPr>
            </w:pPr>
            <w:r>
              <w:rPr>
                <w:rFonts w:ascii="Arial" w:cs="Arial" w:eastAsia="Arial" w:hAnsi="Arial"/>
                <w:sz w:val="12"/>
                <w:szCs w:val="12"/>
                <w:b w:val="1"/>
                <w:bCs w:val="1"/>
                <w:color w:val="auto"/>
              </w:rPr>
              <w:t>10.3 %</w:t>
            </w: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186,546</w:t>
            </w:r>
          </w:p>
        </w:tc>
        <w:tc>
          <w:tcPr>
            <w:tcW w:w="1720" w:type="dxa"/>
            <w:vAlign w:val="bottom"/>
          </w:tcPr>
          <w:p>
            <w:pPr>
              <w:jc w:val="right"/>
              <w:spacing w:after="0"/>
              <w:rPr>
                <w:sz w:val="20"/>
                <w:szCs w:val="20"/>
                <w:color w:val="auto"/>
              </w:rPr>
            </w:pPr>
            <w:r>
              <w:rPr>
                <w:rFonts w:ascii="Arial" w:cs="Arial" w:eastAsia="Arial" w:hAnsi="Arial"/>
                <w:sz w:val="12"/>
                <w:szCs w:val="12"/>
                <w:color w:val="auto"/>
              </w:rPr>
              <w:t>12.0 %</w:t>
            </w:r>
          </w:p>
        </w:tc>
      </w:tr>
      <w:tr>
        <w:trPr>
          <w:trHeight w:val="180"/>
        </w:trPr>
        <w:tc>
          <w:tcPr>
            <w:tcW w:w="4200" w:type="dxa"/>
            <w:vAlign w:val="bottom"/>
            <w:shd w:val="clear" w:color="auto" w:fill="DBDBDB"/>
          </w:tcPr>
          <w:p>
            <w:pPr>
              <w:ind w:left="20"/>
              <w:spacing w:after="0"/>
              <w:rPr>
                <w:sz w:val="20"/>
                <w:szCs w:val="20"/>
                <w:color w:val="auto"/>
              </w:rPr>
            </w:pPr>
            <w:r>
              <w:rPr>
                <w:rFonts w:ascii="Arial" w:cs="Arial" w:eastAsia="Arial" w:hAnsi="Arial"/>
                <w:sz w:val="12"/>
                <w:szCs w:val="12"/>
                <w:color w:val="auto"/>
              </w:rPr>
              <w:t>Income tax expense</w:t>
            </w:r>
          </w:p>
        </w:tc>
        <w:tc>
          <w:tcPr>
            <w:tcW w:w="260" w:type="dxa"/>
            <w:vAlign w:val="bottom"/>
            <w:tcBorders>
              <w:bottom w:val="single" w:sz="8" w:color="auto"/>
            </w:tcBorders>
            <w:shd w:val="clear" w:color="auto" w:fill="DBDBDB"/>
          </w:tcPr>
          <w:p>
            <w:pPr>
              <w:spacing w:after="0"/>
              <w:rPr>
                <w:sz w:val="15"/>
                <w:szCs w:val="15"/>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39,399</w:t>
            </w:r>
          </w:p>
        </w:tc>
        <w:tc>
          <w:tcPr>
            <w:tcW w:w="1940" w:type="dxa"/>
            <w:vAlign w:val="bottom"/>
            <w:shd w:val="clear" w:color="auto" w:fill="DBDBDB"/>
          </w:tcPr>
          <w:p>
            <w:pPr>
              <w:jc w:val="right"/>
              <w:ind w:right="120"/>
              <w:spacing w:after="0"/>
              <w:rPr>
                <w:sz w:val="20"/>
                <w:szCs w:val="20"/>
                <w:color w:val="auto"/>
              </w:rPr>
            </w:pPr>
            <w:r>
              <w:rPr>
                <w:rFonts w:ascii="Arial" w:cs="Arial" w:eastAsia="Arial" w:hAnsi="Arial"/>
                <w:sz w:val="12"/>
                <w:szCs w:val="12"/>
                <w:b w:val="1"/>
                <w:bCs w:val="1"/>
                <w:color w:val="auto"/>
              </w:rPr>
              <w:t>2.5 %</w:t>
            </w:r>
          </w:p>
        </w:tc>
        <w:tc>
          <w:tcPr>
            <w:tcW w:w="260" w:type="dxa"/>
            <w:vAlign w:val="bottom"/>
            <w:tcBorders>
              <w:bottom w:val="single" w:sz="8" w:color="auto"/>
            </w:tcBorders>
            <w:shd w:val="clear" w:color="auto" w:fill="DBDBDB"/>
          </w:tcPr>
          <w:p>
            <w:pPr>
              <w:spacing w:after="0"/>
              <w:rPr>
                <w:sz w:val="15"/>
                <w:szCs w:val="15"/>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43,958</w:t>
            </w:r>
          </w:p>
        </w:tc>
        <w:tc>
          <w:tcPr>
            <w:tcW w:w="1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2.8 %</w:t>
            </w:r>
          </w:p>
        </w:tc>
      </w:tr>
      <w:tr>
        <w:trPr>
          <w:trHeight w:val="190"/>
        </w:trPr>
        <w:tc>
          <w:tcPr>
            <w:tcW w:w="4200" w:type="dxa"/>
            <w:vAlign w:val="bottom"/>
            <w:tcBorders>
              <w:bottom w:val="single" w:sz="8" w:color="DBDBDB"/>
            </w:tcBorders>
          </w:tcPr>
          <w:p>
            <w:pPr>
              <w:ind w:left="160"/>
              <w:spacing w:after="0"/>
              <w:rPr>
                <w:sz w:val="20"/>
                <w:szCs w:val="20"/>
                <w:color w:val="auto"/>
              </w:rPr>
            </w:pPr>
            <w:r>
              <w:rPr>
                <w:rFonts w:ascii="Arial" w:cs="Arial" w:eastAsia="Arial" w:hAnsi="Arial"/>
                <w:sz w:val="12"/>
                <w:szCs w:val="12"/>
                <w:color w:val="auto"/>
              </w:rPr>
              <w:t>Net income</w:t>
            </w: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125,434</w:t>
            </w:r>
          </w:p>
        </w:tc>
        <w:tc>
          <w:tcPr>
            <w:tcW w:w="1940" w:type="dxa"/>
            <w:vAlign w:val="bottom"/>
            <w:tcBorders>
              <w:bottom w:val="single" w:sz="8" w:color="DBDBDB"/>
            </w:tcBorders>
          </w:tcPr>
          <w:p>
            <w:pPr>
              <w:jc w:val="right"/>
              <w:ind w:right="120"/>
              <w:spacing w:after="0"/>
              <w:rPr>
                <w:sz w:val="20"/>
                <w:szCs w:val="20"/>
                <w:color w:val="auto"/>
              </w:rPr>
            </w:pPr>
            <w:r>
              <w:rPr>
                <w:rFonts w:ascii="Arial" w:cs="Arial" w:eastAsia="Arial" w:hAnsi="Arial"/>
                <w:sz w:val="12"/>
                <w:szCs w:val="12"/>
                <w:b w:val="1"/>
                <w:bCs w:val="1"/>
                <w:color w:val="auto"/>
              </w:rPr>
              <w:t>7.8 %</w:t>
            </w: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142,588</w:t>
            </w:r>
          </w:p>
        </w:tc>
        <w:tc>
          <w:tcPr>
            <w:tcW w:w="1720" w:type="dxa"/>
            <w:vAlign w:val="bottom"/>
            <w:tcBorders>
              <w:bottom w:val="single" w:sz="8" w:color="DBDBDB"/>
            </w:tcBorders>
          </w:tcPr>
          <w:p>
            <w:pPr>
              <w:jc w:val="right"/>
              <w:spacing w:after="0"/>
              <w:rPr>
                <w:sz w:val="20"/>
                <w:szCs w:val="20"/>
                <w:color w:val="auto"/>
              </w:rPr>
            </w:pPr>
            <w:r>
              <w:rPr>
                <w:rFonts w:ascii="Arial" w:cs="Arial" w:eastAsia="Arial" w:hAnsi="Arial"/>
                <w:sz w:val="12"/>
                <w:szCs w:val="12"/>
                <w:color w:val="auto"/>
              </w:rPr>
              <w:t>9.2 %</w:t>
            </w:r>
          </w:p>
        </w:tc>
      </w:tr>
      <w:tr>
        <w:trPr>
          <w:trHeight w:val="153"/>
        </w:trPr>
        <w:tc>
          <w:tcPr>
            <w:tcW w:w="42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440" w:type="dxa"/>
            <w:vAlign w:val="bottom"/>
            <w:shd w:val="clear" w:color="auto" w:fill="DBDBDB"/>
          </w:tcPr>
          <w:p>
            <w:pPr>
              <w:spacing w:after="0"/>
              <w:rPr>
                <w:sz w:val="13"/>
                <w:szCs w:val="13"/>
                <w:color w:val="auto"/>
              </w:rPr>
            </w:pPr>
          </w:p>
        </w:tc>
        <w:tc>
          <w:tcPr>
            <w:tcW w:w="194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460" w:type="dxa"/>
            <w:vAlign w:val="bottom"/>
            <w:shd w:val="clear" w:color="auto" w:fill="DBDBDB"/>
          </w:tcPr>
          <w:p>
            <w:pPr>
              <w:spacing w:after="0"/>
              <w:rPr>
                <w:sz w:val="13"/>
                <w:szCs w:val="13"/>
                <w:color w:val="auto"/>
              </w:rPr>
            </w:pPr>
          </w:p>
        </w:tc>
        <w:tc>
          <w:tcPr>
            <w:tcW w:w="1720" w:type="dxa"/>
            <w:vAlign w:val="bottom"/>
            <w:shd w:val="clear" w:color="auto" w:fill="DBDBDB"/>
          </w:tcPr>
          <w:p>
            <w:pPr>
              <w:spacing w:after="0"/>
              <w:rPr>
                <w:sz w:val="13"/>
                <w:szCs w:val="13"/>
                <w:color w:val="auto"/>
              </w:rPr>
            </w:pPr>
          </w:p>
        </w:tc>
      </w:tr>
      <w:tr>
        <w:trPr>
          <w:trHeight w:val="172"/>
        </w:trPr>
        <w:tc>
          <w:tcPr>
            <w:tcW w:w="4200" w:type="dxa"/>
            <w:vAlign w:val="bottom"/>
          </w:tcPr>
          <w:p>
            <w:pPr>
              <w:ind w:left="20"/>
              <w:spacing w:after="0"/>
              <w:rPr>
                <w:sz w:val="20"/>
                <w:szCs w:val="20"/>
                <w:color w:val="auto"/>
              </w:rPr>
            </w:pPr>
            <w:r>
              <w:rPr>
                <w:rFonts w:ascii="Arial" w:cs="Arial" w:eastAsia="Arial" w:hAnsi="Arial"/>
                <w:sz w:val="12"/>
                <w:szCs w:val="12"/>
                <w:color w:val="auto"/>
              </w:rPr>
              <w:t>Earnings Per Common Share:</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88"/>
        </w:trPr>
        <w:tc>
          <w:tcPr>
            <w:tcW w:w="4200" w:type="dxa"/>
            <w:vAlign w:val="bottom"/>
            <w:shd w:val="clear" w:color="auto" w:fill="DBDBDB"/>
          </w:tcPr>
          <w:p>
            <w:pPr>
              <w:ind w:left="160"/>
              <w:spacing w:after="0"/>
              <w:rPr>
                <w:sz w:val="20"/>
                <w:szCs w:val="20"/>
                <w:color w:val="auto"/>
              </w:rPr>
            </w:pPr>
            <w:r>
              <w:rPr>
                <w:rFonts w:ascii="Arial" w:cs="Arial" w:eastAsia="Arial" w:hAnsi="Arial"/>
                <w:sz w:val="12"/>
                <w:szCs w:val="12"/>
                <w:color w:val="auto"/>
              </w:rPr>
              <w:t>Basic</w:t>
            </w:r>
          </w:p>
        </w:tc>
        <w:tc>
          <w:tcPr>
            <w:tcW w:w="260" w:type="dxa"/>
            <w:vAlign w:val="bottom"/>
            <w:shd w:val="clear" w:color="auto" w:fill="DBDBDB"/>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1.89</w:t>
            </w:r>
          </w:p>
        </w:tc>
        <w:tc>
          <w:tcPr>
            <w:tcW w:w="1940" w:type="dxa"/>
            <w:vAlign w:val="bottom"/>
            <w:shd w:val="clear" w:color="auto" w:fill="DBDBDB"/>
          </w:tcPr>
          <w:p>
            <w:pPr>
              <w:spacing w:after="0"/>
              <w:rPr>
                <w:sz w:val="16"/>
                <w:szCs w:val="16"/>
                <w:color w:val="auto"/>
              </w:rPr>
            </w:pPr>
          </w:p>
        </w:tc>
        <w:tc>
          <w:tcPr>
            <w:tcW w:w="260" w:type="dxa"/>
            <w:vAlign w:val="bottom"/>
            <w:shd w:val="clear" w:color="auto" w:fill="DBDBDB"/>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1.99</w:t>
            </w:r>
          </w:p>
        </w:tc>
        <w:tc>
          <w:tcPr>
            <w:tcW w:w="1720" w:type="dxa"/>
            <w:vAlign w:val="bottom"/>
            <w:shd w:val="clear" w:color="auto" w:fill="DBDBDB"/>
          </w:tcPr>
          <w:p>
            <w:pPr>
              <w:spacing w:after="0"/>
              <w:rPr>
                <w:sz w:val="16"/>
                <w:szCs w:val="16"/>
                <w:color w:val="auto"/>
              </w:rPr>
            </w:pPr>
          </w:p>
        </w:tc>
      </w:tr>
      <w:tr>
        <w:trPr>
          <w:trHeight w:val="175"/>
        </w:trPr>
        <w:tc>
          <w:tcPr>
            <w:tcW w:w="4200" w:type="dxa"/>
            <w:vAlign w:val="bottom"/>
          </w:tcPr>
          <w:p>
            <w:pPr>
              <w:ind w:left="160"/>
              <w:spacing w:after="0"/>
              <w:rPr>
                <w:sz w:val="20"/>
                <w:szCs w:val="20"/>
                <w:color w:val="auto"/>
              </w:rPr>
            </w:pPr>
            <w:r>
              <w:rPr>
                <w:rFonts w:ascii="Arial" w:cs="Arial" w:eastAsia="Arial" w:hAnsi="Arial"/>
                <w:sz w:val="12"/>
                <w:szCs w:val="12"/>
                <w:color w:val="auto"/>
              </w:rPr>
              <w:t>Diluted</w:t>
            </w:r>
          </w:p>
        </w:tc>
        <w:tc>
          <w:tcPr>
            <w:tcW w:w="260" w:type="dxa"/>
            <w:vAlign w:val="bottom"/>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1.85</w:t>
            </w:r>
          </w:p>
        </w:tc>
        <w:tc>
          <w:tcPr>
            <w:tcW w:w="194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tcPr>
          <w:p>
            <w:pPr>
              <w:jc w:val="right"/>
              <w:spacing w:after="0"/>
              <w:rPr>
                <w:sz w:val="20"/>
                <w:szCs w:val="20"/>
                <w:color w:val="auto"/>
              </w:rPr>
            </w:pPr>
            <w:r>
              <w:rPr>
                <w:rFonts w:ascii="Arial" w:cs="Arial" w:eastAsia="Arial" w:hAnsi="Arial"/>
                <w:sz w:val="12"/>
                <w:szCs w:val="12"/>
                <w:color w:val="auto"/>
              </w:rPr>
              <w:t>1.95</w:t>
            </w:r>
          </w:p>
        </w:tc>
        <w:tc>
          <w:tcPr>
            <w:tcW w:w="1720" w:type="dxa"/>
            <w:vAlign w:val="bottom"/>
          </w:tcPr>
          <w:p>
            <w:pPr>
              <w:spacing w:after="0"/>
              <w:rPr>
                <w:sz w:val="15"/>
                <w:szCs w:val="15"/>
                <w:color w:val="auto"/>
              </w:rPr>
            </w:pPr>
          </w:p>
        </w:tc>
      </w:tr>
      <w:tr>
        <w:trPr>
          <w:trHeight w:val="176"/>
        </w:trPr>
        <w:tc>
          <w:tcPr>
            <w:tcW w:w="42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94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1720" w:type="dxa"/>
            <w:vAlign w:val="bottom"/>
            <w:shd w:val="clear" w:color="auto" w:fill="DBDBDB"/>
          </w:tcPr>
          <w:p>
            <w:pPr>
              <w:spacing w:after="0"/>
              <w:rPr>
                <w:sz w:val="15"/>
                <w:szCs w:val="15"/>
                <w:color w:val="auto"/>
              </w:rPr>
            </w:pPr>
          </w:p>
        </w:tc>
      </w:tr>
      <w:tr>
        <w:trPr>
          <w:trHeight w:val="172"/>
        </w:trPr>
        <w:tc>
          <w:tcPr>
            <w:tcW w:w="4200" w:type="dxa"/>
            <w:vAlign w:val="bottom"/>
          </w:tcPr>
          <w:p>
            <w:pPr>
              <w:ind w:left="20"/>
              <w:spacing w:after="0"/>
              <w:rPr>
                <w:sz w:val="20"/>
                <w:szCs w:val="20"/>
                <w:color w:val="auto"/>
              </w:rPr>
            </w:pPr>
            <w:r>
              <w:rPr>
                <w:rFonts w:ascii="Arial" w:cs="Arial" w:eastAsia="Arial" w:hAnsi="Arial"/>
                <w:sz w:val="12"/>
                <w:szCs w:val="12"/>
                <w:color w:val="auto"/>
              </w:rPr>
              <w:t>Weighted Average Common Shares Outstanding:</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88"/>
        </w:trPr>
        <w:tc>
          <w:tcPr>
            <w:tcW w:w="4200" w:type="dxa"/>
            <w:vAlign w:val="bottom"/>
            <w:shd w:val="clear" w:color="auto" w:fill="DBDBDB"/>
          </w:tcPr>
          <w:p>
            <w:pPr>
              <w:ind w:left="160"/>
              <w:spacing w:after="0"/>
              <w:rPr>
                <w:sz w:val="20"/>
                <w:szCs w:val="20"/>
                <w:color w:val="auto"/>
              </w:rPr>
            </w:pPr>
            <w:r>
              <w:rPr>
                <w:rFonts w:ascii="Arial" w:cs="Arial" w:eastAsia="Arial" w:hAnsi="Arial"/>
                <w:sz w:val="12"/>
                <w:szCs w:val="12"/>
                <w:color w:val="auto"/>
              </w:rPr>
              <w:t>Basic</w:t>
            </w:r>
          </w:p>
        </w:tc>
        <w:tc>
          <w:tcPr>
            <w:tcW w:w="260" w:type="dxa"/>
            <w:vAlign w:val="bottom"/>
            <w:shd w:val="clear" w:color="auto" w:fill="DBDBDB"/>
          </w:tcPr>
          <w:p>
            <w:pPr>
              <w:spacing w:after="0"/>
              <w:rPr>
                <w:sz w:val="16"/>
                <w:szCs w:val="16"/>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66,539</w:t>
            </w:r>
          </w:p>
        </w:tc>
        <w:tc>
          <w:tcPr>
            <w:tcW w:w="194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71,829</w:t>
            </w:r>
          </w:p>
        </w:tc>
        <w:tc>
          <w:tcPr>
            <w:tcW w:w="1720" w:type="dxa"/>
            <w:vAlign w:val="bottom"/>
            <w:shd w:val="clear" w:color="auto" w:fill="DBDBDB"/>
          </w:tcPr>
          <w:p>
            <w:pPr>
              <w:spacing w:after="0"/>
              <w:rPr>
                <w:sz w:val="16"/>
                <w:szCs w:val="16"/>
                <w:color w:val="auto"/>
              </w:rPr>
            </w:pPr>
          </w:p>
        </w:tc>
      </w:tr>
      <w:tr>
        <w:trPr>
          <w:trHeight w:val="170"/>
        </w:trPr>
        <w:tc>
          <w:tcPr>
            <w:tcW w:w="4200" w:type="dxa"/>
            <w:vAlign w:val="bottom"/>
          </w:tcPr>
          <w:p>
            <w:pPr>
              <w:ind w:left="160"/>
              <w:spacing w:after="0"/>
              <w:rPr>
                <w:sz w:val="20"/>
                <w:szCs w:val="20"/>
                <w:color w:val="auto"/>
              </w:rPr>
            </w:pPr>
            <w:r>
              <w:rPr>
                <w:rFonts w:ascii="Arial" w:cs="Arial" w:eastAsia="Arial" w:hAnsi="Arial"/>
                <w:sz w:val="12"/>
                <w:szCs w:val="12"/>
                <w:color w:val="auto"/>
              </w:rPr>
              <w:t>Diluted</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67,689</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73,289</w:t>
            </w:r>
          </w:p>
        </w:tc>
        <w:tc>
          <w:tcPr>
            <w:tcW w:w="17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-2078990</wp:posOffset>
            </wp:positionV>
            <wp:extent cx="449770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97705" cy="5715"/>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-2199005</wp:posOffset>
            </wp:positionV>
            <wp:extent cx="449770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97705" cy="5715"/>
                    </a:xfrm>
                    <a:prstGeom prst="rect">
                      <a:avLst/>
                    </a:prstGeom>
                    <a:noFill/>
                  </pic:spPr>
                </pic:pic>
              </a:graphicData>
            </a:graphic>
          </wp:anchor>
        </w:drawing>
      </w:r>
    </w:p>
    <w:p>
      <w:pPr>
        <w:ind w:left="108" w:hanging="108"/>
        <w:spacing w:after="0"/>
        <w:tabs>
          <w:tab w:leader="none" w:pos="108" w:val="left"/>
        </w:tabs>
        <w:numPr>
          <w:ilvl w:val="0"/>
          <w:numId w:val="6"/>
        </w:numPr>
        <w:rPr>
          <w:rFonts w:ascii="Arial" w:cs="Arial" w:eastAsia="Arial" w:hAnsi="Arial"/>
          <w:sz w:val="13"/>
          <w:szCs w:val="13"/>
          <w:color w:val="auto"/>
          <w:vertAlign w:val="superscript"/>
        </w:rPr>
      </w:pPr>
      <w:r>
        <w:rPr>
          <w:rFonts w:ascii="Arial" w:cs="Arial" w:eastAsia="Arial" w:hAnsi="Arial"/>
          <w:sz w:val="8"/>
          <w:szCs w:val="8"/>
          <w:color w:val="auto"/>
        </w:rPr>
        <w:t>Column may not add due to rounding</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1308"/>
          </w:cols>
          <w:pgMar w:left="292" w:top="712" w:right="299" w:bottom="1440" w:gutter="0" w:footer="0" w:header="0"/>
        </w:sectPr>
      </w:pPr>
    </w:p>
    <w:bookmarkStart w:id="8" w:name="page9"/>
    <w:bookmarkEnd w:id="8"/>
    <w:p>
      <w:pPr>
        <w:jc w:val="center"/>
        <w:ind w:right="-7"/>
        <w:spacing w:after="0"/>
        <w:rPr>
          <w:sz w:val="20"/>
          <w:szCs w:val="20"/>
          <w:color w:val="auto"/>
        </w:rPr>
      </w:pPr>
      <w:r>
        <w:rPr>
          <w:rFonts w:ascii="Arial" w:cs="Arial" w:eastAsia="Arial" w:hAnsi="Arial"/>
          <w:sz w:val="12"/>
          <w:szCs w:val="12"/>
          <w:b w:val="1"/>
          <w:bCs w:val="1"/>
          <w:color w:val="auto"/>
        </w:rPr>
        <w:t>ACADEMY SPORTS AND OUTDOORS, INC.</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CONSOLIDATED STATEMENTS OF INCOME</w:t>
      </w:r>
    </w:p>
    <w:p>
      <w:pPr>
        <w:jc w:val="center"/>
        <w:ind w:right="-7"/>
        <w:spacing w:after="0" w:line="234" w:lineRule="auto"/>
        <w:rPr>
          <w:sz w:val="20"/>
          <w:szCs w:val="20"/>
          <w:color w:val="auto"/>
        </w:rPr>
      </w:pPr>
      <w:r>
        <w:rPr>
          <w:rFonts w:ascii="Arial" w:cs="Arial" w:eastAsia="Arial" w:hAnsi="Arial"/>
          <w:sz w:val="12"/>
          <w:szCs w:val="12"/>
          <w:b w:val="1"/>
          <w:bCs w:val="1"/>
          <w:color w:val="auto"/>
        </w:rPr>
        <w:t>(Unaudited)</w:t>
      </w:r>
    </w:p>
    <w:p>
      <w:pPr>
        <w:jc w:val="center"/>
        <w:ind w:right="-7"/>
        <w:spacing w:after="0"/>
        <w:rPr>
          <w:sz w:val="20"/>
          <w:szCs w:val="20"/>
          <w:color w:val="auto"/>
        </w:rPr>
      </w:pPr>
      <w:r>
        <w:rPr>
          <w:rFonts w:ascii="Arial" w:cs="Arial" w:eastAsia="Arial" w:hAnsi="Arial"/>
          <w:sz w:val="12"/>
          <w:szCs w:val="12"/>
          <w:b w:val="1"/>
          <w:bCs w:val="1"/>
          <w:color w:val="auto"/>
        </w:rPr>
        <w:t>(Amounts in thousands, except per share data)</w:t>
      </w:r>
    </w:p>
    <w:p>
      <w:pPr>
        <w:spacing w:after="0" w:line="187" w:lineRule="exact"/>
        <w:rPr>
          <w:sz w:val="20"/>
          <w:szCs w:val="20"/>
          <w:color w:val="auto"/>
        </w:rPr>
      </w:pPr>
    </w:p>
    <w:tbl>
      <w:tblPr>
        <w:tblLayout w:type="fixed"/>
        <w:tblInd w:w="28" w:type="dxa"/>
        <w:tblCellMar>
          <w:top w:w="0" w:type="dxa"/>
          <w:left w:w="0" w:type="dxa"/>
          <w:bottom w:w="0" w:type="dxa"/>
          <w:right w:w="0" w:type="dxa"/>
        </w:tblCellMar>
      </w:tblPr>
      <w:tr>
        <w:trPr>
          <w:trHeight w:val="198"/>
        </w:trPr>
        <w:tc>
          <w:tcPr>
            <w:tcW w:w="4180" w:type="dxa"/>
            <w:vAlign w:val="bottom"/>
          </w:tcPr>
          <w:p>
            <w:pPr>
              <w:spacing w:after="0"/>
              <w:rPr>
                <w:sz w:val="17"/>
                <w:szCs w:val="17"/>
                <w:color w:val="auto"/>
              </w:rPr>
            </w:pPr>
          </w:p>
        </w:tc>
        <w:tc>
          <w:tcPr>
            <w:tcW w:w="260" w:type="dxa"/>
            <w:vAlign w:val="bottom"/>
            <w:shd w:val="clear" w:color="auto" w:fill="1928A0"/>
          </w:tcPr>
          <w:p>
            <w:pPr>
              <w:spacing w:after="0"/>
              <w:rPr>
                <w:sz w:val="17"/>
                <w:szCs w:val="17"/>
                <w:color w:val="auto"/>
              </w:rPr>
            </w:pPr>
          </w:p>
        </w:tc>
        <w:tc>
          <w:tcPr>
            <w:tcW w:w="1440" w:type="dxa"/>
            <w:vAlign w:val="bottom"/>
            <w:shd w:val="clear" w:color="auto" w:fill="1928A0"/>
          </w:tcPr>
          <w:p>
            <w:pPr>
              <w:spacing w:after="0"/>
              <w:rPr>
                <w:sz w:val="17"/>
                <w:szCs w:val="17"/>
                <w:color w:val="auto"/>
              </w:rPr>
            </w:pPr>
          </w:p>
        </w:tc>
        <w:tc>
          <w:tcPr>
            <w:tcW w:w="3660" w:type="dxa"/>
            <w:vAlign w:val="bottom"/>
            <w:gridSpan w:val="3"/>
            <w:shd w:val="clear" w:color="auto" w:fill="1928A0"/>
          </w:tcPr>
          <w:p>
            <w:pPr>
              <w:jc w:val="right"/>
              <w:ind w:right="980"/>
              <w:spacing w:after="0"/>
              <w:rPr>
                <w:sz w:val="20"/>
                <w:szCs w:val="20"/>
                <w:color w:val="auto"/>
              </w:rPr>
            </w:pPr>
            <w:r>
              <w:rPr>
                <w:rFonts w:ascii="Arial" w:cs="Arial" w:eastAsia="Arial" w:hAnsi="Arial"/>
                <w:sz w:val="13"/>
                <w:szCs w:val="13"/>
                <w:b w:val="1"/>
                <w:bCs w:val="1"/>
                <w:color w:val="FFFFFF"/>
              </w:rPr>
              <w:t>Twenty-Six Weeks Ended</w:t>
            </w:r>
          </w:p>
        </w:tc>
        <w:tc>
          <w:tcPr>
            <w:tcW w:w="1700" w:type="dxa"/>
            <w:vAlign w:val="bottom"/>
            <w:shd w:val="clear" w:color="auto" w:fill="1928A0"/>
          </w:tcPr>
          <w:p>
            <w:pPr>
              <w:spacing w:after="0"/>
              <w:rPr>
                <w:sz w:val="17"/>
                <w:szCs w:val="17"/>
                <w:color w:val="auto"/>
              </w:rPr>
            </w:pPr>
          </w:p>
        </w:tc>
      </w:tr>
      <w:tr>
        <w:trPr>
          <w:trHeight w:val="189"/>
        </w:trPr>
        <w:tc>
          <w:tcPr>
            <w:tcW w:w="4180" w:type="dxa"/>
            <w:vAlign w:val="bottom"/>
          </w:tcPr>
          <w:p>
            <w:pPr>
              <w:spacing w:after="0"/>
              <w:rPr>
                <w:sz w:val="16"/>
                <w:szCs w:val="16"/>
                <w:color w:val="auto"/>
              </w:rPr>
            </w:pPr>
          </w:p>
        </w:tc>
        <w:tc>
          <w:tcPr>
            <w:tcW w:w="260" w:type="dxa"/>
            <w:vAlign w:val="bottom"/>
            <w:shd w:val="clear" w:color="auto" w:fill="0A2299"/>
          </w:tcPr>
          <w:p>
            <w:pPr>
              <w:spacing w:after="0"/>
              <w:rPr>
                <w:sz w:val="16"/>
                <w:szCs w:val="16"/>
                <w:color w:val="auto"/>
              </w:rPr>
            </w:pPr>
          </w:p>
        </w:tc>
        <w:tc>
          <w:tcPr>
            <w:tcW w:w="1440" w:type="dxa"/>
            <w:vAlign w:val="bottom"/>
            <w:shd w:val="clear" w:color="auto" w:fill="0A2299"/>
          </w:tcPr>
          <w:p>
            <w:pPr>
              <w:jc w:val="right"/>
              <w:ind w:right="360"/>
              <w:spacing w:after="0"/>
              <w:rPr>
                <w:sz w:val="20"/>
                <w:szCs w:val="20"/>
                <w:color w:val="auto"/>
              </w:rPr>
            </w:pPr>
            <w:r>
              <w:rPr>
                <w:rFonts w:ascii="Arial" w:cs="Arial" w:eastAsia="Arial" w:hAnsi="Arial"/>
                <w:sz w:val="12"/>
                <w:szCs w:val="12"/>
                <w:b w:val="1"/>
                <w:bCs w:val="1"/>
                <w:color w:val="FFFFFF"/>
              </w:rPr>
              <w:t>August 2, 2025</w:t>
            </w:r>
          </w:p>
        </w:tc>
        <w:tc>
          <w:tcPr>
            <w:tcW w:w="1920" w:type="dxa"/>
            <w:vAlign w:val="bottom"/>
            <w:shd w:val="clear" w:color="auto" w:fill="0A2299"/>
          </w:tcPr>
          <w:p>
            <w:pPr>
              <w:jc w:val="right"/>
              <w:ind w:right="320"/>
              <w:spacing w:after="0"/>
              <w:rPr>
                <w:sz w:val="20"/>
                <w:szCs w:val="20"/>
                <w:color w:val="auto"/>
              </w:rPr>
            </w:pPr>
            <w:r>
              <w:rPr>
                <w:rFonts w:ascii="Arial" w:cs="Arial" w:eastAsia="Arial" w:hAnsi="Arial"/>
                <w:sz w:val="12"/>
                <w:szCs w:val="12"/>
                <w:b w:val="1"/>
                <w:bCs w:val="1"/>
                <w:color w:val="FFFFFF"/>
              </w:rPr>
              <w:t xml:space="preserve">Percentage of Sales </w:t>
            </w:r>
            <w:r>
              <w:rPr>
                <w:rFonts w:ascii="Arial" w:cs="Arial" w:eastAsia="Arial" w:hAnsi="Arial"/>
                <w:sz w:val="15"/>
                <w:szCs w:val="15"/>
                <w:b w:val="1"/>
                <w:bCs w:val="1"/>
                <w:color w:val="FFFFFF"/>
                <w:vertAlign w:val="superscript"/>
              </w:rPr>
              <w:t>(1)</w:t>
            </w:r>
          </w:p>
        </w:tc>
        <w:tc>
          <w:tcPr>
            <w:tcW w:w="260" w:type="dxa"/>
            <w:vAlign w:val="bottom"/>
            <w:shd w:val="clear" w:color="auto" w:fill="0A2299"/>
          </w:tcPr>
          <w:p>
            <w:pPr>
              <w:spacing w:after="0"/>
              <w:rPr>
                <w:sz w:val="16"/>
                <w:szCs w:val="16"/>
                <w:color w:val="auto"/>
              </w:rPr>
            </w:pPr>
          </w:p>
        </w:tc>
        <w:tc>
          <w:tcPr>
            <w:tcW w:w="1480" w:type="dxa"/>
            <w:vAlign w:val="bottom"/>
            <w:shd w:val="clear" w:color="auto" w:fill="0A2299"/>
          </w:tcPr>
          <w:p>
            <w:pPr>
              <w:jc w:val="right"/>
              <w:ind w:right="400"/>
              <w:spacing w:after="0"/>
              <w:rPr>
                <w:sz w:val="20"/>
                <w:szCs w:val="20"/>
                <w:color w:val="auto"/>
              </w:rPr>
            </w:pPr>
            <w:r>
              <w:rPr>
                <w:rFonts w:ascii="Arial" w:cs="Arial" w:eastAsia="Arial" w:hAnsi="Arial"/>
                <w:sz w:val="12"/>
                <w:szCs w:val="12"/>
                <w:b w:val="1"/>
                <w:bCs w:val="1"/>
                <w:color w:val="FFFFFF"/>
              </w:rPr>
              <w:t>August 3, 2024</w:t>
            </w:r>
          </w:p>
        </w:tc>
        <w:tc>
          <w:tcPr>
            <w:tcW w:w="1700" w:type="dxa"/>
            <w:vAlign w:val="bottom"/>
            <w:shd w:val="clear" w:color="auto" w:fill="0A2299"/>
          </w:tcPr>
          <w:p>
            <w:pPr>
              <w:jc w:val="right"/>
              <w:ind w:right="120"/>
              <w:spacing w:after="0"/>
              <w:rPr>
                <w:sz w:val="20"/>
                <w:szCs w:val="20"/>
                <w:color w:val="auto"/>
              </w:rPr>
            </w:pPr>
            <w:r>
              <w:rPr>
                <w:rFonts w:ascii="Arial" w:cs="Arial" w:eastAsia="Arial" w:hAnsi="Arial"/>
                <w:sz w:val="12"/>
                <w:szCs w:val="12"/>
                <w:b w:val="1"/>
                <w:bCs w:val="1"/>
                <w:color w:val="FFFFFF"/>
              </w:rPr>
              <w:t xml:space="preserve">Percentage of Sales </w:t>
            </w:r>
            <w:r>
              <w:rPr>
                <w:rFonts w:ascii="Arial" w:cs="Arial" w:eastAsia="Arial" w:hAnsi="Arial"/>
                <w:sz w:val="15"/>
                <w:szCs w:val="15"/>
                <w:b w:val="1"/>
                <w:bCs w:val="1"/>
                <w:color w:val="FFFFFF"/>
                <w:vertAlign w:val="superscript"/>
              </w:rPr>
              <w:t>(1)</w:t>
            </w:r>
          </w:p>
        </w:tc>
      </w:tr>
      <w:tr>
        <w:trPr>
          <w:trHeight w:val="189"/>
        </w:trPr>
        <w:tc>
          <w:tcPr>
            <w:tcW w:w="4180" w:type="dxa"/>
            <w:vAlign w:val="bottom"/>
            <w:shd w:val="clear" w:color="auto" w:fill="DBDBDB"/>
          </w:tcPr>
          <w:p>
            <w:pPr>
              <w:ind w:left="20"/>
              <w:spacing w:after="0"/>
              <w:rPr>
                <w:sz w:val="20"/>
                <w:szCs w:val="20"/>
                <w:color w:val="auto"/>
              </w:rPr>
            </w:pPr>
            <w:r>
              <w:rPr>
                <w:rFonts w:ascii="Arial" w:cs="Arial" w:eastAsia="Arial" w:hAnsi="Arial"/>
                <w:sz w:val="12"/>
                <w:szCs w:val="12"/>
                <w:color w:val="auto"/>
              </w:rPr>
              <w:t>Net sales</w:t>
            </w:r>
          </w:p>
        </w:tc>
        <w:tc>
          <w:tcPr>
            <w:tcW w:w="260" w:type="dxa"/>
            <w:vAlign w:val="bottom"/>
            <w:shd w:val="clear" w:color="auto" w:fill="DBDBDB"/>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2,951,247</w:t>
            </w:r>
          </w:p>
        </w:tc>
        <w:tc>
          <w:tcPr>
            <w:tcW w:w="1920" w:type="dxa"/>
            <w:vAlign w:val="bottom"/>
            <w:shd w:val="clear" w:color="auto" w:fill="DBDBDB"/>
          </w:tcPr>
          <w:p>
            <w:pPr>
              <w:jc w:val="right"/>
              <w:ind w:right="160"/>
              <w:spacing w:after="0"/>
              <w:rPr>
                <w:sz w:val="20"/>
                <w:szCs w:val="20"/>
                <w:color w:val="auto"/>
              </w:rPr>
            </w:pPr>
            <w:r>
              <w:rPr>
                <w:rFonts w:ascii="Arial" w:cs="Arial" w:eastAsia="Arial" w:hAnsi="Arial"/>
                <w:sz w:val="12"/>
                <w:szCs w:val="12"/>
                <w:b w:val="1"/>
                <w:bCs w:val="1"/>
                <w:color w:val="auto"/>
              </w:rPr>
              <w:t>100.0 %</w:t>
            </w:r>
          </w:p>
        </w:tc>
        <w:tc>
          <w:tcPr>
            <w:tcW w:w="260" w:type="dxa"/>
            <w:vAlign w:val="bottom"/>
            <w:shd w:val="clear" w:color="auto" w:fill="DBDBDB"/>
          </w:tcPr>
          <w:p>
            <w:pPr>
              <w:jc w:val="right"/>
              <w:ind w:right="12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2,913,200</w:t>
            </w:r>
          </w:p>
        </w:tc>
        <w:tc>
          <w:tcPr>
            <w:tcW w:w="17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100.0 %</w:t>
            </w:r>
          </w:p>
        </w:tc>
      </w:tr>
      <w:tr>
        <w:trPr>
          <w:trHeight w:val="175"/>
        </w:trPr>
        <w:tc>
          <w:tcPr>
            <w:tcW w:w="418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Cost of goods sold</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1,915,645</w:t>
            </w:r>
          </w:p>
        </w:tc>
        <w:tc>
          <w:tcPr>
            <w:tcW w:w="1920" w:type="dxa"/>
            <w:vAlign w:val="bottom"/>
            <w:tcBorders>
              <w:bottom w:val="single" w:sz="8" w:color="DBDBDB"/>
            </w:tcBorders>
          </w:tcPr>
          <w:p>
            <w:pPr>
              <w:jc w:val="right"/>
              <w:ind w:right="160"/>
              <w:spacing w:after="0"/>
              <w:rPr>
                <w:sz w:val="20"/>
                <w:szCs w:val="20"/>
                <w:color w:val="auto"/>
              </w:rPr>
            </w:pPr>
            <w:r>
              <w:rPr>
                <w:rFonts w:ascii="Arial" w:cs="Arial" w:eastAsia="Arial" w:hAnsi="Arial"/>
                <w:sz w:val="12"/>
                <w:szCs w:val="12"/>
                <w:b w:val="1"/>
                <w:bCs w:val="1"/>
                <w:color w:val="auto"/>
              </w:rPr>
              <w:t>64.9 %</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1,898,681</w:t>
            </w:r>
          </w:p>
        </w:tc>
        <w:tc>
          <w:tcPr>
            <w:tcW w:w="1700" w:type="dxa"/>
            <w:vAlign w:val="bottom"/>
            <w:tcBorders>
              <w:bottom w:val="single" w:sz="8" w:color="DBDBDB"/>
            </w:tcBorders>
          </w:tcPr>
          <w:p>
            <w:pPr>
              <w:jc w:val="right"/>
              <w:spacing w:after="0"/>
              <w:rPr>
                <w:sz w:val="20"/>
                <w:szCs w:val="20"/>
                <w:color w:val="auto"/>
              </w:rPr>
            </w:pPr>
            <w:r>
              <w:rPr>
                <w:rFonts w:ascii="Arial" w:cs="Arial" w:eastAsia="Arial" w:hAnsi="Arial"/>
                <w:sz w:val="12"/>
                <w:szCs w:val="12"/>
                <w:color w:val="auto"/>
              </w:rPr>
              <w:t>65.2 %</w:t>
            </w:r>
          </w:p>
        </w:tc>
      </w:tr>
      <w:tr>
        <w:trPr>
          <w:trHeight w:val="174"/>
        </w:trPr>
        <w:tc>
          <w:tcPr>
            <w:tcW w:w="4180" w:type="dxa"/>
            <w:vAlign w:val="bottom"/>
            <w:shd w:val="clear" w:color="auto" w:fill="DBDBDB"/>
          </w:tcPr>
          <w:p>
            <w:pPr>
              <w:ind w:left="160"/>
              <w:spacing w:after="0"/>
              <w:rPr>
                <w:sz w:val="20"/>
                <w:szCs w:val="20"/>
                <w:color w:val="auto"/>
              </w:rPr>
            </w:pPr>
            <w:r>
              <w:rPr>
                <w:rFonts w:ascii="Arial" w:cs="Arial" w:eastAsia="Arial" w:hAnsi="Arial"/>
                <w:sz w:val="12"/>
                <w:szCs w:val="12"/>
                <w:color w:val="auto"/>
              </w:rPr>
              <w:t>Gross margin</w:t>
            </w: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1,035,602</w:t>
            </w:r>
          </w:p>
        </w:tc>
        <w:tc>
          <w:tcPr>
            <w:tcW w:w="1920" w:type="dxa"/>
            <w:vAlign w:val="bottom"/>
            <w:shd w:val="clear" w:color="auto" w:fill="DBDBDB"/>
          </w:tcPr>
          <w:p>
            <w:pPr>
              <w:jc w:val="right"/>
              <w:ind w:right="160"/>
              <w:spacing w:after="0"/>
              <w:rPr>
                <w:sz w:val="20"/>
                <w:szCs w:val="20"/>
                <w:color w:val="auto"/>
              </w:rPr>
            </w:pPr>
            <w:r>
              <w:rPr>
                <w:rFonts w:ascii="Arial" w:cs="Arial" w:eastAsia="Arial" w:hAnsi="Arial"/>
                <w:sz w:val="12"/>
                <w:szCs w:val="12"/>
                <w:b w:val="1"/>
                <w:bCs w:val="1"/>
                <w:color w:val="auto"/>
              </w:rPr>
              <w:t>35.1 %</w:t>
            </w:r>
          </w:p>
        </w:tc>
        <w:tc>
          <w:tcPr>
            <w:tcW w:w="260" w:type="dxa"/>
            <w:vAlign w:val="bottom"/>
            <w:shd w:val="clear" w:color="auto" w:fill="DBDBDB"/>
          </w:tcPr>
          <w:p>
            <w:pPr>
              <w:spacing w:after="0"/>
              <w:rPr>
                <w:sz w:val="15"/>
                <w:szCs w:val="15"/>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1,014,519</w:t>
            </w:r>
          </w:p>
        </w:tc>
        <w:tc>
          <w:tcPr>
            <w:tcW w:w="17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34.8 %</w:t>
            </w:r>
          </w:p>
        </w:tc>
      </w:tr>
      <w:tr>
        <w:trPr>
          <w:trHeight w:val="175"/>
        </w:trPr>
        <w:tc>
          <w:tcPr>
            <w:tcW w:w="418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Selling, general and administrative expenses</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793,956</w:t>
            </w:r>
          </w:p>
        </w:tc>
        <w:tc>
          <w:tcPr>
            <w:tcW w:w="1920" w:type="dxa"/>
            <w:vAlign w:val="bottom"/>
            <w:tcBorders>
              <w:bottom w:val="single" w:sz="8" w:color="DBDBDB"/>
            </w:tcBorders>
          </w:tcPr>
          <w:p>
            <w:pPr>
              <w:jc w:val="right"/>
              <w:ind w:right="160"/>
              <w:spacing w:after="0"/>
              <w:rPr>
                <w:sz w:val="20"/>
                <w:szCs w:val="20"/>
                <w:color w:val="auto"/>
              </w:rPr>
            </w:pPr>
            <w:r>
              <w:rPr>
                <w:rFonts w:ascii="Arial" w:cs="Arial" w:eastAsia="Arial" w:hAnsi="Arial"/>
                <w:sz w:val="12"/>
                <w:szCs w:val="12"/>
                <w:b w:val="1"/>
                <w:bCs w:val="1"/>
                <w:color w:val="auto"/>
              </w:rPr>
              <w:t>26.9 %</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722,050</w:t>
            </w:r>
          </w:p>
        </w:tc>
        <w:tc>
          <w:tcPr>
            <w:tcW w:w="1700" w:type="dxa"/>
            <w:vAlign w:val="bottom"/>
            <w:tcBorders>
              <w:bottom w:val="single" w:sz="8" w:color="DBDBDB"/>
            </w:tcBorders>
          </w:tcPr>
          <w:p>
            <w:pPr>
              <w:jc w:val="right"/>
              <w:spacing w:after="0"/>
              <w:rPr>
                <w:sz w:val="20"/>
                <w:szCs w:val="20"/>
                <w:color w:val="auto"/>
              </w:rPr>
            </w:pPr>
            <w:r>
              <w:rPr>
                <w:rFonts w:ascii="Arial" w:cs="Arial" w:eastAsia="Arial" w:hAnsi="Arial"/>
                <w:sz w:val="12"/>
                <w:szCs w:val="12"/>
                <w:color w:val="auto"/>
              </w:rPr>
              <w:t>24.8 %</w:t>
            </w:r>
          </w:p>
        </w:tc>
      </w:tr>
      <w:tr>
        <w:trPr>
          <w:trHeight w:val="174"/>
        </w:trPr>
        <w:tc>
          <w:tcPr>
            <w:tcW w:w="4180" w:type="dxa"/>
            <w:vAlign w:val="bottom"/>
            <w:shd w:val="clear" w:color="auto" w:fill="DBDBDB"/>
          </w:tcPr>
          <w:p>
            <w:pPr>
              <w:ind w:left="160"/>
              <w:spacing w:after="0"/>
              <w:rPr>
                <w:sz w:val="20"/>
                <w:szCs w:val="20"/>
                <w:color w:val="auto"/>
              </w:rPr>
            </w:pPr>
            <w:r>
              <w:rPr>
                <w:rFonts w:ascii="Arial" w:cs="Arial" w:eastAsia="Arial" w:hAnsi="Arial"/>
                <w:sz w:val="12"/>
                <w:szCs w:val="12"/>
                <w:color w:val="auto"/>
              </w:rPr>
              <w:t>Operating income</w:t>
            </w: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241,646</w:t>
            </w:r>
          </w:p>
        </w:tc>
        <w:tc>
          <w:tcPr>
            <w:tcW w:w="1920" w:type="dxa"/>
            <w:vAlign w:val="bottom"/>
            <w:shd w:val="clear" w:color="auto" w:fill="DBDBDB"/>
          </w:tcPr>
          <w:p>
            <w:pPr>
              <w:jc w:val="right"/>
              <w:ind w:right="160"/>
              <w:spacing w:after="0"/>
              <w:rPr>
                <w:sz w:val="20"/>
                <w:szCs w:val="20"/>
                <w:color w:val="auto"/>
              </w:rPr>
            </w:pPr>
            <w:r>
              <w:rPr>
                <w:rFonts w:ascii="Arial" w:cs="Arial" w:eastAsia="Arial" w:hAnsi="Arial"/>
                <w:sz w:val="12"/>
                <w:szCs w:val="12"/>
                <w:b w:val="1"/>
                <w:bCs w:val="1"/>
                <w:color w:val="auto"/>
              </w:rPr>
              <w:t>8.2 %</w:t>
            </w:r>
          </w:p>
        </w:tc>
        <w:tc>
          <w:tcPr>
            <w:tcW w:w="260" w:type="dxa"/>
            <w:vAlign w:val="bottom"/>
            <w:shd w:val="clear" w:color="auto" w:fill="DBDBDB"/>
          </w:tcPr>
          <w:p>
            <w:pPr>
              <w:spacing w:after="0"/>
              <w:rPr>
                <w:sz w:val="15"/>
                <w:szCs w:val="15"/>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292,469</w:t>
            </w:r>
          </w:p>
        </w:tc>
        <w:tc>
          <w:tcPr>
            <w:tcW w:w="17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10.0 %</w:t>
            </w:r>
          </w:p>
        </w:tc>
      </w:tr>
      <w:tr>
        <w:trPr>
          <w:trHeight w:val="175"/>
        </w:trPr>
        <w:tc>
          <w:tcPr>
            <w:tcW w:w="4180" w:type="dxa"/>
            <w:vAlign w:val="bottom"/>
          </w:tcPr>
          <w:p>
            <w:pPr>
              <w:ind w:left="20"/>
              <w:spacing w:after="0"/>
              <w:rPr>
                <w:sz w:val="20"/>
                <w:szCs w:val="20"/>
                <w:color w:val="auto"/>
              </w:rPr>
            </w:pPr>
            <w:r>
              <w:rPr>
                <w:rFonts w:ascii="Arial" w:cs="Arial" w:eastAsia="Arial" w:hAnsi="Arial"/>
                <w:sz w:val="12"/>
                <w:szCs w:val="12"/>
                <w:color w:val="auto"/>
              </w:rPr>
              <w:t>Interest expense, net</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18,072</w:t>
            </w:r>
          </w:p>
        </w:tc>
        <w:tc>
          <w:tcPr>
            <w:tcW w:w="1920" w:type="dxa"/>
            <w:vAlign w:val="bottom"/>
          </w:tcPr>
          <w:p>
            <w:pPr>
              <w:jc w:val="right"/>
              <w:ind w:right="160"/>
              <w:spacing w:after="0"/>
              <w:rPr>
                <w:sz w:val="20"/>
                <w:szCs w:val="20"/>
                <w:color w:val="auto"/>
              </w:rPr>
            </w:pPr>
            <w:r>
              <w:rPr>
                <w:rFonts w:ascii="Arial" w:cs="Arial" w:eastAsia="Arial" w:hAnsi="Arial"/>
                <w:sz w:val="12"/>
                <w:szCs w:val="12"/>
                <w:b w:val="1"/>
                <w:bCs w:val="1"/>
                <w:color w:val="auto"/>
              </w:rPr>
              <w:t>0.6 %</w:t>
            </w:r>
          </w:p>
        </w:tc>
        <w:tc>
          <w:tcPr>
            <w:tcW w:w="2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18,557</w:t>
            </w:r>
          </w:p>
        </w:tc>
        <w:tc>
          <w:tcPr>
            <w:tcW w:w="1700" w:type="dxa"/>
            <w:vAlign w:val="bottom"/>
          </w:tcPr>
          <w:p>
            <w:pPr>
              <w:jc w:val="right"/>
              <w:spacing w:after="0"/>
              <w:rPr>
                <w:sz w:val="20"/>
                <w:szCs w:val="20"/>
                <w:color w:val="auto"/>
              </w:rPr>
            </w:pPr>
            <w:r>
              <w:rPr>
                <w:rFonts w:ascii="Arial" w:cs="Arial" w:eastAsia="Arial" w:hAnsi="Arial"/>
                <w:sz w:val="12"/>
                <w:szCs w:val="12"/>
                <w:color w:val="auto"/>
              </w:rPr>
              <w:t>0.6 %</w:t>
            </w:r>
          </w:p>
        </w:tc>
      </w:tr>
      <w:tr>
        <w:trPr>
          <w:trHeight w:val="185"/>
        </w:trPr>
        <w:tc>
          <w:tcPr>
            <w:tcW w:w="4180" w:type="dxa"/>
            <w:vAlign w:val="bottom"/>
            <w:shd w:val="clear" w:color="auto" w:fill="DBDBDB"/>
          </w:tcPr>
          <w:p>
            <w:pPr>
              <w:ind w:left="20"/>
              <w:spacing w:after="0"/>
              <w:rPr>
                <w:sz w:val="20"/>
                <w:szCs w:val="20"/>
                <w:color w:val="auto"/>
              </w:rPr>
            </w:pPr>
            <w:r>
              <w:rPr>
                <w:rFonts w:ascii="Arial" w:cs="Arial" w:eastAsia="Arial" w:hAnsi="Arial"/>
                <w:sz w:val="12"/>
                <w:szCs w:val="12"/>
                <w:color w:val="auto"/>
              </w:rPr>
              <w:t>Write off of deferred loan costs</w:t>
            </w:r>
          </w:p>
        </w:tc>
        <w:tc>
          <w:tcPr>
            <w:tcW w:w="260" w:type="dxa"/>
            <w:vAlign w:val="bottom"/>
            <w:shd w:val="clear" w:color="auto" w:fill="DBDBDB"/>
          </w:tcPr>
          <w:p>
            <w:pPr>
              <w:spacing w:after="0"/>
              <w:rPr>
                <w:sz w:val="16"/>
                <w:szCs w:val="16"/>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w:t>
            </w:r>
          </w:p>
        </w:tc>
        <w:tc>
          <w:tcPr>
            <w:tcW w:w="1920" w:type="dxa"/>
            <w:vAlign w:val="bottom"/>
            <w:shd w:val="clear" w:color="auto" w:fill="DBDBDB"/>
          </w:tcPr>
          <w:p>
            <w:pPr>
              <w:jc w:val="right"/>
              <w:ind w:right="160"/>
              <w:spacing w:after="0"/>
              <w:rPr>
                <w:sz w:val="20"/>
                <w:szCs w:val="20"/>
                <w:color w:val="auto"/>
              </w:rPr>
            </w:pPr>
            <w:r>
              <w:rPr>
                <w:rFonts w:ascii="Arial" w:cs="Arial" w:eastAsia="Arial" w:hAnsi="Arial"/>
                <w:sz w:val="12"/>
                <w:szCs w:val="12"/>
                <w:b w:val="1"/>
                <w:bCs w:val="1"/>
                <w:color w:val="auto"/>
              </w:rPr>
              <w:t>— %</w:t>
            </w:r>
          </w:p>
        </w:tc>
        <w:tc>
          <w:tcPr>
            <w:tcW w:w="260" w:type="dxa"/>
            <w:vAlign w:val="bottom"/>
            <w:shd w:val="clear" w:color="auto" w:fill="DBDBDB"/>
          </w:tcPr>
          <w:p>
            <w:pPr>
              <w:spacing w:after="0"/>
              <w:rPr>
                <w:sz w:val="16"/>
                <w:szCs w:val="16"/>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449</w:t>
            </w:r>
          </w:p>
        </w:tc>
        <w:tc>
          <w:tcPr>
            <w:tcW w:w="17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0.0 %</w:t>
            </w:r>
          </w:p>
        </w:tc>
      </w:tr>
      <w:tr>
        <w:trPr>
          <w:trHeight w:val="175"/>
        </w:trPr>
        <w:tc>
          <w:tcPr>
            <w:tcW w:w="418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Other income, net</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4,287</w:t>
            </w:r>
          </w:p>
        </w:tc>
        <w:tc>
          <w:tcPr>
            <w:tcW w:w="1920" w:type="dxa"/>
            <w:vAlign w:val="bottom"/>
            <w:tcBorders>
              <w:bottom w:val="single" w:sz="8" w:color="DBDBDB"/>
            </w:tcBorders>
          </w:tcPr>
          <w:p>
            <w:pPr>
              <w:jc w:val="right"/>
              <w:ind w:right="160"/>
              <w:spacing w:after="0"/>
              <w:rPr>
                <w:sz w:val="20"/>
                <w:szCs w:val="20"/>
                <w:color w:val="auto"/>
              </w:rPr>
            </w:pPr>
            <w:r>
              <w:rPr>
                <w:rFonts w:ascii="Arial" w:cs="Arial" w:eastAsia="Arial" w:hAnsi="Arial"/>
                <w:sz w:val="12"/>
                <w:szCs w:val="12"/>
                <w:b w:val="1"/>
                <w:bCs w:val="1"/>
                <w:color w:val="auto"/>
              </w:rPr>
              <w:t>0.1 %</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10,735</w:t>
            </w:r>
          </w:p>
        </w:tc>
        <w:tc>
          <w:tcPr>
            <w:tcW w:w="1700" w:type="dxa"/>
            <w:vAlign w:val="bottom"/>
            <w:tcBorders>
              <w:bottom w:val="single" w:sz="8" w:color="DBDBDB"/>
            </w:tcBorders>
          </w:tcPr>
          <w:p>
            <w:pPr>
              <w:jc w:val="right"/>
              <w:spacing w:after="0"/>
              <w:rPr>
                <w:sz w:val="20"/>
                <w:szCs w:val="20"/>
                <w:color w:val="auto"/>
              </w:rPr>
            </w:pPr>
            <w:r>
              <w:rPr>
                <w:rFonts w:ascii="Arial" w:cs="Arial" w:eastAsia="Arial" w:hAnsi="Arial"/>
                <w:sz w:val="12"/>
                <w:szCs w:val="12"/>
                <w:color w:val="auto"/>
              </w:rPr>
              <w:t>0.4 %</w:t>
            </w:r>
          </w:p>
        </w:tc>
      </w:tr>
      <w:tr>
        <w:trPr>
          <w:trHeight w:val="174"/>
        </w:trPr>
        <w:tc>
          <w:tcPr>
            <w:tcW w:w="4180" w:type="dxa"/>
            <w:vAlign w:val="bottom"/>
            <w:shd w:val="clear" w:color="auto" w:fill="DBDBDB"/>
          </w:tcPr>
          <w:p>
            <w:pPr>
              <w:ind w:left="160"/>
              <w:spacing w:after="0"/>
              <w:rPr>
                <w:sz w:val="20"/>
                <w:szCs w:val="20"/>
                <w:color w:val="auto"/>
              </w:rPr>
            </w:pPr>
            <w:r>
              <w:rPr>
                <w:rFonts w:ascii="Arial" w:cs="Arial" w:eastAsia="Arial" w:hAnsi="Arial"/>
                <w:sz w:val="12"/>
                <w:szCs w:val="12"/>
                <w:color w:val="auto"/>
              </w:rPr>
              <w:t>Income before income taxes</w:t>
            </w: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227,861</w:t>
            </w:r>
          </w:p>
        </w:tc>
        <w:tc>
          <w:tcPr>
            <w:tcW w:w="1920" w:type="dxa"/>
            <w:vAlign w:val="bottom"/>
            <w:shd w:val="clear" w:color="auto" w:fill="DBDBDB"/>
          </w:tcPr>
          <w:p>
            <w:pPr>
              <w:jc w:val="right"/>
              <w:ind w:right="160"/>
              <w:spacing w:after="0"/>
              <w:rPr>
                <w:sz w:val="20"/>
                <w:szCs w:val="20"/>
                <w:color w:val="auto"/>
              </w:rPr>
            </w:pPr>
            <w:r>
              <w:rPr>
                <w:rFonts w:ascii="Arial" w:cs="Arial" w:eastAsia="Arial" w:hAnsi="Arial"/>
                <w:sz w:val="12"/>
                <w:szCs w:val="12"/>
                <w:b w:val="1"/>
                <w:bCs w:val="1"/>
                <w:color w:val="auto"/>
              </w:rPr>
              <w:t>7.7 %</w:t>
            </w:r>
          </w:p>
        </w:tc>
        <w:tc>
          <w:tcPr>
            <w:tcW w:w="260" w:type="dxa"/>
            <w:vAlign w:val="bottom"/>
            <w:shd w:val="clear" w:color="auto" w:fill="DBDBDB"/>
          </w:tcPr>
          <w:p>
            <w:pPr>
              <w:spacing w:after="0"/>
              <w:rPr>
                <w:sz w:val="15"/>
                <w:szCs w:val="15"/>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284,198</w:t>
            </w:r>
          </w:p>
        </w:tc>
        <w:tc>
          <w:tcPr>
            <w:tcW w:w="17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9.8 %</w:t>
            </w:r>
          </w:p>
        </w:tc>
      </w:tr>
      <w:tr>
        <w:trPr>
          <w:trHeight w:val="175"/>
        </w:trPr>
        <w:tc>
          <w:tcPr>
            <w:tcW w:w="4180" w:type="dxa"/>
            <w:vAlign w:val="bottom"/>
            <w:tcBorders>
              <w:bottom w:val="single" w:sz="8" w:color="DBDBDB"/>
            </w:tcBorders>
          </w:tcPr>
          <w:p>
            <w:pPr>
              <w:ind w:left="20"/>
              <w:spacing w:after="0"/>
              <w:rPr>
                <w:sz w:val="20"/>
                <w:szCs w:val="20"/>
                <w:color w:val="auto"/>
              </w:rPr>
            </w:pPr>
            <w:r>
              <w:rPr>
                <w:rFonts w:ascii="Arial" w:cs="Arial" w:eastAsia="Arial" w:hAnsi="Arial"/>
                <w:sz w:val="12"/>
                <w:szCs w:val="12"/>
                <w:color w:val="auto"/>
              </w:rPr>
              <w:t>Income tax expense</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56,343</w:t>
            </w:r>
          </w:p>
        </w:tc>
        <w:tc>
          <w:tcPr>
            <w:tcW w:w="1920" w:type="dxa"/>
            <w:vAlign w:val="bottom"/>
            <w:tcBorders>
              <w:bottom w:val="single" w:sz="8" w:color="DBDBDB"/>
            </w:tcBorders>
          </w:tcPr>
          <w:p>
            <w:pPr>
              <w:jc w:val="right"/>
              <w:ind w:right="160"/>
              <w:spacing w:after="0"/>
              <w:rPr>
                <w:sz w:val="20"/>
                <w:szCs w:val="20"/>
                <w:color w:val="auto"/>
              </w:rPr>
            </w:pPr>
            <w:r>
              <w:rPr>
                <w:rFonts w:ascii="Arial" w:cs="Arial" w:eastAsia="Arial" w:hAnsi="Arial"/>
                <w:sz w:val="12"/>
                <w:szCs w:val="12"/>
                <w:b w:val="1"/>
                <w:bCs w:val="1"/>
                <w:color w:val="auto"/>
              </w:rPr>
              <w:t>1.9 %</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65,145</w:t>
            </w:r>
          </w:p>
        </w:tc>
        <w:tc>
          <w:tcPr>
            <w:tcW w:w="1700" w:type="dxa"/>
            <w:vAlign w:val="bottom"/>
            <w:tcBorders>
              <w:bottom w:val="single" w:sz="8" w:color="DBDBDB"/>
            </w:tcBorders>
          </w:tcPr>
          <w:p>
            <w:pPr>
              <w:jc w:val="right"/>
              <w:spacing w:after="0"/>
              <w:rPr>
                <w:sz w:val="20"/>
                <w:szCs w:val="20"/>
                <w:color w:val="auto"/>
              </w:rPr>
            </w:pPr>
            <w:r>
              <w:rPr>
                <w:rFonts w:ascii="Arial" w:cs="Arial" w:eastAsia="Arial" w:hAnsi="Arial"/>
                <w:sz w:val="12"/>
                <w:szCs w:val="12"/>
                <w:color w:val="auto"/>
              </w:rPr>
              <w:t>2.2 %</w:t>
            </w:r>
          </w:p>
        </w:tc>
      </w:tr>
      <w:tr>
        <w:trPr>
          <w:trHeight w:val="190"/>
        </w:trPr>
        <w:tc>
          <w:tcPr>
            <w:tcW w:w="4180" w:type="dxa"/>
            <w:vAlign w:val="bottom"/>
            <w:tcBorders>
              <w:bottom w:val="single" w:sz="8" w:color="DBDBDB"/>
            </w:tcBorders>
            <w:shd w:val="clear" w:color="auto" w:fill="DBDBDB"/>
          </w:tcPr>
          <w:p>
            <w:pPr>
              <w:ind w:left="160"/>
              <w:spacing w:after="0"/>
              <w:rPr>
                <w:sz w:val="20"/>
                <w:szCs w:val="20"/>
                <w:color w:val="auto"/>
              </w:rPr>
            </w:pPr>
            <w:r>
              <w:rPr>
                <w:rFonts w:ascii="Arial" w:cs="Arial" w:eastAsia="Arial" w:hAnsi="Arial"/>
                <w:sz w:val="12"/>
                <w:szCs w:val="12"/>
                <w:color w:val="auto"/>
              </w:rPr>
              <w:t>Net income</w:t>
            </w:r>
          </w:p>
        </w:tc>
        <w:tc>
          <w:tcPr>
            <w:tcW w:w="260" w:type="dxa"/>
            <w:vAlign w:val="bottom"/>
            <w:tcBorders>
              <w:bottom w:val="single" w:sz="8" w:color="auto"/>
            </w:tcBorders>
            <w:shd w:val="clear" w:color="auto" w:fill="DBDBDB"/>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171,518</w:t>
            </w:r>
          </w:p>
        </w:tc>
        <w:tc>
          <w:tcPr>
            <w:tcW w:w="1920" w:type="dxa"/>
            <w:vAlign w:val="bottom"/>
            <w:tcBorders>
              <w:bottom w:val="single" w:sz="8" w:color="DBDBDB"/>
            </w:tcBorders>
            <w:shd w:val="clear" w:color="auto" w:fill="DBDBDB"/>
          </w:tcPr>
          <w:p>
            <w:pPr>
              <w:jc w:val="right"/>
              <w:ind w:right="160"/>
              <w:spacing w:after="0"/>
              <w:rPr>
                <w:sz w:val="20"/>
                <w:szCs w:val="20"/>
                <w:color w:val="auto"/>
              </w:rPr>
            </w:pPr>
            <w:r>
              <w:rPr>
                <w:rFonts w:ascii="Arial" w:cs="Arial" w:eastAsia="Arial" w:hAnsi="Arial"/>
                <w:sz w:val="12"/>
                <w:szCs w:val="12"/>
                <w:b w:val="1"/>
                <w:bCs w:val="1"/>
                <w:color w:val="auto"/>
              </w:rPr>
              <w:t>5.8 %</w:t>
            </w:r>
          </w:p>
        </w:tc>
        <w:tc>
          <w:tcPr>
            <w:tcW w:w="260" w:type="dxa"/>
            <w:vAlign w:val="bottom"/>
            <w:tcBorders>
              <w:bottom w:val="single" w:sz="8" w:color="auto"/>
            </w:tcBorders>
            <w:shd w:val="clear" w:color="auto" w:fill="DBDBDB"/>
          </w:tcPr>
          <w:p>
            <w:pPr>
              <w:jc w:val="right"/>
              <w:ind w:right="12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219,053</w:t>
            </w:r>
          </w:p>
        </w:tc>
        <w:tc>
          <w:tcPr>
            <w:tcW w:w="1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7.5 %</w:t>
            </w:r>
          </w:p>
        </w:tc>
      </w:tr>
      <w:tr>
        <w:trPr>
          <w:trHeight w:val="153"/>
        </w:trPr>
        <w:tc>
          <w:tcPr>
            <w:tcW w:w="4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80"/>
        </w:trPr>
        <w:tc>
          <w:tcPr>
            <w:tcW w:w="4180" w:type="dxa"/>
            <w:vAlign w:val="bottom"/>
            <w:shd w:val="clear" w:color="auto" w:fill="DBDBDB"/>
          </w:tcPr>
          <w:p>
            <w:pPr>
              <w:ind w:left="20"/>
              <w:spacing w:after="0"/>
              <w:rPr>
                <w:sz w:val="20"/>
                <w:szCs w:val="20"/>
                <w:color w:val="auto"/>
              </w:rPr>
            </w:pPr>
            <w:r>
              <w:rPr>
                <w:rFonts w:ascii="Arial" w:cs="Arial" w:eastAsia="Arial" w:hAnsi="Arial"/>
                <w:sz w:val="12"/>
                <w:szCs w:val="12"/>
                <w:color w:val="auto"/>
              </w:rPr>
              <w:t>Earnings Per Common Share:</w:t>
            </w: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92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80" w:type="dxa"/>
            <w:vAlign w:val="bottom"/>
            <w:shd w:val="clear" w:color="auto" w:fill="DBDBDB"/>
          </w:tcPr>
          <w:p>
            <w:pPr>
              <w:spacing w:after="0"/>
              <w:rPr>
                <w:sz w:val="15"/>
                <w:szCs w:val="15"/>
                <w:color w:val="auto"/>
              </w:rPr>
            </w:pPr>
          </w:p>
        </w:tc>
        <w:tc>
          <w:tcPr>
            <w:tcW w:w="1700" w:type="dxa"/>
            <w:vAlign w:val="bottom"/>
            <w:shd w:val="clear" w:color="auto" w:fill="DBDBDB"/>
          </w:tcPr>
          <w:p>
            <w:pPr>
              <w:spacing w:after="0"/>
              <w:rPr>
                <w:sz w:val="15"/>
                <w:szCs w:val="15"/>
                <w:color w:val="auto"/>
              </w:rPr>
            </w:pPr>
          </w:p>
        </w:tc>
      </w:tr>
      <w:tr>
        <w:trPr>
          <w:trHeight w:val="175"/>
        </w:trPr>
        <w:tc>
          <w:tcPr>
            <w:tcW w:w="4180" w:type="dxa"/>
            <w:vAlign w:val="bottom"/>
          </w:tcPr>
          <w:p>
            <w:pPr>
              <w:ind w:left="160"/>
              <w:spacing w:after="0"/>
              <w:rPr>
                <w:sz w:val="20"/>
                <w:szCs w:val="20"/>
                <w:color w:val="auto"/>
              </w:rPr>
            </w:pPr>
            <w:r>
              <w:rPr>
                <w:rFonts w:ascii="Arial" w:cs="Arial" w:eastAsia="Arial" w:hAnsi="Arial"/>
                <w:sz w:val="12"/>
                <w:szCs w:val="12"/>
                <w:color w:val="auto"/>
              </w:rPr>
              <w:t>Basic</w:t>
            </w:r>
          </w:p>
        </w:tc>
        <w:tc>
          <w:tcPr>
            <w:tcW w:w="260" w:type="dxa"/>
            <w:vAlign w:val="bottom"/>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2.57</w:t>
            </w:r>
          </w:p>
        </w:tc>
        <w:tc>
          <w:tcPr>
            <w:tcW w:w="192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3.00</w:t>
            </w:r>
          </w:p>
        </w:tc>
        <w:tc>
          <w:tcPr>
            <w:tcW w:w="1700" w:type="dxa"/>
            <w:vAlign w:val="bottom"/>
          </w:tcPr>
          <w:p>
            <w:pPr>
              <w:spacing w:after="0"/>
              <w:rPr>
                <w:sz w:val="15"/>
                <w:szCs w:val="15"/>
                <w:color w:val="auto"/>
              </w:rPr>
            </w:pPr>
          </w:p>
        </w:tc>
      </w:tr>
      <w:tr>
        <w:trPr>
          <w:trHeight w:val="185"/>
        </w:trPr>
        <w:tc>
          <w:tcPr>
            <w:tcW w:w="4180" w:type="dxa"/>
            <w:vAlign w:val="bottom"/>
            <w:shd w:val="clear" w:color="auto" w:fill="DBDBDB"/>
          </w:tcPr>
          <w:p>
            <w:pPr>
              <w:ind w:left="160"/>
              <w:spacing w:after="0"/>
              <w:rPr>
                <w:sz w:val="20"/>
                <w:szCs w:val="20"/>
                <w:color w:val="auto"/>
              </w:rPr>
            </w:pPr>
            <w:r>
              <w:rPr>
                <w:rFonts w:ascii="Arial" w:cs="Arial" w:eastAsia="Arial" w:hAnsi="Arial"/>
                <w:sz w:val="12"/>
                <w:szCs w:val="12"/>
                <w:color w:val="auto"/>
              </w:rPr>
              <w:t>Diluted</w:t>
            </w:r>
          </w:p>
        </w:tc>
        <w:tc>
          <w:tcPr>
            <w:tcW w:w="260" w:type="dxa"/>
            <w:vAlign w:val="bottom"/>
            <w:shd w:val="clear" w:color="auto" w:fill="DBDBDB"/>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2.52</w:t>
            </w:r>
          </w:p>
        </w:tc>
        <w:tc>
          <w:tcPr>
            <w:tcW w:w="1920" w:type="dxa"/>
            <w:vAlign w:val="bottom"/>
            <w:shd w:val="clear" w:color="auto" w:fill="DBDBDB"/>
          </w:tcPr>
          <w:p>
            <w:pPr>
              <w:spacing w:after="0"/>
              <w:rPr>
                <w:sz w:val="16"/>
                <w:szCs w:val="16"/>
                <w:color w:val="auto"/>
              </w:rPr>
            </w:pPr>
          </w:p>
        </w:tc>
        <w:tc>
          <w:tcPr>
            <w:tcW w:w="260" w:type="dxa"/>
            <w:vAlign w:val="bottom"/>
            <w:shd w:val="clear" w:color="auto" w:fill="DBDBDB"/>
          </w:tcPr>
          <w:p>
            <w:pPr>
              <w:jc w:val="right"/>
              <w:ind w:right="12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2.93</w:t>
            </w:r>
          </w:p>
        </w:tc>
        <w:tc>
          <w:tcPr>
            <w:tcW w:w="1700" w:type="dxa"/>
            <w:vAlign w:val="bottom"/>
            <w:shd w:val="clear" w:color="auto" w:fill="DBDBDB"/>
          </w:tcPr>
          <w:p>
            <w:pPr>
              <w:spacing w:after="0"/>
              <w:rPr>
                <w:sz w:val="16"/>
                <w:szCs w:val="16"/>
                <w:color w:val="auto"/>
              </w:rPr>
            </w:pPr>
          </w:p>
        </w:tc>
      </w:tr>
      <w:tr>
        <w:trPr>
          <w:trHeight w:val="171"/>
        </w:trPr>
        <w:tc>
          <w:tcPr>
            <w:tcW w:w="4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80"/>
        </w:trPr>
        <w:tc>
          <w:tcPr>
            <w:tcW w:w="4180" w:type="dxa"/>
            <w:vAlign w:val="bottom"/>
            <w:shd w:val="clear" w:color="auto" w:fill="DBDBDB"/>
          </w:tcPr>
          <w:p>
            <w:pPr>
              <w:ind w:left="20"/>
              <w:spacing w:after="0"/>
              <w:rPr>
                <w:sz w:val="20"/>
                <w:szCs w:val="20"/>
                <w:color w:val="auto"/>
              </w:rPr>
            </w:pPr>
            <w:r>
              <w:rPr>
                <w:rFonts w:ascii="Arial" w:cs="Arial" w:eastAsia="Arial" w:hAnsi="Arial"/>
                <w:sz w:val="12"/>
                <w:szCs w:val="12"/>
                <w:color w:val="auto"/>
              </w:rPr>
              <w:t>Weighted Average Common Shares Outstanding:</w:t>
            </w:r>
          </w:p>
        </w:tc>
        <w:tc>
          <w:tcPr>
            <w:tcW w:w="26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92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480" w:type="dxa"/>
            <w:vAlign w:val="bottom"/>
            <w:shd w:val="clear" w:color="auto" w:fill="DBDBDB"/>
          </w:tcPr>
          <w:p>
            <w:pPr>
              <w:spacing w:after="0"/>
              <w:rPr>
                <w:sz w:val="15"/>
                <w:szCs w:val="15"/>
                <w:color w:val="auto"/>
              </w:rPr>
            </w:pPr>
          </w:p>
        </w:tc>
        <w:tc>
          <w:tcPr>
            <w:tcW w:w="1700" w:type="dxa"/>
            <w:vAlign w:val="bottom"/>
            <w:shd w:val="clear" w:color="auto" w:fill="DBDBDB"/>
          </w:tcPr>
          <w:p>
            <w:pPr>
              <w:spacing w:after="0"/>
              <w:rPr>
                <w:sz w:val="15"/>
                <w:szCs w:val="15"/>
                <w:color w:val="auto"/>
              </w:rPr>
            </w:pPr>
          </w:p>
        </w:tc>
      </w:tr>
      <w:tr>
        <w:trPr>
          <w:trHeight w:val="175"/>
        </w:trPr>
        <w:tc>
          <w:tcPr>
            <w:tcW w:w="4180" w:type="dxa"/>
            <w:vAlign w:val="bottom"/>
          </w:tcPr>
          <w:p>
            <w:pPr>
              <w:ind w:left="160"/>
              <w:spacing w:after="0"/>
              <w:rPr>
                <w:sz w:val="20"/>
                <w:szCs w:val="20"/>
                <w:color w:val="auto"/>
              </w:rPr>
            </w:pPr>
            <w:r>
              <w:rPr>
                <w:rFonts w:ascii="Arial" w:cs="Arial" w:eastAsia="Arial" w:hAnsi="Arial"/>
                <w:sz w:val="12"/>
                <w:szCs w:val="12"/>
                <w:color w:val="auto"/>
              </w:rPr>
              <w:t>Basic</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66,831</w:t>
            </w:r>
          </w:p>
        </w:tc>
        <w:tc>
          <w:tcPr>
            <w:tcW w:w="1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72,911</w:t>
            </w:r>
          </w:p>
        </w:tc>
        <w:tc>
          <w:tcPr>
            <w:tcW w:w="1700" w:type="dxa"/>
            <w:vAlign w:val="bottom"/>
          </w:tcPr>
          <w:p>
            <w:pPr>
              <w:spacing w:after="0"/>
              <w:rPr>
                <w:sz w:val="15"/>
                <w:szCs w:val="15"/>
                <w:color w:val="auto"/>
              </w:rPr>
            </w:pPr>
          </w:p>
        </w:tc>
      </w:tr>
      <w:tr>
        <w:trPr>
          <w:trHeight w:val="185"/>
        </w:trPr>
        <w:tc>
          <w:tcPr>
            <w:tcW w:w="4180" w:type="dxa"/>
            <w:vAlign w:val="bottom"/>
            <w:shd w:val="clear" w:color="auto" w:fill="DBDBDB"/>
          </w:tcPr>
          <w:p>
            <w:pPr>
              <w:ind w:left="160"/>
              <w:spacing w:after="0"/>
              <w:rPr>
                <w:sz w:val="20"/>
                <w:szCs w:val="20"/>
                <w:color w:val="auto"/>
              </w:rPr>
            </w:pPr>
            <w:r>
              <w:rPr>
                <w:rFonts w:ascii="Arial" w:cs="Arial" w:eastAsia="Arial" w:hAnsi="Arial"/>
                <w:sz w:val="12"/>
                <w:szCs w:val="12"/>
                <w:color w:val="auto"/>
              </w:rPr>
              <w:t>Diluted</w:t>
            </w:r>
          </w:p>
        </w:tc>
        <w:tc>
          <w:tcPr>
            <w:tcW w:w="260" w:type="dxa"/>
            <w:vAlign w:val="bottom"/>
            <w:shd w:val="clear" w:color="auto" w:fill="DBDBDB"/>
          </w:tcPr>
          <w:p>
            <w:pPr>
              <w:spacing w:after="0"/>
              <w:rPr>
                <w:sz w:val="16"/>
                <w:szCs w:val="16"/>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68,043</w:t>
            </w:r>
          </w:p>
        </w:tc>
        <w:tc>
          <w:tcPr>
            <w:tcW w:w="19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74,651</w:t>
            </w:r>
          </w:p>
        </w:tc>
        <w:tc>
          <w:tcPr>
            <w:tcW w:w="1700" w:type="dxa"/>
            <w:vAlign w:val="bottom"/>
            <w:shd w:val="clear" w:color="auto" w:fill="DBDBDB"/>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-2199640</wp:posOffset>
            </wp:positionV>
            <wp:extent cx="448627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86275" cy="5715"/>
                    </a:xfrm>
                    <a:prstGeom prst="rect">
                      <a:avLst/>
                    </a:prstGeom>
                    <a:noFill/>
                  </pic:spPr>
                </pic:pic>
              </a:graphicData>
            </a:graphic>
          </wp:anchor>
        </w:drawing>
        <w:drawing>
          <wp:anchor simplePos="0" relativeHeight="251657728" behindDoc="1" locked="0" layoutInCell="0" allowOverlap="1">
            <wp:simplePos x="0" y="0"/>
            <wp:positionH relativeFrom="column">
              <wp:posOffset>2674620</wp:posOffset>
            </wp:positionH>
            <wp:positionV relativeFrom="paragraph">
              <wp:posOffset>-2319655</wp:posOffset>
            </wp:positionV>
            <wp:extent cx="448627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86275" cy="5715"/>
                    </a:xfrm>
                    <a:prstGeom prst="rect">
                      <a:avLst/>
                    </a:prstGeom>
                    <a:noFill/>
                  </pic:spPr>
                </pic:pic>
              </a:graphicData>
            </a:graphic>
          </wp:anchor>
        </w:drawing>
      </w:r>
    </w:p>
    <w:p>
      <w:pPr>
        <w:ind w:left="108" w:hanging="108"/>
        <w:spacing w:after="0"/>
        <w:tabs>
          <w:tab w:leader="none" w:pos="108" w:val="left"/>
        </w:tabs>
        <w:numPr>
          <w:ilvl w:val="0"/>
          <w:numId w:val="7"/>
        </w:numPr>
        <w:rPr>
          <w:rFonts w:ascii="Arial" w:cs="Arial" w:eastAsia="Arial" w:hAnsi="Arial"/>
          <w:sz w:val="13"/>
          <w:szCs w:val="13"/>
          <w:color w:val="auto"/>
          <w:vertAlign w:val="superscript"/>
        </w:rPr>
      </w:pPr>
      <w:r>
        <w:rPr>
          <w:rFonts w:ascii="Arial" w:cs="Arial" w:eastAsia="Arial" w:hAnsi="Arial"/>
          <w:sz w:val="8"/>
          <w:szCs w:val="8"/>
          <w:color w:val="auto"/>
        </w:rPr>
        <w:t>Column may not add due to rounding</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11308"/>
          </w:cols>
          <w:pgMar w:left="292" w:top="550" w:right="29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2"/>
          <w:szCs w:val="12"/>
          <w:b w:val="1"/>
          <w:bCs w:val="1"/>
          <w:color w:val="auto"/>
        </w:rPr>
        <w:t>ACADEMY SPORTS AND OUTDOORS, INC.</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CONSOLIDATED BALANCE SHEETS</w:t>
      </w:r>
    </w:p>
    <w:p>
      <w:pPr>
        <w:jc w:val="center"/>
        <w:ind w:right="40"/>
        <w:spacing w:after="0" w:line="234" w:lineRule="auto"/>
        <w:rPr>
          <w:sz w:val="20"/>
          <w:szCs w:val="20"/>
          <w:color w:val="auto"/>
        </w:rPr>
      </w:pPr>
      <w:r>
        <w:rPr>
          <w:rFonts w:ascii="Arial" w:cs="Arial" w:eastAsia="Arial" w:hAnsi="Arial"/>
          <w:sz w:val="12"/>
          <w:szCs w:val="12"/>
          <w:b w:val="1"/>
          <w:bCs w:val="1"/>
          <w:color w:val="auto"/>
        </w:rPr>
        <w:t>(Unaudited)</w:t>
      </w:r>
    </w:p>
    <w:p>
      <w:pPr>
        <w:jc w:val="center"/>
        <w:ind w:right="40"/>
        <w:spacing w:after="0"/>
        <w:rPr>
          <w:sz w:val="20"/>
          <w:szCs w:val="20"/>
          <w:color w:val="auto"/>
        </w:rPr>
      </w:pPr>
      <w:r>
        <w:rPr>
          <w:rFonts w:ascii="Arial" w:cs="Arial" w:eastAsia="Arial" w:hAnsi="Arial"/>
          <w:sz w:val="12"/>
          <w:szCs w:val="12"/>
          <w:b w:val="1"/>
          <w:bCs w:val="1"/>
          <w:color w:val="auto"/>
        </w:rPr>
        <w:t>(Amounts in thousands,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660" w:type="dxa"/>
            <w:vAlign w:val="bottom"/>
          </w:tcPr>
          <w:p>
            <w:pPr>
              <w:spacing w:after="0"/>
              <w:rPr>
                <w:sz w:val="15"/>
                <w:szCs w:val="15"/>
                <w:color w:val="auto"/>
              </w:rPr>
            </w:pPr>
          </w:p>
        </w:tc>
        <w:tc>
          <w:tcPr>
            <w:tcW w:w="280" w:type="dxa"/>
            <w:vAlign w:val="bottom"/>
            <w:shd w:val="clear" w:color="auto" w:fill="0A2299"/>
          </w:tcPr>
          <w:p>
            <w:pPr>
              <w:spacing w:after="0"/>
              <w:rPr>
                <w:sz w:val="15"/>
                <w:szCs w:val="15"/>
                <w:color w:val="auto"/>
              </w:rPr>
            </w:pPr>
          </w:p>
        </w:tc>
        <w:tc>
          <w:tcPr>
            <w:tcW w:w="1600" w:type="dxa"/>
            <w:vAlign w:val="bottom"/>
            <w:gridSpan w:val="2"/>
            <w:shd w:val="clear" w:color="auto" w:fill="0A2299"/>
          </w:tcPr>
          <w:p>
            <w:pPr>
              <w:ind w:left="180"/>
              <w:spacing w:after="0"/>
              <w:rPr>
                <w:sz w:val="20"/>
                <w:szCs w:val="20"/>
                <w:color w:val="auto"/>
              </w:rPr>
            </w:pPr>
            <w:r>
              <w:rPr>
                <w:rFonts w:ascii="Arial" w:cs="Arial" w:eastAsia="Arial" w:hAnsi="Arial"/>
                <w:sz w:val="12"/>
                <w:szCs w:val="12"/>
                <w:b w:val="1"/>
                <w:bCs w:val="1"/>
                <w:color w:val="FFFFFF"/>
              </w:rPr>
              <w:t>August 2, 2025</w:t>
            </w:r>
          </w:p>
        </w:tc>
        <w:tc>
          <w:tcPr>
            <w:tcW w:w="240" w:type="dxa"/>
            <w:vAlign w:val="bottom"/>
            <w:shd w:val="clear" w:color="auto" w:fill="0A2299"/>
          </w:tcPr>
          <w:p>
            <w:pPr>
              <w:spacing w:after="0"/>
              <w:rPr>
                <w:sz w:val="15"/>
                <w:szCs w:val="15"/>
                <w:color w:val="auto"/>
              </w:rPr>
            </w:pPr>
          </w:p>
        </w:tc>
        <w:tc>
          <w:tcPr>
            <w:tcW w:w="1660" w:type="dxa"/>
            <w:vAlign w:val="bottom"/>
            <w:gridSpan w:val="2"/>
            <w:shd w:val="clear" w:color="auto" w:fill="0A2299"/>
          </w:tcPr>
          <w:p>
            <w:pPr>
              <w:ind w:left="180"/>
              <w:spacing w:after="0"/>
              <w:rPr>
                <w:sz w:val="20"/>
                <w:szCs w:val="20"/>
                <w:color w:val="auto"/>
              </w:rPr>
            </w:pPr>
            <w:r>
              <w:rPr>
                <w:rFonts w:ascii="Arial" w:cs="Arial" w:eastAsia="Arial" w:hAnsi="Arial"/>
                <w:sz w:val="12"/>
                <w:szCs w:val="12"/>
                <w:b w:val="1"/>
                <w:bCs w:val="1"/>
                <w:color w:val="FFFFFF"/>
              </w:rPr>
              <w:t>February 1, 2025</w:t>
            </w:r>
          </w:p>
        </w:tc>
        <w:tc>
          <w:tcPr>
            <w:tcW w:w="280" w:type="dxa"/>
            <w:vAlign w:val="bottom"/>
            <w:shd w:val="clear" w:color="auto" w:fill="0A2299"/>
          </w:tcPr>
          <w:p>
            <w:pPr>
              <w:spacing w:after="0"/>
              <w:rPr>
                <w:sz w:val="15"/>
                <w:szCs w:val="15"/>
                <w:color w:val="auto"/>
              </w:rPr>
            </w:pPr>
          </w:p>
        </w:tc>
        <w:tc>
          <w:tcPr>
            <w:tcW w:w="1520" w:type="dxa"/>
            <w:vAlign w:val="bottom"/>
            <w:shd w:val="clear" w:color="auto" w:fill="0A2299"/>
          </w:tcPr>
          <w:p>
            <w:pPr>
              <w:jc w:val="right"/>
              <w:ind w:right="420"/>
              <w:spacing w:after="0"/>
              <w:rPr>
                <w:sz w:val="20"/>
                <w:szCs w:val="20"/>
                <w:color w:val="auto"/>
              </w:rPr>
            </w:pPr>
            <w:r>
              <w:rPr>
                <w:rFonts w:ascii="Arial" w:cs="Arial" w:eastAsia="Arial" w:hAnsi="Arial"/>
                <w:sz w:val="12"/>
                <w:szCs w:val="12"/>
                <w:b w:val="1"/>
                <w:bCs w:val="1"/>
                <w:color w:val="FFFFFF"/>
              </w:rPr>
              <w:t>August 3, 2024</w:t>
            </w:r>
          </w:p>
        </w:tc>
      </w:tr>
      <w:tr>
        <w:trPr>
          <w:trHeight w:val="180"/>
        </w:trPr>
        <w:tc>
          <w:tcPr>
            <w:tcW w:w="5660" w:type="dxa"/>
            <w:vAlign w:val="bottom"/>
            <w:shd w:val="clear" w:color="auto" w:fill="DBDBDB"/>
          </w:tcPr>
          <w:p>
            <w:pPr>
              <w:ind w:left="2560"/>
              <w:spacing w:after="0"/>
              <w:rPr>
                <w:sz w:val="20"/>
                <w:szCs w:val="20"/>
                <w:color w:val="auto"/>
              </w:rPr>
            </w:pPr>
            <w:r>
              <w:rPr>
                <w:rFonts w:ascii="Arial" w:cs="Arial" w:eastAsia="Arial" w:hAnsi="Arial"/>
                <w:sz w:val="12"/>
                <w:szCs w:val="12"/>
                <w:b w:val="1"/>
                <w:bCs w:val="1"/>
                <w:color w:val="auto"/>
              </w:rPr>
              <w:t>ASSETS</w:t>
            </w:r>
          </w:p>
        </w:tc>
        <w:tc>
          <w:tcPr>
            <w:tcW w:w="280" w:type="dxa"/>
            <w:vAlign w:val="bottom"/>
            <w:shd w:val="clear" w:color="auto" w:fill="DBDBDB"/>
          </w:tcPr>
          <w:p>
            <w:pPr>
              <w:spacing w:after="0"/>
              <w:rPr>
                <w:sz w:val="15"/>
                <w:szCs w:val="15"/>
                <w:color w:val="auto"/>
              </w:rPr>
            </w:pPr>
          </w:p>
        </w:tc>
        <w:tc>
          <w:tcPr>
            <w:tcW w:w="14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5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520" w:type="dxa"/>
            <w:vAlign w:val="bottom"/>
            <w:shd w:val="clear" w:color="auto" w:fill="DBDBDB"/>
          </w:tcPr>
          <w:p>
            <w:pPr>
              <w:spacing w:after="0"/>
              <w:rPr>
                <w:sz w:val="15"/>
                <w:szCs w:val="15"/>
                <w:color w:val="auto"/>
              </w:rPr>
            </w:pPr>
          </w:p>
        </w:tc>
      </w:tr>
      <w:tr>
        <w:trPr>
          <w:trHeight w:val="175"/>
        </w:trPr>
        <w:tc>
          <w:tcPr>
            <w:tcW w:w="5660" w:type="dxa"/>
            <w:vAlign w:val="bottom"/>
          </w:tcPr>
          <w:p>
            <w:pPr>
              <w:ind w:left="20"/>
              <w:spacing w:after="0"/>
              <w:rPr>
                <w:sz w:val="20"/>
                <w:szCs w:val="20"/>
                <w:color w:val="auto"/>
              </w:rPr>
            </w:pPr>
            <w:r>
              <w:rPr>
                <w:rFonts w:ascii="Arial" w:cs="Arial" w:eastAsia="Arial" w:hAnsi="Arial"/>
                <w:sz w:val="12"/>
                <w:szCs w:val="12"/>
                <w:b w:val="1"/>
                <w:bCs w:val="1"/>
                <w:color w:val="auto"/>
              </w:rPr>
              <w:t>CURRENT ASSETS:</w:t>
            </w: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5"/>
        </w:trPr>
        <w:tc>
          <w:tcPr>
            <w:tcW w:w="5660" w:type="dxa"/>
            <w:vAlign w:val="bottom"/>
            <w:shd w:val="clear" w:color="auto" w:fill="DBDBDB"/>
          </w:tcPr>
          <w:p>
            <w:pPr>
              <w:ind w:left="160"/>
              <w:spacing w:after="0"/>
              <w:rPr>
                <w:sz w:val="20"/>
                <w:szCs w:val="20"/>
                <w:color w:val="auto"/>
              </w:rPr>
            </w:pPr>
            <w:r>
              <w:rPr>
                <w:rFonts w:ascii="Arial" w:cs="Arial" w:eastAsia="Arial" w:hAnsi="Arial"/>
                <w:sz w:val="12"/>
                <w:szCs w:val="12"/>
                <w:color w:val="auto"/>
              </w:rPr>
              <w:t>Cash and cash equivalents</w:t>
            </w:r>
          </w:p>
        </w:tc>
        <w:tc>
          <w:tcPr>
            <w:tcW w:w="280" w:type="dxa"/>
            <w:vAlign w:val="bottom"/>
            <w:shd w:val="clear" w:color="auto" w:fill="DBDBDB"/>
          </w:tcPr>
          <w:p>
            <w:pPr>
              <w:jc w:val="right"/>
              <w:ind w:right="140"/>
              <w:spacing w:after="0"/>
              <w:rPr>
                <w:sz w:val="20"/>
                <w:szCs w:val="20"/>
                <w:color w:val="auto"/>
              </w:rPr>
            </w:pPr>
            <w:r>
              <w:rPr>
                <w:rFonts w:ascii="Arial" w:cs="Arial" w:eastAsia="Arial" w:hAnsi="Arial"/>
                <w:sz w:val="12"/>
                <w:szCs w:val="12"/>
                <w:b w:val="1"/>
                <w:bCs w:val="1"/>
                <w:color w:val="auto"/>
                <w:w w:val="89"/>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300,860</w:t>
            </w:r>
          </w:p>
        </w:tc>
        <w:tc>
          <w:tcPr>
            <w:tcW w:w="120" w:type="dxa"/>
            <w:vAlign w:val="bottom"/>
            <w:shd w:val="clear" w:color="auto" w:fill="DBDBDB"/>
          </w:tcPr>
          <w:p>
            <w:pPr>
              <w:spacing w:after="0"/>
              <w:rPr>
                <w:sz w:val="16"/>
                <w:szCs w:val="16"/>
                <w:color w:val="auto"/>
              </w:rPr>
            </w:pPr>
          </w:p>
        </w:tc>
        <w:tc>
          <w:tcPr>
            <w:tcW w:w="240" w:type="dxa"/>
            <w:vAlign w:val="bottom"/>
            <w:shd w:val="clear" w:color="auto" w:fill="DBDBDB"/>
          </w:tcPr>
          <w:p>
            <w:pPr>
              <w:jc w:val="right"/>
              <w:ind w:right="100"/>
              <w:spacing w:after="0"/>
              <w:rPr>
                <w:sz w:val="20"/>
                <w:szCs w:val="20"/>
                <w:color w:val="auto"/>
              </w:rPr>
            </w:pPr>
            <w:r>
              <w:rPr>
                <w:rFonts w:ascii="Arial" w:cs="Arial" w:eastAsia="Arial" w:hAnsi="Arial"/>
                <w:sz w:val="12"/>
                <w:szCs w:val="12"/>
                <w:color w:val="auto"/>
                <w:w w:val="89"/>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288,929</w:t>
            </w: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jc w:val="right"/>
              <w:ind w:right="14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324,568</w:t>
            </w:r>
          </w:p>
        </w:tc>
      </w:tr>
      <w:tr>
        <w:trPr>
          <w:trHeight w:val="175"/>
        </w:trPr>
        <w:tc>
          <w:tcPr>
            <w:tcW w:w="5660" w:type="dxa"/>
            <w:vAlign w:val="bottom"/>
          </w:tcPr>
          <w:p>
            <w:pPr>
              <w:ind w:left="160"/>
              <w:spacing w:after="0"/>
              <w:rPr>
                <w:sz w:val="20"/>
                <w:szCs w:val="20"/>
                <w:color w:val="auto"/>
              </w:rPr>
            </w:pPr>
            <w:r>
              <w:rPr>
                <w:rFonts w:ascii="Arial" w:cs="Arial" w:eastAsia="Arial" w:hAnsi="Arial"/>
                <w:sz w:val="12"/>
                <w:szCs w:val="12"/>
                <w:color w:val="auto"/>
              </w:rPr>
              <w:t>Accounts receivable - less allowance for doubtful accounts of $1,874, $2,752 and $2,080, respectively</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19,181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16,759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12,812</w:t>
            </w:r>
          </w:p>
        </w:tc>
      </w:tr>
      <w:tr>
        <w:trPr>
          <w:trHeight w:val="185"/>
        </w:trPr>
        <w:tc>
          <w:tcPr>
            <w:tcW w:w="5660" w:type="dxa"/>
            <w:vAlign w:val="bottom"/>
            <w:shd w:val="clear" w:color="auto" w:fill="DBDBDB"/>
          </w:tcPr>
          <w:p>
            <w:pPr>
              <w:ind w:left="160"/>
              <w:spacing w:after="0"/>
              <w:rPr>
                <w:sz w:val="20"/>
                <w:szCs w:val="20"/>
                <w:color w:val="auto"/>
              </w:rPr>
            </w:pPr>
            <w:r>
              <w:rPr>
                <w:rFonts w:ascii="Arial" w:cs="Arial" w:eastAsia="Arial" w:hAnsi="Arial"/>
                <w:sz w:val="12"/>
                <w:szCs w:val="12"/>
                <w:color w:val="auto"/>
              </w:rPr>
              <w:t>Merchandise inventories, net</w:t>
            </w:r>
          </w:p>
        </w:tc>
        <w:tc>
          <w:tcPr>
            <w:tcW w:w="280" w:type="dxa"/>
            <w:vAlign w:val="bottom"/>
            <w:shd w:val="clear" w:color="auto" w:fill="DBDBDB"/>
          </w:tcPr>
          <w:p>
            <w:pPr>
              <w:spacing w:after="0"/>
              <w:rPr>
                <w:sz w:val="16"/>
                <w:szCs w:val="16"/>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1,587,624</w:t>
            </w:r>
          </w:p>
        </w:tc>
        <w:tc>
          <w:tcPr>
            <w:tcW w:w="12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1,308,840</w:t>
            </w: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1,366,616</w:t>
            </w:r>
          </w:p>
        </w:tc>
      </w:tr>
      <w:tr>
        <w:trPr>
          <w:trHeight w:val="175"/>
        </w:trPr>
        <w:tc>
          <w:tcPr>
            <w:tcW w:w="5660" w:type="dxa"/>
            <w:vAlign w:val="bottom"/>
            <w:tcBorders>
              <w:bottom w:val="single" w:sz="8" w:color="DBDBDB"/>
            </w:tcBorders>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78,257</w:t>
            </w:r>
          </w:p>
        </w:tc>
        <w:tc>
          <w:tcPr>
            <w:tcW w:w="120" w:type="dxa"/>
            <w:vAlign w:val="bottom"/>
            <w:tcBorders>
              <w:bottom w:val="single" w:sz="8" w:color="DBDBDB"/>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95,621</w:t>
            </w:r>
          </w:p>
        </w:tc>
        <w:tc>
          <w:tcPr>
            <w:tcW w:w="10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108,392</w:t>
            </w:r>
          </w:p>
        </w:tc>
      </w:tr>
      <w:tr>
        <w:trPr>
          <w:trHeight w:val="174"/>
        </w:trPr>
        <w:tc>
          <w:tcPr>
            <w:tcW w:w="5660" w:type="dxa"/>
            <w:vAlign w:val="bottom"/>
            <w:shd w:val="clear" w:color="auto" w:fill="DBDBDB"/>
          </w:tcPr>
          <w:p>
            <w:pPr>
              <w:ind w:left="300"/>
              <w:spacing w:after="0"/>
              <w:rPr>
                <w:sz w:val="20"/>
                <w:szCs w:val="20"/>
                <w:color w:val="auto"/>
              </w:rPr>
            </w:pPr>
            <w:r>
              <w:rPr>
                <w:rFonts w:ascii="Arial" w:cs="Arial" w:eastAsia="Arial" w:hAnsi="Arial"/>
                <w:sz w:val="12"/>
                <w:szCs w:val="12"/>
                <w:b w:val="1"/>
                <w:bCs w:val="1"/>
                <w:color w:val="auto"/>
              </w:rPr>
              <w:t>Total current assets</w:t>
            </w:r>
          </w:p>
        </w:tc>
        <w:tc>
          <w:tcPr>
            <w:tcW w:w="280" w:type="dxa"/>
            <w:vAlign w:val="bottom"/>
            <w:shd w:val="clear" w:color="auto" w:fill="DBDBDB"/>
          </w:tcPr>
          <w:p>
            <w:pPr>
              <w:spacing w:after="0"/>
              <w:rPr>
                <w:sz w:val="15"/>
                <w:szCs w:val="15"/>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1,985,922</w:t>
            </w:r>
          </w:p>
        </w:tc>
        <w:tc>
          <w:tcPr>
            <w:tcW w:w="1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1,710,149</w:t>
            </w: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1,812,388</w:t>
            </w:r>
          </w:p>
        </w:tc>
      </w:tr>
      <w:tr>
        <w:trPr>
          <w:trHeight w:val="144"/>
        </w:trPr>
        <w:tc>
          <w:tcPr>
            <w:tcW w:w="5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80"/>
        </w:trPr>
        <w:tc>
          <w:tcPr>
            <w:tcW w:w="5660" w:type="dxa"/>
            <w:vAlign w:val="bottom"/>
            <w:shd w:val="clear" w:color="auto" w:fill="DBDBDB"/>
          </w:tcPr>
          <w:p>
            <w:pPr>
              <w:ind w:left="20"/>
              <w:spacing w:after="0"/>
              <w:rPr>
                <w:sz w:val="20"/>
                <w:szCs w:val="20"/>
                <w:color w:val="auto"/>
              </w:rPr>
            </w:pPr>
            <w:r>
              <w:rPr>
                <w:rFonts w:ascii="Arial" w:cs="Arial" w:eastAsia="Arial" w:hAnsi="Arial"/>
                <w:sz w:val="12"/>
                <w:szCs w:val="12"/>
                <w:b w:val="1"/>
                <w:bCs w:val="1"/>
                <w:color w:val="auto"/>
              </w:rPr>
              <w:t>PROPERTY AND EQUIPMENT, NET</w:t>
            </w:r>
          </w:p>
        </w:tc>
        <w:tc>
          <w:tcPr>
            <w:tcW w:w="280" w:type="dxa"/>
            <w:vAlign w:val="bottom"/>
            <w:shd w:val="clear" w:color="auto" w:fill="DBDBDB"/>
          </w:tcPr>
          <w:p>
            <w:pPr>
              <w:spacing w:after="0"/>
              <w:rPr>
                <w:sz w:val="15"/>
                <w:szCs w:val="15"/>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584,045</w:t>
            </w:r>
          </w:p>
        </w:tc>
        <w:tc>
          <w:tcPr>
            <w:tcW w:w="1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525,136</w:t>
            </w: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470,752</w:t>
            </w:r>
          </w:p>
        </w:tc>
      </w:tr>
      <w:tr>
        <w:trPr>
          <w:trHeight w:val="175"/>
        </w:trPr>
        <w:tc>
          <w:tcPr>
            <w:tcW w:w="5660" w:type="dxa"/>
            <w:vAlign w:val="bottom"/>
          </w:tcPr>
          <w:p>
            <w:pPr>
              <w:ind w:left="20"/>
              <w:spacing w:after="0"/>
              <w:rPr>
                <w:sz w:val="20"/>
                <w:szCs w:val="20"/>
                <w:color w:val="auto"/>
              </w:rPr>
            </w:pPr>
            <w:r>
              <w:rPr>
                <w:rFonts w:ascii="Arial" w:cs="Arial" w:eastAsia="Arial" w:hAnsi="Arial"/>
                <w:sz w:val="12"/>
                <w:szCs w:val="12"/>
                <w:b w:val="1"/>
                <w:bCs w:val="1"/>
                <w:color w:val="auto"/>
              </w:rPr>
              <w:t>RIGHT-OF-USE ASSETS</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1,206,207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1,173,075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1,103,242</w:t>
            </w:r>
          </w:p>
        </w:tc>
      </w:tr>
      <w:tr>
        <w:trPr>
          <w:trHeight w:val="185"/>
        </w:trPr>
        <w:tc>
          <w:tcPr>
            <w:tcW w:w="5660" w:type="dxa"/>
            <w:vAlign w:val="bottom"/>
            <w:shd w:val="clear" w:color="auto" w:fill="DBDBDB"/>
          </w:tcPr>
          <w:p>
            <w:pPr>
              <w:ind w:left="20"/>
              <w:spacing w:after="0"/>
              <w:rPr>
                <w:sz w:val="20"/>
                <w:szCs w:val="20"/>
                <w:color w:val="auto"/>
              </w:rPr>
            </w:pPr>
            <w:r>
              <w:rPr>
                <w:rFonts w:ascii="Arial" w:cs="Arial" w:eastAsia="Arial" w:hAnsi="Arial"/>
                <w:sz w:val="12"/>
                <w:szCs w:val="12"/>
                <w:b w:val="1"/>
                <w:bCs w:val="1"/>
                <w:color w:val="auto"/>
              </w:rPr>
              <w:t>TRADE NAME</w:t>
            </w:r>
          </w:p>
        </w:tc>
        <w:tc>
          <w:tcPr>
            <w:tcW w:w="280" w:type="dxa"/>
            <w:vAlign w:val="bottom"/>
            <w:shd w:val="clear" w:color="auto" w:fill="DBDBDB"/>
          </w:tcPr>
          <w:p>
            <w:pPr>
              <w:spacing w:after="0"/>
              <w:rPr>
                <w:sz w:val="16"/>
                <w:szCs w:val="16"/>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579,330</w:t>
            </w:r>
          </w:p>
        </w:tc>
        <w:tc>
          <w:tcPr>
            <w:tcW w:w="12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579,007</w:t>
            </w: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578,550</w:t>
            </w:r>
          </w:p>
        </w:tc>
      </w:tr>
      <w:tr>
        <w:trPr>
          <w:trHeight w:val="175"/>
        </w:trPr>
        <w:tc>
          <w:tcPr>
            <w:tcW w:w="5660" w:type="dxa"/>
            <w:vAlign w:val="bottom"/>
          </w:tcPr>
          <w:p>
            <w:pPr>
              <w:ind w:left="20"/>
              <w:spacing w:after="0"/>
              <w:rPr>
                <w:sz w:val="20"/>
                <w:szCs w:val="20"/>
                <w:color w:val="auto"/>
              </w:rPr>
            </w:pPr>
            <w:r>
              <w:rPr>
                <w:rFonts w:ascii="Arial" w:cs="Arial" w:eastAsia="Arial" w:hAnsi="Arial"/>
                <w:sz w:val="12"/>
                <w:szCs w:val="12"/>
                <w:b w:val="1"/>
                <w:bCs w:val="1"/>
                <w:color w:val="auto"/>
              </w:rPr>
              <w:t>GOODWILL</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861,920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861,920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861,920</w:t>
            </w:r>
          </w:p>
        </w:tc>
      </w:tr>
      <w:tr>
        <w:trPr>
          <w:trHeight w:val="180"/>
        </w:trPr>
        <w:tc>
          <w:tcPr>
            <w:tcW w:w="5660" w:type="dxa"/>
            <w:vAlign w:val="bottom"/>
            <w:shd w:val="clear" w:color="auto" w:fill="DBDBDB"/>
          </w:tcPr>
          <w:p>
            <w:pPr>
              <w:ind w:left="20"/>
              <w:spacing w:after="0"/>
              <w:rPr>
                <w:sz w:val="20"/>
                <w:szCs w:val="20"/>
                <w:color w:val="auto"/>
              </w:rPr>
            </w:pPr>
            <w:r>
              <w:rPr>
                <w:rFonts w:ascii="Arial" w:cs="Arial" w:eastAsia="Arial" w:hAnsi="Arial"/>
                <w:sz w:val="12"/>
                <w:szCs w:val="12"/>
                <w:b w:val="1"/>
                <w:bCs w:val="1"/>
                <w:color w:val="auto"/>
              </w:rPr>
              <w:t>OTHER NONCURRENT ASSETS</w:t>
            </w:r>
          </w:p>
        </w:tc>
        <w:tc>
          <w:tcPr>
            <w:tcW w:w="280" w:type="dxa"/>
            <w:vAlign w:val="bottom"/>
            <w:tcBorders>
              <w:bottom w:val="single" w:sz="8" w:color="auto"/>
            </w:tcBorders>
            <w:shd w:val="clear" w:color="auto" w:fill="DBDBDB"/>
          </w:tcPr>
          <w:p>
            <w:pPr>
              <w:spacing w:after="0"/>
              <w:rPr>
                <w:sz w:val="15"/>
                <w:szCs w:val="15"/>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58,559</w:t>
            </w:r>
          </w:p>
        </w:tc>
        <w:tc>
          <w:tcPr>
            <w:tcW w:w="120" w:type="dxa"/>
            <w:vAlign w:val="bottom"/>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51,676</w:t>
            </w:r>
          </w:p>
        </w:tc>
        <w:tc>
          <w:tcPr>
            <w:tcW w:w="100" w:type="dxa"/>
            <w:vAlign w:val="bottom"/>
            <w:shd w:val="clear" w:color="auto" w:fill="DBDBDB"/>
          </w:tcPr>
          <w:p>
            <w:pPr>
              <w:spacing w:after="0"/>
              <w:rPr>
                <w:sz w:val="15"/>
                <w:szCs w:val="15"/>
                <w:color w:val="auto"/>
              </w:rPr>
            </w:pPr>
          </w:p>
        </w:tc>
        <w:tc>
          <w:tcPr>
            <w:tcW w:w="280" w:type="dxa"/>
            <w:vAlign w:val="bottom"/>
            <w:tcBorders>
              <w:bottom w:val="single" w:sz="8" w:color="auto"/>
            </w:tcBorders>
            <w:shd w:val="clear" w:color="auto" w:fill="DBDBDB"/>
          </w:tcPr>
          <w:p>
            <w:pPr>
              <w:spacing w:after="0"/>
              <w:rPr>
                <w:sz w:val="15"/>
                <w:szCs w:val="15"/>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47,506</w:t>
            </w:r>
          </w:p>
        </w:tc>
      </w:tr>
      <w:tr>
        <w:trPr>
          <w:trHeight w:val="190"/>
        </w:trPr>
        <w:tc>
          <w:tcPr>
            <w:tcW w:w="5660" w:type="dxa"/>
            <w:vAlign w:val="bottom"/>
            <w:tcBorders>
              <w:bottom w:val="single" w:sz="8" w:color="DBDBDB"/>
            </w:tcBorders>
          </w:tcPr>
          <w:p>
            <w:pPr>
              <w:ind w:left="300"/>
              <w:spacing w:after="0"/>
              <w:rPr>
                <w:sz w:val="20"/>
                <w:szCs w:val="20"/>
                <w:color w:val="auto"/>
              </w:rPr>
            </w:pPr>
            <w:r>
              <w:rPr>
                <w:rFonts w:ascii="Arial" w:cs="Arial" w:eastAsia="Arial" w:hAnsi="Arial"/>
                <w:sz w:val="12"/>
                <w:szCs w:val="12"/>
                <w:b w:val="1"/>
                <w:bCs w:val="1"/>
                <w:color w:val="auto"/>
              </w:rPr>
              <w:t>Total assets</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5,275,983</w:t>
            </w:r>
          </w:p>
        </w:tc>
        <w:tc>
          <w:tcPr>
            <w:tcW w:w="12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4,900,963</w:t>
            </w: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4,874,358</w:t>
            </w:r>
          </w:p>
        </w:tc>
      </w:tr>
      <w:tr>
        <w:trPr>
          <w:trHeight w:val="126"/>
        </w:trPr>
        <w:tc>
          <w:tcPr>
            <w:tcW w:w="566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148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240" w:type="dxa"/>
            <w:vAlign w:val="bottom"/>
            <w:shd w:val="clear" w:color="auto" w:fill="DBDBDB"/>
          </w:tcPr>
          <w:p>
            <w:pPr>
              <w:spacing w:after="0"/>
              <w:rPr>
                <w:sz w:val="10"/>
                <w:szCs w:val="10"/>
                <w:color w:val="auto"/>
              </w:rPr>
            </w:pPr>
          </w:p>
        </w:tc>
        <w:tc>
          <w:tcPr>
            <w:tcW w:w="156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1520" w:type="dxa"/>
            <w:vAlign w:val="bottom"/>
            <w:shd w:val="clear" w:color="auto" w:fill="DBDBDB"/>
          </w:tcPr>
          <w:p>
            <w:pPr>
              <w:spacing w:after="0"/>
              <w:rPr>
                <w:sz w:val="10"/>
                <w:szCs w:val="10"/>
                <w:color w:val="auto"/>
              </w:rPr>
            </w:pPr>
          </w:p>
        </w:tc>
      </w:tr>
      <w:tr>
        <w:trPr>
          <w:trHeight w:val="175"/>
        </w:trPr>
        <w:tc>
          <w:tcPr>
            <w:tcW w:w="5660" w:type="dxa"/>
            <w:vAlign w:val="bottom"/>
          </w:tcPr>
          <w:p>
            <w:pPr>
              <w:ind w:left="1540"/>
              <w:spacing w:after="0"/>
              <w:rPr>
                <w:sz w:val="20"/>
                <w:szCs w:val="20"/>
                <w:color w:val="auto"/>
              </w:rPr>
            </w:pPr>
            <w:r>
              <w:rPr>
                <w:rFonts w:ascii="Arial" w:cs="Arial" w:eastAsia="Arial" w:hAnsi="Arial"/>
                <w:sz w:val="12"/>
                <w:szCs w:val="12"/>
                <w:b w:val="1"/>
                <w:bCs w:val="1"/>
                <w:color w:val="auto"/>
              </w:rPr>
              <w:t>LIABILITIES AND STOCKHOLDERS' EQUITY</w:t>
            </w: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5"/>
        </w:trPr>
        <w:tc>
          <w:tcPr>
            <w:tcW w:w="5660" w:type="dxa"/>
            <w:vAlign w:val="bottom"/>
            <w:shd w:val="clear" w:color="auto" w:fill="DBDBDB"/>
          </w:tcPr>
          <w:p>
            <w:pPr>
              <w:ind w:left="20"/>
              <w:spacing w:after="0"/>
              <w:rPr>
                <w:sz w:val="20"/>
                <w:szCs w:val="20"/>
                <w:color w:val="auto"/>
              </w:rPr>
            </w:pPr>
            <w:r>
              <w:rPr>
                <w:rFonts w:ascii="Arial" w:cs="Arial" w:eastAsia="Arial" w:hAnsi="Arial"/>
                <w:sz w:val="12"/>
                <w:szCs w:val="12"/>
                <w:b w:val="1"/>
                <w:bCs w:val="1"/>
                <w:color w:val="auto"/>
              </w:rPr>
              <w:t>CURRENT LIABILITIES:</w:t>
            </w:r>
          </w:p>
        </w:tc>
        <w:tc>
          <w:tcPr>
            <w:tcW w:w="280" w:type="dxa"/>
            <w:vAlign w:val="bottom"/>
            <w:shd w:val="clear" w:color="auto" w:fill="DBDBDB"/>
          </w:tcPr>
          <w:p>
            <w:pPr>
              <w:spacing w:after="0"/>
              <w:rPr>
                <w:sz w:val="16"/>
                <w:szCs w:val="16"/>
                <w:color w:val="auto"/>
              </w:rPr>
            </w:pPr>
          </w:p>
        </w:tc>
        <w:tc>
          <w:tcPr>
            <w:tcW w:w="14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5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520" w:type="dxa"/>
            <w:vAlign w:val="bottom"/>
            <w:shd w:val="clear" w:color="auto" w:fill="DBDBDB"/>
          </w:tcPr>
          <w:p>
            <w:pPr>
              <w:spacing w:after="0"/>
              <w:rPr>
                <w:sz w:val="16"/>
                <w:szCs w:val="16"/>
                <w:color w:val="auto"/>
              </w:rPr>
            </w:pPr>
          </w:p>
        </w:tc>
      </w:tr>
      <w:tr>
        <w:trPr>
          <w:trHeight w:val="175"/>
        </w:trPr>
        <w:tc>
          <w:tcPr>
            <w:tcW w:w="5660" w:type="dxa"/>
            <w:vAlign w:val="bottom"/>
          </w:tcPr>
          <w:p>
            <w:pPr>
              <w:ind w:left="160"/>
              <w:spacing w:after="0"/>
              <w:rPr>
                <w:sz w:val="20"/>
                <w:szCs w:val="20"/>
                <w:color w:val="auto"/>
              </w:rPr>
            </w:pPr>
            <w:r>
              <w:rPr>
                <w:rFonts w:ascii="Arial" w:cs="Arial" w:eastAsia="Arial" w:hAnsi="Arial"/>
                <w:sz w:val="12"/>
                <w:szCs w:val="12"/>
                <w:color w:val="auto"/>
              </w:rPr>
              <w:t>Accounts payable</w:t>
            </w:r>
          </w:p>
        </w:tc>
        <w:tc>
          <w:tcPr>
            <w:tcW w:w="280" w:type="dxa"/>
            <w:vAlign w:val="bottom"/>
          </w:tcPr>
          <w:p>
            <w:pPr>
              <w:jc w:val="right"/>
              <w:ind w:right="140"/>
              <w:spacing w:after="0"/>
              <w:rPr>
                <w:sz w:val="20"/>
                <w:szCs w:val="20"/>
                <w:color w:val="auto"/>
              </w:rPr>
            </w:pPr>
            <w:r>
              <w:rPr>
                <w:rFonts w:ascii="Arial" w:cs="Arial" w:eastAsia="Arial" w:hAnsi="Arial"/>
                <w:sz w:val="12"/>
                <w:szCs w:val="12"/>
                <w:b w:val="1"/>
                <w:bCs w:val="1"/>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803,309</w:t>
            </w:r>
          </w:p>
        </w:tc>
        <w:tc>
          <w:tcPr>
            <w:tcW w:w="120" w:type="dxa"/>
            <w:vAlign w:val="bottom"/>
          </w:tcPr>
          <w:p>
            <w:pPr>
              <w:spacing w:after="0"/>
              <w:rPr>
                <w:sz w:val="15"/>
                <w:szCs w:val="15"/>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612,424</w:t>
            </w:r>
          </w:p>
        </w:tc>
        <w:tc>
          <w:tcPr>
            <w:tcW w:w="10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704,578</w:t>
            </w:r>
          </w:p>
        </w:tc>
      </w:tr>
      <w:tr>
        <w:trPr>
          <w:trHeight w:val="185"/>
        </w:trPr>
        <w:tc>
          <w:tcPr>
            <w:tcW w:w="5660" w:type="dxa"/>
            <w:vAlign w:val="bottom"/>
            <w:shd w:val="clear" w:color="auto" w:fill="DBDBDB"/>
          </w:tcPr>
          <w:p>
            <w:pPr>
              <w:ind w:left="160"/>
              <w:spacing w:after="0"/>
              <w:rPr>
                <w:sz w:val="20"/>
                <w:szCs w:val="20"/>
                <w:color w:val="auto"/>
              </w:rPr>
            </w:pPr>
            <w:r>
              <w:rPr>
                <w:rFonts w:ascii="Arial" w:cs="Arial" w:eastAsia="Arial" w:hAnsi="Arial"/>
                <w:sz w:val="12"/>
                <w:szCs w:val="12"/>
                <w:color w:val="auto"/>
              </w:rPr>
              <w:t>Accrued expenses and other current liabilities</w:t>
            </w:r>
          </w:p>
        </w:tc>
        <w:tc>
          <w:tcPr>
            <w:tcW w:w="280" w:type="dxa"/>
            <w:vAlign w:val="bottom"/>
            <w:shd w:val="clear" w:color="auto" w:fill="DBDBDB"/>
          </w:tcPr>
          <w:p>
            <w:pPr>
              <w:spacing w:after="0"/>
              <w:rPr>
                <w:sz w:val="16"/>
                <w:szCs w:val="16"/>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266,021</w:t>
            </w:r>
          </w:p>
        </w:tc>
        <w:tc>
          <w:tcPr>
            <w:tcW w:w="12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230,323</w:t>
            </w: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259,069</w:t>
            </w:r>
          </w:p>
        </w:tc>
      </w:tr>
      <w:tr>
        <w:trPr>
          <w:trHeight w:val="175"/>
        </w:trPr>
        <w:tc>
          <w:tcPr>
            <w:tcW w:w="5660" w:type="dxa"/>
            <w:vAlign w:val="bottom"/>
          </w:tcPr>
          <w:p>
            <w:pPr>
              <w:ind w:left="160"/>
              <w:spacing w:after="0"/>
              <w:rPr>
                <w:sz w:val="20"/>
                <w:szCs w:val="20"/>
                <w:color w:val="auto"/>
              </w:rPr>
            </w:pPr>
            <w:r>
              <w:rPr>
                <w:rFonts w:ascii="Arial" w:cs="Arial" w:eastAsia="Arial" w:hAnsi="Arial"/>
                <w:sz w:val="12"/>
                <w:szCs w:val="12"/>
                <w:color w:val="auto"/>
              </w:rPr>
              <w:t>Current lease liabilities</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139,678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115,134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124,628</w:t>
            </w:r>
          </w:p>
        </w:tc>
      </w:tr>
      <w:tr>
        <w:trPr>
          <w:trHeight w:val="185"/>
        </w:trPr>
        <w:tc>
          <w:tcPr>
            <w:tcW w:w="5660" w:type="dxa"/>
            <w:vAlign w:val="bottom"/>
            <w:shd w:val="clear" w:color="auto" w:fill="DBDBDB"/>
          </w:tcPr>
          <w:p>
            <w:pPr>
              <w:ind w:left="160"/>
              <w:spacing w:after="0"/>
              <w:rPr>
                <w:sz w:val="20"/>
                <w:szCs w:val="20"/>
                <w:color w:val="auto"/>
              </w:rPr>
            </w:pPr>
            <w:r>
              <w:rPr>
                <w:rFonts w:ascii="Arial" w:cs="Arial" w:eastAsia="Arial" w:hAnsi="Arial"/>
                <w:sz w:val="12"/>
                <w:szCs w:val="12"/>
                <w:color w:val="auto"/>
              </w:rPr>
              <w:t>Current maturities of long-term debt</w:t>
            </w:r>
          </w:p>
        </w:tc>
        <w:tc>
          <w:tcPr>
            <w:tcW w:w="280" w:type="dxa"/>
            <w:vAlign w:val="bottom"/>
            <w:tcBorders>
              <w:bottom w:val="single" w:sz="8" w:color="auto"/>
            </w:tcBorders>
            <w:shd w:val="clear" w:color="auto" w:fill="DBDBDB"/>
          </w:tcPr>
          <w:p>
            <w:pPr>
              <w:spacing w:after="0"/>
              <w:rPr>
                <w:sz w:val="16"/>
                <w:szCs w:val="16"/>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3,000</w:t>
            </w:r>
          </w:p>
        </w:tc>
        <w:tc>
          <w:tcPr>
            <w:tcW w:w="120" w:type="dxa"/>
            <w:vAlign w:val="bottom"/>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3,000</w:t>
            </w:r>
          </w:p>
        </w:tc>
        <w:tc>
          <w:tcPr>
            <w:tcW w:w="100" w:type="dxa"/>
            <w:vAlign w:val="bottom"/>
            <w:shd w:val="clear" w:color="auto" w:fill="DBDBDB"/>
          </w:tcPr>
          <w:p>
            <w:pPr>
              <w:spacing w:after="0"/>
              <w:rPr>
                <w:sz w:val="16"/>
                <w:szCs w:val="16"/>
                <w:color w:val="auto"/>
              </w:rPr>
            </w:pPr>
          </w:p>
        </w:tc>
        <w:tc>
          <w:tcPr>
            <w:tcW w:w="280" w:type="dxa"/>
            <w:vAlign w:val="bottom"/>
            <w:tcBorders>
              <w:bottom w:val="single" w:sz="8" w:color="auto"/>
            </w:tcBorders>
            <w:shd w:val="clear" w:color="auto" w:fill="DBDBDB"/>
          </w:tcPr>
          <w:p>
            <w:pPr>
              <w:spacing w:after="0"/>
              <w:rPr>
                <w:sz w:val="16"/>
                <w:szCs w:val="16"/>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3,000</w:t>
            </w:r>
          </w:p>
        </w:tc>
      </w:tr>
      <w:tr>
        <w:trPr>
          <w:trHeight w:val="164"/>
        </w:trPr>
        <w:tc>
          <w:tcPr>
            <w:tcW w:w="5660" w:type="dxa"/>
            <w:vAlign w:val="bottom"/>
          </w:tcPr>
          <w:p>
            <w:pPr>
              <w:ind w:left="300"/>
              <w:spacing w:after="0"/>
              <w:rPr>
                <w:sz w:val="20"/>
                <w:szCs w:val="20"/>
                <w:color w:val="auto"/>
              </w:rPr>
            </w:pPr>
            <w:r>
              <w:rPr>
                <w:rFonts w:ascii="Arial" w:cs="Arial" w:eastAsia="Arial" w:hAnsi="Arial"/>
                <w:sz w:val="12"/>
                <w:szCs w:val="12"/>
                <w:b w:val="1"/>
                <w:bCs w:val="1"/>
                <w:color w:val="auto"/>
              </w:rPr>
              <w:t>Total current liabilities</w:t>
            </w: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1,212,008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960,881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1,091,275</w:t>
            </w:r>
          </w:p>
        </w:tc>
      </w:tr>
      <w:tr>
        <w:trPr>
          <w:trHeight w:val="113"/>
        </w:trPr>
        <w:tc>
          <w:tcPr>
            <w:tcW w:w="5660" w:type="dxa"/>
            <w:vAlign w:val="bottom"/>
            <w:shd w:val="clear" w:color="auto" w:fill="DBDBDB"/>
          </w:tcPr>
          <w:p>
            <w:pPr>
              <w:spacing w:after="0"/>
              <w:rPr>
                <w:sz w:val="9"/>
                <w:szCs w:val="9"/>
                <w:color w:val="auto"/>
              </w:rPr>
            </w:pPr>
          </w:p>
        </w:tc>
        <w:tc>
          <w:tcPr>
            <w:tcW w:w="280" w:type="dxa"/>
            <w:vAlign w:val="bottom"/>
            <w:shd w:val="clear" w:color="auto" w:fill="DBDBDB"/>
          </w:tcPr>
          <w:p>
            <w:pPr>
              <w:spacing w:after="0"/>
              <w:rPr>
                <w:sz w:val="9"/>
                <w:szCs w:val="9"/>
                <w:color w:val="auto"/>
              </w:rPr>
            </w:pPr>
          </w:p>
        </w:tc>
        <w:tc>
          <w:tcPr>
            <w:tcW w:w="1480" w:type="dxa"/>
            <w:vAlign w:val="bottom"/>
            <w:shd w:val="clear" w:color="auto" w:fill="DBDBDB"/>
          </w:tcPr>
          <w:p>
            <w:pPr>
              <w:spacing w:after="0"/>
              <w:rPr>
                <w:sz w:val="9"/>
                <w:szCs w:val="9"/>
                <w:color w:val="auto"/>
              </w:rPr>
            </w:pPr>
          </w:p>
        </w:tc>
        <w:tc>
          <w:tcPr>
            <w:tcW w:w="120" w:type="dxa"/>
            <w:vAlign w:val="bottom"/>
            <w:shd w:val="clear" w:color="auto" w:fill="DBDBDB"/>
          </w:tcPr>
          <w:p>
            <w:pPr>
              <w:spacing w:after="0"/>
              <w:rPr>
                <w:sz w:val="9"/>
                <w:szCs w:val="9"/>
                <w:color w:val="auto"/>
              </w:rPr>
            </w:pPr>
          </w:p>
        </w:tc>
        <w:tc>
          <w:tcPr>
            <w:tcW w:w="240" w:type="dxa"/>
            <w:vAlign w:val="bottom"/>
            <w:shd w:val="clear" w:color="auto" w:fill="DBDBDB"/>
          </w:tcPr>
          <w:p>
            <w:pPr>
              <w:spacing w:after="0"/>
              <w:rPr>
                <w:sz w:val="9"/>
                <w:szCs w:val="9"/>
                <w:color w:val="auto"/>
              </w:rPr>
            </w:pPr>
          </w:p>
        </w:tc>
        <w:tc>
          <w:tcPr>
            <w:tcW w:w="1560" w:type="dxa"/>
            <w:vAlign w:val="bottom"/>
            <w:shd w:val="clear" w:color="auto" w:fill="DBDBDB"/>
          </w:tcPr>
          <w:p>
            <w:pPr>
              <w:spacing w:after="0"/>
              <w:rPr>
                <w:sz w:val="9"/>
                <w:szCs w:val="9"/>
                <w:color w:val="auto"/>
              </w:rPr>
            </w:pPr>
          </w:p>
        </w:tc>
        <w:tc>
          <w:tcPr>
            <w:tcW w:w="100" w:type="dxa"/>
            <w:vAlign w:val="bottom"/>
            <w:shd w:val="clear" w:color="auto" w:fill="DBDBDB"/>
          </w:tcPr>
          <w:p>
            <w:pPr>
              <w:spacing w:after="0"/>
              <w:rPr>
                <w:sz w:val="9"/>
                <w:szCs w:val="9"/>
                <w:color w:val="auto"/>
              </w:rPr>
            </w:pPr>
          </w:p>
        </w:tc>
        <w:tc>
          <w:tcPr>
            <w:tcW w:w="280" w:type="dxa"/>
            <w:vAlign w:val="bottom"/>
            <w:shd w:val="clear" w:color="auto" w:fill="DBDBDB"/>
          </w:tcPr>
          <w:p>
            <w:pPr>
              <w:spacing w:after="0"/>
              <w:rPr>
                <w:sz w:val="9"/>
                <w:szCs w:val="9"/>
                <w:color w:val="auto"/>
              </w:rPr>
            </w:pPr>
          </w:p>
        </w:tc>
        <w:tc>
          <w:tcPr>
            <w:tcW w:w="1520" w:type="dxa"/>
            <w:vAlign w:val="bottom"/>
            <w:shd w:val="clear" w:color="auto" w:fill="DBDBDB"/>
          </w:tcPr>
          <w:p>
            <w:pPr>
              <w:spacing w:after="0"/>
              <w:rPr>
                <w:sz w:val="9"/>
                <w:szCs w:val="9"/>
                <w:color w:val="auto"/>
              </w:rPr>
            </w:pPr>
          </w:p>
        </w:tc>
      </w:tr>
      <w:tr>
        <w:trPr>
          <w:trHeight w:val="175"/>
        </w:trPr>
        <w:tc>
          <w:tcPr>
            <w:tcW w:w="5660" w:type="dxa"/>
            <w:vAlign w:val="bottom"/>
          </w:tcPr>
          <w:p>
            <w:pPr>
              <w:ind w:left="20"/>
              <w:spacing w:after="0"/>
              <w:rPr>
                <w:sz w:val="20"/>
                <w:szCs w:val="20"/>
                <w:color w:val="auto"/>
              </w:rPr>
            </w:pPr>
            <w:r>
              <w:rPr>
                <w:rFonts w:ascii="Arial" w:cs="Arial" w:eastAsia="Arial" w:hAnsi="Arial"/>
                <w:sz w:val="12"/>
                <w:szCs w:val="12"/>
                <w:b w:val="1"/>
                <w:bCs w:val="1"/>
                <w:color w:val="auto"/>
              </w:rPr>
              <w:t>LONG-TERM DEBT, NET</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481,738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482,679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483,617</w:t>
            </w:r>
          </w:p>
        </w:tc>
      </w:tr>
      <w:tr>
        <w:trPr>
          <w:trHeight w:val="185"/>
        </w:trPr>
        <w:tc>
          <w:tcPr>
            <w:tcW w:w="5660" w:type="dxa"/>
            <w:vAlign w:val="bottom"/>
            <w:shd w:val="clear" w:color="auto" w:fill="DBDBDB"/>
          </w:tcPr>
          <w:p>
            <w:pPr>
              <w:ind w:left="20"/>
              <w:spacing w:after="0"/>
              <w:rPr>
                <w:sz w:val="20"/>
                <w:szCs w:val="20"/>
                <w:color w:val="auto"/>
              </w:rPr>
            </w:pPr>
            <w:r>
              <w:rPr>
                <w:rFonts w:ascii="Arial" w:cs="Arial" w:eastAsia="Arial" w:hAnsi="Arial"/>
                <w:sz w:val="12"/>
                <w:szCs w:val="12"/>
                <w:b w:val="1"/>
                <w:bCs w:val="1"/>
                <w:color w:val="auto"/>
              </w:rPr>
              <w:t>LONG-TERM LEASE LIABILITIES</w:t>
            </w:r>
          </w:p>
        </w:tc>
        <w:tc>
          <w:tcPr>
            <w:tcW w:w="280" w:type="dxa"/>
            <w:vAlign w:val="bottom"/>
            <w:shd w:val="clear" w:color="auto" w:fill="DBDBDB"/>
          </w:tcPr>
          <w:p>
            <w:pPr>
              <w:spacing w:after="0"/>
              <w:rPr>
                <w:sz w:val="16"/>
                <w:szCs w:val="16"/>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1,217,217</w:t>
            </w:r>
          </w:p>
        </w:tc>
        <w:tc>
          <w:tcPr>
            <w:tcW w:w="12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1,185,741</w:t>
            </w: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1,083,390</w:t>
            </w:r>
          </w:p>
        </w:tc>
      </w:tr>
      <w:tr>
        <w:trPr>
          <w:trHeight w:val="175"/>
        </w:trPr>
        <w:tc>
          <w:tcPr>
            <w:tcW w:w="5660" w:type="dxa"/>
            <w:vAlign w:val="bottom"/>
          </w:tcPr>
          <w:p>
            <w:pPr>
              <w:ind w:left="20"/>
              <w:spacing w:after="0"/>
              <w:rPr>
                <w:sz w:val="20"/>
                <w:szCs w:val="20"/>
                <w:color w:val="auto"/>
              </w:rPr>
            </w:pPr>
            <w:r>
              <w:rPr>
                <w:rFonts w:ascii="Arial" w:cs="Arial" w:eastAsia="Arial" w:hAnsi="Arial"/>
                <w:sz w:val="12"/>
                <w:szCs w:val="12"/>
                <w:b w:val="1"/>
                <w:bCs w:val="1"/>
                <w:color w:val="auto"/>
              </w:rPr>
              <w:t>DEFERRED TAX LIABILITIES, NET</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270,502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256,815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252,919</w:t>
            </w:r>
          </w:p>
        </w:tc>
      </w:tr>
      <w:tr>
        <w:trPr>
          <w:trHeight w:val="185"/>
        </w:trPr>
        <w:tc>
          <w:tcPr>
            <w:tcW w:w="5660" w:type="dxa"/>
            <w:vAlign w:val="bottom"/>
            <w:shd w:val="clear" w:color="auto" w:fill="DBDBDB"/>
          </w:tcPr>
          <w:p>
            <w:pPr>
              <w:ind w:left="20"/>
              <w:spacing w:after="0"/>
              <w:rPr>
                <w:sz w:val="20"/>
                <w:szCs w:val="20"/>
                <w:color w:val="auto"/>
              </w:rPr>
            </w:pPr>
            <w:r>
              <w:rPr>
                <w:rFonts w:ascii="Arial" w:cs="Arial" w:eastAsia="Arial" w:hAnsi="Arial"/>
                <w:sz w:val="12"/>
                <w:szCs w:val="12"/>
                <w:b w:val="1"/>
                <w:bCs w:val="1"/>
                <w:color w:val="auto"/>
              </w:rPr>
              <w:t>OTHER LONG-TERM LIABILITIES</w:t>
            </w:r>
          </w:p>
        </w:tc>
        <w:tc>
          <w:tcPr>
            <w:tcW w:w="280" w:type="dxa"/>
            <w:vAlign w:val="bottom"/>
            <w:tcBorders>
              <w:bottom w:val="single" w:sz="8" w:color="auto"/>
            </w:tcBorders>
            <w:shd w:val="clear" w:color="auto" w:fill="DBDBDB"/>
          </w:tcPr>
          <w:p>
            <w:pPr>
              <w:spacing w:after="0"/>
              <w:rPr>
                <w:sz w:val="16"/>
                <w:szCs w:val="16"/>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19,368</w:t>
            </w:r>
          </w:p>
        </w:tc>
        <w:tc>
          <w:tcPr>
            <w:tcW w:w="120" w:type="dxa"/>
            <w:vAlign w:val="bottom"/>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10,812</w:t>
            </w:r>
          </w:p>
        </w:tc>
        <w:tc>
          <w:tcPr>
            <w:tcW w:w="100" w:type="dxa"/>
            <w:vAlign w:val="bottom"/>
            <w:shd w:val="clear" w:color="auto" w:fill="DBDBDB"/>
          </w:tcPr>
          <w:p>
            <w:pPr>
              <w:spacing w:after="0"/>
              <w:rPr>
                <w:sz w:val="16"/>
                <w:szCs w:val="16"/>
                <w:color w:val="auto"/>
              </w:rPr>
            </w:pPr>
          </w:p>
        </w:tc>
        <w:tc>
          <w:tcPr>
            <w:tcW w:w="280" w:type="dxa"/>
            <w:vAlign w:val="bottom"/>
            <w:tcBorders>
              <w:bottom w:val="single" w:sz="8" w:color="auto"/>
            </w:tcBorders>
            <w:shd w:val="clear" w:color="auto" w:fill="DBDBDB"/>
          </w:tcPr>
          <w:p>
            <w:pPr>
              <w:spacing w:after="0"/>
              <w:rPr>
                <w:sz w:val="16"/>
                <w:szCs w:val="16"/>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10,763</w:t>
            </w:r>
          </w:p>
        </w:tc>
      </w:tr>
      <w:tr>
        <w:trPr>
          <w:trHeight w:val="164"/>
        </w:trPr>
        <w:tc>
          <w:tcPr>
            <w:tcW w:w="5660" w:type="dxa"/>
            <w:vAlign w:val="bottom"/>
            <w:tcBorders>
              <w:bottom w:val="single" w:sz="8" w:color="DBDBDB"/>
            </w:tcBorders>
          </w:tcPr>
          <w:p>
            <w:pPr>
              <w:ind w:left="300"/>
              <w:spacing w:after="0"/>
              <w:rPr>
                <w:sz w:val="20"/>
                <w:szCs w:val="20"/>
                <w:color w:val="auto"/>
              </w:rPr>
            </w:pPr>
            <w:r>
              <w:rPr>
                <w:rFonts w:ascii="Arial" w:cs="Arial" w:eastAsia="Arial" w:hAnsi="Arial"/>
                <w:sz w:val="12"/>
                <w:szCs w:val="12"/>
                <w:b w:val="1"/>
                <w:bCs w:val="1"/>
                <w:color w:val="auto"/>
              </w:rPr>
              <w:t>Total liabilities</w:t>
            </w: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3,200,833</w:t>
            </w:r>
          </w:p>
        </w:tc>
        <w:tc>
          <w:tcPr>
            <w:tcW w:w="120" w:type="dxa"/>
            <w:vAlign w:val="bottom"/>
            <w:tcBorders>
              <w:bottom w:val="single" w:sz="8" w:color="DBDBDB"/>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2,896,928</w:t>
            </w:r>
          </w:p>
        </w:tc>
        <w:tc>
          <w:tcPr>
            <w:tcW w:w="100" w:type="dxa"/>
            <w:vAlign w:val="bottom"/>
            <w:tcBorders>
              <w:bottom w:val="single" w:sz="8" w:color="DBDBDB"/>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2,921,964</w:t>
            </w:r>
          </w:p>
        </w:tc>
      </w:tr>
      <w:tr>
        <w:trPr>
          <w:trHeight w:val="120"/>
        </w:trPr>
        <w:tc>
          <w:tcPr>
            <w:tcW w:w="566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148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240" w:type="dxa"/>
            <w:vAlign w:val="bottom"/>
            <w:shd w:val="clear" w:color="auto" w:fill="DBDBDB"/>
          </w:tcPr>
          <w:p>
            <w:pPr>
              <w:spacing w:after="0"/>
              <w:rPr>
                <w:sz w:val="10"/>
                <w:szCs w:val="10"/>
                <w:color w:val="auto"/>
              </w:rPr>
            </w:pPr>
          </w:p>
        </w:tc>
        <w:tc>
          <w:tcPr>
            <w:tcW w:w="156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1520" w:type="dxa"/>
            <w:vAlign w:val="bottom"/>
            <w:shd w:val="clear" w:color="auto" w:fill="DBDBDB"/>
          </w:tcPr>
          <w:p>
            <w:pPr>
              <w:spacing w:after="0"/>
              <w:rPr>
                <w:sz w:val="10"/>
                <w:szCs w:val="10"/>
                <w:color w:val="auto"/>
              </w:rPr>
            </w:pPr>
          </w:p>
        </w:tc>
      </w:tr>
      <w:tr>
        <w:trPr>
          <w:trHeight w:val="175"/>
        </w:trPr>
        <w:tc>
          <w:tcPr>
            <w:tcW w:w="5660" w:type="dxa"/>
            <w:vAlign w:val="bottom"/>
          </w:tcPr>
          <w:p>
            <w:pPr>
              <w:ind w:left="20"/>
              <w:spacing w:after="0"/>
              <w:rPr>
                <w:sz w:val="20"/>
                <w:szCs w:val="20"/>
                <w:color w:val="auto"/>
              </w:rPr>
            </w:pPr>
            <w:r>
              <w:rPr>
                <w:rFonts w:ascii="Arial" w:cs="Arial" w:eastAsia="Arial" w:hAnsi="Arial"/>
                <w:sz w:val="12"/>
                <w:szCs w:val="12"/>
                <w:b w:val="1"/>
                <w:bCs w:val="1"/>
                <w:color w:val="auto"/>
              </w:rPr>
              <w:t>COMMITMENTS AND CONTINGENCIES</w:t>
            </w: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13"/>
        </w:trPr>
        <w:tc>
          <w:tcPr>
            <w:tcW w:w="5660" w:type="dxa"/>
            <w:vAlign w:val="bottom"/>
            <w:shd w:val="clear" w:color="auto" w:fill="DBDBDB"/>
          </w:tcPr>
          <w:p>
            <w:pPr>
              <w:spacing w:after="0"/>
              <w:rPr>
                <w:sz w:val="9"/>
                <w:szCs w:val="9"/>
                <w:color w:val="auto"/>
              </w:rPr>
            </w:pPr>
          </w:p>
        </w:tc>
        <w:tc>
          <w:tcPr>
            <w:tcW w:w="280" w:type="dxa"/>
            <w:vAlign w:val="bottom"/>
            <w:shd w:val="clear" w:color="auto" w:fill="DBDBDB"/>
          </w:tcPr>
          <w:p>
            <w:pPr>
              <w:spacing w:after="0"/>
              <w:rPr>
                <w:sz w:val="9"/>
                <w:szCs w:val="9"/>
                <w:color w:val="auto"/>
              </w:rPr>
            </w:pPr>
          </w:p>
        </w:tc>
        <w:tc>
          <w:tcPr>
            <w:tcW w:w="1480" w:type="dxa"/>
            <w:vAlign w:val="bottom"/>
            <w:shd w:val="clear" w:color="auto" w:fill="DBDBDB"/>
          </w:tcPr>
          <w:p>
            <w:pPr>
              <w:spacing w:after="0"/>
              <w:rPr>
                <w:sz w:val="9"/>
                <w:szCs w:val="9"/>
                <w:color w:val="auto"/>
              </w:rPr>
            </w:pPr>
          </w:p>
        </w:tc>
        <w:tc>
          <w:tcPr>
            <w:tcW w:w="120" w:type="dxa"/>
            <w:vAlign w:val="bottom"/>
            <w:shd w:val="clear" w:color="auto" w:fill="DBDBDB"/>
          </w:tcPr>
          <w:p>
            <w:pPr>
              <w:spacing w:after="0"/>
              <w:rPr>
                <w:sz w:val="9"/>
                <w:szCs w:val="9"/>
                <w:color w:val="auto"/>
              </w:rPr>
            </w:pPr>
          </w:p>
        </w:tc>
        <w:tc>
          <w:tcPr>
            <w:tcW w:w="240" w:type="dxa"/>
            <w:vAlign w:val="bottom"/>
            <w:shd w:val="clear" w:color="auto" w:fill="DBDBDB"/>
          </w:tcPr>
          <w:p>
            <w:pPr>
              <w:spacing w:after="0"/>
              <w:rPr>
                <w:sz w:val="9"/>
                <w:szCs w:val="9"/>
                <w:color w:val="auto"/>
              </w:rPr>
            </w:pPr>
          </w:p>
        </w:tc>
        <w:tc>
          <w:tcPr>
            <w:tcW w:w="1560" w:type="dxa"/>
            <w:vAlign w:val="bottom"/>
            <w:shd w:val="clear" w:color="auto" w:fill="DBDBDB"/>
          </w:tcPr>
          <w:p>
            <w:pPr>
              <w:spacing w:after="0"/>
              <w:rPr>
                <w:sz w:val="9"/>
                <w:szCs w:val="9"/>
                <w:color w:val="auto"/>
              </w:rPr>
            </w:pPr>
          </w:p>
        </w:tc>
        <w:tc>
          <w:tcPr>
            <w:tcW w:w="100" w:type="dxa"/>
            <w:vAlign w:val="bottom"/>
            <w:shd w:val="clear" w:color="auto" w:fill="DBDBDB"/>
          </w:tcPr>
          <w:p>
            <w:pPr>
              <w:spacing w:after="0"/>
              <w:rPr>
                <w:sz w:val="9"/>
                <w:szCs w:val="9"/>
                <w:color w:val="auto"/>
              </w:rPr>
            </w:pPr>
          </w:p>
        </w:tc>
        <w:tc>
          <w:tcPr>
            <w:tcW w:w="280" w:type="dxa"/>
            <w:vAlign w:val="bottom"/>
            <w:shd w:val="clear" w:color="auto" w:fill="DBDBDB"/>
          </w:tcPr>
          <w:p>
            <w:pPr>
              <w:spacing w:after="0"/>
              <w:rPr>
                <w:sz w:val="9"/>
                <w:szCs w:val="9"/>
                <w:color w:val="auto"/>
              </w:rPr>
            </w:pPr>
          </w:p>
        </w:tc>
        <w:tc>
          <w:tcPr>
            <w:tcW w:w="1520" w:type="dxa"/>
            <w:vAlign w:val="bottom"/>
            <w:shd w:val="clear" w:color="auto" w:fill="DBDBDB"/>
          </w:tcPr>
          <w:p>
            <w:pPr>
              <w:spacing w:after="0"/>
              <w:rPr>
                <w:sz w:val="9"/>
                <w:szCs w:val="9"/>
                <w:color w:val="auto"/>
              </w:rPr>
            </w:pPr>
          </w:p>
        </w:tc>
      </w:tr>
      <w:tr>
        <w:trPr>
          <w:trHeight w:val="175"/>
        </w:trPr>
        <w:tc>
          <w:tcPr>
            <w:tcW w:w="5660" w:type="dxa"/>
            <w:vAlign w:val="bottom"/>
          </w:tcPr>
          <w:p>
            <w:pPr>
              <w:ind w:left="20"/>
              <w:spacing w:after="0"/>
              <w:rPr>
                <w:sz w:val="20"/>
                <w:szCs w:val="20"/>
                <w:color w:val="auto"/>
              </w:rPr>
            </w:pPr>
            <w:r>
              <w:rPr>
                <w:rFonts w:ascii="Arial" w:cs="Arial" w:eastAsia="Arial" w:hAnsi="Arial"/>
                <w:sz w:val="12"/>
                <w:szCs w:val="12"/>
                <w:b w:val="1"/>
                <w:bCs w:val="1"/>
                <w:color w:val="auto"/>
              </w:rPr>
              <w:t>STOCKHOLDERS' EQUITY :</w:t>
            </w: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5"/>
        </w:trPr>
        <w:tc>
          <w:tcPr>
            <w:tcW w:w="5660" w:type="dxa"/>
            <w:vAlign w:val="bottom"/>
            <w:shd w:val="clear" w:color="auto" w:fill="DBDBDB"/>
          </w:tcPr>
          <w:p>
            <w:pPr>
              <w:ind w:left="160"/>
              <w:spacing w:after="0"/>
              <w:rPr>
                <w:sz w:val="20"/>
                <w:szCs w:val="20"/>
                <w:color w:val="auto"/>
              </w:rPr>
            </w:pPr>
            <w:r>
              <w:rPr>
                <w:rFonts w:ascii="Arial" w:cs="Arial" w:eastAsia="Arial" w:hAnsi="Arial"/>
                <w:sz w:val="12"/>
                <w:szCs w:val="12"/>
                <w:color w:val="auto"/>
              </w:rPr>
              <w:t>Preferred stock, $0.01 par value, authorized 50,000,000 shares; none issued and outstanding</w:t>
            </w:r>
          </w:p>
        </w:tc>
        <w:tc>
          <w:tcPr>
            <w:tcW w:w="280" w:type="dxa"/>
            <w:vAlign w:val="bottom"/>
            <w:shd w:val="clear" w:color="auto" w:fill="DBDBDB"/>
          </w:tcPr>
          <w:p>
            <w:pPr>
              <w:spacing w:after="0"/>
              <w:rPr>
                <w:sz w:val="16"/>
                <w:szCs w:val="16"/>
                <w:color w:val="auto"/>
              </w:rPr>
            </w:pPr>
          </w:p>
        </w:tc>
        <w:tc>
          <w:tcPr>
            <w:tcW w:w="1600" w:type="dxa"/>
            <w:vAlign w:val="bottom"/>
            <w:gridSpan w:val="2"/>
            <w:shd w:val="clear" w:color="auto" w:fill="DBDBDB"/>
          </w:tcPr>
          <w:p>
            <w:pPr>
              <w:jc w:val="right"/>
              <w:ind w:right="180"/>
              <w:spacing w:after="0"/>
              <w:rPr>
                <w:sz w:val="20"/>
                <w:szCs w:val="20"/>
                <w:color w:val="auto"/>
              </w:rPr>
            </w:pPr>
            <w:r>
              <w:rPr>
                <w:rFonts w:ascii="Arial" w:cs="Arial" w:eastAsia="Arial" w:hAnsi="Arial"/>
                <w:sz w:val="12"/>
                <w:szCs w:val="12"/>
                <w:b w:val="1"/>
                <w:bCs w:val="1"/>
                <w:color w:val="auto"/>
              </w:rPr>
              <w:t>—</w:t>
            </w:r>
          </w:p>
        </w:tc>
        <w:tc>
          <w:tcPr>
            <w:tcW w:w="240" w:type="dxa"/>
            <w:vAlign w:val="bottom"/>
            <w:shd w:val="clear" w:color="auto" w:fill="DBDBDB"/>
          </w:tcPr>
          <w:p>
            <w:pPr>
              <w:spacing w:after="0"/>
              <w:rPr>
                <w:sz w:val="16"/>
                <w:szCs w:val="16"/>
                <w:color w:val="auto"/>
              </w:rPr>
            </w:pPr>
          </w:p>
        </w:tc>
        <w:tc>
          <w:tcPr>
            <w:tcW w:w="1660" w:type="dxa"/>
            <w:vAlign w:val="bottom"/>
            <w:gridSpan w:val="2"/>
            <w:shd w:val="clear" w:color="auto" w:fill="DBDBDB"/>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DBDBDB"/>
          </w:tcPr>
          <w:p>
            <w:pPr>
              <w:spacing w:after="0"/>
              <w:rPr>
                <w:sz w:val="16"/>
                <w:szCs w:val="16"/>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149"/>
        </w:trPr>
        <w:tc>
          <w:tcPr>
            <w:tcW w:w="5660" w:type="dxa"/>
            <w:vAlign w:val="bottom"/>
          </w:tcPr>
          <w:p>
            <w:pPr>
              <w:ind w:left="160"/>
              <w:spacing w:after="0"/>
              <w:rPr>
                <w:sz w:val="20"/>
                <w:szCs w:val="20"/>
                <w:color w:val="auto"/>
              </w:rPr>
            </w:pPr>
            <w:r>
              <w:rPr>
                <w:rFonts w:ascii="Arial" w:cs="Arial" w:eastAsia="Arial" w:hAnsi="Arial"/>
                <w:sz w:val="12"/>
                <w:szCs w:val="12"/>
                <w:color w:val="auto"/>
              </w:rPr>
              <w:t>Common stock, $0.01 par value, authorized 300,000,000 shares; 66,625,266, 68,332,961, and</w:t>
            </w: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4"/>
        </w:trPr>
        <w:tc>
          <w:tcPr>
            <w:tcW w:w="5660" w:type="dxa"/>
            <w:vAlign w:val="bottom"/>
          </w:tcPr>
          <w:p>
            <w:pPr>
              <w:ind w:left="160"/>
              <w:spacing w:after="0"/>
              <w:rPr>
                <w:sz w:val="20"/>
                <w:szCs w:val="20"/>
                <w:color w:val="auto"/>
              </w:rPr>
            </w:pPr>
            <w:r>
              <w:rPr>
                <w:rFonts w:ascii="Arial" w:cs="Arial" w:eastAsia="Arial" w:hAnsi="Arial"/>
                <w:sz w:val="12"/>
                <w:szCs w:val="12"/>
                <w:color w:val="auto"/>
              </w:rPr>
              <w:t>70,915,916 issued and outstanding as of August 2, 2025, February 1, 2025, and August 3, 2024,</w:t>
            </w: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70"/>
        </w:trPr>
        <w:tc>
          <w:tcPr>
            <w:tcW w:w="5660" w:type="dxa"/>
            <w:vAlign w:val="bottom"/>
          </w:tcPr>
          <w:p>
            <w:pPr>
              <w:ind w:left="160"/>
              <w:spacing w:after="0"/>
              <w:rPr>
                <w:sz w:val="20"/>
                <w:szCs w:val="20"/>
                <w:color w:val="auto"/>
              </w:rPr>
            </w:pPr>
            <w:r>
              <w:rPr>
                <w:rFonts w:ascii="Arial" w:cs="Arial" w:eastAsia="Arial" w:hAnsi="Arial"/>
                <w:sz w:val="12"/>
                <w:szCs w:val="12"/>
                <w:color w:val="auto"/>
              </w:rPr>
              <w:t>respectively.</w:t>
            </w: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2"/>
                <w:szCs w:val="12"/>
                <w:b w:val="1"/>
                <w:bCs w:val="1"/>
                <w:color w:val="auto"/>
              </w:rPr>
              <w:t>666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683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709</w:t>
            </w:r>
          </w:p>
        </w:tc>
      </w:tr>
      <w:tr>
        <w:trPr>
          <w:trHeight w:val="185"/>
        </w:trPr>
        <w:tc>
          <w:tcPr>
            <w:tcW w:w="5660" w:type="dxa"/>
            <w:vAlign w:val="bottom"/>
            <w:shd w:val="clear" w:color="auto" w:fill="DBDBDB"/>
          </w:tcPr>
          <w:p>
            <w:pPr>
              <w:ind w:left="160"/>
              <w:spacing w:after="0"/>
              <w:rPr>
                <w:sz w:val="20"/>
                <w:szCs w:val="20"/>
                <w:color w:val="auto"/>
              </w:rPr>
            </w:pPr>
            <w:r>
              <w:rPr>
                <w:rFonts w:ascii="Arial" w:cs="Arial" w:eastAsia="Arial" w:hAnsi="Arial"/>
                <w:sz w:val="12"/>
                <w:szCs w:val="12"/>
                <w:color w:val="auto"/>
              </w:rPr>
              <w:t>Additional paid-in capital</w:t>
            </w:r>
          </w:p>
        </w:tc>
        <w:tc>
          <w:tcPr>
            <w:tcW w:w="280" w:type="dxa"/>
            <w:vAlign w:val="bottom"/>
            <w:shd w:val="clear" w:color="auto" w:fill="DBDBDB"/>
          </w:tcPr>
          <w:p>
            <w:pPr>
              <w:spacing w:after="0"/>
              <w:rPr>
                <w:sz w:val="16"/>
                <w:szCs w:val="16"/>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255,517</w:t>
            </w:r>
          </w:p>
        </w:tc>
        <w:tc>
          <w:tcPr>
            <w:tcW w:w="12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247,094</w:t>
            </w: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244,584</w:t>
            </w:r>
          </w:p>
        </w:tc>
      </w:tr>
      <w:tr>
        <w:trPr>
          <w:trHeight w:val="175"/>
        </w:trPr>
        <w:tc>
          <w:tcPr>
            <w:tcW w:w="5660" w:type="dxa"/>
            <w:vAlign w:val="bottom"/>
            <w:tcBorders>
              <w:bottom w:val="single" w:sz="8" w:color="DBDBDB"/>
            </w:tcBorders>
          </w:tcPr>
          <w:p>
            <w:pPr>
              <w:ind w:left="160"/>
              <w:spacing w:after="0"/>
              <w:rPr>
                <w:sz w:val="20"/>
                <w:szCs w:val="20"/>
                <w:color w:val="auto"/>
              </w:rPr>
            </w:pPr>
            <w:r>
              <w:rPr>
                <w:rFonts w:ascii="Arial" w:cs="Arial" w:eastAsia="Arial" w:hAnsi="Arial"/>
                <w:sz w:val="12"/>
                <w:szCs w:val="12"/>
                <w:color w:val="auto"/>
              </w:rPr>
              <w:t>Retained earnings</w:t>
            </w: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1,818,967</w:t>
            </w:r>
          </w:p>
        </w:tc>
        <w:tc>
          <w:tcPr>
            <w:tcW w:w="120" w:type="dxa"/>
            <w:vAlign w:val="bottom"/>
            <w:tcBorders>
              <w:bottom w:val="single" w:sz="8" w:color="DBDBDB"/>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1,756,258</w:t>
            </w:r>
          </w:p>
        </w:tc>
        <w:tc>
          <w:tcPr>
            <w:tcW w:w="10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1,707,101</w:t>
            </w:r>
          </w:p>
        </w:tc>
      </w:tr>
      <w:tr>
        <w:trPr>
          <w:trHeight w:val="169"/>
        </w:trPr>
        <w:tc>
          <w:tcPr>
            <w:tcW w:w="5660" w:type="dxa"/>
            <w:vAlign w:val="bottom"/>
            <w:shd w:val="clear" w:color="auto" w:fill="DBDBDB"/>
          </w:tcPr>
          <w:p>
            <w:pPr>
              <w:ind w:left="300"/>
              <w:spacing w:after="0"/>
              <w:rPr>
                <w:sz w:val="20"/>
                <w:szCs w:val="20"/>
                <w:color w:val="auto"/>
              </w:rPr>
            </w:pPr>
            <w:r>
              <w:rPr>
                <w:rFonts w:ascii="Arial" w:cs="Arial" w:eastAsia="Arial" w:hAnsi="Arial"/>
                <w:sz w:val="12"/>
                <w:szCs w:val="12"/>
                <w:b w:val="1"/>
                <w:bCs w:val="1"/>
                <w:color w:val="auto"/>
              </w:rPr>
              <w:t>Stockholders' equity</w:t>
            </w:r>
          </w:p>
        </w:tc>
        <w:tc>
          <w:tcPr>
            <w:tcW w:w="280" w:type="dxa"/>
            <w:vAlign w:val="bottom"/>
            <w:tcBorders>
              <w:bottom w:val="single" w:sz="8" w:color="auto"/>
            </w:tcBorders>
            <w:shd w:val="clear" w:color="auto" w:fill="DBDBDB"/>
          </w:tcPr>
          <w:p>
            <w:pPr>
              <w:spacing w:after="0"/>
              <w:rPr>
                <w:sz w:val="14"/>
                <w:szCs w:val="14"/>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2,075,150</w:t>
            </w:r>
          </w:p>
        </w:tc>
        <w:tc>
          <w:tcPr>
            <w:tcW w:w="120" w:type="dxa"/>
            <w:vAlign w:val="bottom"/>
            <w:shd w:val="clear" w:color="auto" w:fill="DBDBDB"/>
          </w:tcPr>
          <w:p>
            <w:pPr>
              <w:spacing w:after="0"/>
              <w:rPr>
                <w:sz w:val="14"/>
                <w:szCs w:val="14"/>
                <w:color w:val="auto"/>
              </w:rPr>
            </w:pPr>
          </w:p>
        </w:tc>
        <w:tc>
          <w:tcPr>
            <w:tcW w:w="240" w:type="dxa"/>
            <w:vAlign w:val="bottom"/>
            <w:tcBorders>
              <w:bottom w:val="single" w:sz="8" w:color="auto"/>
            </w:tcBorders>
            <w:shd w:val="clear" w:color="auto" w:fill="DBDBDB"/>
          </w:tcPr>
          <w:p>
            <w:pPr>
              <w:spacing w:after="0"/>
              <w:rPr>
                <w:sz w:val="14"/>
                <w:szCs w:val="14"/>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2,004,035</w:t>
            </w:r>
          </w:p>
        </w:tc>
        <w:tc>
          <w:tcPr>
            <w:tcW w:w="100" w:type="dxa"/>
            <w:vAlign w:val="bottom"/>
            <w:shd w:val="clear" w:color="auto" w:fill="DBDBDB"/>
          </w:tcPr>
          <w:p>
            <w:pPr>
              <w:spacing w:after="0"/>
              <w:rPr>
                <w:sz w:val="14"/>
                <w:szCs w:val="14"/>
                <w:color w:val="auto"/>
              </w:rPr>
            </w:pPr>
          </w:p>
        </w:tc>
        <w:tc>
          <w:tcPr>
            <w:tcW w:w="280" w:type="dxa"/>
            <w:vAlign w:val="bottom"/>
            <w:tcBorders>
              <w:bottom w:val="single" w:sz="8" w:color="auto"/>
            </w:tcBorders>
            <w:shd w:val="clear" w:color="auto" w:fill="DBDBDB"/>
          </w:tcPr>
          <w:p>
            <w:pPr>
              <w:spacing w:after="0"/>
              <w:rPr>
                <w:sz w:val="14"/>
                <w:szCs w:val="14"/>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1,952,394</w:t>
            </w:r>
          </w:p>
        </w:tc>
      </w:tr>
      <w:tr>
        <w:trPr>
          <w:trHeight w:val="174"/>
        </w:trPr>
        <w:tc>
          <w:tcPr>
            <w:tcW w:w="5660" w:type="dxa"/>
            <w:vAlign w:val="bottom"/>
          </w:tcPr>
          <w:p>
            <w:pPr>
              <w:ind w:left="300"/>
              <w:spacing w:after="0"/>
              <w:rPr>
                <w:sz w:val="20"/>
                <w:szCs w:val="20"/>
                <w:color w:val="auto"/>
              </w:rPr>
            </w:pPr>
            <w:r>
              <w:rPr>
                <w:rFonts w:ascii="Arial" w:cs="Arial" w:eastAsia="Arial" w:hAnsi="Arial"/>
                <w:sz w:val="12"/>
                <w:szCs w:val="12"/>
                <w:b w:val="1"/>
                <w:bCs w:val="1"/>
                <w:color w:val="auto"/>
              </w:rPr>
              <w:t>Total liabilities and stockholders' equity</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5,275,983</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4,900,963</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4,874,358</w:t>
            </w: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3599815</wp:posOffset>
            </wp:positionH>
            <wp:positionV relativeFrom="paragraph">
              <wp:posOffset>-4428490</wp:posOffset>
            </wp:positionV>
            <wp:extent cx="354330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43300" cy="5715"/>
                    </a:xfrm>
                    <a:prstGeom prst="rect">
                      <a:avLst/>
                    </a:prstGeom>
                    <a:noFill/>
                  </pic:spPr>
                </pic:pic>
              </a:graphicData>
            </a:graphic>
          </wp:anchor>
        </w:drawing>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w:t>
      </w:r>
    </w:p>
    <w:p>
      <w:pPr>
        <w:sectPr>
          <w:pgSz w:w="11900" w:h="16838" w:orient="portrait"/>
          <w:cols w:equalWidth="0" w:num="1">
            <w:col w:w="11280"/>
          </w:cols>
          <w:pgMar w:left="320" w:top="550" w:right="29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2"/>
          <w:szCs w:val="12"/>
          <w:b w:val="1"/>
          <w:bCs w:val="1"/>
          <w:color w:val="auto"/>
        </w:rPr>
        <w:t>ACADEMY SPORTS AND OUTDOORS, INC.</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CONSOLIDATED STATEMENTS OF CASH FLOWS</w:t>
      </w:r>
    </w:p>
    <w:p>
      <w:pPr>
        <w:jc w:val="center"/>
        <w:ind w:right="40"/>
        <w:spacing w:after="0" w:line="234" w:lineRule="auto"/>
        <w:rPr>
          <w:sz w:val="20"/>
          <w:szCs w:val="20"/>
          <w:color w:val="auto"/>
        </w:rPr>
      </w:pPr>
      <w:r>
        <w:rPr>
          <w:rFonts w:ascii="Arial" w:cs="Arial" w:eastAsia="Arial" w:hAnsi="Arial"/>
          <w:sz w:val="12"/>
          <w:szCs w:val="12"/>
          <w:b w:val="1"/>
          <w:bCs w:val="1"/>
          <w:color w:val="auto"/>
        </w:rPr>
        <w:t>(Unaudited)</w:t>
      </w:r>
    </w:p>
    <w:p>
      <w:pPr>
        <w:jc w:val="center"/>
        <w:ind w:right="40"/>
        <w:spacing w:after="0"/>
        <w:rPr>
          <w:sz w:val="20"/>
          <w:szCs w:val="20"/>
          <w:color w:val="auto"/>
        </w:rPr>
      </w:pPr>
      <w:r>
        <w:rPr>
          <w:rFonts w:ascii="Arial" w:cs="Arial" w:eastAsia="Arial" w:hAnsi="Arial"/>
          <w:sz w:val="12"/>
          <w:szCs w:val="12"/>
          <w:b w:val="1"/>
          <w:bCs w:val="1"/>
          <w:color w:val="auto"/>
        </w:rPr>
        <w:t>(Amounts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spacing w:after="0"/>
              <w:rPr>
                <w:sz w:val="16"/>
                <w:szCs w:val="16"/>
                <w:color w:val="auto"/>
              </w:rPr>
            </w:pPr>
          </w:p>
        </w:tc>
        <w:tc>
          <w:tcPr>
            <w:tcW w:w="240" w:type="dxa"/>
            <w:vAlign w:val="bottom"/>
            <w:shd w:val="clear" w:color="auto" w:fill="0A2299"/>
          </w:tcPr>
          <w:p>
            <w:pPr>
              <w:spacing w:after="0"/>
              <w:rPr>
                <w:sz w:val="16"/>
                <w:szCs w:val="16"/>
                <w:color w:val="auto"/>
              </w:rPr>
            </w:pPr>
          </w:p>
        </w:tc>
        <w:tc>
          <w:tcPr>
            <w:tcW w:w="3380" w:type="dxa"/>
            <w:vAlign w:val="bottom"/>
            <w:gridSpan w:val="4"/>
            <w:shd w:val="clear" w:color="auto" w:fill="0A2299"/>
          </w:tcPr>
          <w:p>
            <w:pPr>
              <w:jc w:val="right"/>
              <w:ind w:right="1040"/>
              <w:spacing w:after="0"/>
              <w:rPr>
                <w:sz w:val="20"/>
                <w:szCs w:val="20"/>
                <w:color w:val="auto"/>
              </w:rPr>
            </w:pPr>
            <w:r>
              <w:rPr>
                <w:rFonts w:ascii="Arial" w:cs="Arial" w:eastAsia="Arial" w:hAnsi="Arial"/>
                <w:sz w:val="12"/>
                <w:szCs w:val="12"/>
                <w:b w:val="1"/>
                <w:bCs w:val="1"/>
                <w:color w:val="FFFFFF"/>
              </w:rPr>
              <w:t>Twenty-Six Weeks Ended</w:t>
            </w:r>
          </w:p>
        </w:tc>
        <w:tc>
          <w:tcPr>
            <w:tcW w:w="40" w:type="dxa"/>
            <w:vAlign w:val="bottom"/>
          </w:tcPr>
          <w:p>
            <w:pPr>
              <w:spacing w:after="0"/>
              <w:rPr>
                <w:sz w:val="16"/>
                <w:szCs w:val="16"/>
                <w:color w:val="auto"/>
              </w:rPr>
            </w:pPr>
          </w:p>
        </w:tc>
      </w:tr>
      <w:tr>
        <w:trPr>
          <w:trHeight w:val="184"/>
        </w:trPr>
        <w:tc>
          <w:tcPr>
            <w:tcW w:w="7620" w:type="dxa"/>
            <w:vAlign w:val="bottom"/>
          </w:tcPr>
          <w:p>
            <w:pPr>
              <w:spacing w:after="0"/>
              <w:rPr>
                <w:sz w:val="16"/>
                <w:szCs w:val="16"/>
                <w:color w:val="auto"/>
              </w:rPr>
            </w:pPr>
          </w:p>
        </w:tc>
        <w:tc>
          <w:tcPr>
            <w:tcW w:w="240" w:type="dxa"/>
            <w:vAlign w:val="bottom"/>
            <w:shd w:val="clear" w:color="auto" w:fill="0A2299"/>
          </w:tcPr>
          <w:p>
            <w:pPr>
              <w:spacing w:after="0"/>
              <w:rPr>
                <w:sz w:val="16"/>
                <w:szCs w:val="16"/>
                <w:color w:val="auto"/>
              </w:rPr>
            </w:pPr>
          </w:p>
        </w:tc>
        <w:tc>
          <w:tcPr>
            <w:tcW w:w="1580" w:type="dxa"/>
            <w:vAlign w:val="bottom"/>
            <w:gridSpan w:val="2"/>
            <w:shd w:val="clear" w:color="auto" w:fill="0A2299"/>
          </w:tcPr>
          <w:p>
            <w:pPr>
              <w:ind w:left="180"/>
              <w:spacing w:after="0"/>
              <w:rPr>
                <w:sz w:val="20"/>
                <w:szCs w:val="20"/>
                <w:color w:val="auto"/>
              </w:rPr>
            </w:pPr>
            <w:r>
              <w:rPr>
                <w:rFonts w:ascii="Arial" w:cs="Arial" w:eastAsia="Arial" w:hAnsi="Arial"/>
                <w:sz w:val="12"/>
                <w:szCs w:val="12"/>
                <w:b w:val="1"/>
                <w:bCs w:val="1"/>
                <w:color w:val="FFFFFF"/>
              </w:rPr>
              <w:t>August 2, 2025</w:t>
            </w:r>
          </w:p>
        </w:tc>
        <w:tc>
          <w:tcPr>
            <w:tcW w:w="280" w:type="dxa"/>
            <w:vAlign w:val="bottom"/>
            <w:shd w:val="clear" w:color="auto" w:fill="0A2299"/>
          </w:tcPr>
          <w:p>
            <w:pPr>
              <w:spacing w:after="0"/>
              <w:rPr>
                <w:sz w:val="16"/>
                <w:szCs w:val="16"/>
                <w:color w:val="auto"/>
              </w:rPr>
            </w:pPr>
          </w:p>
        </w:tc>
        <w:tc>
          <w:tcPr>
            <w:tcW w:w="1520" w:type="dxa"/>
            <w:vAlign w:val="bottom"/>
            <w:shd w:val="clear" w:color="auto" w:fill="0A2299"/>
          </w:tcPr>
          <w:p>
            <w:pPr>
              <w:jc w:val="right"/>
              <w:ind w:right="420"/>
              <w:spacing w:after="0"/>
              <w:rPr>
                <w:sz w:val="20"/>
                <w:szCs w:val="20"/>
                <w:color w:val="auto"/>
              </w:rPr>
            </w:pPr>
            <w:r>
              <w:rPr>
                <w:rFonts w:ascii="Arial" w:cs="Arial" w:eastAsia="Arial" w:hAnsi="Arial"/>
                <w:sz w:val="12"/>
                <w:szCs w:val="12"/>
                <w:b w:val="1"/>
                <w:bCs w:val="1"/>
                <w:color w:val="FFFFFF"/>
              </w:rPr>
              <w:t>August 3, 2024</w:t>
            </w:r>
          </w:p>
        </w:tc>
        <w:tc>
          <w:tcPr>
            <w:tcW w:w="40" w:type="dxa"/>
            <w:vAlign w:val="bottom"/>
          </w:tcPr>
          <w:p>
            <w:pPr>
              <w:spacing w:after="0"/>
              <w:rPr>
                <w:sz w:val="16"/>
                <w:szCs w:val="16"/>
                <w:color w:val="auto"/>
              </w:rPr>
            </w:pPr>
          </w:p>
        </w:tc>
      </w:tr>
      <w:tr>
        <w:trPr>
          <w:trHeight w:val="180"/>
        </w:trPr>
        <w:tc>
          <w:tcPr>
            <w:tcW w:w="7620" w:type="dxa"/>
            <w:vAlign w:val="bottom"/>
            <w:shd w:val="clear" w:color="auto" w:fill="DBDBDB"/>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24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520" w:type="dxa"/>
            <w:vAlign w:val="bottom"/>
            <w:shd w:val="clear" w:color="auto" w:fill="DBDBDB"/>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7620" w:type="dxa"/>
            <w:vAlign w:val="bottom"/>
          </w:tcPr>
          <w:p>
            <w:pPr>
              <w:ind w:left="160"/>
              <w:spacing w:after="0"/>
              <w:rPr>
                <w:sz w:val="20"/>
                <w:szCs w:val="20"/>
                <w:color w:val="auto"/>
              </w:rPr>
            </w:pPr>
            <w:r>
              <w:rPr>
                <w:rFonts w:ascii="Arial" w:cs="Arial" w:eastAsia="Arial" w:hAnsi="Arial"/>
                <w:sz w:val="12"/>
                <w:szCs w:val="12"/>
                <w:color w:val="auto"/>
              </w:rPr>
              <w:t>Net income</w:t>
            </w:r>
          </w:p>
        </w:tc>
        <w:tc>
          <w:tcPr>
            <w:tcW w:w="240" w:type="dxa"/>
            <w:vAlign w:val="bottom"/>
          </w:tcPr>
          <w:p>
            <w:pPr>
              <w:jc w:val="right"/>
              <w:ind w:right="100"/>
              <w:spacing w:after="0"/>
              <w:rPr>
                <w:sz w:val="20"/>
                <w:szCs w:val="20"/>
                <w:color w:val="auto"/>
              </w:rPr>
            </w:pPr>
            <w:r>
              <w:rPr>
                <w:rFonts w:ascii="Arial" w:cs="Arial" w:eastAsia="Arial" w:hAnsi="Arial"/>
                <w:sz w:val="12"/>
                <w:szCs w:val="12"/>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171,518</w:t>
            </w:r>
          </w:p>
        </w:tc>
        <w:tc>
          <w:tcPr>
            <w:tcW w:w="14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219,053</w:t>
            </w:r>
          </w:p>
        </w:tc>
        <w:tc>
          <w:tcPr>
            <w:tcW w:w="40" w:type="dxa"/>
            <w:vAlign w:val="bottom"/>
          </w:tcPr>
          <w:p>
            <w:pPr>
              <w:spacing w:after="0"/>
              <w:rPr>
                <w:sz w:val="15"/>
                <w:szCs w:val="15"/>
                <w:color w:val="auto"/>
              </w:rPr>
            </w:pPr>
          </w:p>
        </w:tc>
      </w:tr>
      <w:tr>
        <w:trPr>
          <w:trHeight w:val="185"/>
        </w:trPr>
        <w:tc>
          <w:tcPr>
            <w:tcW w:w="7620" w:type="dxa"/>
            <w:vAlign w:val="bottom"/>
            <w:shd w:val="clear" w:color="auto" w:fill="DBDBDB"/>
          </w:tcPr>
          <w:p>
            <w:pPr>
              <w:ind w:left="16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240" w:type="dxa"/>
            <w:vAlign w:val="bottom"/>
            <w:shd w:val="clear" w:color="auto" w:fill="DBDBDB"/>
          </w:tcPr>
          <w:p>
            <w:pPr>
              <w:spacing w:after="0"/>
              <w:rPr>
                <w:sz w:val="16"/>
                <w:szCs w:val="16"/>
                <w:color w:val="auto"/>
              </w:rPr>
            </w:pPr>
          </w:p>
        </w:tc>
        <w:tc>
          <w:tcPr>
            <w:tcW w:w="14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520" w:type="dxa"/>
            <w:vAlign w:val="bottom"/>
            <w:shd w:val="clear" w:color="auto" w:fill="DBDBDB"/>
          </w:tcPr>
          <w:p>
            <w:pPr>
              <w:spacing w:after="0"/>
              <w:rPr>
                <w:sz w:val="16"/>
                <w:szCs w:val="16"/>
                <w:color w:val="auto"/>
              </w:rPr>
            </w:pPr>
          </w:p>
        </w:tc>
        <w:tc>
          <w:tcPr>
            <w:tcW w:w="40" w:type="dxa"/>
            <w:vAlign w:val="bottom"/>
          </w:tcPr>
          <w:p>
            <w:pPr>
              <w:spacing w:after="0"/>
              <w:rPr>
                <w:sz w:val="16"/>
                <w:szCs w:val="16"/>
                <w:color w:val="auto"/>
              </w:rPr>
            </w:pPr>
          </w:p>
        </w:tc>
      </w:tr>
      <w:tr>
        <w:trPr>
          <w:trHeight w:val="175"/>
        </w:trPr>
        <w:tc>
          <w:tcPr>
            <w:tcW w:w="7620" w:type="dxa"/>
            <w:vAlign w:val="bottom"/>
          </w:tcPr>
          <w:p>
            <w:pPr>
              <w:ind w:left="300"/>
              <w:spacing w:after="0"/>
              <w:rPr>
                <w:sz w:val="20"/>
                <w:szCs w:val="20"/>
                <w:color w:val="auto"/>
              </w:rPr>
            </w:pPr>
            <w:r>
              <w:rPr>
                <w:rFonts w:ascii="Arial" w:cs="Arial" w:eastAsia="Arial" w:hAnsi="Arial"/>
                <w:sz w:val="12"/>
                <w:szCs w:val="12"/>
                <w:color w:val="auto"/>
              </w:rPr>
              <w:t>Depreciation and amortization</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61,171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57,771</w:t>
            </w:r>
          </w:p>
        </w:tc>
        <w:tc>
          <w:tcPr>
            <w:tcW w:w="40" w:type="dxa"/>
            <w:vAlign w:val="bottom"/>
          </w:tcPr>
          <w:p>
            <w:pPr>
              <w:spacing w:after="0"/>
              <w:rPr>
                <w:sz w:val="15"/>
                <w:szCs w:val="15"/>
                <w:color w:val="auto"/>
              </w:rPr>
            </w:pPr>
          </w:p>
        </w:tc>
      </w:tr>
      <w:tr>
        <w:trPr>
          <w:trHeight w:val="185"/>
        </w:trPr>
        <w:tc>
          <w:tcPr>
            <w:tcW w:w="7620" w:type="dxa"/>
            <w:vAlign w:val="bottom"/>
            <w:shd w:val="clear" w:color="auto" w:fill="DBDBDB"/>
          </w:tcPr>
          <w:p>
            <w:pPr>
              <w:ind w:left="300"/>
              <w:spacing w:after="0"/>
              <w:rPr>
                <w:sz w:val="20"/>
                <w:szCs w:val="20"/>
                <w:color w:val="auto"/>
              </w:rPr>
            </w:pPr>
            <w:r>
              <w:rPr>
                <w:rFonts w:ascii="Arial" w:cs="Arial" w:eastAsia="Arial" w:hAnsi="Arial"/>
                <w:sz w:val="12"/>
                <w:szCs w:val="12"/>
                <w:color w:val="auto"/>
              </w:rPr>
              <w:t>Non-cash lease expense</w:t>
            </w:r>
          </w:p>
        </w:tc>
        <w:tc>
          <w:tcPr>
            <w:tcW w:w="240" w:type="dxa"/>
            <w:vAlign w:val="bottom"/>
            <w:shd w:val="clear" w:color="auto" w:fill="DBDBDB"/>
          </w:tcPr>
          <w:p>
            <w:pPr>
              <w:spacing w:after="0"/>
              <w:rPr>
                <w:sz w:val="16"/>
                <w:szCs w:val="16"/>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22,487</w:t>
            </w:r>
          </w:p>
        </w:tc>
        <w:tc>
          <w:tcPr>
            <w:tcW w:w="1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7,271</w:t>
            </w:r>
          </w:p>
        </w:tc>
        <w:tc>
          <w:tcPr>
            <w:tcW w:w="40" w:type="dxa"/>
            <w:vAlign w:val="bottom"/>
          </w:tcPr>
          <w:p>
            <w:pPr>
              <w:spacing w:after="0"/>
              <w:rPr>
                <w:sz w:val="16"/>
                <w:szCs w:val="16"/>
                <w:color w:val="auto"/>
              </w:rPr>
            </w:pPr>
          </w:p>
        </w:tc>
      </w:tr>
      <w:tr>
        <w:trPr>
          <w:trHeight w:val="175"/>
        </w:trPr>
        <w:tc>
          <w:tcPr>
            <w:tcW w:w="7620" w:type="dxa"/>
            <w:vAlign w:val="bottom"/>
          </w:tcPr>
          <w:p>
            <w:pPr>
              <w:ind w:left="300"/>
              <w:spacing w:after="0"/>
              <w:rPr>
                <w:sz w:val="20"/>
                <w:szCs w:val="20"/>
                <w:color w:val="auto"/>
              </w:rPr>
            </w:pPr>
            <w:r>
              <w:rPr>
                <w:rFonts w:ascii="Arial" w:cs="Arial" w:eastAsia="Arial" w:hAnsi="Arial"/>
                <w:sz w:val="12"/>
                <w:szCs w:val="12"/>
                <w:color w:val="auto"/>
              </w:rPr>
              <w:t>Equity compensation</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15,144</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14,093</w:t>
            </w:r>
          </w:p>
        </w:tc>
        <w:tc>
          <w:tcPr>
            <w:tcW w:w="40" w:type="dxa"/>
            <w:vAlign w:val="bottom"/>
          </w:tcPr>
          <w:p>
            <w:pPr>
              <w:spacing w:after="0"/>
              <w:rPr>
                <w:sz w:val="15"/>
                <w:szCs w:val="15"/>
                <w:color w:val="auto"/>
              </w:rPr>
            </w:pPr>
          </w:p>
        </w:tc>
      </w:tr>
      <w:tr>
        <w:trPr>
          <w:trHeight w:val="185"/>
        </w:trPr>
        <w:tc>
          <w:tcPr>
            <w:tcW w:w="7620" w:type="dxa"/>
            <w:vAlign w:val="bottom"/>
            <w:shd w:val="clear" w:color="auto" w:fill="DBDBDB"/>
          </w:tcPr>
          <w:p>
            <w:pPr>
              <w:ind w:left="300"/>
              <w:spacing w:after="0"/>
              <w:rPr>
                <w:sz w:val="20"/>
                <w:szCs w:val="20"/>
                <w:color w:val="auto"/>
              </w:rPr>
            </w:pPr>
            <w:r>
              <w:rPr>
                <w:rFonts w:ascii="Arial" w:cs="Arial" w:eastAsia="Arial" w:hAnsi="Arial"/>
                <w:sz w:val="12"/>
                <w:szCs w:val="12"/>
                <w:color w:val="auto"/>
              </w:rPr>
              <w:t>Amortization of deferred loan and other costs</w:t>
            </w:r>
          </w:p>
        </w:tc>
        <w:tc>
          <w:tcPr>
            <w:tcW w:w="240" w:type="dxa"/>
            <w:vAlign w:val="bottom"/>
            <w:shd w:val="clear" w:color="auto" w:fill="DBDBDB"/>
          </w:tcPr>
          <w:p>
            <w:pPr>
              <w:spacing w:after="0"/>
              <w:rPr>
                <w:sz w:val="16"/>
                <w:szCs w:val="16"/>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1,292</w:t>
            </w:r>
          </w:p>
        </w:tc>
        <w:tc>
          <w:tcPr>
            <w:tcW w:w="1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1,279</w:t>
            </w:r>
          </w:p>
        </w:tc>
        <w:tc>
          <w:tcPr>
            <w:tcW w:w="40" w:type="dxa"/>
            <w:vAlign w:val="bottom"/>
          </w:tcPr>
          <w:p>
            <w:pPr>
              <w:spacing w:after="0"/>
              <w:rPr>
                <w:sz w:val="16"/>
                <w:szCs w:val="16"/>
                <w:color w:val="auto"/>
              </w:rPr>
            </w:pPr>
          </w:p>
        </w:tc>
      </w:tr>
      <w:tr>
        <w:trPr>
          <w:trHeight w:val="175"/>
        </w:trPr>
        <w:tc>
          <w:tcPr>
            <w:tcW w:w="7620" w:type="dxa"/>
            <w:vAlign w:val="bottom"/>
          </w:tcPr>
          <w:p>
            <w:pPr>
              <w:ind w:left="300"/>
              <w:spacing w:after="0"/>
              <w:rPr>
                <w:sz w:val="20"/>
                <w:szCs w:val="20"/>
                <w:color w:val="auto"/>
              </w:rPr>
            </w:pPr>
            <w:r>
              <w:rPr>
                <w:rFonts w:ascii="Arial" w:cs="Arial" w:eastAsia="Arial" w:hAnsi="Arial"/>
                <w:sz w:val="12"/>
                <w:szCs w:val="12"/>
                <w:color w:val="auto"/>
              </w:rPr>
              <w:t>Deferred income taxes</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13,686</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(1,876)</w:t>
            </w:r>
          </w:p>
        </w:tc>
        <w:tc>
          <w:tcPr>
            <w:tcW w:w="40" w:type="dxa"/>
            <w:vAlign w:val="bottom"/>
          </w:tcPr>
          <w:p>
            <w:pPr>
              <w:spacing w:after="0"/>
              <w:rPr>
                <w:sz w:val="15"/>
                <w:szCs w:val="15"/>
                <w:color w:val="auto"/>
              </w:rPr>
            </w:pPr>
          </w:p>
        </w:tc>
      </w:tr>
      <w:tr>
        <w:trPr>
          <w:trHeight w:val="185"/>
        </w:trPr>
        <w:tc>
          <w:tcPr>
            <w:tcW w:w="7620" w:type="dxa"/>
            <w:vAlign w:val="bottom"/>
            <w:shd w:val="clear" w:color="auto" w:fill="DBDBDB"/>
          </w:tcPr>
          <w:p>
            <w:pPr>
              <w:ind w:left="300"/>
              <w:spacing w:after="0"/>
              <w:rPr>
                <w:sz w:val="20"/>
                <w:szCs w:val="20"/>
                <w:color w:val="auto"/>
              </w:rPr>
            </w:pPr>
            <w:r>
              <w:rPr>
                <w:rFonts w:ascii="Arial" w:cs="Arial" w:eastAsia="Arial" w:hAnsi="Arial"/>
                <w:sz w:val="12"/>
                <w:szCs w:val="12"/>
                <w:color w:val="auto"/>
              </w:rPr>
              <w:t>Write off of deferred loan costs</w:t>
            </w:r>
          </w:p>
        </w:tc>
        <w:tc>
          <w:tcPr>
            <w:tcW w:w="240" w:type="dxa"/>
            <w:vAlign w:val="bottom"/>
            <w:shd w:val="clear" w:color="auto" w:fill="DBDBDB"/>
          </w:tcPr>
          <w:p>
            <w:pPr>
              <w:spacing w:after="0"/>
              <w:rPr>
                <w:sz w:val="16"/>
                <w:szCs w:val="16"/>
                <w:color w:val="auto"/>
              </w:rPr>
            </w:pPr>
          </w:p>
        </w:tc>
        <w:tc>
          <w:tcPr>
            <w:tcW w:w="1580" w:type="dxa"/>
            <w:vAlign w:val="bottom"/>
            <w:gridSpan w:val="2"/>
            <w:shd w:val="clear" w:color="auto" w:fill="DBDBDB"/>
          </w:tcPr>
          <w:p>
            <w:pPr>
              <w:jc w:val="right"/>
              <w:ind w:right="200"/>
              <w:spacing w:after="0"/>
              <w:rPr>
                <w:sz w:val="20"/>
                <w:szCs w:val="20"/>
                <w:color w:val="auto"/>
              </w:rPr>
            </w:pPr>
            <w:r>
              <w:rPr>
                <w:rFonts w:ascii="Arial" w:cs="Arial" w:eastAsia="Arial" w:hAnsi="Arial"/>
                <w:sz w:val="12"/>
                <w:szCs w:val="12"/>
                <w:b w:val="1"/>
                <w:bCs w:val="1"/>
                <w:color w:val="auto"/>
              </w:rPr>
              <w:t>—</w:t>
            </w:r>
          </w:p>
        </w:tc>
        <w:tc>
          <w:tcPr>
            <w:tcW w:w="280" w:type="dxa"/>
            <w:vAlign w:val="bottom"/>
            <w:shd w:val="clear" w:color="auto" w:fill="DBDBDB"/>
          </w:tcPr>
          <w:p>
            <w:pPr>
              <w:spacing w:after="0"/>
              <w:rPr>
                <w:sz w:val="16"/>
                <w:szCs w:val="16"/>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449</w:t>
            </w:r>
          </w:p>
        </w:tc>
        <w:tc>
          <w:tcPr>
            <w:tcW w:w="40" w:type="dxa"/>
            <w:vAlign w:val="bottom"/>
          </w:tcPr>
          <w:p>
            <w:pPr>
              <w:spacing w:after="0"/>
              <w:rPr>
                <w:sz w:val="16"/>
                <w:szCs w:val="16"/>
                <w:color w:val="auto"/>
              </w:rPr>
            </w:pPr>
          </w:p>
        </w:tc>
      </w:tr>
      <w:tr>
        <w:trPr>
          <w:trHeight w:val="172"/>
        </w:trPr>
        <w:tc>
          <w:tcPr>
            <w:tcW w:w="7620" w:type="dxa"/>
            <w:vAlign w:val="bottom"/>
          </w:tcPr>
          <w:p>
            <w:pPr>
              <w:ind w:left="300"/>
              <w:spacing w:after="0"/>
              <w:rPr>
                <w:sz w:val="20"/>
                <w:szCs w:val="20"/>
                <w:color w:val="auto"/>
              </w:rPr>
            </w:pPr>
            <w:r>
              <w:rPr>
                <w:rFonts w:ascii="Arial" w:cs="Arial" w:eastAsia="Arial" w:hAnsi="Arial"/>
                <w:sz w:val="12"/>
                <w:szCs w:val="12"/>
                <w:color w:val="auto"/>
              </w:rPr>
              <w:t>Changes in assets and liabilities:</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8"/>
        </w:trPr>
        <w:tc>
          <w:tcPr>
            <w:tcW w:w="7620" w:type="dxa"/>
            <w:vAlign w:val="bottom"/>
            <w:shd w:val="clear" w:color="auto" w:fill="DBDBDB"/>
          </w:tcPr>
          <w:p>
            <w:pPr>
              <w:ind w:left="440"/>
              <w:spacing w:after="0"/>
              <w:rPr>
                <w:sz w:val="20"/>
                <w:szCs w:val="20"/>
                <w:color w:val="auto"/>
              </w:rPr>
            </w:pPr>
            <w:r>
              <w:rPr>
                <w:rFonts w:ascii="Arial" w:cs="Arial" w:eastAsia="Arial" w:hAnsi="Arial"/>
                <w:sz w:val="12"/>
                <w:szCs w:val="12"/>
                <w:color w:val="auto"/>
              </w:rPr>
              <w:t>Accounts receivable, net</w:t>
            </w:r>
          </w:p>
        </w:tc>
        <w:tc>
          <w:tcPr>
            <w:tcW w:w="240" w:type="dxa"/>
            <w:vAlign w:val="bottom"/>
            <w:shd w:val="clear" w:color="auto" w:fill="DBDBDB"/>
          </w:tcPr>
          <w:p>
            <w:pPr>
              <w:spacing w:after="0"/>
              <w:rPr>
                <w:sz w:val="16"/>
                <w:szCs w:val="16"/>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(2,421)</w:t>
            </w:r>
          </w:p>
        </w:tc>
        <w:tc>
          <w:tcPr>
            <w:tcW w:w="1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6,559</w:t>
            </w:r>
          </w:p>
        </w:tc>
        <w:tc>
          <w:tcPr>
            <w:tcW w:w="40" w:type="dxa"/>
            <w:vAlign w:val="bottom"/>
          </w:tcPr>
          <w:p>
            <w:pPr>
              <w:spacing w:after="0"/>
              <w:rPr>
                <w:sz w:val="16"/>
                <w:szCs w:val="16"/>
                <w:color w:val="auto"/>
              </w:rPr>
            </w:pPr>
          </w:p>
        </w:tc>
      </w:tr>
      <w:tr>
        <w:trPr>
          <w:trHeight w:val="175"/>
        </w:trPr>
        <w:tc>
          <w:tcPr>
            <w:tcW w:w="7620" w:type="dxa"/>
            <w:vAlign w:val="bottom"/>
          </w:tcPr>
          <w:p>
            <w:pPr>
              <w:ind w:left="440"/>
              <w:spacing w:after="0"/>
              <w:rPr>
                <w:sz w:val="20"/>
                <w:szCs w:val="20"/>
                <w:color w:val="auto"/>
              </w:rPr>
            </w:pPr>
            <w:r>
              <w:rPr>
                <w:rFonts w:ascii="Arial" w:cs="Arial" w:eastAsia="Arial" w:hAnsi="Arial"/>
                <w:sz w:val="12"/>
                <w:szCs w:val="12"/>
                <w:color w:val="auto"/>
              </w:rPr>
              <w:t>Merchandise inventories, net</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(278,784)</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(172,457)</w:t>
            </w:r>
          </w:p>
        </w:tc>
        <w:tc>
          <w:tcPr>
            <w:tcW w:w="40" w:type="dxa"/>
            <w:vAlign w:val="bottom"/>
          </w:tcPr>
          <w:p>
            <w:pPr>
              <w:spacing w:after="0"/>
              <w:rPr>
                <w:sz w:val="15"/>
                <w:szCs w:val="15"/>
                <w:color w:val="auto"/>
              </w:rPr>
            </w:pPr>
          </w:p>
        </w:tc>
      </w:tr>
      <w:tr>
        <w:trPr>
          <w:trHeight w:val="185"/>
        </w:trPr>
        <w:tc>
          <w:tcPr>
            <w:tcW w:w="7620" w:type="dxa"/>
            <w:vAlign w:val="bottom"/>
            <w:shd w:val="clear" w:color="auto" w:fill="DBDBDB"/>
          </w:tcPr>
          <w:p>
            <w:pPr>
              <w:ind w:left="440"/>
              <w:spacing w:after="0"/>
              <w:rPr>
                <w:sz w:val="20"/>
                <w:szCs w:val="20"/>
                <w:color w:val="auto"/>
              </w:rPr>
            </w:pPr>
            <w:r>
              <w:rPr>
                <w:rFonts w:ascii="Arial" w:cs="Arial" w:eastAsia="Arial" w:hAnsi="Arial"/>
                <w:sz w:val="12"/>
                <w:szCs w:val="12"/>
                <w:color w:val="auto"/>
              </w:rPr>
              <w:t>Prepaid expenses and other current assets</w:t>
            </w:r>
          </w:p>
        </w:tc>
        <w:tc>
          <w:tcPr>
            <w:tcW w:w="240" w:type="dxa"/>
            <w:vAlign w:val="bottom"/>
            <w:shd w:val="clear" w:color="auto" w:fill="DBDBDB"/>
          </w:tcPr>
          <w:p>
            <w:pPr>
              <w:spacing w:after="0"/>
              <w:rPr>
                <w:sz w:val="16"/>
                <w:szCs w:val="16"/>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15,311</w:t>
            </w:r>
          </w:p>
        </w:tc>
        <w:tc>
          <w:tcPr>
            <w:tcW w:w="1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(24,943)</w:t>
            </w:r>
          </w:p>
        </w:tc>
        <w:tc>
          <w:tcPr>
            <w:tcW w:w="40" w:type="dxa"/>
            <w:vAlign w:val="bottom"/>
          </w:tcPr>
          <w:p>
            <w:pPr>
              <w:spacing w:after="0"/>
              <w:rPr>
                <w:sz w:val="16"/>
                <w:szCs w:val="16"/>
                <w:color w:val="auto"/>
              </w:rPr>
            </w:pPr>
          </w:p>
        </w:tc>
      </w:tr>
      <w:tr>
        <w:trPr>
          <w:trHeight w:val="175"/>
        </w:trPr>
        <w:tc>
          <w:tcPr>
            <w:tcW w:w="7620" w:type="dxa"/>
            <w:vAlign w:val="bottom"/>
          </w:tcPr>
          <w:p>
            <w:pPr>
              <w:ind w:left="440"/>
              <w:spacing w:after="0"/>
              <w:rPr>
                <w:sz w:val="20"/>
                <w:szCs w:val="20"/>
                <w:color w:val="auto"/>
              </w:rPr>
            </w:pPr>
            <w:r>
              <w:rPr>
                <w:rFonts w:ascii="Arial" w:cs="Arial" w:eastAsia="Arial" w:hAnsi="Arial"/>
                <w:sz w:val="12"/>
                <w:szCs w:val="12"/>
                <w:color w:val="auto"/>
              </w:rPr>
              <w:t>Other noncurrent assets</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(7,617)</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(7,462)</w:t>
            </w:r>
          </w:p>
        </w:tc>
        <w:tc>
          <w:tcPr>
            <w:tcW w:w="40" w:type="dxa"/>
            <w:vAlign w:val="bottom"/>
          </w:tcPr>
          <w:p>
            <w:pPr>
              <w:spacing w:after="0"/>
              <w:rPr>
                <w:sz w:val="15"/>
                <w:szCs w:val="15"/>
                <w:color w:val="auto"/>
              </w:rPr>
            </w:pPr>
          </w:p>
        </w:tc>
      </w:tr>
      <w:tr>
        <w:trPr>
          <w:trHeight w:val="185"/>
        </w:trPr>
        <w:tc>
          <w:tcPr>
            <w:tcW w:w="7620" w:type="dxa"/>
            <w:vAlign w:val="bottom"/>
            <w:shd w:val="clear" w:color="auto" w:fill="DBDBDB"/>
          </w:tcPr>
          <w:p>
            <w:pPr>
              <w:ind w:left="440"/>
              <w:spacing w:after="0"/>
              <w:rPr>
                <w:sz w:val="20"/>
                <w:szCs w:val="20"/>
                <w:color w:val="auto"/>
              </w:rPr>
            </w:pPr>
            <w:r>
              <w:rPr>
                <w:rFonts w:ascii="Arial" w:cs="Arial" w:eastAsia="Arial" w:hAnsi="Arial"/>
                <w:sz w:val="12"/>
                <w:szCs w:val="12"/>
                <w:color w:val="auto"/>
              </w:rPr>
              <w:t>Accounts payable</w:t>
            </w:r>
          </w:p>
        </w:tc>
        <w:tc>
          <w:tcPr>
            <w:tcW w:w="240" w:type="dxa"/>
            <w:vAlign w:val="bottom"/>
            <w:shd w:val="clear" w:color="auto" w:fill="DBDBDB"/>
          </w:tcPr>
          <w:p>
            <w:pPr>
              <w:spacing w:after="0"/>
              <w:rPr>
                <w:sz w:val="16"/>
                <w:szCs w:val="16"/>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178,381</w:t>
            </w:r>
          </w:p>
        </w:tc>
        <w:tc>
          <w:tcPr>
            <w:tcW w:w="1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153,613</w:t>
            </w:r>
          </w:p>
        </w:tc>
        <w:tc>
          <w:tcPr>
            <w:tcW w:w="40" w:type="dxa"/>
            <w:vAlign w:val="bottom"/>
          </w:tcPr>
          <w:p>
            <w:pPr>
              <w:spacing w:after="0"/>
              <w:rPr>
                <w:sz w:val="16"/>
                <w:szCs w:val="16"/>
                <w:color w:val="auto"/>
              </w:rPr>
            </w:pPr>
          </w:p>
        </w:tc>
      </w:tr>
      <w:tr>
        <w:trPr>
          <w:trHeight w:val="175"/>
        </w:trPr>
        <w:tc>
          <w:tcPr>
            <w:tcW w:w="7620" w:type="dxa"/>
            <w:vAlign w:val="bottom"/>
          </w:tcPr>
          <w:p>
            <w:pPr>
              <w:ind w:left="440"/>
              <w:spacing w:after="0"/>
              <w:rPr>
                <w:sz w:val="20"/>
                <w:szCs w:val="20"/>
                <w:color w:val="auto"/>
              </w:rPr>
            </w:pPr>
            <w:r>
              <w:rPr>
                <w:rFonts w:ascii="Arial" w:cs="Arial" w:eastAsia="Arial" w:hAnsi="Arial"/>
                <w:sz w:val="12"/>
                <w:szCs w:val="12"/>
                <w:color w:val="auto"/>
              </w:rPr>
              <w:t>Accrued expenses and other current liabilities</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29,395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19,073</w:t>
            </w:r>
          </w:p>
        </w:tc>
        <w:tc>
          <w:tcPr>
            <w:tcW w:w="40" w:type="dxa"/>
            <w:vAlign w:val="bottom"/>
          </w:tcPr>
          <w:p>
            <w:pPr>
              <w:spacing w:after="0"/>
              <w:rPr>
                <w:sz w:val="15"/>
                <w:szCs w:val="15"/>
                <w:color w:val="auto"/>
              </w:rPr>
            </w:pPr>
          </w:p>
        </w:tc>
      </w:tr>
      <w:tr>
        <w:trPr>
          <w:trHeight w:val="185"/>
        </w:trPr>
        <w:tc>
          <w:tcPr>
            <w:tcW w:w="7620" w:type="dxa"/>
            <w:vAlign w:val="bottom"/>
            <w:shd w:val="clear" w:color="auto" w:fill="DBDBDB"/>
          </w:tcPr>
          <w:p>
            <w:pPr>
              <w:ind w:left="440"/>
              <w:spacing w:after="0"/>
              <w:rPr>
                <w:sz w:val="20"/>
                <w:szCs w:val="20"/>
                <w:color w:val="auto"/>
              </w:rPr>
            </w:pPr>
            <w:r>
              <w:rPr>
                <w:rFonts w:ascii="Arial" w:cs="Arial" w:eastAsia="Arial" w:hAnsi="Arial"/>
                <w:sz w:val="12"/>
                <w:szCs w:val="12"/>
                <w:color w:val="auto"/>
              </w:rPr>
              <w:t>Income taxes payable</w:t>
            </w:r>
          </w:p>
        </w:tc>
        <w:tc>
          <w:tcPr>
            <w:tcW w:w="240" w:type="dxa"/>
            <w:vAlign w:val="bottom"/>
            <w:shd w:val="clear" w:color="auto" w:fill="DBDBDB"/>
          </w:tcPr>
          <w:p>
            <w:pPr>
              <w:spacing w:after="0"/>
              <w:rPr>
                <w:sz w:val="16"/>
                <w:szCs w:val="16"/>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7,526</w:t>
            </w:r>
          </w:p>
        </w:tc>
        <w:tc>
          <w:tcPr>
            <w:tcW w:w="1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19,801</w:t>
            </w:r>
          </w:p>
        </w:tc>
        <w:tc>
          <w:tcPr>
            <w:tcW w:w="40" w:type="dxa"/>
            <w:vAlign w:val="bottom"/>
          </w:tcPr>
          <w:p>
            <w:pPr>
              <w:spacing w:after="0"/>
              <w:rPr>
                <w:sz w:val="16"/>
                <w:szCs w:val="16"/>
                <w:color w:val="auto"/>
              </w:rPr>
            </w:pPr>
          </w:p>
        </w:tc>
      </w:tr>
      <w:tr>
        <w:trPr>
          <w:trHeight w:val="175"/>
        </w:trPr>
        <w:tc>
          <w:tcPr>
            <w:tcW w:w="7620" w:type="dxa"/>
            <w:vAlign w:val="bottom"/>
            <w:tcBorders>
              <w:bottom w:val="single" w:sz="8" w:color="DBDBDB"/>
            </w:tcBorders>
          </w:tcPr>
          <w:p>
            <w:pPr>
              <w:ind w:left="440"/>
              <w:spacing w:after="0"/>
              <w:rPr>
                <w:sz w:val="20"/>
                <w:szCs w:val="20"/>
                <w:color w:val="auto"/>
              </w:rPr>
            </w:pPr>
            <w:r>
              <w:rPr>
                <w:rFonts w:ascii="Arial" w:cs="Arial" w:eastAsia="Arial" w:hAnsi="Arial"/>
                <w:sz w:val="12"/>
                <w:szCs w:val="12"/>
                <w:color w:val="auto"/>
              </w:rPr>
              <w:t>Other long-term liabilities</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8,958</w:t>
            </w:r>
          </w:p>
        </w:tc>
        <w:tc>
          <w:tcPr>
            <w:tcW w:w="14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(1,201)</w:t>
            </w:r>
          </w:p>
        </w:tc>
        <w:tc>
          <w:tcPr>
            <w:tcW w:w="40" w:type="dxa"/>
            <w:vAlign w:val="bottom"/>
          </w:tcPr>
          <w:p>
            <w:pPr>
              <w:spacing w:after="0"/>
              <w:rPr>
                <w:sz w:val="15"/>
                <w:szCs w:val="15"/>
                <w:color w:val="auto"/>
              </w:rPr>
            </w:pPr>
          </w:p>
        </w:tc>
      </w:tr>
      <w:tr>
        <w:trPr>
          <w:trHeight w:val="169"/>
        </w:trPr>
        <w:tc>
          <w:tcPr>
            <w:tcW w:w="7620" w:type="dxa"/>
            <w:vAlign w:val="bottom"/>
            <w:shd w:val="clear" w:color="auto" w:fill="DBDBDB"/>
          </w:tcPr>
          <w:p>
            <w:pPr>
              <w:ind w:left="600"/>
              <w:spacing w:after="0"/>
              <w:rPr>
                <w:sz w:val="20"/>
                <w:szCs w:val="20"/>
                <w:color w:val="auto"/>
              </w:rPr>
            </w:pPr>
            <w:r>
              <w:rPr>
                <w:rFonts w:ascii="Arial" w:cs="Arial" w:eastAsia="Arial" w:hAnsi="Arial"/>
                <w:sz w:val="12"/>
                <w:szCs w:val="12"/>
                <w:color w:val="auto"/>
              </w:rPr>
              <w:t>Net cash provided by operating activities</w:t>
            </w:r>
          </w:p>
        </w:tc>
        <w:tc>
          <w:tcPr>
            <w:tcW w:w="240" w:type="dxa"/>
            <w:vAlign w:val="bottom"/>
            <w:tcBorders>
              <w:bottom w:val="single" w:sz="8" w:color="auto"/>
            </w:tcBorders>
            <w:shd w:val="clear" w:color="auto" w:fill="DBDBDB"/>
          </w:tcPr>
          <w:p>
            <w:pPr>
              <w:spacing w:after="0"/>
              <w:rPr>
                <w:sz w:val="14"/>
                <w:szCs w:val="14"/>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236,047</w:t>
            </w:r>
          </w:p>
        </w:tc>
        <w:tc>
          <w:tcPr>
            <w:tcW w:w="140" w:type="dxa"/>
            <w:vAlign w:val="bottom"/>
            <w:shd w:val="clear" w:color="auto" w:fill="DBDBDB"/>
          </w:tcPr>
          <w:p>
            <w:pPr>
              <w:spacing w:after="0"/>
              <w:rPr>
                <w:sz w:val="14"/>
                <w:szCs w:val="14"/>
                <w:color w:val="auto"/>
              </w:rPr>
            </w:pPr>
          </w:p>
        </w:tc>
        <w:tc>
          <w:tcPr>
            <w:tcW w:w="280" w:type="dxa"/>
            <w:vAlign w:val="bottom"/>
            <w:tcBorders>
              <w:bottom w:val="single" w:sz="8" w:color="auto"/>
            </w:tcBorders>
            <w:shd w:val="clear" w:color="auto" w:fill="DBDBDB"/>
          </w:tcPr>
          <w:p>
            <w:pPr>
              <w:spacing w:after="0"/>
              <w:rPr>
                <w:sz w:val="14"/>
                <w:szCs w:val="14"/>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291,023</w:t>
            </w:r>
          </w:p>
        </w:tc>
        <w:tc>
          <w:tcPr>
            <w:tcW w:w="40" w:type="dxa"/>
            <w:vAlign w:val="bottom"/>
          </w:tcPr>
          <w:p>
            <w:pPr>
              <w:spacing w:after="0"/>
              <w:rPr>
                <w:sz w:val="14"/>
                <w:szCs w:val="14"/>
                <w:color w:val="auto"/>
              </w:rPr>
            </w:pPr>
          </w:p>
        </w:tc>
      </w:tr>
      <w:tr>
        <w:trPr>
          <w:trHeight w:val="156"/>
        </w:trPr>
        <w:tc>
          <w:tcPr>
            <w:tcW w:w="7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0"/>
        </w:trPr>
        <w:tc>
          <w:tcPr>
            <w:tcW w:w="7620" w:type="dxa"/>
            <w:vAlign w:val="bottom"/>
            <w:shd w:val="clear" w:color="auto" w:fill="DBDBDB"/>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24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520" w:type="dxa"/>
            <w:vAlign w:val="bottom"/>
            <w:shd w:val="clear" w:color="auto" w:fill="DBDBDB"/>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7620" w:type="dxa"/>
            <w:vAlign w:val="bottom"/>
          </w:tcPr>
          <w:p>
            <w:pPr>
              <w:ind w:left="160"/>
              <w:spacing w:after="0"/>
              <w:rPr>
                <w:sz w:val="20"/>
                <w:szCs w:val="20"/>
                <w:color w:val="auto"/>
              </w:rPr>
            </w:pPr>
            <w:r>
              <w:rPr>
                <w:rFonts w:ascii="Arial" w:cs="Arial" w:eastAsia="Arial" w:hAnsi="Arial"/>
                <w:sz w:val="12"/>
                <w:szCs w:val="12"/>
                <w:color w:val="auto"/>
              </w:rPr>
              <w:t>Capital expenditures</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(107,576)</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(73,425)</w:t>
            </w:r>
          </w:p>
        </w:tc>
        <w:tc>
          <w:tcPr>
            <w:tcW w:w="40" w:type="dxa"/>
            <w:vAlign w:val="bottom"/>
          </w:tcPr>
          <w:p>
            <w:pPr>
              <w:spacing w:after="0"/>
              <w:rPr>
                <w:sz w:val="15"/>
                <w:szCs w:val="15"/>
                <w:color w:val="auto"/>
              </w:rPr>
            </w:pPr>
          </w:p>
        </w:tc>
      </w:tr>
      <w:tr>
        <w:trPr>
          <w:trHeight w:val="185"/>
        </w:trPr>
        <w:tc>
          <w:tcPr>
            <w:tcW w:w="7620" w:type="dxa"/>
            <w:vAlign w:val="bottom"/>
            <w:shd w:val="clear" w:color="auto" w:fill="DBDBDB"/>
          </w:tcPr>
          <w:p>
            <w:pPr>
              <w:ind w:left="160"/>
              <w:spacing w:after="0"/>
              <w:rPr>
                <w:sz w:val="20"/>
                <w:szCs w:val="20"/>
                <w:color w:val="auto"/>
              </w:rPr>
            </w:pPr>
            <w:r>
              <w:rPr>
                <w:rFonts w:ascii="Arial" w:cs="Arial" w:eastAsia="Arial" w:hAnsi="Arial"/>
                <w:sz w:val="12"/>
                <w:szCs w:val="12"/>
                <w:color w:val="auto"/>
              </w:rPr>
              <w:t>Purchases of intangible assets</w:t>
            </w:r>
          </w:p>
        </w:tc>
        <w:tc>
          <w:tcPr>
            <w:tcW w:w="240" w:type="dxa"/>
            <w:vAlign w:val="bottom"/>
            <w:tcBorders>
              <w:bottom w:val="single" w:sz="8" w:color="auto"/>
            </w:tcBorders>
            <w:shd w:val="clear" w:color="auto" w:fill="DBDBDB"/>
          </w:tcPr>
          <w:p>
            <w:pPr>
              <w:spacing w:after="0"/>
              <w:rPr>
                <w:sz w:val="16"/>
                <w:szCs w:val="16"/>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(323)</w:t>
            </w:r>
          </w:p>
        </w:tc>
        <w:tc>
          <w:tcPr>
            <w:tcW w:w="140" w:type="dxa"/>
            <w:vAlign w:val="bottom"/>
            <w:shd w:val="clear" w:color="auto" w:fill="DBDBDB"/>
          </w:tcPr>
          <w:p>
            <w:pPr>
              <w:spacing w:after="0"/>
              <w:rPr>
                <w:sz w:val="16"/>
                <w:szCs w:val="16"/>
                <w:color w:val="auto"/>
              </w:rPr>
            </w:pPr>
          </w:p>
        </w:tc>
        <w:tc>
          <w:tcPr>
            <w:tcW w:w="280" w:type="dxa"/>
            <w:vAlign w:val="bottom"/>
            <w:tcBorders>
              <w:bottom w:val="single" w:sz="8" w:color="auto"/>
            </w:tcBorders>
            <w:shd w:val="clear" w:color="auto" w:fill="DBDBDB"/>
          </w:tcPr>
          <w:p>
            <w:pPr>
              <w:spacing w:after="0"/>
              <w:rPr>
                <w:sz w:val="16"/>
                <w:szCs w:val="16"/>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(314)</w:t>
            </w:r>
          </w:p>
        </w:tc>
        <w:tc>
          <w:tcPr>
            <w:tcW w:w="40" w:type="dxa"/>
            <w:vAlign w:val="bottom"/>
          </w:tcPr>
          <w:p>
            <w:pPr>
              <w:spacing w:after="0"/>
              <w:rPr>
                <w:sz w:val="16"/>
                <w:szCs w:val="16"/>
                <w:color w:val="auto"/>
              </w:rPr>
            </w:pPr>
          </w:p>
        </w:tc>
      </w:tr>
      <w:tr>
        <w:trPr>
          <w:trHeight w:val="164"/>
        </w:trPr>
        <w:tc>
          <w:tcPr>
            <w:tcW w:w="7620" w:type="dxa"/>
            <w:vAlign w:val="bottom"/>
            <w:tcBorders>
              <w:bottom w:val="single" w:sz="8" w:color="DBDBDB"/>
            </w:tcBorders>
          </w:tcPr>
          <w:p>
            <w:pPr>
              <w:ind w:left="600"/>
              <w:spacing w:after="0"/>
              <w:rPr>
                <w:sz w:val="20"/>
                <w:szCs w:val="20"/>
                <w:color w:val="auto"/>
              </w:rPr>
            </w:pPr>
            <w:r>
              <w:rPr>
                <w:rFonts w:ascii="Arial" w:cs="Arial" w:eastAsia="Arial" w:hAnsi="Arial"/>
                <w:sz w:val="12"/>
                <w:szCs w:val="12"/>
                <w:color w:val="auto"/>
              </w:rPr>
              <w:t>Net cash used in investing activities</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(107,899)</w:t>
            </w:r>
          </w:p>
        </w:tc>
        <w:tc>
          <w:tcPr>
            <w:tcW w:w="140" w:type="dxa"/>
            <w:vAlign w:val="bottom"/>
            <w:tcBorders>
              <w:bottom w:val="single" w:sz="8" w:color="DBDBDB"/>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(73,739)</w:t>
            </w:r>
          </w:p>
        </w:tc>
        <w:tc>
          <w:tcPr>
            <w:tcW w:w="40" w:type="dxa"/>
            <w:vAlign w:val="bottom"/>
          </w:tcPr>
          <w:p>
            <w:pPr>
              <w:spacing w:after="0"/>
              <w:rPr>
                <w:sz w:val="14"/>
                <w:szCs w:val="14"/>
                <w:color w:val="auto"/>
              </w:rPr>
            </w:pPr>
          </w:p>
        </w:tc>
      </w:tr>
      <w:tr>
        <w:trPr>
          <w:trHeight w:val="156"/>
        </w:trPr>
        <w:tc>
          <w:tcPr>
            <w:tcW w:w="762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44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1520" w:type="dxa"/>
            <w:vAlign w:val="bottom"/>
            <w:shd w:val="clear" w:color="auto" w:fill="DBDBDB"/>
          </w:tcPr>
          <w:p>
            <w:pPr>
              <w:spacing w:after="0"/>
              <w:rPr>
                <w:sz w:val="13"/>
                <w:szCs w:val="13"/>
                <w:color w:val="auto"/>
              </w:rPr>
            </w:pPr>
          </w:p>
        </w:tc>
        <w:tc>
          <w:tcPr>
            <w:tcW w:w="40" w:type="dxa"/>
            <w:vAlign w:val="bottom"/>
          </w:tcPr>
          <w:p>
            <w:pPr>
              <w:spacing w:after="0"/>
              <w:rPr>
                <w:sz w:val="13"/>
                <w:szCs w:val="13"/>
                <w:color w:val="auto"/>
              </w:rPr>
            </w:pPr>
          </w:p>
        </w:tc>
      </w:tr>
      <w:tr>
        <w:trPr>
          <w:trHeight w:val="175"/>
        </w:trPr>
        <w:tc>
          <w:tcPr>
            <w:tcW w:w="762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5"/>
        </w:trPr>
        <w:tc>
          <w:tcPr>
            <w:tcW w:w="7620" w:type="dxa"/>
            <w:vAlign w:val="bottom"/>
            <w:shd w:val="clear" w:color="auto" w:fill="DBDBDB"/>
          </w:tcPr>
          <w:p>
            <w:pPr>
              <w:ind w:left="160"/>
              <w:spacing w:after="0"/>
              <w:rPr>
                <w:sz w:val="20"/>
                <w:szCs w:val="20"/>
                <w:color w:val="auto"/>
              </w:rPr>
            </w:pPr>
            <w:r>
              <w:rPr>
                <w:rFonts w:ascii="Arial" w:cs="Arial" w:eastAsia="Arial" w:hAnsi="Arial"/>
                <w:sz w:val="12"/>
                <w:szCs w:val="12"/>
                <w:color w:val="auto"/>
              </w:rPr>
              <w:t>Proceeds from Revolving Credit Facilities</w:t>
            </w:r>
          </w:p>
        </w:tc>
        <w:tc>
          <w:tcPr>
            <w:tcW w:w="240" w:type="dxa"/>
            <w:vAlign w:val="bottom"/>
            <w:shd w:val="clear" w:color="auto" w:fill="DBDBDB"/>
          </w:tcPr>
          <w:p>
            <w:pPr>
              <w:spacing w:after="0"/>
              <w:rPr>
                <w:sz w:val="16"/>
                <w:szCs w:val="16"/>
                <w:color w:val="auto"/>
              </w:rPr>
            </w:pPr>
          </w:p>
        </w:tc>
        <w:tc>
          <w:tcPr>
            <w:tcW w:w="1580" w:type="dxa"/>
            <w:vAlign w:val="bottom"/>
            <w:gridSpan w:val="2"/>
            <w:shd w:val="clear" w:color="auto" w:fill="DBDBDB"/>
          </w:tcPr>
          <w:p>
            <w:pPr>
              <w:jc w:val="right"/>
              <w:ind w:right="200"/>
              <w:spacing w:after="0"/>
              <w:rPr>
                <w:sz w:val="20"/>
                <w:szCs w:val="20"/>
                <w:color w:val="auto"/>
              </w:rPr>
            </w:pPr>
            <w:r>
              <w:rPr>
                <w:rFonts w:ascii="Arial" w:cs="Arial" w:eastAsia="Arial" w:hAnsi="Arial"/>
                <w:sz w:val="12"/>
                <w:szCs w:val="12"/>
                <w:b w:val="1"/>
                <w:bCs w:val="1"/>
                <w:color w:val="auto"/>
              </w:rPr>
              <w:t>—</w:t>
            </w:r>
          </w:p>
        </w:tc>
        <w:tc>
          <w:tcPr>
            <w:tcW w:w="280" w:type="dxa"/>
            <w:vAlign w:val="bottom"/>
            <w:shd w:val="clear" w:color="auto" w:fill="DBDBDB"/>
          </w:tcPr>
          <w:p>
            <w:pPr>
              <w:spacing w:after="0"/>
              <w:rPr>
                <w:sz w:val="16"/>
                <w:szCs w:val="16"/>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3,900</w:t>
            </w:r>
          </w:p>
        </w:tc>
        <w:tc>
          <w:tcPr>
            <w:tcW w:w="40" w:type="dxa"/>
            <w:vAlign w:val="bottom"/>
          </w:tcPr>
          <w:p>
            <w:pPr>
              <w:spacing w:after="0"/>
              <w:rPr>
                <w:sz w:val="16"/>
                <w:szCs w:val="16"/>
                <w:color w:val="auto"/>
              </w:rPr>
            </w:pPr>
          </w:p>
        </w:tc>
      </w:tr>
      <w:tr>
        <w:trPr>
          <w:trHeight w:val="175"/>
        </w:trPr>
        <w:tc>
          <w:tcPr>
            <w:tcW w:w="7620" w:type="dxa"/>
            <w:vAlign w:val="bottom"/>
          </w:tcPr>
          <w:p>
            <w:pPr>
              <w:ind w:left="160"/>
              <w:spacing w:after="0"/>
              <w:rPr>
                <w:sz w:val="20"/>
                <w:szCs w:val="20"/>
                <w:color w:val="auto"/>
              </w:rPr>
            </w:pPr>
            <w:r>
              <w:rPr>
                <w:rFonts w:ascii="Arial" w:cs="Arial" w:eastAsia="Arial" w:hAnsi="Arial"/>
                <w:sz w:val="12"/>
                <w:szCs w:val="12"/>
                <w:color w:val="auto"/>
              </w:rPr>
              <w:t>Repayment of Revolving Credit Facilities</w:t>
            </w:r>
          </w:p>
        </w:tc>
        <w:tc>
          <w:tcPr>
            <w:tcW w:w="24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(3,900)</w:t>
            </w:r>
          </w:p>
        </w:tc>
        <w:tc>
          <w:tcPr>
            <w:tcW w:w="40" w:type="dxa"/>
            <w:vAlign w:val="bottom"/>
          </w:tcPr>
          <w:p>
            <w:pPr>
              <w:spacing w:after="0"/>
              <w:rPr>
                <w:sz w:val="15"/>
                <w:szCs w:val="15"/>
                <w:color w:val="auto"/>
              </w:rPr>
            </w:pPr>
          </w:p>
        </w:tc>
      </w:tr>
      <w:tr>
        <w:trPr>
          <w:trHeight w:val="185"/>
        </w:trPr>
        <w:tc>
          <w:tcPr>
            <w:tcW w:w="7620" w:type="dxa"/>
            <w:vAlign w:val="bottom"/>
            <w:shd w:val="clear" w:color="auto" w:fill="DBDBDB"/>
          </w:tcPr>
          <w:p>
            <w:pPr>
              <w:ind w:left="160"/>
              <w:spacing w:after="0"/>
              <w:rPr>
                <w:sz w:val="20"/>
                <w:szCs w:val="20"/>
                <w:color w:val="auto"/>
              </w:rPr>
            </w:pPr>
            <w:r>
              <w:rPr>
                <w:rFonts w:ascii="Arial" w:cs="Arial" w:eastAsia="Arial" w:hAnsi="Arial"/>
                <w:sz w:val="12"/>
                <w:szCs w:val="12"/>
                <w:color w:val="auto"/>
              </w:rPr>
              <w:t>Repayment of Term Loan</w:t>
            </w:r>
          </w:p>
        </w:tc>
        <w:tc>
          <w:tcPr>
            <w:tcW w:w="240" w:type="dxa"/>
            <w:vAlign w:val="bottom"/>
            <w:shd w:val="clear" w:color="auto" w:fill="DBDBDB"/>
          </w:tcPr>
          <w:p>
            <w:pPr>
              <w:spacing w:after="0"/>
              <w:rPr>
                <w:sz w:val="16"/>
                <w:szCs w:val="16"/>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(1,500)</w:t>
            </w:r>
          </w:p>
        </w:tc>
        <w:tc>
          <w:tcPr>
            <w:tcW w:w="1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(1,500)</w:t>
            </w:r>
          </w:p>
        </w:tc>
        <w:tc>
          <w:tcPr>
            <w:tcW w:w="40" w:type="dxa"/>
            <w:vAlign w:val="bottom"/>
          </w:tcPr>
          <w:p>
            <w:pPr>
              <w:spacing w:after="0"/>
              <w:rPr>
                <w:sz w:val="16"/>
                <w:szCs w:val="16"/>
                <w:color w:val="auto"/>
              </w:rPr>
            </w:pPr>
          </w:p>
        </w:tc>
      </w:tr>
      <w:tr>
        <w:trPr>
          <w:trHeight w:val="175"/>
        </w:trPr>
        <w:tc>
          <w:tcPr>
            <w:tcW w:w="7620" w:type="dxa"/>
            <w:vAlign w:val="bottom"/>
          </w:tcPr>
          <w:p>
            <w:pPr>
              <w:ind w:left="160"/>
              <w:spacing w:after="0"/>
              <w:rPr>
                <w:sz w:val="20"/>
                <w:szCs w:val="20"/>
                <w:color w:val="auto"/>
              </w:rPr>
            </w:pPr>
            <w:r>
              <w:rPr>
                <w:rFonts w:ascii="Arial" w:cs="Arial" w:eastAsia="Arial" w:hAnsi="Arial"/>
                <w:sz w:val="12"/>
                <w:szCs w:val="12"/>
                <w:color w:val="auto"/>
              </w:rPr>
              <w:t>Debt issuance fees</w:t>
            </w:r>
          </w:p>
        </w:tc>
        <w:tc>
          <w:tcPr>
            <w:tcW w:w="24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(5,690)</w:t>
            </w:r>
          </w:p>
        </w:tc>
        <w:tc>
          <w:tcPr>
            <w:tcW w:w="40" w:type="dxa"/>
            <w:vAlign w:val="bottom"/>
          </w:tcPr>
          <w:p>
            <w:pPr>
              <w:spacing w:after="0"/>
              <w:rPr>
                <w:sz w:val="15"/>
                <w:szCs w:val="15"/>
                <w:color w:val="auto"/>
              </w:rPr>
            </w:pPr>
          </w:p>
        </w:tc>
      </w:tr>
      <w:tr>
        <w:trPr>
          <w:trHeight w:val="185"/>
        </w:trPr>
        <w:tc>
          <w:tcPr>
            <w:tcW w:w="7620" w:type="dxa"/>
            <w:vAlign w:val="bottom"/>
            <w:shd w:val="clear" w:color="auto" w:fill="DBDBDB"/>
          </w:tcPr>
          <w:p>
            <w:pPr>
              <w:ind w:left="160"/>
              <w:spacing w:after="0"/>
              <w:rPr>
                <w:sz w:val="20"/>
                <w:szCs w:val="20"/>
                <w:color w:val="auto"/>
              </w:rPr>
            </w:pPr>
            <w:r>
              <w:rPr>
                <w:rFonts w:ascii="Arial" w:cs="Arial" w:eastAsia="Arial" w:hAnsi="Arial"/>
                <w:sz w:val="12"/>
                <w:szCs w:val="12"/>
                <w:color w:val="auto"/>
              </w:rPr>
              <w:t>Proceeds from exercise of stock options</w:t>
            </w:r>
          </w:p>
        </w:tc>
        <w:tc>
          <w:tcPr>
            <w:tcW w:w="240" w:type="dxa"/>
            <w:vAlign w:val="bottom"/>
            <w:shd w:val="clear" w:color="auto" w:fill="DBDBDB"/>
          </w:tcPr>
          <w:p>
            <w:pPr>
              <w:spacing w:after="0"/>
              <w:rPr>
                <w:sz w:val="16"/>
                <w:szCs w:val="16"/>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2,646</w:t>
            </w:r>
          </w:p>
        </w:tc>
        <w:tc>
          <w:tcPr>
            <w:tcW w:w="1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3,575</w:t>
            </w:r>
          </w:p>
        </w:tc>
        <w:tc>
          <w:tcPr>
            <w:tcW w:w="40" w:type="dxa"/>
            <w:vAlign w:val="bottom"/>
          </w:tcPr>
          <w:p>
            <w:pPr>
              <w:spacing w:after="0"/>
              <w:rPr>
                <w:sz w:val="16"/>
                <w:szCs w:val="16"/>
                <w:color w:val="auto"/>
              </w:rPr>
            </w:pPr>
          </w:p>
        </w:tc>
      </w:tr>
      <w:tr>
        <w:trPr>
          <w:trHeight w:val="175"/>
        </w:trPr>
        <w:tc>
          <w:tcPr>
            <w:tcW w:w="7620" w:type="dxa"/>
            <w:vAlign w:val="bottom"/>
          </w:tcPr>
          <w:p>
            <w:pPr>
              <w:ind w:left="160"/>
              <w:spacing w:after="0"/>
              <w:rPr>
                <w:sz w:val="20"/>
                <w:szCs w:val="20"/>
                <w:color w:val="auto"/>
              </w:rPr>
            </w:pPr>
            <w:r>
              <w:rPr>
                <w:rFonts w:ascii="Arial" w:cs="Arial" w:eastAsia="Arial" w:hAnsi="Arial"/>
                <w:sz w:val="12"/>
                <w:szCs w:val="12"/>
                <w:color w:val="auto"/>
              </w:rPr>
              <w:t>Proceeds from issuance of common stock under employee stock purchase program</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2,781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2,819</w:t>
            </w:r>
          </w:p>
        </w:tc>
        <w:tc>
          <w:tcPr>
            <w:tcW w:w="40" w:type="dxa"/>
            <w:vAlign w:val="bottom"/>
          </w:tcPr>
          <w:p>
            <w:pPr>
              <w:spacing w:after="0"/>
              <w:rPr>
                <w:sz w:val="15"/>
                <w:szCs w:val="15"/>
                <w:color w:val="auto"/>
              </w:rPr>
            </w:pPr>
          </w:p>
        </w:tc>
      </w:tr>
      <w:tr>
        <w:trPr>
          <w:trHeight w:val="185"/>
        </w:trPr>
        <w:tc>
          <w:tcPr>
            <w:tcW w:w="7620" w:type="dxa"/>
            <w:vAlign w:val="bottom"/>
            <w:shd w:val="clear" w:color="auto" w:fill="DBDBDB"/>
          </w:tcPr>
          <w:p>
            <w:pPr>
              <w:ind w:left="160"/>
              <w:spacing w:after="0"/>
              <w:rPr>
                <w:sz w:val="20"/>
                <w:szCs w:val="20"/>
                <w:color w:val="auto"/>
              </w:rPr>
            </w:pPr>
            <w:r>
              <w:rPr>
                <w:rFonts w:ascii="Arial" w:cs="Arial" w:eastAsia="Arial" w:hAnsi="Arial"/>
                <w:sz w:val="12"/>
                <w:szCs w:val="12"/>
                <w:color w:val="auto"/>
              </w:rPr>
              <w:t>Taxes paid related to net share settlement of equity awards</w:t>
            </w:r>
          </w:p>
        </w:tc>
        <w:tc>
          <w:tcPr>
            <w:tcW w:w="240" w:type="dxa"/>
            <w:vAlign w:val="bottom"/>
            <w:shd w:val="clear" w:color="auto" w:fill="DBDBDB"/>
          </w:tcPr>
          <w:p>
            <w:pPr>
              <w:spacing w:after="0"/>
              <w:rPr>
                <w:sz w:val="16"/>
                <w:szCs w:val="16"/>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b w:val="1"/>
                <w:bCs w:val="1"/>
                <w:color w:val="auto"/>
              </w:rPr>
              <w:t>(3,748)</w:t>
            </w:r>
          </w:p>
        </w:tc>
        <w:tc>
          <w:tcPr>
            <w:tcW w:w="1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(3,412)</w:t>
            </w:r>
          </w:p>
        </w:tc>
        <w:tc>
          <w:tcPr>
            <w:tcW w:w="40" w:type="dxa"/>
            <w:vAlign w:val="bottom"/>
          </w:tcPr>
          <w:p>
            <w:pPr>
              <w:spacing w:after="0"/>
              <w:rPr>
                <w:sz w:val="16"/>
                <w:szCs w:val="16"/>
                <w:color w:val="auto"/>
              </w:rPr>
            </w:pPr>
          </w:p>
        </w:tc>
      </w:tr>
      <w:tr>
        <w:trPr>
          <w:trHeight w:val="175"/>
        </w:trPr>
        <w:tc>
          <w:tcPr>
            <w:tcW w:w="7620" w:type="dxa"/>
            <w:vAlign w:val="bottom"/>
          </w:tcPr>
          <w:p>
            <w:pPr>
              <w:ind w:left="160"/>
              <w:spacing w:after="0"/>
              <w:rPr>
                <w:sz w:val="20"/>
                <w:szCs w:val="20"/>
                <w:color w:val="auto"/>
              </w:rPr>
            </w:pPr>
            <w:r>
              <w:rPr>
                <w:rFonts w:ascii="Arial" w:cs="Arial" w:eastAsia="Arial" w:hAnsi="Arial"/>
                <w:sz w:val="12"/>
                <w:szCs w:val="12"/>
                <w:color w:val="auto"/>
              </w:rPr>
              <w:t>Repurchase of common stock for retirement</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(99,031)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(220,325)</w:t>
            </w:r>
          </w:p>
        </w:tc>
        <w:tc>
          <w:tcPr>
            <w:tcW w:w="40" w:type="dxa"/>
            <w:vAlign w:val="bottom"/>
          </w:tcPr>
          <w:p>
            <w:pPr>
              <w:spacing w:after="0"/>
              <w:rPr>
                <w:sz w:val="15"/>
                <w:szCs w:val="15"/>
                <w:color w:val="auto"/>
              </w:rPr>
            </w:pPr>
          </w:p>
        </w:tc>
      </w:tr>
      <w:tr>
        <w:trPr>
          <w:trHeight w:val="185"/>
        </w:trPr>
        <w:tc>
          <w:tcPr>
            <w:tcW w:w="7620" w:type="dxa"/>
            <w:vAlign w:val="bottom"/>
            <w:shd w:val="clear" w:color="auto" w:fill="DBDBDB"/>
          </w:tcPr>
          <w:p>
            <w:pPr>
              <w:ind w:left="160"/>
              <w:spacing w:after="0"/>
              <w:rPr>
                <w:sz w:val="20"/>
                <w:szCs w:val="20"/>
                <w:color w:val="auto"/>
              </w:rPr>
            </w:pPr>
            <w:r>
              <w:rPr>
                <w:rFonts w:ascii="Arial" w:cs="Arial" w:eastAsia="Arial" w:hAnsi="Arial"/>
                <w:sz w:val="12"/>
                <w:szCs w:val="12"/>
                <w:color w:val="auto"/>
              </w:rPr>
              <w:t>Dividends paid</w:t>
            </w:r>
          </w:p>
        </w:tc>
        <w:tc>
          <w:tcPr>
            <w:tcW w:w="240" w:type="dxa"/>
            <w:vAlign w:val="bottom"/>
            <w:tcBorders>
              <w:bottom w:val="single" w:sz="8" w:color="auto"/>
            </w:tcBorders>
            <w:shd w:val="clear" w:color="auto" w:fill="DBDBDB"/>
          </w:tcPr>
          <w:p>
            <w:pPr>
              <w:spacing w:after="0"/>
              <w:rPr>
                <w:sz w:val="16"/>
                <w:szCs w:val="16"/>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(17,365)</w:t>
            </w:r>
          </w:p>
        </w:tc>
        <w:tc>
          <w:tcPr>
            <w:tcW w:w="140" w:type="dxa"/>
            <w:vAlign w:val="bottom"/>
            <w:shd w:val="clear" w:color="auto" w:fill="DBDBDB"/>
          </w:tcPr>
          <w:p>
            <w:pPr>
              <w:spacing w:after="0"/>
              <w:rPr>
                <w:sz w:val="16"/>
                <w:szCs w:val="16"/>
                <w:color w:val="auto"/>
              </w:rPr>
            </w:pPr>
          </w:p>
        </w:tc>
        <w:tc>
          <w:tcPr>
            <w:tcW w:w="280" w:type="dxa"/>
            <w:vAlign w:val="bottom"/>
            <w:tcBorders>
              <w:bottom w:val="single" w:sz="8" w:color="auto"/>
            </w:tcBorders>
            <w:shd w:val="clear" w:color="auto" w:fill="DBDBDB"/>
          </w:tcPr>
          <w:p>
            <w:pPr>
              <w:spacing w:after="0"/>
              <w:rPr>
                <w:sz w:val="16"/>
                <w:szCs w:val="16"/>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(16,103)</w:t>
            </w:r>
          </w:p>
        </w:tc>
        <w:tc>
          <w:tcPr>
            <w:tcW w:w="40" w:type="dxa"/>
            <w:vAlign w:val="bottom"/>
          </w:tcPr>
          <w:p>
            <w:pPr>
              <w:spacing w:after="0"/>
              <w:rPr>
                <w:sz w:val="16"/>
                <w:szCs w:val="16"/>
                <w:color w:val="auto"/>
              </w:rPr>
            </w:pPr>
          </w:p>
        </w:tc>
      </w:tr>
      <w:tr>
        <w:trPr>
          <w:trHeight w:val="164"/>
        </w:trPr>
        <w:tc>
          <w:tcPr>
            <w:tcW w:w="7620" w:type="dxa"/>
            <w:vAlign w:val="bottom"/>
            <w:tcBorders>
              <w:bottom w:val="single" w:sz="8" w:color="DBDBDB"/>
            </w:tcBorders>
          </w:tcPr>
          <w:p>
            <w:pPr>
              <w:ind w:left="600"/>
              <w:spacing w:after="0"/>
              <w:rPr>
                <w:sz w:val="20"/>
                <w:szCs w:val="20"/>
                <w:color w:val="auto"/>
              </w:rPr>
            </w:pPr>
            <w:r>
              <w:rPr>
                <w:rFonts w:ascii="Arial" w:cs="Arial" w:eastAsia="Arial" w:hAnsi="Arial"/>
                <w:sz w:val="12"/>
                <w:szCs w:val="12"/>
                <w:color w:val="auto"/>
              </w:rPr>
              <w:t>Net cash used in financing activities</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(116,217)</w:t>
            </w:r>
          </w:p>
        </w:tc>
        <w:tc>
          <w:tcPr>
            <w:tcW w:w="140" w:type="dxa"/>
            <w:vAlign w:val="bottom"/>
            <w:tcBorders>
              <w:bottom w:val="single" w:sz="8" w:color="DBDBDB"/>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(240,636)</w:t>
            </w:r>
          </w:p>
        </w:tc>
        <w:tc>
          <w:tcPr>
            <w:tcW w:w="40" w:type="dxa"/>
            <w:vAlign w:val="bottom"/>
          </w:tcPr>
          <w:p>
            <w:pPr>
              <w:spacing w:after="0"/>
              <w:rPr>
                <w:sz w:val="14"/>
                <w:szCs w:val="14"/>
                <w:color w:val="auto"/>
              </w:rPr>
            </w:pPr>
          </w:p>
        </w:tc>
      </w:tr>
      <w:tr>
        <w:trPr>
          <w:trHeight w:val="156"/>
        </w:trPr>
        <w:tc>
          <w:tcPr>
            <w:tcW w:w="762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44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1520" w:type="dxa"/>
            <w:vAlign w:val="bottom"/>
            <w:shd w:val="clear" w:color="auto" w:fill="DBDBDB"/>
          </w:tcPr>
          <w:p>
            <w:pPr>
              <w:spacing w:after="0"/>
              <w:rPr>
                <w:sz w:val="13"/>
                <w:szCs w:val="13"/>
                <w:color w:val="auto"/>
              </w:rPr>
            </w:pPr>
          </w:p>
        </w:tc>
        <w:tc>
          <w:tcPr>
            <w:tcW w:w="40" w:type="dxa"/>
            <w:vAlign w:val="bottom"/>
          </w:tcPr>
          <w:p>
            <w:pPr>
              <w:spacing w:after="0"/>
              <w:rPr>
                <w:sz w:val="13"/>
                <w:szCs w:val="13"/>
                <w:color w:val="auto"/>
              </w:rPr>
            </w:pPr>
          </w:p>
        </w:tc>
      </w:tr>
      <w:tr>
        <w:trPr>
          <w:trHeight w:val="175"/>
        </w:trPr>
        <w:tc>
          <w:tcPr>
            <w:tcW w:w="7620" w:type="dxa"/>
            <w:vAlign w:val="bottom"/>
          </w:tcPr>
          <w:p>
            <w:pPr>
              <w:ind w:left="20"/>
              <w:spacing w:after="0"/>
              <w:rPr>
                <w:sz w:val="20"/>
                <w:szCs w:val="20"/>
                <w:color w:val="auto"/>
              </w:rPr>
            </w:pPr>
            <w:r>
              <w:rPr>
                <w:rFonts w:ascii="Arial" w:cs="Arial" w:eastAsia="Arial" w:hAnsi="Arial"/>
                <w:sz w:val="12"/>
                <w:szCs w:val="12"/>
                <w:b w:val="1"/>
                <w:bCs w:val="1"/>
                <w:color w:val="auto"/>
              </w:rPr>
              <w:t>NET INCREASE (DECREASE) IN CASH AND CASH EQUIVALENTS</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2"/>
                <w:szCs w:val="12"/>
                <w:b w:val="1"/>
                <w:bCs w:val="1"/>
                <w:color w:val="auto"/>
              </w:rPr>
              <w:t>11,931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(23,352)</w:t>
            </w:r>
          </w:p>
        </w:tc>
        <w:tc>
          <w:tcPr>
            <w:tcW w:w="40" w:type="dxa"/>
            <w:vAlign w:val="bottom"/>
          </w:tcPr>
          <w:p>
            <w:pPr>
              <w:spacing w:after="0"/>
              <w:rPr>
                <w:sz w:val="15"/>
                <w:szCs w:val="15"/>
                <w:color w:val="auto"/>
              </w:rPr>
            </w:pPr>
          </w:p>
        </w:tc>
      </w:tr>
      <w:tr>
        <w:trPr>
          <w:trHeight w:val="180"/>
        </w:trPr>
        <w:tc>
          <w:tcPr>
            <w:tcW w:w="7620" w:type="dxa"/>
            <w:vAlign w:val="bottom"/>
            <w:shd w:val="clear" w:color="auto" w:fill="DBDBDB"/>
          </w:tcPr>
          <w:p>
            <w:pPr>
              <w:ind w:left="20"/>
              <w:spacing w:after="0"/>
              <w:rPr>
                <w:sz w:val="20"/>
                <w:szCs w:val="20"/>
                <w:color w:val="auto"/>
              </w:rPr>
            </w:pPr>
            <w:r>
              <w:rPr>
                <w:rFonts w:ascii="Arial" w:cs="Arial" w:eastAsia="Arial" w:hAnsi="Arial"/>
                <w:sz w:val="12"/>
                <w:szCs w:val="12"/>
                <w:b w:val="1"/>
                <w:bCs w:val="1"/>
                <w:color w:val="auto"/>
              </w:rPr>
              <w:t>CASH AND CASH EQUIVALENTS AT BEGINNING OF PERIOD</w:t>
            </w:r>
          </w:p>
        </w:tc>
        <w:tc>
          <w:tcPr>
            <w:tcW w:w="240" w:type="dxa"/>
            <w:vAlign w:val="bottom"/>
            <w:tcBorders>
              <w:bottom w:val="single" w:sz="8" w:color="auto"/>
            </w:tcBorders>
            <w:shd w:val="clear" w:color="auto" w:fill="DBDBDB"/>
          </w:tcPr>
          <w:p>
            <w:pPr>
              <w:spacing w:after="0"/>
              <w:rPr>
                <w:sz w:val="15"/>
                <w:szCs w:val="15"/>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288,929</w:t>
            </w:r>
          </w:p>
        </w:tc>
        <w:tc>
          <w:tcPr>
            <w:tcW w:w="140" w:type="dxa"/>
            <w:vAlign w:val="bottom"/>
            <w:shd w:val="clear" w:color="auto" w:fill="DBDBDB"/>
          </w:tcPr>
          <w:p>
            <w:pPr>
              <w:spacing w:after="0"/>
              <w:rPr>
                <w:sz w:val="15"/>
                <w:szCs w:val="15"/>
                <w:color w:val="auto"/>
              </w:rPr>
            </w:pPr>
          </w:p>
        </w:tc>
        <w:tc>
          <w:tcPr>
            <w:tcW w:w="280" w:type="dxa"/>
            <w:vAlign w:val="bottom"/>
            <w:tcBorders>
              <w:bottom w:val="single" w:sz="8" w:color="auto"/>
            </w:tcBorders>
            <w:shd w:val="clear" w:color="auto" w:fill="DBDBDB"/>
          </w:tcPr>
          <w:p>
            <w:pPr>
              <w:spacing w:after="0"/>
              <w:rPr>
                <w:sz w:val="15"/>
                <w:szCs w:val="15"/>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347,920</w:t>
            </w:r>
          </w:p>
        </w:tc>
        <w:tc>
          <w:tcPr>
            <w:tcW w:w="40" w:type="dxa"/>
            <w:vAlign w:val="bottom"/>
          </w:tcPr>
          <w:p>
            <w:pPr>
              <w:spacing w:after="0"/>
              <w:rPr>
                <w:sz w:val="15"/>
                <w:szCs w:val="15"/>
                <w:color w:val="auto"/>
              </w:rPr>
            </w:pPr>
          </w:p>
        </w:tc>
      </w:tr>
      <w:tr>
        <w:trPr>
          <w:trHeight w:val="174"/>
        </w:trPr>
        <w:tc>
          <w:tcPr>
            <w:tcW w:w="7620" w:type="dxa"/>
            <w:vAlign w:val="bottom"/>
          </w:tcPr>
          <w:p>
            <w:pPr>
              <w:ind w:left="20"/>
              <w:spacing w:after="0"/>
              <w:rPr>
                <w:sz w:val="20"/>
                <w:szCs w:val="20"/>
                <w:color w:val="auto"/>
              </w:rPr>
            </w:pPr>
            <w:r>
              <w:rPr>
                <w:rFonts w:ascii="Arial" w:cs="Arial" w:eastAsia="Arial" w:hAnsi="Arial"/>
                <w:sz w:val="12"/>
                <w:szCs w:val="12"/>
                <w:b w:val="1"/>
                <w:bCs w:val="1"/>
                <w:color w:val="auto"/>
              </w:rPr>
              <w:t>CASH AND CASH EQUIVALENTS AT END OF PERIOD</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300,860</w:t>
            </w:r>
          </w:p>
        </w:tc>
        <w:tc>
          <w:tcPr>
            <w:tcW w:w="140" w:type="dxa"/>
            <w:vAlign w:val="bottom"/>
          </w:tcPr>
          <w:p>
            <w:pPr>
              <w:spacing w:after="0"/>
              <w:rPr>
                <w:sz w:val="15"/>
                <w:szCs w:val="15"/>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324,568</w:t>
            </w:r>
          </w:p>
        </w:tc>
        <w:tc>
          <w:tcPr>
            <w:tcW w:w="40" w:type="dxa"/>
            <w:vAlign w:val="bottom"/>
          </w:tcPr>
          <w:p>
            <w:pPr>
              <w:spacing w:after="0"/>
              <w:rPr>
                <w:sz w:val="15"/>
                <w:szCs w:val="15"/>
                <w:color w:val="auto"/>
              </w:rPr>
            </w:pP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5"/>
        </w:trPr>
        <w:tc>
          <w:tcPr>
            <w:tcW w:w="7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10"/>
                <w:szCs w:val="10"/>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-4910455</wp:posOffset>
            </wp:positionV>
            <wp:extent cx="230314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03145"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-5030470</wp:posOffset>
            </wp:positionV>
            <wp:extent cx="230314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03145" cy="5715"/>
                    </a:xfrm>
                    <a:prstGeom prst="rect">
                      <a:avLst/>
                    </a:prstGeom>
                    <a:noFill/>
                  </pic:spPr>
                </pic:pic>
              </a:graphicData>
            </a:graphic>
          </wp:anchor>
        </w:drawing>
      </w:r>
    </w:p>
    <w:p>
      <w:pPr>
        <w:sectPr>
          <w:pgSz w:w="11900" w:h="16838" w:orient="portrait"/>
          <w:cols w:equalWidth="0" w:num="1">
            <w:col w:w="11280"/>
          </w:cols>
          <w:pgMar w:left="320" w:top="550"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2"/>
          <w:szCs w:val="12"/>
          <w:b w:val="1"/>
          <w:bCs w:val="1"/>
          <w:color w:val="auto"/>
        </w:rPr>
        <w:t>ACADEMY SPORTS AND OUTDOORS,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RECONCILIATIONS OF GAAP TO NON-GAAP FINANCIAL MEASURES</w:t>
      </w: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9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Adjusted EBITDA and Adjusted EBIT</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We define “Adjusted EBITDA” as net income (loss) before interest expense, net, income tax expense and depreciation, amortization, and impairment, and other adjustments included in the table below. We define “Adjusted EBIT” as Adjusted EBITDA less depreciation and amortization. We describe these adjustments reconciling net income (loss) to Adjusted EBITDA and Adjusted EBIT in the following table (amounts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00" w:type="dxa"/>
            <w:vAlign w:val="bottom"/>
          </w:tcPr>
          <w:p>
            <w:pPr>
              <w:spacing w:after="0"/>
              <w:rPr>
                <w:sz w:val="14"/>
                <w:szCs w:val="14"/>
                <w:color w:val="auto"/>
              </w:rPr>
            </w:pPr>
          </w:p>
        </w:tc>
        <w:tc>
          <w:tcPr>
            <w:tcW w:w="2960" w:type="dxa"/>
            <w:vAlign w:val="bottom"/>
            <w:gridSpan w:val="4"/>
            <w:shd w:val="clear" w:color="auto" w:fill="0A2299"/>
          </w:tcPr>
          <w:p>
            <w:pPr>
              <w:jc w:val="right"/>
              <w:ind w:right="626"/>
              <w:spacing w:after="0"/>
              <w:rPr>
                <w:sz w:val="20"/>
                <w:szCs w:val="20"/>
                <w:color w:val="auto"/>
              </w:rPr>
            </w:pPr>
            <w:r>
              <w:rPr>
                <w:rFonts w:ascii="Arial" w:cs="Arial" w:eastAsia="Arial" w:hAnsi="Arial"/>
                <w:sz w:val="11"/>
                <w:szCs w:val="11"/>
                <w:b w:val="1"/>
                <w:bCs w:val="1"/>
                <w:color w:val="FFFFFF"/>
              </w:rPr>
              <w:t>Thirteen Weeks Ended</w:t>
            </w:r>
          </w:p>
        </w:tc>
        <w:tc>
          <w:tcPr>
            <w:tcW w:w="460" w:type="dxa"/>
            <w:vAlign w:val="bottom"/>
            <w:shd w:val="clear" w:color="auto" w:fill="0A2299"/>
          </w:tcPr>
          <w:p>
            <w:pPr>
              <w:spacing w:after="0"/>
              <w:rPr>
                <w:sz w:val="14"/>
                <w:szCs w:val="14"/>
                <w:color w:val="auto"/>
              </w:rPr>
            </w:pPr>
          </w:p>
        </w:tc>
        <w:tc>
          <w:tcPr>
            <w:tcW w:w="120" w:type="dxa"/>
            <w:vAlign w:val="bottom"/>
            <w:shd w:val="clear" w:color="auto" w:fill="0A2299"/>
          </w:tcPr>
          <w:p>
            <w:pPr>
              <w:spacing w:after="0"/>
              <w:rPr>
                <w:sz w:val="14"/>
                <w:szCs w:val="14"/>
                <w:color w:val="auto"/>
              </w:rPr>
            </w:pPr>
          </w:p>
        </w:tc>
        <w:tc>
          <w:tcPr>
            <w:tcW w:w="280" w:type="dxa"/>
            <w:vAlign w:val="bottom"/>
            <w:shd w:val="clear" w:color="auto" w:fill="0A2299"/>
          </w:tcPr>
          <w:p>
            <w:pPr>
              <w:spacing w:after="0"/>
              <w:rPr>
                <w:sz w:val="14"/>
                <w:szCs w:val="14"/>
                <w:color w:val="auto"/>
              </w:rPr>
            </w:pPr>
          </w:p>
        </w:tc>
        <w:tc>
          <w:tcPr>
            <w:tcW w:w="3140" w:type="dxa"/>
            <w:vAlign w:val="bottom"/>
            <w:gridSpan w:val="4"/>
            <w:shd w:val="clear" w:color="auto" w:fill="0A2299"/>
          </w:tcPr>
          <w:p>
            <w:pPr>
              <w:jc w:val="right"/>
              <w:ind w:right="1006"/>
              <w:spacing w:after="0"/>
              <w:rPr>
                <w:sz w:val="20"/>
                <w:szCs w:val="20"/>
                <w:color w:val="auto"/>
              </w:rPr>
            </w:pPr>
            <w:r>
              <w:rPr>
                <w:rFonts w:ascii="Arial" w:cs="Arial" w:eastAsia="Arial" w:hAnsi="Arial"/>
                <w:sz w:val="11"/>
                <w:szCs w:val="11"/>
                <w:b w:val="1"/>
                <w:bCs w:val="1"/>
                <w:color w:val="FFFFFF"/>
              </w:rPr>
              <w:t>Twenty-Six Weeks Ended</w:t>
            </w:r>
          </w:p>
        </w:tc>
      </w:tr>
      <w:tr>
        <w:trPr>
          <w:trHeight w:val="165"/>
        </w:trPr>
        <w:tc>
          <w:tcPr>
            <w:tcW w:w="4300" w:type="dxa"/>
            <w:vAlign w:val="bottom"/>
          </w:tcPr>
          <w:p>
            <w:pPr>
              <w:spacing w:after="0"/>
              <w:rPr>
                <w:sz w:val="14"/>
                <w:szCs w:val="14"/>
                <w:color w:val="auto"/>
              </w:rPr>
            </w:pPr>
          </w:p>
        </w:tc>
        <w:tc>
          <w:tcPr>
            <w:tcW w:w="1220" w:type="dxa"/>
            <w:vAlign w:val="bottom"/>
            <w:shd w:val="clear" w:color="auto" w:fill="0A2299"/>
          </w:tcPr>
          <w:p>
            <w:pPr>
              <w:jc w:val="right"/>
              <w:spacing w:after="0"/>
              <w:rPr>
                <w:sz w:val="20"/>
                <w:szCs w:val="20"/>
                <w:color w:val="auto"/>
              </w:rPr>
            </w:pPr>
            <w:r>
              <w:rPr>
                <w:rFonts w:ascii="Arial" w:cs="Arial" w:eastAsia="Arial" w:hAnsi="Arial"/>
                <w:sz w:val="11"/>
                <w:szCs w:val="11"/>
                <w:b w:val="1"/>
                <w:bCs w:val="1"/>
                <w:color w:val="FFFFFF"/>
              </w:rPr>
              <w:t>August 2, 2025</w:t>
            </w:r>
          </w:p>
        </w:tc>
        <w:tc>
          <w:tcPr>
            <w:tcW w:w="440" w:type="dxa"/>
            <w:vAlign w:val="bottom"/>
            <w:shd w:val="clear" w:color="auto" w:fill="0A2299"/>
          </w:tcPr>
          <w:p>
            <w:pPr>
              <w:spacing w:after="0"/>
              <w:rPr>
                <w:sz w:val="14"/>
                <w:szCs w:val="14"/>
                <w:color w:val="auto"/>
              </w:rPr>
            </w:pPr>
          </w:p>
        </w:tc>
        <w:tc>
          <w:tcPr>
            <w:tcW w:w="80" w:type="dxa"/>
            <w:vAlign w:val="bottom"/>
            <w:shd w:val="clear" w:color="auto" w:fill="0A2299"/>
          </w:tcPr>
          <w:p>
            <w:pPr>
              <w:spacing w:after="0"/>
              <w:rPr>
                <w:sz w:val="14"/>
                <w:szCs w:val="14"/>
                <w:color w:val="auto"/>
              </w:rPr>
            </w:pPr>
          </w:p>
        </w:tc>
        <w:tc>
          <w:tcPr>
            <w:tcW w:w="1220" w:type="dxa"/>
            <w:vAlign w:val="bottom"/>
            <w:shd w:val="clear" w:color="auto" w:fill="0A2299"/>
          </w:tcPr>
          <w:p>
            <w:pPr>
              <w:jc w:val="right"/>
              <w:spacing w:after="0"/>
              <w:rPr>
                <w:sz w:val="20"/>
                <w:szCs w:val="20"/>
                <w:color w:val="auto"/>
              </w:rPr>
            </w:pPr>
            <w:r>
              <w:rPr>
                <w:rFonts w:ascii="Arial" w:cs="Arial" w:eastAsia="Arial" w:hAnsi="Arial"/>
                <w:sz w:val="11"/>
                <w:szCs w:val="11"/>
                <w:b w:val="1"/>
                <w:bCs w:val="1"/>
                <w:color w:val="FFFFFF"/>
              </w:rPr>
              <w:t>August 3, 2024</w:t>
            </w:r>
          </w:p>
        </w:tc>
        <w:tc>
          <w:tcPr>
            <w:tcW w:w="460" w:type="dxa"/>
            <w:vAlign w:val="bottom"/>
            <w:shd w:val="clear" w:color="auto" w:fill="0A2299"/>
          </w:tcPr>
          <w:p>
            <w:pPr>
              <w:spacing w:after="0"/>
              <w:rPr>
                <w:sz w:val="14"/>
                <w:szCs w:val="14"/>
                <w:color w:val="auto"/>
              </w:rPr>
            </w:pPr>
          </w:p>
        </w:tc>
        <w:tc>
          <w:tcPr>
            <w:tcW w:w="120" w:type="dxa"/>
            <w:vAlign w:val="bottom"/>
            <w:shd w:val="clear" w:color="auto" w:fill="0A2299"/>
          </w:tcPr>
          <w:p>
            <w:pPr>
              <w:spacing w:after="0"/>
              <w:rPr>
                <w:sz w:val="14"/>
                <w:szCs w:val="14"/>
                <w:color w:val="auto"/>
              </w:rPr>
            </w:pPr>
          </w:p>
        </w:tc>
        <w:tc>
          <w:tcPr>
            <w:tcW w:w="280" w:type="dxa"/>
            <w:vAlign w:val="bottom"/>
            <w:shd w:val="clear" w:color="auto" w:fill="0A2299"/>
          </w:tcPr>
          <w:p>
            <w:pPr>
              <w:spacing w:after="0"/>
              <w:rPr>
                <w:sz w:val="14"/>
                <w:szCs w:val="14"/>
                <w:color w:val="auto"/>
              </w:rPr>
            </w:pPr>
          </w:p>
        </w:tc>
        <w:tc>
          <w:tcPr>
            <w:tcW w:w="1480" w:type="dxa"/>
            <w:vAlign w:val="bottom"/>
            <w:gridSpan w:val="2"/>
            <w:shd w:val="clear" w:color="auto" w:fill="0A2299"/>
          </w:tcPr>
          <w:p>
            <w:pPr>
              <w:ind w:left="180"/>
              <w:spacing w:after="0"/>
              <w:rPr>
                <w:sz w:val="20"/>
                <w:szCs w:val="20"/>
                <w:color w:val="auto"/>
              </w:rPr>
            </w:pPr>
            <w:r>
              <w:rPr>
                <w:rFonts w:ascii="Arial" w:cs="Arial" w:eastAsia="Arial" w:hAnsi="Arial"/>
                <w:sz w:val="11"/>
                <w:szCs w:val="11"/>
                <w:b w:val="1"/>
                <w:bCs w:val="1"/>
                <w:color w:val="FFFFFF"/>
              </w:rPr>
              <w:t>August 2, 2025</w:t>
            </w:r>
          </w:p>
        </w:tc>
        <w:tc>
          <w:tcPr>
            <w:tcW w:w="260" w:type="dxa"/>
            <w:vAlign w:val="bottom"/>
            <w:shd w:val="clear" w:color="auto" w:fill="0A2299"/>
          </w:tcPr>
          <w:p>
            <w:pPr>
              <w:spacing w:after="0"/>
              <w:rPr>
                <w:sz w:val="14"/>
                <w:szCs w:val="14"/>
                <w:color w:val="auto"/>
              </w:rPr>
            </w:pPr>
          </w:p>
        </w:tc>
        <w:tc>
          <w:tcPr>
            <w:tcW w:w="1400" w:type="dxa"/>
            <w:vAlign w:val="bottom"/>
            <w:shd w:val="clear" w:color="auto" w:fill="0A2299"/>
          </w:tcPr>
          <w:p>
            <w:pPr>
              <w:jc w:val="right"/>
              <w:ind w:right="406"/>
              <w:spacing w:after="0"/>
              <w:rPr>
                <w:sz w:val="20"/>
                <w:szCs w:val="20"/>
                <w:color w:val="auto"/>
              </w:rPr>
            </w:pPr>
            <w:r>
              <w:rPr>
                <w:rFonts w:ascii="Arial" w:cs="Arial" w:eastAsia="Arial" w:hAnsi="Arial"/>
                <w:sz w:val="11"/>
                <w:szCs w:val="11"/>
                <w:b w:val="1"/>
                <w:bCs w:val="1"/>
                <w:color w:val="FFFFFF"/>
              </w:rPr>
              <w:t>August 3, 2024</w:t>
            </w:r>
          </w:p>
        </w:tc>
      </w:tr>
      <w:tr>
        <w:trPr>
          <w:trHeight w:val="171"/>
        </w:trPr>
        <w:tc>
          <w:tcPr>
            <w:tcW w:w="4300" w:type="dxa"/>
            <w:vAlign w:val="bottom"/>
            <w:shd w:val="clear" w:color="auto" w:fill="DBDBDB"/>
          </w:tcPr>
          <w:p>
            <w:pPr>
              <w:spacing w:after="0"/>
              <w:rPr>
                <w:sz w:val="20"/>
                <w:szCs w:val="20"/>
                <w:color w:val="auto"/>
              </w:rPr>
            </w:pPr>
            <w:r>
              <w:rPr>
                <w:rFonts w:ascii="Arial" w:cs="Arial" w:eastAsia="Arial" w:hAnsi="Arial"/>
                <w:sz w:val="11"/>
                <w:szCs w:val="11"/>
                <w:color w:val="auto"/>
              </w:rPr>
              <w:t>Net income</w:t>
            </w:r>
          </w:p>
        </w:tc>
        <w:tc>
          <w:tcPr>
            <w:tcW w:w="1220" w:type="dxa"/>
            <w:vAlign w:val="bottom"/>
            <w:shd w:val="clear" w:color="auto" w:fill="DBDBDB"/>
          </w:tcPr>
          <w:p>
            <w:pPr>
              <w:jc w:val="right"/>
              <w:ind w:right="1109"/>
              <w:spacing w:after="0"/>
              <w:rPr>
                <w:sz w:val="20"/>
                <w:szCs w:val="20"/>
                <w:color w:val="auto"/>
              </w:rPr>
            </w:pPr>
            <w:r>
              <w:rPr>
                <w:rFonts w:ascii="Arial" w:cs="Arial" w:eastAsia="Arial" w:hAnsi="Arial"/>
                <w:sz w:val="10"/>
                <w:szCs w:val="10"/>
                <w:b w:val="1"/>
                <w:bCs w:val="1"/>
                <w:color w:val="auto"/>
                <w:w w:val="71"/>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w w:val="95"/>
              </w:rPr>
              <w:t>125,434</w:t>
            </w:r>
          </w:p>
        </w:tc>
        <w:tc>
          <w:tcPr>
            <w:tcW w:w="80" w:type="dxa"/>
            <w:vAlign w:val="bottom"/>
            <w:shd w:val="clear" w:color="auto" w:fill="DBDBDB"/>
          </w:tcPr>
          <w:p>
            <w:pPr>
              <w:spacing w:after="0"/>
              <w:rPr>
                <w:sz w:val="14"/>
                <w:szCs w:val="14"/>
                <w:color w:val="auto"/>
              </w:rPr>
            </w:pPr>
          </w:p>
        </w:tc>
        <w:tc>
          <w:tcPr>
            <w:tcW w:w="1220" w:type="dxa"/>
            <w:vAlign w:val="bottom"/>
            <w:shd w:val="clear" w:color="auto" w:fill="DBDBDB"/>
          </w:tcPr>
          <w:p>
            <w:pPr>
              <w:jc w:val="right"/>
              <w:ind w:right="1086"/>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5"/>
              </w:rPr>
              <w:t>142,588</w:t>
            </w:r>
          </w:p>
        </w:tc>
        <w:tc>
          <w:tcPr>
            <w:tcW w:w="120" w:type="dxa"/>
            <w:vAlign w:val="bottom"/>
            <w:shd w:val="clear" w:color="auto" w:fill="DBDBDB"/>
          </w:tcPr>
          <w:p>
            <w:pPr>
              <w:spacing w:after="0"/>
              <w:rPr>
                <w:sz w:val="14"/>
                <w:szCs w:val="14"/>
                <w:color w:val="auto"/>
              </w:rPr>
            </w:pPr>
          </w:p>
        </w:tc>
        <w:tc>
          <w:tcPr>
            <w:tcW w:w="280" w:type="dxa"/>
            <w:vAlign w:val="bottom"/>
            <w:shd w:val="clear" w:color="auto" w:fill="DBDBDB"/>
          </w:tcPr>
          <w:p>
            <w:pPr>
              <w:jc w:val="right"/>
              <w:ind w:right="146"/>
              <w:spacing w:after="0"/>
              <w:rPr>
                <w:sz w:val="20"/>
                <w:szCs w:val="20"/>
                <w:color w:val="auto"/>
              </w:rPr>
            </w:pPr>
            <w:r>
              <w:rPr>
                <w:rFonts w:ascii="Arial" w:cs="Arial" w:eastAsia="Arial" w:hAnsi="Arial"/>
                <w:sz w:val="11"/>
                <w:szCs w:val="11"/>
                <w:b w:val="1"/>
                <w:bCs w:val="1"/>
                <w:color w:val="auto"/>
                <w:w w:val="97"/>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171,518</w:t>
            </w: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jc w:val="right"/>
              <w:ind w:right="151"/>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219,053</w:t>
            </w:r>
          </w:p>
        </w:tc>
      </w:tr>
      <w:tr>
        <w:trPr>
          <w:trHeight w:val="159"/>
        </w:trPr>
        <w:tc>
          <w:tcPr>
            <w:tcW w:w="4300" w:type="dxa"/>
            <w:vAlign w:val="bottom"/>
          </w:tcPr>
          <w:p>
            <w:pPr>
              <w:spacing w:after="0"/>
              <w:rPr>
                <w:sz w:val="20"/>
                <w:szCs w:val="20"/>
                <w:color w:val="auto"/>
              </w:rPr>
            </w:pPr>
            <w:r>
              <w:rPr>
                <w:rFonts w:ascii="Arial" w:cs="Arial" w:eastAsia="Arial" w:hAnsi="Arial"/>
                <w:sz w:val="11"/>
                <w:szCs w:val="11"/>
                <w:color w:val="auto"/>
              </w:rPr>
              <w:t>Interest expense, net</w:t>
            </w:r>
          </w:p>
        </w:tc>
        <w:tc>
          <w:tcPr>
            <w:tcW w:w="12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9,028</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9,071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b w:val="1"/>
                <w:bCs w:val="1"/>
                <w:color w:val="auto"/>
              </w:rPr>
              <w:t>18,072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18,557</w:t>
            </w:r>
          </w:p>
        </w:tc>
      </w:tr>
      <w:tr>
        <w:trPr>
          <w:trHeight w:val="164"/>
        </w:trPr>
        <w:tc>
          <w:tcPr>
            <w:tcW w:w="4300" w:type="dxa"/>
            <w:vAlign w:val="bottom"/>
            <w:shd w:val="clear" w:color="auto" w:fill="DBDBDB"/>
          </w:tcPr>
          <w:p>
            <w:pPr>
              <w:spacing w:after="0"/>
              <w:rPr>
                <w:sz w:val="20"/>
                <w:szCs w:val="20"/>
                <w:color w:val="auto"/>
              </w:rPr>
            </w:pPr>
            <w:r>
              <w:rPr>
                <w:rFonts w:ascii="Arial" w:cs="Arial" w:eastAsia="Arial" w:hAnsi="Arial"/>
                <w:sz w:val="11"/>
                <w:szCs w:val="11"/>
                <w:color w:val="auto"/>
              </w:rPr>
              <w:t>Income tax expense</w:t>
            </w:r>
          </w:p>
        </w:tc>
        <w:tc>
          <w:tcPr>
            <w:tcW w:w="1220" w:type="dxa"/>
            <w:vAlign w:val="bottom"/>
            <w:shd w:val="clear" w:color="auto" w:fill="DBDBDB"/>
          </w:tcPr>
          <w:p>
            <w:pPr>
              <w:spacing w:after="0"/>
              <w:rPr>
                <w:sz w:val="14"/>
                <w:szCs w:val="14"/>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39,399</w:t>
            </w:r>
          </w:p>
        </w:tc>
        <w:tc>
          <w:tcPr>
            <w:tcW w:w="8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4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43,958</w:t>
            </w:r>
          </w:p>
        </w:tc>
        <w:tc>
          <w:tcPr>
            <w:tcW w:w="12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56,343</w:t>
            </w: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65,145</w:t>
            </w:r>
          </w:p>
        </w:tc>
      </w:tr>
      <w:tr>
        <w:trPr>
          <w:trHeight w:val="160"/>
        </w:trPr>
        <w:tc>
          <w:tcPr>
            <w:tcW w:w="4300" w:type="dxa"/>
            <w:vAlign w:val="bottom"/>
          </w:tcPr>
          <w:p>
            <w:pPr>
              <w:spacing w:after="0"/>
              <w:rPr>
                <w:sz w:val="20"/>
                <w:szCs w:val="20"/>
                <w:color w:val="auto"/>
              </w:rPr>
            </w:pPr>
            <w:r>
              <w:rPr>
                <w:rFonts w:ascii="Arial" w:cs="Arial" w:eastAsia="Arial" w:hAnsi="Arial"/>
                <w:sz w:val="11"/>
                <w:szCs w:val="11"/>
                <w:color w:val="auto"/>
              </w:rPr>
              <w:t>Depreciation and amortization</w:t>
            </w:r>
          </w:p>
        </w:tc>
        <w:tc>
          <w:tcPr>
            <w:tcW w:w="12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31,021</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28,918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b w:val="1"/>
                <w:bCs w:val="1"/>
                <w:color w:val="auto"/>
              </w:rPr>
              <w:t>61,171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57,771</w:t>
            </w:r>
          </w:p>
        </w:tc>
      </w:tr>
      <w:tr>
        <w:trPr>
          <w:trHeight w:val="164"/>
        </w:trPr>
        <w:tc>
          <w:tcPr>
            <w:tcW w:w="4300" w:type="dxa"/>
            <w:vAlign w:val="bottom"/>
            <w:shd w:val="clear" w:color="auto" w:fill="DBDBDB"/>
          </w:tcPr>
          <w:p>
            <w:pPr>
              <w:spacing w:after="0"/>
              <w:rPr>
                <w:sz w:val="20"/>
                <w:szCs w:val="20"/>
                <w:color w:val="auto"/>
              </w:rPr>
            </w:pPr>
            <w:r>
              <w:rPr>
                <w:rFonts w:ascii="Arial" w:cs="Arial" w:eastAsia="Arial" w:hAnsi="Arial"/>
                <w:sz w:val="11"/>
                <w:szCs w:val="11"/>
                <w:color w:val="auto"/>
              </w:rPr>
              <w:t>Equity compensation (a)</w:t>
            </w:r>
          </w:p>
        </w:tc>
        <w:tc>
          <w:tcPr>
            <w:tcW w:w="1220" w:type="dxa"/>
            <w:vAlign w:val="bottom"/>
            <w:shd w:val="clear" w:color="auto" w:fill="DBDBDB"/>
          </w:tcPr>
          <w:p>
            <w:pPr>
              <w:spacing w:after="0"/>
              <w:rPr>
                <w:sz w:val="14"/>
                <w:szCs w:val="14"/>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7,602</w:t>
            </w:r>
          </w:p>
        </w:tc>
        <w:tc>
          <w:tcPr>
            <w:tcW w:w="8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4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7,955</w:t>
            </w:r>
          </w:p>
        </w:tc>
        <w:tc>
          <w:tcPr>
            <w:tcW w:w="12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15,144</w:t>
            </w: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14,093</w:t>
            </w:r>
          </w:p>
        </w:tc>
      </w:tr>
      <w:tr>
        <w:trPr>
          <w:trHeight w:val="160"/>
        </w:trPr>
        <w:tc>
          <w:tcPr>
            <w:tcW w:w="4300" w:type="dxa"/>
            <w:vAlign w:val="bottom"/>
          </w:tcPr>
          <w:p>
            <w:pPr>
              <w:spacing w:after="0"/>
              <w:rPr>
                <w:sz w:val="20"/>
                <w:szCs w:val="20"/>
                <w:color w:val="auto"/>
              </w:rPr>
            </w:pPr>
            <w:r>
              <w:rPr>
                <w:rFonts w:ascii="Arial" w:cs="Arial" w:eastAsia="Arial" w:hAnsi="Arial"/>
                <w:sz w:val="11"/>
                <w:szCs w:val="11"/>
                <w:color w:val="auto"/>
              </w:rPr>
              <w:t>Write off of deferred loan costs</w:t>
            </w:r>
          </w:p>
        </w:tc>
        <w:tc>
          <w:tcPr>
            <w:tcW w:w="122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122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449</w:t>
            </w:r>
          </w:p>
        </w:tc>
      </w:tr>
      <w:tr>
        <w:trPr>
          <w:trHeight w:val="151"/>
        </w:trPr>
        <w:tc>
          <w:tcPr>
            <w:tcW w:w="4300" w:type="dxa"/>
            <w:vAlign w:val="bottom"/>
            <w:tcBorders>
              <w:top w:val="single" w:sz="8" w:color="DBDBDB"/>
            </w:tcBorders>
            <w:shd w:val="clear" w:color="auto" w:fill="DBDBDB"/>
          </w:tcPr>
          <w:p>
            <w:pPr>
              <w:ind w:left="140"/>
              <w:spacing w:after="0"/>
              <w:rPr>
                <w:sz w:val="20"/>
                <w:szCs w:val="20"/>
                <w:color w:val="auto"/>
              </w:rPr>
            </w:pPr>
            <w:r>
              <w:rPr>
                <w:rFonts w:ascii="Arial" w:cs="Arial" w:eastAsia="Arial" w:hAnsi="Arial"/>
                <w:sz w:val="11"/>
                <w:szCs w:val="11"/>
                <w:color w:val="auto"/>
              </w:rPr>
              <w:t>Adjusted EBITDA</w:t>
            </w:r>
          </w:p>
        </w:tc>
        <w:tc>
          <w:tcPr>
            <w:tcW w:w="1220" w:type="dxa"/>
            <w:vAlign w:val="bottom"/>
            <w:tcBorders>
              <w:top w:val="single" w:sz="8" w:color="auto"/>
              <w:bottom w:val="single" w:sz="8" w:color="auto"/>
            </w:tcBorders>
            <w:shd w:val="clear" w:color="auto" w:fill="DBDBDB"/>
          </w:tcPr>
          <w:p>
            <w:pPr>
              <w:jc w:val="right"/>
              <w:ind w:right="1109"/>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w w:val="95"/>
              </w:rPr>
              <w:t>212,484</w:t>
            </w:r>
          </w:p>
        </w:tc>
        <w:tc>
          <w:tcPr>
            <w:tcW w:w="80" w:type="dxa"/>
            <w:vAlign w:val="bottom"/>
            <w:tcBorders>
              <w:top w:val="single" w:sz="8" w:color="DBDBDB"/>
            </w:tcBorders>
            <w:shd w:val="clear" w:color="auto" w:fill="DBDBDB"/>
          </w:tcPr>
          <w:p>
            <w:pPr>
              <w:spacing w:after="0"/>
              <w:rPr>
                <w:sz w:val="13"/>
                <w:szCs w:val="13"/>
                <w:color w:val="auto"/>
              </w:rPr>
            </w:pPr>
          </w:p>
        </w:tc>
        <w:tc>
          <w:tcPr>
            <w:tcW w:w="1220" w:type="dxa"/>
            <w:vAlign w:val="bottom"/>
            <w:tcBorders>
              <w:top w:val="single" w:sz="8" w:color="auto"/>
              <w:bottom w:val="single" w:sz="8" w:color="auto"/>
            </w:tcBorders>
            <w:shd w:val="clear" w:color="auto" w:fill="DBDBDB"/>
          </w:tcPr>
          <w:p>
            <w:pPr>
              <w:jc w:val="right"/>
              <w:ind w:right="1086"/>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w w:val="95"/>
              </w:rPr>
              <w:t>232,490</w:t>
            </w:r>
          </w:p>
        </w:tc>
        <w:tc>
          <w:tcPr>
            <w:tcW w:w="120" w:type="dxa"/>
            <w:vAlign w:val="bottom"/>
            <w:tcBorders>
              <w:top w:val="single" w:sz="8" w:color="DBDBDB"/>
            </w:tcBorders>
            <w:shd w:val="clear" w:color="auto" w:fill="DBDBDB"/>
          </w:tcPr>
          <w:p>
            <w:pPr>
              <w:spacing w:after="0"/>
              <w:rPr>
                <w:sz w:val="13"/>
                <w:szCs w:val="13"/>
                <w:color w:val="auto"/>
              </w:rPr>
            </w:pPr>
          </w:p>
        </w:tc>
        <w:tc>
          <w:tcPr>
            <w:tcW w:w="280" w:type="dxa"/>
            <w:vAlign w:val="bottom"/>
            <w:tcBorders>
              <w:top w:val="single" w:sz="8" w:color="auto"/>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b w:val="1"/>
                <w:bCs w:val="1"/>
                <w:color w:val="auto"/>
                <w:w w:val="97"/>
              </w:rPr>
              <w:t>$</w:t>
            </w:r>
          </w:p>
        </w:tc>
        <w:tc>
          <w:tcPr>
            <w:tcW w:w="14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322,248</w:t>
            </w:r>
          </w:p>
        </w:tc>
        <w:tc>
          <w:tcPr>
            <w:tcW w:w="80" w:type="dxa"/>
            <w:vAlign w:val="bottom"/>
            <w:tcBorders>
              <w:top w:val="single" w:sz="8" w:color="DBDBDB"/>
            </w:tcBorders>
            <w:shd w:val="clear" w:color="auto" w:fill="DBDBDB"/>
          </w:tcPr>
          <w:p>
            <w:pPr>
              <w:spacing w:after="0"/>
              <w:rPr>
                <w:sz w:val="13"/>
                <w:szCs w:val="13"/>
                <w:color w:val="auto"/>
              </w:rPr>
            </w:pPr>
          </w:p>
        </w:tc>
        <w:tc>
          <w:tcPr>
            <w:tcW w:w="260" w:type="dxa"/>
            <w:vAlign w:val="bottom"/>
            <w:tcBorders>
              <w:top w:val="single" w:sz="8" w:color="auto"/>
              <w:bottom w:val="single" w:sz="8" w:color="auto"/>
            </w:tcBorders>
            <w:shd w:val="clear" w:color="auto" w:fill="DBDBDB"/>
          </w:tcPr>
          <w:p>
            <w:pPr>
              <w:jc w:val="right"/>
              <w:ind w:right="151"/>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375,068</w:t>
            </w:r>
          </w:p>
        </w:tc>
      </w:tr>
      <w:tr>
        <w:trPr>
          <w:trHeight w:val="151"/>
        </w:trPr>
        <w:tc>
          <w:tcPr>
            <w:tcW w:w="430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Less: Depreciation and amortization</w:t>
            </w:r>
          </w:p>
        </w:tc>
        <w:tc>
          <w:tcPr>
            <w:tcW w:w="1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(31,021)</w:t>
            </w:r>
          </w:p>
        </w:tc>
        <w:tc>
          <w:tcPr>
            <w:tcW w:w="80" w:type="dxa"/>
            <w:vAlign w:val="bottom"/>
            <w:tcBorders>
              <w:bottom w:val="single" w:sz="8" w:color="DBDBDB"/>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(28,918)</w:t>
            </w:r>
          </w:p>
        </w:tc>
        <w:tc>
          <w:tcPr>
            <w:tcW w:w="120" w:type="dxa"/>
            <w:vAlign w:val="bottom"/>
            <w:tcBorders>
              <w:bottom w:val="single" w:sz="8" w:color="DBDBDB"/>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(61,171)</w:t>
            </w:r>
          </w:p>
        </w:tc>
        <w:tc>
          <w:tcPr>
            <w:tcW w:w="80" w:type="dxa"/>
            <w:vAlign w:val="bottom"/>
            <w:tcBorders>
              <w:bottom w:val="single" w:sz="8" w:color="DBDBDB"/>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(57,771)</w:t>
            </w:r>
          </w:p>
        </w:tc>
      </w:tr>
      <w:tr>
        <w:trPr>
          <w:trHeight w:val="169"/>
        </w:trPr>
        <w:tc>
          <w:tcPr>
            <w:tcW w:w="43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1"/>
                <w:szCs w:val="11"/>
                <w:color w:val="auto"/>
              </w:rPr>
              <w:t>Adjusted EBIT</w:t>
            </w:r>
          </w:p>
        </w:tc>
        <w:tc>
          <w:tcPr>
            <w:tcW w:w="1220" w:type="dxa"/>
            <w:vAlign w:val="bottom"/>
            <w:tcBorders>
              <w:bottom w:val="single" w:sz="8" w:color="auto"/>
            </w:tcBorders>
            <w:shd w:val="clear" w:color="auto" w:fill="DBDBDB"/>
          </w:tcPr>
          <w:p>
            <w:pPr>
              <w:jc w:val="right"/>
              <w:ind w:right="1109"/>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w w:val="95"/>
              </w:rPr>
              <w:t>181,463</w:t>
            </w:r>
          </w:p>
        </w:tc>
        <w:tc>
          <w:tcPr>
            <w:tcW w:w="80" w:type="dxa"/>
            <w:vAlign w:val="bottom"/>
            <w:tcBorders>
              <w:bottom w:val="single" w:sz="8" w:color="DBDBDB"/>
            </w:tcBorders>
            <w:shd w:val="clear" w:color="auto" w:fill="DBDBDB"/>
          </w:tcPr>
          <w:p>
            <w:pPr>
              <w:spacing w:after="0"/>
              <w:rPr>
                <w:sz w:val="14"/>
                <w:szCs w:val="14"/>
                <w:color w:val="auto"/>
              </w:rPr>
            </w:pPr>
          </w:p>
        </w:tc>
        <w:tc>
          <w:tcPr>
            <w:tcW w:w="1220" w:type="dxa"/>
            <w:vAlign w:val="bottom"/>
            <w:tcBorders>
              <w:bottom w:val="single" w:sz="8" w:color="auto"/>
            </w:tcBorders>
            <w:shd w:val="clear" w:color="auto" w:fill="DBDBDB"/>
          </w:tcPr>
          <w:p>
            <w:pPr>
              <w:jc w:val="right"/>
              <w:ind w:right="1086"/>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w w:val="95"/>
              </w:rPr>
              <w:t>203,572</w:t>
            </w:r>
          </w:p>
        </w:tc>
        <w:tc>
          <w:tcPr>
            <w:tcW w:w="120" w:type="dxa"/>
            <w:vAlign w:val="bottom"/>
            <w:tcBorders>
              <w:bottom w:val="single" w:sz="8" w:color="DBDBDB"/>
            </w:tcBorders>
            <w:shd w:val="clear" w:color="auto" w:fill="DBDBDB"/>
          </w:tcPr>
          <w:p>
            <w:pPr>
              <w:spacing w:after="0"/>
              <w:rPr>
                <w:sz w:val="14"/>
                <w:szCs w:val="14"/>
                <w:color w:val="auto"/>
              </w:rPr>
            </w:pP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b w:val="1"/>
                <w:bCs w:val="1"/>
                <w:color w:val="auto"/>
                <w:w w:val="97"/>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261,077</w:t>
            </w:r>
          </w:p>
        </w:tc>
        <w:tc>
          <w:tcPr>
            <w:tcW w:w="80" w:type="dxa"/>
            <w:vAlign w:val="bottom"/>
            <w:tcBorders>
              <w:bottom w:val="single" w:sz="8" w:color="DBDBDB"/>
            </w:tcBorders>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jc w:val="right"/>
              <w:ind w:right="151"/>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317,297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2726690</wp:posOffset>
            </wp:positionH>
            <wp:positionV relativeFrom="paragraph">
              <wp:posOffset>-970915</wp:posOffset>
            </wp:positionV>
            <wp:extent cx="442341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423410" cy="5715"/>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-1079500</wp:posOffset>
            </wp:positionV>
            <wp:extent cx="442341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423410" cy="5715"/>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8"/>
          <w:szCs w:val="8"/>
          <w:color w:val="auto"/>
        </w:rPr>
        <w:t>(a) Represents non-cash charges related to equity-based compensation, which vary from period to period depending on certain factors such as timing and valuation of awards, achievement of performance targets and equity award forfeitures.</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0"/>
          <w:szCs w:val="10"/>
          <w:color w:val="auto"/>
        </w:rPr>
        <w:t>9</w:t>
      </w:r>
    </w:p>
    <w:p>
      <w:pPr>
        <w:sectPr>
          <w:pgSz w:w="11900" w:h="16838" w:orient="portrait"/>
          <w:cols w:equalWidth="0" w:num="1">
            <w:col w:w="11300"/>
          </w:cols>
          <w:pgMar w:left="300" w:top="712" w:right="29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i w:val="1"/>
          <w:iCs w:val="1"/>
          <w:color w:val="auto"/>
        </w:rPr>
        <w:t>Adjusted Net Income and Adjusted Earnings Per Common Share</w:t>
      </w:r>
    </w:p>
    <w:p>
      <w:pPr>
        <w:spacing w:after="0" w:line="143"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We define “Adjusted Net Income” as net income (loss) plus other adjustments included in the table below, less the tax effect of these adjustments. We define “Adjusted Earnings per Common Share, Basic” as Adjusted Net Income divided by the basic weighted average common shares outstanding during the period and “Adjusted Earnings per Common Share, Diluted” as Adjusted Net Income divided by the diluted weighted average common shares outstanding during the period. We describe these adjustments reconciling net income (loss) to Adjusted Net Income, and Adjusted Earnings Per Common Share in the following table (amounts in thousands, except per share data):</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00" w:type="dxa"/>
            <w:vAlign w:val="bottom"/>
          </w:tcPr>
          <w:p>
            <w:pPr>
              <w:spacing w:after="0"/>
              <w:rPr>
                <w:sz w:val="14"/>
                <w:szCs w:val="14"/>
                <w:color w:val="auto"/>
              </w:rPr>
            </w:pPr>
          </w:p>
        </w:tc>
        <w:tc>
          <w:tcPr>
            <w:tcW w:w="2960" w:type="dxa"/>
            <w:vAlign w:val="bottom"/>
            <w:gridSpan w:val="4"/>
            <w:shd w:val="clear" w:color="auto" w:fill="0A2299"/>
          </w:tcPr>
          <w:p>
            <w:pPr>
              <w:jc w:val="right"/>
              <w:ind w:right="626"/>
              <w:spacing w:after="0"/>
              <w:rPr>
                <w:sz w:val="20"/>
                <w:szCs w:val="20"/>
                <w:color w:val="auto"/>
              </w:rPr>
            </w:pPr>
            <w:r>
              <w:rPr>
                <w:rFonts w:ascii="Arial" w:cs="Arial" w:eastAsia="Arial" w:hAnsi="Arial"/>
                <w:sz w:val="11"/>
                <w:szCs w:val="11"/>
                <w:b w:val="1"/>
                <w:bCs w:val="1"/>
                <w:color w:val="FFFFFF"/>
              </w:rPr>
              <w:t>Thirteen Weeks Ended</w:t>
            </w:r>
          </w:p>
        </w:tc>
        <w:tc>
          <w:tcPr>
            <w:tcW w:w="460" w:type="dxa"/>
            <w:vAlign w:val="bottom"/>
            <w:shd w:val="clear" w:color="auto" w:fill="0A2299"/>
          </w:tcPr>
          <w:p>
            <w:pPr>
              <w:spacing w:after="0"/>
              <w:rPr>
                <w:sz w:val="14"/>
                <w:szCs w:val="14"/>
                <w:color w:val="auto"/>
              </w:rPr>
            </w:pPr>
          </w:p>
        </w:tc>
        <w:tc>
          <w:tcPr>
            <w:tcW w:w="160" w:type="dxa"/>
            <w:vAlign w:val="bottom"/>
            <w:shd w:val="clear" w:color="auto" w:fill="0A2299"/>
          </w:tcPr>
          <w:p>
            <w:pPr>
              <w:spacing w:after="0"/>
              <w:rPr>
                <w:sz w:val="14"/>
                <w:szCs w:val="14"/>
                <w:color w:val="auto"/>
              </w:rPr>
            </w:pPr>
          </w:p>
        </w:tc>
        <w:tc>
          <w:tcPr>
            <w:tcW w:w="260" w:type="dxa"/>
            <w:vAlign w:val="bottom"/>
            <w:shd w:val="clear" w:color="auto" w:fill="0A2299"/>
          </w:tcPr>
          <w:p>
            <w:pPr>
              <w:spacing w:after="0"/>
              <w:rPr>
                <w:sz w:val="14"/>
                <w:szCs w:val="14"/>
                <w:color w:val="auto"/>
              </w:rPr>
            </w:pPr>
          </w:p>
        </w:tc>
        <w:tc>
          <w:tcPr>
            <w:tcW w:w="3160" w:type="dxa"/>
            <w:vAlign w:val="bottom"/>
            <w:gridSpan w:val="4"/>
            <w:shd w:val="clear" w:color="auto" w:fill="0A2299"/>
          </w:tcPr>
          <w:p>
            <w:pPr>
              <w:jc w:val="right"/>
              <w:ind w:right="1006"/>
              <w:spacing w:after="0"/>
              <w:rPr>
                <w:sz w:val="20"/>
                <w:szCs w:val="20"/>
                <w:color w:val="auto"/>
              </w:rPr>
            </w:pPr>
            <w:r>
              <w:rPr>
                <w:rFonts w:ascii="Arial" w:cs="Arial" w:eastAsia="Arial" w:hAnsi="Arial"/>
                <w:sz w:val="11"/>
                <w:szCs w:val="11"/>
                <w:b w:val="1"/>
                <w:bCs w:val="1"/>
                <w:color w:val="FFFFFF"/>
              </w:rPr>
              <w:t>Twenty-Six Weeks Ended</w:t>
            </w:r>
          </w:p>
        </w:tc>
      </w:tr>
      <w:tr>
        <w:trPr>
          <w:trHeight w:val="165"/>
        </w:trPr>
        <w:tc>
          <w:tcPr>
            <w:tcW w:w="4300" w:type="dxa"/>
            <w:vAlign w:val="bottom"/>
          </w:tcPr>
          <w:p>
            <w:pPr>
              <w:spacing w:after="0"/>
              <w:rPr>
                <w:sz w:val="14"/>
                <w:szCs w:val="14"/>
                <w:color w:val="auto"/>
              </w:rPr>
            </w:pPr>
          </w:p>
        </w:tc>
        <w:tc>
          <w:tcPr>
            <w:tcW w:w="1220" w:type="dxa"/>
            <w:vAlign w:val="bottom"/>
            <w:shd w:val="clear" w:color="auto" w:fill="0A2299"/>
          </w:tcPr>
          <w:p>
            <w:pPr>
              <w:jc w:val="right"/>
              <w:spacing w:after="0"/>
              <w:rPr>
                <w:sz w:val="20"/>
                <w:szCs w:val="20"/>
                <w:color w:val="auto"/>
              </w:rPr>
            </w:pPr>
            <w:r>
              <w:rPr>
                <w:rFonts w:ascii="Arial" w:cs="Arial" w:eastAsia="Arial" w:hAnsi="Arial"/>
                <w:sz w:val="11"/>
                <w:szCs w:val="11"/>
                <w:b w:val="1"/>
                <w:bCs w:val="1"/>
                <w:color w:val="FFFFFF"/>
              </w:rPr>
              <w:t>August 2, 2025</w:t>
            </w:r>
          </w:p>
        </w:tc>
        <w:tc>
          <w:tcPr>
            <w:tcW w:w="440" w:type="dxa"/>
            <w:vAlign w:val="bottom"/>
            <w:shd w:val="clear" w:color="auto" w:fill="0A2299"/>
          </w:tcPr>
          <w:p>
            <w:pPr>
              <w:spacing w:after="0"/>
              <w:rPr>
                <w:sz w:val="14"/>
                <w:szCs w:val="14"/>
                <w:color w:val="auto"/>
              </w:rPr>
            </w:pPr>
          </w:p>
        </w:tc>
        <w:tc>
          <w:tcPr>
            <w:tcW w:w="80" w:type="dxa"/>
            <w:vAlign w:val="bottom"/>
            <w:shd w:val="clear" w:color="auto" w:fill="0A2299"/>
          </w:tcPr>
          <w:p>
            <w:pPr>
              <w:spacing w:after="0"/>
              <w:rPr>
                <w:sz w:val="14"/>
                <w:szCs w:val="14"/>
                <w:color w:val="auto"/>
              </w:rPr>
            </w:pPr>
          </w:p>
        </w:tc>
        <w:tc>
          <w:tcPr>
            <w:tcW w:w="1220" w:type="dxa"/>
            <w:vAlign w:val="bottom"/>
            <w:shd w:val="clear" w:color="auto" w:fill="0A2299"/>
          </w:tcPr>
          <w:p>
            <w:pPr>
              <w:jc w:val="right"/>
              <w:spacing w:after="0"/>
              <w:rPr>
                <w:sz w:val="20"/>
                <w:szCs w:val="20"/>
                <w:color w:val="auto"/>
              </w:rPr>
            </w:pPr>
            <w:r>
              <w:rPr>
                <w:rFonts w:ascii="Arial" w:cs="Arial" w:eastAsia="Arial" w:hAnsi="Arial"/>
                <w:sz w:val="11"/>
                <w:szCs w:val="11"/>
                <w:b w:val="1"/>
                <w:bCs w:val="1"/>
                <w:color w:val="FFFFFF"/>
              </w:rPr>
              <w:t>August 3, 2024</w:t>
            </w:r>
          </w:p>
        </w:tc>
        <w:tc>
          <w:tcPr>
            <w:tcW w:w="460" w:type="dxa"/>
            <w:vAlign w:val="bottom"/>
            <w:shd w:val="clear" w:color="auto" w:fill="0A2299"/>
          </w:tcPr>
          <w:p>
            <w:pPr>
              <w:spacing w:after="0"/>
              <w:rPr>
                <w:sz w:val="14"/>
                <w:szCs w:val="14"/>
                <w:color w:val="auto"/>
              </w:rPr>
            </w:pPr>
          </w:p>
        </w:tc>
        <w:tc>
          <w:tcPr>
            <w:tcW w:w="160" w:type="dxa"/>
            <w:vAlign w:val="bottom"/>
            <w:shd w:val="clear" w:color="auto" w:fill="0A2299"/>
          </w:tcPr>
          <w:p>
            <w:pPr>
              <w:spacing w:after="0"/>
              <w:rPr>
                <w:sz w:val="14"/>
                <w:szCs w:val="14"/>
                <w:color w:val="auto"/>
              </w:rPr>
            </w:pPr>
          </w:p>
        </w:tc>
        <w:tc>
          <w:tcPr>
            <w:tcW w:w="260" w:type="dxa"/>
            <w:vAlign w:val="bottom"/>
            <w:shd w:val="clear" w:color="auto" w:fill="0A2299"/>
          </w:tcPr>
          <w:p>
            <w:pPr>
              <w:spacing w:after="0"/>
              <w:rPr>
                <w:sz w:val="14"/>
                <w:szCs w:val="14"/>
                <w:color w:val="auto"/>
              </w:rPr>
            </w:pPr>
          </w:p>
        </w:tc>
        <w:tc>
          <w:tcPr>
            <w:tcW w:w="1480" w:type="dxa"/>
            <w:vAlign w:val="bottom"/>
            <w:gridSpan w:val="2"/>
            <w:shd w:val="clear" w:color="auto" w:fill="0A2299"/>
          </w:tcPr>
          <w:p>
            <w:pPr>
              <w:ind w:left="200"/>
              <w:spacing w:after="0"/>
              <w:rPr>
                <w:sz w:val="20"/>
                <w:szCs w:val="20"/>
                <w:color w:val="auto"/>
              </w:rPr>
            </w:pPr>
            <w:r>
              <w:rPr>
                <w:rFonts w:ascii="Arial" w:cs="Arial" w:eastAsia="Arial" w:hAnsi="Arial"/>
                <w:sz w:val="11"/>
                <w:szCs w:val="11"/>
                <w:b w:val="1"/>
                <w:bCs w:val="1"/>
                <w:color w:val="FFFFFF"/>
              </w:rPr>
              <w:t>August 2, 2025</w:t>
            </w:r>
          </w:p>
        </w:tc>
        <w:tc>
          <w:tcPr>
            <w:tcW w:w="260" w:type="dxa"/>
            <w:vAlign w:val="bottom"/>
            <w:shd w:val="clear" w:color="auto" w:fill="0A2299"/>
          </w:tcPr>
          <w:p>
            <w:pPr>
              <w:spacing w:after="0"/>
              <w:rPr>
                <w:sz w:val="14"/>
                <w:szCs w:val="14"/>
                <w:color w:val="auto"/>
              </w:rPr>
            </w:pPr>
          </w:p>
        </w:tc>
        <w:tc>
          <w:tcPr>
            <w:tcW w:w="1420" w:type="dxa"/>
            <w:vAlign w:val="bottom"/>
            <w:shd w:val="clear" w:color="auto" w:fill="0A2299"/>
          </w:tcPr>
          <w:p>
            <w:pPr>
              <w:jc w:val="right"/>
              <w:ind w:right="406"/>
              <w:spacing w:after="0"/>
              <w:rPr>
                <w:sz w:val="20"/>
                <w:szCs w:val="20"/>
                <w:color w:val="auto"/>
              </w:rPr>
            </w:pPr>
            <w:r>
              <w:rPr>
                <w:rFonts w:ascii="Arial" w:cs="Arial" w:eastAsia="Arial" w:hAnsi="Arial"/>
                <w:sz w:val="11"/>
                <w:szCs w:val="11"/>
                <w:b w:val="1"/>
                <w:bCs w:val="1"/>
                <w:color w:val="FFFFFF"/>
              </w:rPr>
              <w:t>August 3, 2024</w:t>
            </w:r>
          </w:p>
        </w:tc>
      </w:tr>
      <w:tr>
        <w:trPr>
          <w:trHeight w:val="171"/>
        </w:trPr>
        <w:tc>
          <w:tcPr>
            <w:tcW w:w="4300" w:type="dxa"/>
            <w:vAlign w:val="bottom"/>
            <w:shd w:val="clear" w:color="auto" w:fill="DBDBDB"/>
          </w:tcPr>
          <w:p>
            <w:pPr>
              <w:spacing w:after="0"/>
              <w:rPr>
                <w:sz w:val="20"/>
                <w:szCs w:val="20"/>
                <w:color w:val="auto"/>
              </w:rPr>
            </w:pPr>
            <w:r>
              <w:rPr>
                <w:rFonts w:ascii="Arial" w:cs="Arial" w:eastAsia="Arial" w:hAnsi="Arial"/>
                <w:sz w:val="11"/>
                <w:szCs w:val="11"/>
                <w:color w:val="auto"/>
              </w:rPr>
              <w:t>Net income</w:t>
            </w:r>
          </w:p>
        </w:tc>
        <w:tc>
          <w:tcPr>
            <w:tcW w:w="1220" w:type="dxa"/>
            <w:vAlign w:val="bottom"/>
            <w:shd w:val="clear" w:color="auto" w:fill="DBDBDB"/>
          </w:tcPr>
          <w:p>
            <w:pPr>
              <w:jc w:val="right"/>
              <w:ind w:right="1110"/>
              <w:spacing w:after="0"/>
              <w:rPr>
                <w:sz w:val="20"/>
                <w:szCs w:val="20"/>
                <w:color w:val="auto"/>
              </w:rPr>
            </w:pPr>
            <w:r>
              <w:rPr>
                <w:rFonts w:ascii="Arial" w:cs="Arial" w:eastAsia="Arial" w:hAnsi="Arial"/>
                <w:sz w:val="10"/>
                <w:szCs w:val="10"/>
                <w:b w:val="1"/>
                <w:bCs w:val="1"/>
                <w:color w:val="auto"/>
                <w:w w:val="71"/>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w w:val="95"/>
              </w:rPr>
              <w:t>125,434</w:t>
            </w:r>
          </w:p>
        </w:tc>
        <w:tc>
          <w:tcPr>
            <w:tcW w:w="80" w:type="dxa"/>
            <w:vAlign w:val="bottom"/>
            <w:shd w:val="clear" w:color="auto" w:fill="DBDBDB"/>
          </w:tcPr>
          <w:p>
            <w:pPr>
              <w:spacing w:after="0"/>
              <w:rPr>
                <w:sz w:val="14"/>
                <w:szCs w:val="14"/>
                <w:color w:val="auto"/>
              </w:rPr>
            </w:pPr>
          </w:p>
        </w:tc>
        <w:tc>
          <w:tcPr>
            <w:tcW w:w="1220" w:type="dxa"/>
            <w:vAlign w:val="bottom"/>
            <w:shd w:val="clear" w:color="auto" w:fill="DBDBDB"/>
          </w:tcPr>
          <w:p>
            <w:pPr>
              <w:jc w:val="right"/>
              <w:ind w:right="1086"/>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5"/>
              </w:rPr>
              <w:t>142,588</w:t>
            </w:r>
          </w:p>
        </w:tc>
        <w:tc>
          <w:tcPr>
            <w:tcW w:w="160" w:type="dxa"/>
            <w:vAlign w:val="bottom"/>
            <w:shd w:val="clear" w:color="auto" w:fill="DBDBDB"/>
          </w:tcPr>
          <w:p>
            <w:pPr>
              <w:spacing w:after="0"/>
              <w:rPr>
                <w:sz w:val="14"/>
                <w:szCs w:val="14"/>
                <w:color w:val="auto"/>
              </w:rPr>
            </w:pPr>
          </w:p>
        </w:tc>
        <w:tc>
          <w:tcPr>
            <w:tcW w:w="260" w:type="dxa"/>
            <w:vAlign w:val="bottom"/>
            <w:shd w:val="clear" w:color="auto" w:fill="DBDBDB"/>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171,518</w:t>
            </w: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219,053</w:t>
            </w:r>
          </w:p>
        </w:tc>
      </w:tr>
      <w:tr>
        <w:trPr>
          <w:trHeight w:val="160"/>
        </w:trPr>
        <w:tc>
          <w:tcPr>
            <w:tcW w:w="4300" w:type="dxa"/>
            <w:vAlign w:val="bottom"/>
          </w:tcPr>
          <w:p>
            <w:pPr>
              <w:spacing w:after="0"/>
              <w:rPr>
                <w:sz w:val="20"/>
                <w:szCs w:val="20"/>
                <w:color w:val="auto"/>
              </w:rPr>
            </w:pPr>
            <w:r>
              <w:rPr>
                <w:rFonts w:ascii="Arial" w:cs="Arial" w:eastAsia="Arial" w:hAnsi="Arial"/>
                <w:sz w:val="11"/>
                <w:szCs w:val="11"/>
                <w:color w:val="auto"/>
              </w:rPr>
              <w:t>Equity compensation (a)</w:t>
            </w:r>
          </w:p>
        </w:tc>
        <w:tc>
          <w:tcPr>
            <w:tcW w:w="12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7,602</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7,955</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b w:val="1"/>
                <w:bCs w:val="1"/>
                <w:color w:val="auto"/>
              </w:rPr>
              <w:t>15,144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14,093</w:t>
            </w:r>
          </w:p>
        </w:tc>
      </w:tr>
      <w:tr>
        <w:trPr>
          <w:trHeight w:val="164"/>
        </w:trPr>
        <w:tc>
          <w:tcPr>
            <w:tcW w:w="4300" w:type="dxa"/>
            <w:vAlign w:val="bottom"/>
            <w:shd w:val="clear" w:color="auto" w:fill="DBDBDB"/>
          </w:tcPr>
          <w:p>
            <w:pPr>
              <w:spacing w:after="0"/>
              <w:rPr>
                <w:sz w:val="20"/>
                <w:szCs w:val="20"/>
                <w:color w:val="auto"/>
              </w:rPr>
            </w:pPr>
            <w:r>
              <w:rPr>
                <w:rFonts w:ascii="Arial" w:cs="Arial" w:eastAsia="Arial" w:hAnsi="Arial"/>
                <w:sz w:val="11"/>
                <w:szCs w:val="11"/>
                <w:color w:val="auto"/>
              </w:rPr>
              <w:t>Write off of deferred loan costs</w:t>
            </w:r>
          </w:p>
        </w:tc>
        <w:tc>
          <w:tcPr>
            <w:tcW w:w="1220" w:type="dxa"/>
            <w:vAlign w:val="bottom"/>
            <w:shd w:val="clear" w:color="auto" w:fill="DBDBDB"/>
          </w:tcPr>
          <w:p>
            <w:pPr>
              <w:spacing w:after="0"/>
              <w:rPr>
                <w:sz w:val="14"/>
                <w:szCs w:val="14"/>
                <w:color w:val="auto"/>
              </w:rPr>
            </w:pPr>
          </w:p>
        </w:tc>
        <w:tc>
          <w:tcPr>
            <w:tcW w:w="52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b w:val="1"/>
                <w:bCs w:val="1"/>
                <w:color w:val="auto"/>
              </w:rPr>
              <w:t>—</w:t>
            </w:r>
          </w:p>
        </w:tc>
        <w:tc>
          <w:tcPr>
            <w:tcW w:w="1220" w:type="dxa"/>
            <w:vAlign w:val="bottom"/>
            <w:shd w:val="clear" w:color="auto" w:fill="DBDBDB"/>
          </w:tcPr>
          <w:p>
            <w:pPr>
              <w:spacing w:after="0"/>
              <w:rPr>
                <w:sz w:val="14"/>
                <w:szCs w:val="14"/>
                <w:color w:val="auto"/>
              </w:rPr>
            </w:pPr>
          </w:p>
        </w:tc>
        <w:tc>
          <w:tcPr>
            <w:tcW w:w="620" w:type="dxa"/>
            <w:vAlign w:val="bottom"/>
            <w:gridSpan w:val="2"/>
            <w:shd w:val="clear" w:color="auto" w:fill="DBDBDB"/>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shd w:val="clear" w:color="auto" w:fill="DBDBDB"/>
          </w:tcPr>
          <w:p>
            <w:pPr>
              <w:spacing w:after="0"/>
              <w:rPr>
                <w:sz w:val="14"/>
                <w:szCs w:val="14"/>
                <w:color w:val="auto"/>
              </w:rPr>
            </w:pPr>
          </w:p>
        </w:tc>
        <w:tc>
          <w:tcPr>
            <w:tcW w:w="148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b w:val="1"/>
                <w:bCs w:val="1"/>
                <w:color w:val="auto"/>
              </w:rPr>
              <w:t>—</w:t>
            </w:r>
          </w:p>
        </w:tc>
        <w:tc>
          <w:tcPr>
            <w:tcW w:w="260" w:type="dxa"/>
            <w:vAlign w:val="bottom"/>
            <w:shd w:val="clear" w:color="auto" w:fill="DBDBDB"/>
          </w:tcPr>
          <w:p>
            <w:pPr>
              <w:spacing w:after="0"/>
              <w:rPr>
                <w:sz w:val="14"/>
                <w:szCs w:val="14"/>
                <w:color w:val="auto"/>
              </w:rPr>
            </w:pPr>
          </w:p>
        </w:tc>
        <w:tc>
          <w:tcPr>
            <w:tcW w:w="14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449</w:t>
            </w:r>
          </w:p>
        </w:tc>
      </w:tr>
      <w:tr>
        <w:trPr>
          <w:trHeight w:val="159"/>
        </w:trPr>
        <w:tc>
          <w:tcPr>
            <w:tcW w:w="430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Tax effects of these adjustments (b)</w:t>
            </w:r>
          </w:p>
        </w:tc>
        <w:tc>
          <w:tcPr>
            <w:tcW w:w="1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(1,717)</w:t>
            </w:r>
          </w:p>
        </w:tc>
        <w:tc>
          <w:tcPr>
            <w:tcW w:w="80" w:type="dxa"/>
            <w:vAlign w:val="bottom"/>
            <w:tcBorders>
              <w:bottom w:val="single" w:sz="8" w:color="DBDBDB"/>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(1,901)</w:t>
            </w:r>
          </w:p>
        </w:tc>
        <w:tc>
          <w:tcPr>
            <w:tcW w:w="160" w:type="dxa"/>
            <w:vAlign w:val="bottom"/>
            <w:tcBorders>
              <w:bottom w:val="single" w:sz="8" w:color="DBDBDB"/>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(3,745)</w:t>
            </w:r>
          </w:p>
        </w:tc>
        <w:tc>
          <w:tcPr>
            <w:tcW w:w="80" w:type="dxa"/>
            <w:vAlign w:val="bottom"/>
            <w:tcBorders>
              <w:bottom w:val="single" w:sz="8" w:color="DBDBDB"/>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(3,333)</w:t>
            </w:r>
          </w:p>
        </w:tc>
      </w:tr>
      <w:tr>
        <w:trPr>
          <w:trHeight w:val="154"/>
        </w:trPr>
        <w:tc>
          <w:tcPr>
            <w:tcW w:w="43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Adjusted Net Income</w:t>
            </w:r>
          </w:p>
        </w:tc>
        <w:tc>
          <w:tcPr>
            <w:tcW w:w="1220" w:type="dxa"/>
            <w:vAlign w:val="bottom"/>
            <w:shd w:val="clear" w:color="auto" w:fill="DBDBDB"/>
          </w:tcPr>
          <w:p>
            <w:pPr>
              <w:jc w:val="right"/>
              <w:ind w:right="1110"/>
              <w:spacing w:after="0"/>
              <w:rPr>
                <w:sz w:val="20"/>
                <w:szCs w:val="20"/>
                <w:color w:val="auto"/>
              </w:rPr>
            </w:pPr>
            <w:r>
              <w:rPr>
                <w:rFonts w:ascii="Arial" w:cs="Arial" w:eastAsia="Arial" w:hAnsi="Arial"/>
                <w:sz w:val="10"/>
                <w:szCs w:val="10"/>
                <w:b w:val="1"/>
                <w:bCs w:val="1"/>
                <w:color w:val="auto"/>
                <w:w w:val="71"/>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w w:val="95"/>
              </w:rPr>
              <w:t>131,319</w:t>
            </w:r>
          </w:p>
        </w:tc>
        <w:tc>
          <w:tcPr>
            <w:tcW w:w="80" w:type="dxa"/>
            <w:vAlign w:val="bottom"/>
            <w:shd w:val="clear" w:color="auto" w:fill="DBDBDB"/>
          </w:tcPr>
          <w:p>
            <w:pPr>
              <w:spacing w:after="0"/>
              <w:rPr>
                <w:sz w:val="13"/>
                <w:szCs w:val="13"/>
                <w:color w:val="auto"/>
              </w:rPr>
            </w:pPr>
          </w:p>
        </w:tc>
        <w:tc>
          <w:tcPr>
            <w:tcW w:w="1220" w:type="dxa"/>
            <w:vAlign w:val="bottom"/>
            <w:shd w:val="clear" w:color="auto" w:fill="DBDBDB"/>
          </w:tcPr>
          <w:p>
            <w:pPr>
              <w:jc w:val="right"/>
              <w:ind w:right="1086"/>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5"/>
              </w:rPr>
              <w:t>148,642</w:t>
            </w:r>
          </w:p>
        </w:tc>
        <w:tc>
          <w:tcPr>
            <w:tcW w:w="160" w:type="dxa"/>
            <w:vAlign w:val="bottom"/>
            <w:shd w:val="clear" w:color="auto" w:fill="DBDBDB"/>
          </w:tcPr>
          <w:p>
            <w:pPr>
              <w:spacing w:after="0"/>
              <w:rPr>
                <w:sz w:val="13"/>
                <w:szCs w:val="13"/>
                <w:color w:val="auto"/>
              </w:rPr>
            </w:pPr>
          </w:p>
        </w:tc>
        <w:tc>
          <w:tcPr>
            <w:tcW w:w="260" w:type="dxa"/>
            <w:vAlign w:val="bottom"/>
            <w:shd w:val="clear" w:color="auto" w:fill="DBDBDB"/>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182,917</w:t>
            </w: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230,262</w:t>
            </w:r>
          </w:p>
        </w:tc>
      </w:tr>
      <w:tr>
        <w:trPr>
          <w:trHeight w:val="99"/>
        </w:trPr>
        <w:tc>
          <w:tcPr>
            <w:tcW w:w="4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162"/>
        </w:trPr>
        <w:tc>
          <w:tcPr>
            <w:tcW w:w="4300" w:type="dxa"/>
            <w:vAlign w:val="bottom"/>
            <w:shd w:val="clear" w:color="auto" w:fill="DBDBDB"/>
          </w:tcPr>
          <w:p>
            <w:pPr>
              <w:spacing w:after="0"/>
              <w:rPr>
                <w:sz w:val="20"/>
                <w:szCs w:val="20"/>
                <w:color w:val="auto"/>
              </w:rPr>
            </w:pPr>
            <w:r>
              <w:rPr>
                <w:rFonts w:ascii="Arial" w:cs="Arial" w:eastAsia="Arial" w:hAnsi="Arial"/>
                <w:sz w:val="11"/>
                <w:szCs w:val="11"/>
                <w:color w:val="auto"/>
              </w:rPr>
              <w:t>Earnings per common share:</w:t>
            </w:r>
          </w:p>
        </w:tc>
        <w:tc>
          <w:tcPr>
            <w:tcW w:w="122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46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4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420" w:type="dxa"/>
            <w:vAlign w:val="bottom"/>
            <w:shd w:val="clear" w:color="auto" w:fill="DBDBDB"/>
          </w:tcPr>
          <w:p>
            <w:pPr>
              <w:spacing w:after="0"/>
              <w:rPr>
                <w:sz w:val="14"/>
                <w:szCs w:val="14"/>
                <w:color w:val="auto"/>
              </w:rPr>
            </w:pPr>
          </w:p>
        </w:tc>
      </w:tr>
      <w:tr>
        <w:trPr>
          <w:trHeight w:val="159"/>
        </w:trPr>
        <w:tc>
          <w:tcPr>
            <w:tcW w:w="4300" w:type="dxa"/>
            <w:vAlign w:val="bottom"/>
          </w:tcPr>
          <w:p>
            <w:pPr>
              <w:ind w:left="140"/>
              <w:spacing w:after="0"/>
              <w:rPr>
                <w:sz w:val="20"/>
                <w:szCs w:val="20"/>
                <w:color w:val="auto"/>
              </w:rPr>
            </w:pPr>
            <w:r>
              <w:rPr>
                <w:rFonts w:ascii="Arial" w:cs="Arial" w:eastAsia="Arial" w:hAnsi="Arial"/>
                <w:sz w:val="11"/>
                <w:szCs w:val="11"/>
                <w:color w:val="auto"/>
              </w:rPr>
              <w:t>Basic</w:t>
            </w:r>
          </w:p>
        </w:tc>
        <w:tc>
          <w:tcPr>
            <w:tcW w:w="1220" w:type="dxa"/>
            <w:vAlign w:val="bottom"/>
          </w:tcPr>
          <w:p>
            <w:pPr>
              <w:jc w:val="right"/>
              <w:ind w:right="1110"/>
              <w:spacing w:after="0"/>
              <w:rPr>
                <w:sz w:val="20"/>
                <w:szCs w:val="20"/>
                <w:color w:val="auto"/>
              </w:rPr>
            </w:pPr>
            <w:r>
              <w:rPr>
                <w:rFonts w:ascii="Arial" w:cs="Arial" w:eastAsia="Arial" w:hAnsi="Arial"/>
                <w:sz w:val="10"/>
                <w:szCs w:val="10"/>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1.89</w:t>
            </w:r>
          </w:p>
        </w:tc>
        <w:tc>
          <w:tcPr>
            <w:tcW w:w="80" w:type="dxa"/>
            <w:vAlign w:val="bottom"/>
          </w:tcPr>
          <w:p>
            <w:pPr>
              <w:spacing w:after="0"/>
              <w:rPr>
                <w:sz w:val="13"/>
                <w:szCs w:val="13"/>
                <w:color w:val="auto"/>
              </w:rPr>
            </w:pPr>
          </w:p>
        </w:tc>
        <w:tc>
          <w:tcPr>
            <w:tcW w:w="1220" w:type="dxa"/>
            <w:vAlign w:val="bottom"/>
          </w:tcPr>
          <w:p>
            <w:pPr>
              <w:jc w:val="right"/>
              <w:ind w:right="108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1.99</w:t>
            </w:r>
          </w:p>
        </w:tc>
        <w:tc>
          <w:tcPr>
            <w:tcW w:w="160" w:type="dxa"/>
            <w:vAlign w:val="bottom"/>
          </w:tcPr>
          <w:p>
            <w:pPr>
              <w:spacing w:after="0"/>
              <w:rPr>
                <w:sz w:val="13"/>
                <w:szCs w:val="13"/>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Pr>
          <w:p>
            <w:pPr>
              <w:jc w:val="right"/>
              <w:spacing w:after="0"/>
              <w:rPr>
                <w:sz w:val="20"/>
                <w:szCs w:val="20"/>
                <w:color w:val="auto"/>
              </w:rPr>
            </w:pPr>
            <w:r>
              <w:rPr>
                <w:rFonts w:ascii="Arial" w:cs="Arial" w:eastAsia="Arial" w:hAnsi="Arial"/>
                <w:sz w:val="11"/>
                <w:szCs w:val="11"/>
                <w:b w:val="1"/>
                <w:bCs w:val="1"/>
                <w:color w:val="auto"/>
              </w:rPr>
              <w:t>2.57</w:t>
            </w:r>
          </w:p>
        </w:tc>
        <w:tc>
          <w:tcPr>
            <w:tcW w:w="80" w:type="dxa"/>
            <w:vAlign w:val="bottom"/>
          </w:tcPr>
          <w:p>
            <w:pPr>
              <w:spacing w:after="0"/>
              <w:rPr>
                <w:sz w:val="13"/>
                <w:szCs w:val="13"/>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3.00</w:t>
            </w:r>
          </w:p>
        </w:tc>
      </w:tr>
      <w:tr>
        <w:trPr>
          <w:trHeight w:val="164"/>
        </w:trPr>
        <w:tc>
          <w:tcPr>
            <w:tcW w:w="43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Diluted</w:t>
            </w:r>
          </w:p>
        </w:tc>
        <w:tc>
          <w:tcPr>
            <w:tcW w:w="1220" w:type="dxa"/>
            <w:vAlign w:val="bottom"/>
            <w:shd w:val="clear" w:color="auto" w:fill="DBDBDB"/>
          </w:tcPr>
          <w:p>
            <w:pPr>
              <w:jc w:val="right"/>
              <w:ind w:right="1110"/>
              <w:spacing w:after="0"/>
              <w:rPr>
                <w:sz w:val="20"/>
                <w:szCs w:val="20"/>
                <w:color w:val="auto"/>
              </w:rPr>
            </w:pPr>
            <w:r>
              <w:rPr>
                <w:rFonts w:ascii="Arial" w:cs="Arial" w:eastAsia="Arial" w:hAnsi="Arial"/>
                <w:sz w:val="10"/>
                <w:szCs w:val="10"/>
                <w:b w:val="1"/>
                <w:bCs w:val="1"/>
                <w:color w:val="auto"/>
                <w:w w:val="71"/>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1.85</w:t>
            </w:r>
          </w:p>
        </w:tc>
        <w:tc>
          <w:tcPr>
            <w:tcW w:w="80" w:type="dxa"/>
            <w:vAlign w:val="bottom"/>
            <w:shd w:val="clear" w:color="auto" w:fill="DBDBDB"/>
          </w:tcPr>
          <w:p>
            <w:pPr>
              <w:spacing w:after="0"/>
              <w:rPr>
                <w:sz w:val="14"/>
                <w:szCs w:val="14"/>
                <w:color w:val="auto"/>
              </w:rPr>
            </w:pPr>
          </w:p>
        </w:tc>
        <w:tc>
          <w:tcPr>
            <w:tcW w:w="1220" w:type="dxa"/>
            <w:vAlign w:val="bottom"/>
            <w:shd w:val="clear" w:color="auto" w:fill="DBDBDB"/>
          </w:tcPr>
          <w:p>
            <w:pPr>
              <w:jc w:val="right"/>
              <w:ind w:right="1086"/>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1.95</w:t>
            </w:r>
          </w:p>
        </w:tc>
        <w:tc>
          <w:tcPr>
            <w:tcW w:w="160" w:type="dxa"/>
            <w:vAlign w:val="bottom"/>
            <w:shd w:val="clear" w:color="auto" w:fill="DBDBDB"/>
          </w:tcPr>
          <w:p>
            <w:pPr>
              <w:spacing w:after="0"/>
              <w:rPr>
                <w:sz w:val="14"/>
                <w:szCs w:val="14"/>
                <w:color w:val="auto"/>
              </w:rPr>
            </w:pPr>
          </w:p>
        </w:tc>
        <w:tc>
          <w:tcPr>
            <w:tcW w:w="260" w:type="dxa"/>
            <w:vAlign w:val="bottom"/>
            <w:shd w:val="clear" w:color="auto" w:fill="DBDBDB"/>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2.52</w:t>
            </w: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2.93</w:t>
            </w:r>
          </w:p>
        </w:tc>
      </w:tr>
      <w:tr>
        <w:trPr>
          <w:trHeight w:val="157"/>
        </w:trPr>
        <w:tc>
          <w:tcPr>
            <w:tcW w:w="4300" w:type="dxa"/>
            <w:vAlign w:val="bottom"/>
          </w:tcPr>
          <w:p>
            <w:pPr>
              <w:spacing w:after="0"/>
              <w:rPr>
                <w:sz w:val="20"/>
                <w:szCs w:val="20"/>
                <w:color w:val="auto"/>
              </w:rPr>
            </w:pPr>
            <w:r>
              <w:rPr>
                <w:rFonts w:ascii="Arial" w:cs="Arial" w:eastAsia="Arial" w:hAnsi="Arial"/>
                <w:sz w:val="11"/>
                <w:szCs w:val="11"/>
                <w:color w:val="auto"/>
              </w:rPr>
              <w:t>Adjusted earnings per common share:</w:t>
            </w:r>
          </w:p>
        </w:tc>
        <w:tc>
          <w:tcPr>
            <w:tcW w:w="1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68"/>
        </w:trPr>
        <w:tc>
          <w:tcPr>
            <w:tcW w:w="43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Basic</w:t>
            </w:r>
          </w:p>
        </w:tc>
        <w:tc>
          <w:tcPr>
            <w:tcW w:w="1220" w:type="dxa"/>
            <w:vAlign w:val="bottom"/>
            <w:shd w:val="clear" w:color="auto" w:fill="DBDBDB"/>
          </w:tcPr>
          <w:p>
            <w:pPr>
              <w:jc w:val="right"/>
              <w:ind w:right="1110"/>
              <w:spacing w:after="0"/>
              <w:rPr>
                <w:sz w:val="20"/>
                <w:szCs w:val="20"/>
                <w:color w:val="auto"/>
              </w:rPr>
            </w:pPr>
            <w:r>
              <w:rPr>
                <w:rFonts w:ascii="Arial" w:cs="Arial" w:eastAsia="Arial" w:hAnsi="Arial"/>
                <w:sz w:val="10"/>
                <w:szCs w:val="10"/>
                <w:b w:val="1"/>
                <w:bCs w:val="1"/>
                <w:color w:val="auto"/>
                <w:w w:val="71"/>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1.97</w:t>
            </w:r>
          </w:p>
        </w:tc>
        <w:tc>
          <w:tcPr>
            <w:tcW w:w="80" w:type="dxa"/>
            <w:vAlign w:val="bottom"/>
            <w:shd w:val="clear" w:color="auto" w:fill="DBDBDB"/>
          </w:tcPr>
          <w:p>
            <w:pPr>
              <w:spacing w:after="0"/>
              <w:rPr>
                <w:sz w:val="14"/>
                <w:szCs w:val="14"/>
                <w:color w:val="auto"/>
              </w:rPr>
            </w:pPr>
          </w:p>
        </w:tc>
        <w:tc>
          <w:tcPr>
            <w:tcW w:w="1220" w:type="dxa"/>
            <w:vAlign w:val="bottom"/>
            <w:shd w:val="clear" w:color="auto" w:fill="DBDBDB"/>
          </w:tcPr>
          <w:p>
            <w:pPr>
              <w:jc w:val="right"/>
              <w:ind w:right="1086"/>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2.07</w:t>
            </w:r>
          </w:p>
        </w:tc>
        <w:tc>
          <w:tcPr>
            <w:tcW w:w="160" w:type="dxa"/>
            <w:vAlign w:val="bottom"/>
            <w:shd w:val="clear" w:color="auto" w:fill="DBDBDB"/>
          </w:tcPr>
          <w:p>
            <w:pPr>
              <w:spacing w:after="0"/>
              <w:rPr>
                <w:sz w:val="14"/>
                <w:szCs w:val="14"/>
                <w:color w:val="auto"/>
              </w:rPr>
            </w:pPr>
          </w:p>
        </w:tc>
        <w:tc>
          <w:tcPr>
            <w:tcW w:w="260" w:type="dxa"/>
            <w:vAlign w:val="bottom"/>
            <w:shd w:val="clear" w:color="auto" w:fill="DBDBDB"/>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2.74</w:t>
            </w: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3.16</w:t>
            </w:r>
          </w:p>
        </w:tc>
      </w:tr>
      <w:tr>
        <w:trPr>
          <w:trHeight w:val="160"/>
        </w:trPr>
        <w:tc>
          <w:tcPr>
            <w:tcW w:w="4300" w:type="dxa"/>
            <w:vAlign w:val="bottom"/>
          </w:tcPr>
          <w:p>
            <w:pPr>
              <w:ind w:left="140"/>
              <w:spacing w:after="0"/>
              <w:rPr>
                <w:sz w:val="20"/>
                <w:szCs w:val="20"/>
                <w:color w:val="auto"/>
              </w:rPr>
            </w:pPr>
            <w:r>
              <w:rPr>
                <w:rFonts w:ascii="Arial" w:cs="Arial" w:eastAsia="Arial" w:hAnsi="Arial"/>
                <w:sz w:val="11"/>
                <w:szCs w:val="11"/>
                <w:color w:val="auto"/>
              </w:rPr>
              <w:t>Diluted</w:t>
            </w:r>
          </w:p>
        </w:tc>
        <w:tc>
          <w:tcPr>
            <w:tcW w:w="1220" w:type="dxa"/>
            <w:vAlign w:val="bottom"/>
          </w:tcPr>
          <w:p>
            <w:pPr>
              <w:jc w:val="right"/>
              <w:ind w:right="1110"/>
              <w:spacing w:after="0"/>
              <w:rPr>
                <w:sz w:val="20"/>
                <w:szCs w:val="20"/>
                <w:color w:val="auto"/>
              </w:rPr>
            </w:pPr>
            <w:r>
              <w:rPr>
                <w:rFonts w:ascii="Arial" w:cs="Arial" w:eastAsia="Arial" w:hAnsi="Arial"/>
                <w:sz w:val="10"/>
                <w:szCs w:val="10"/>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1.94</w:t>
            </w:r>
          </w:p>
        </w:tc>
        <w:tc>
          <w:tcPr>
            <w:tcW w:w="80" w:type="dxa"/>
            <w:vAlign w:val="bottom"/>
          </w:tcPr>
          <w:p>
            <w:pPr>
              <w:spacing w:after="0"/>
              <w:rPr>
                <w:sz w:val="13"/>
                <w:szCs w:val="13"/>
                <w:color w:val="auto"/>
              </w:rPr>
            </w:pPr>
          </w:p>
        </w:tc>
        <w:tc>
          <w:tcPr>
            <w:tcW w:w="1220" w:type="dxa"/>
            <w:vAlign w:val="bottom"/>
          </w:tcPr>
          <w:p>
            <w:pPr>
              <w:jc w:val="right"/>
              <w:ind w:right="108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2.03</w:t>
            </w:r>
          </w:p>
        </w:tc>
        <w:tc>
          <w:tcPr>
            <w:tcW w:w="160" w:type="dxa"/>
            <w:vAlign w:val="bottom"/>
          </w:tcPr>
          <w:p>
            <w:pPr>
              <w:spacing w:after="0"/>
              <w:rPr>
                <w:sz w:val="13"/>
                <w:szCs w:val="13"/>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Pr>
          <w:p>
            <w:pPr>
              <w:jc w:val="right"/>
              <w:spacing w:after="0"/>
              <w:rPr>
                <w:sz w:val="20"/>
                <w:szCs w:val="20"/>
                <w:color w:val="auto"/>
              </w:rPr>
            </w:pPr>
            <w:r>
              <w:rPr>
                <w:rFonts w:ascii="Arial" w:cs="Arial" w:eastAsia="Arial" w:hAnsi="Arial"/>
                <w:sz w:val="11"/>
                <w:szCs w:val="11"/>
                <w:b w:val="1"/>
                <w:bCs w:val="1"/>
                <w:color w:val="auto"/>
              </w:rPr>
              <w:t>2.69</w:t>
            </w:r>
          </w:p>
        </w:tc>
        <w:tc>
          <w:tcPr>
            <w:tcW w:w="80" w:type="dxa"/>
            <w:vAlign w:val="bottom"/>
          </w:tcPr>
          <w:p>
            <w:pPr>
              <w:spacing w:after="0"/>
              <w:rPr>
                <w:sz w:val="13"/>
                <w:szCs w:val="13"/>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3.08</w:t>
            </w:r>
          </w:p>
        </w:tc>
      </w:tr>
      <w:tr>
        <w:trPr>
          <w:trHeight w:val="164"/>
        </w:trPr>
        <w:tc>
          <w:tcPr>
            <w:tcW w:w="4300" w:type="dxa"/>
            <w:vAlign w:val="bottom"/>
            <w:shd w:val="clear" w:color="auto" w:fill="DBDBDB"/>
          </w:tcPr>
          <w:p>
            <w:pPr>
              <w:spacing w:after="0"/>
              <w:rPr>
                <w:sz w:val="20"/>
                <w:szCs w:val="20"/>
                <w:color w:val="auto"/>
              </w:rPr>
            </w:pPr>
            <w:r>
              <w:rPr>
                <w:rFonts w:ascii="Arial" w:cs="Arial" w:eastAsia="Arial" w:hAnsi="Arial"/>
                <w:sz w:val="11"/>
                <w:szCs w:val="11"/>
                <w:color w:val="auto"/>
              </w:rPr>
              <w:t>Weighted average common shares outstanding:</w:t>
            </w:r>
          </w:p>
        </w:tc>
        <w:tc>
          <w:tcPr>
            <w:tcW w:w="122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46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4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420" w:type="dxa"/>
            <w:vAlign w:val="bottom"/>
            <w:shd w:val="clear" w:color="auto" w:fill="DBDBDB"/>
          </w:tcPr>
          <w:p>
            <w:pPr>
              <w:spacing w:after="0"/>
              <w:rPr>
                <w:sz w:val="14"/>
                <w:szCs w:val="14"/>
                <w:color w:val="auto"/>
              </w:rPr>
            </w:pPr>
          </w:p>
        </w:tc>
      </w:tr>
      <w:tr>
        <w:trPr>
          <w:trHeight w:val="159"/>
        </w:trPr>
        <w:tc>
          <w:tcPr>
            <w:tcW w:w="4300" w:type="dxa"/>
            <w:vAlign w:val="bottom"/>
          </w:tcPr>
          <w:p>
            <w:pPr>
              <w:ind w:left="140"/>
              <w:spacing w:after="0"/>
              <w:rPr>
                <w:sz w:val="20"/>
                <w:szCs w:val="20"/>
                <w:color w:val="auto"/>
              </w:rPr>
            </w:pPr>
            <w:r>
              <w:rPr>
                <w:rFonts w:ascii="Arial" w:cs="Arial" w:eastAsia="Arial" w:hAnsi="Arial"/>
                <w:sz w:val="11"/>
                <w:szCs w:val="11"/>
                <w:color w:val="auto"/>
              </w:rPr>
              <w:t>Basic</w:t>
            </w:r>
          </w:p>
        </w:tc>
        <w:tc>
          <w:tcPr>
            <w:tcW w:w="12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66,539</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71,829</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b w:val="1"/>
                <w:bCs w:val="1"/>
                <w:color w:val="auto"/>
              </w:rPr>
              <w:t>66,831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72,911</w:t>
            </w:r>
          </w:p>
        </w:tc>
      </w:tr>
      <w:tr>
        <w:trPr>
          <w:trHeight w:val="165"/>
        </w:trPr>
        <w:tc>
          <w:tcPr>
            <w:tcW w:w="43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Diluted</w:t>
            </w:r>
          </w:p>
        </w:tc>
        <w:tc>
          <w:tcPr>
            <w:tcW w:w="1220" w:type="dxa"/>
            <w:vAlign w:val="bottom"/>
            <w:shd w:val="clear" w:color="auto" w:fill="DBDBDB"/>
          </w:tcPr>
          <w:p>
            <w:pPr>
              <w:spacing w:after="0"/>
              <w:rPr>
                <w:sz w:val="14"/>
                <w:szCs w:val="14"/>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67,689</w:t>
            </w:r>
          </w:p>
        </w:tc>
        <w:tc>
          <w:tcPr>
            <w:tcW w:w="8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4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73,289</w:t>
            </w:r>
          </w:p>
        </w:tc>
        <w:tc>
          <w:tcPr>
            <w:tcW w:w="16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68,043</w:t>
            </w: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4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74,651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2726690</wp:posOffset>
            </wp:positionH>
            <wp:positionV relativeFrom="paragraph">
              <wp:posOffset>-1513840</wp:posOffset>
            </wp:positionV>
            <wp:extent cx="444627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46270" cy="5715"/>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-1622425</wp:posOffset>
            </wp:positionV>
            <wp:extent cx="444627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46270" cy="5715"/>
                    </a:xfrm>
                    <a:prstGeom prst="rect">
                      <a:avLst/>
                    </a:prstGeom>
                    <a:noFill/>
                  </pic:spPr>
                </pic:pic>
              </a:graphicData>
            </a:graphic>
          </wp:anchor>
        </w:drawing>
      </w:r>
    </w:p>
    <w:p>
      <w:pPr>
        <w:spacing w:after="0" w:line="58" w:lineRule="exact"/>
        <w:rPr>
          <w:sz w:val="20"/>
          <w:szCs w:val="20"/>
          <w:color w:val="auto"/>
        </w:rPr>
      </w:pPr>
    </w:p>
    <w:p>
      <w:pPr>
        <w:ind w:left="120" w:hanging="116"/>
        <w:spacing w:after="0"/>
        <w:tabs>
          <w:tab w:leader="none" w:pos="120" w:val="left"/>
        </w:tabs>
        <w:numPr>
          <w:ilvl w:val="0"/>
          <w:numId w:val="8"/>
        </w:numPr>
        <w:rPr>
          <w:rFonts w:ascii="Arial" w:cs="Arial" w:eastAsia="Arial" w:hAnsi="Arial"/>
          <w:sz w:val="8"/>
          <w:szCs w:val="8"/>
          <w:color w:val="auto"/>
        </w:rPr>
      </w:pPr>
      <w:r>
        <w:rPr>
          <w:rFonts w:ascii="Arial" w:cs="Arial" w:eastAsia="Arial" w:hAnsi="Arial"/>
          <w:sz w:val="8"/>
          <w:szCs w:val="8"/>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43" w:lineRule="exact"/>
        <w:rPr>
          <w:rFonts w:ascii="Arial" w:cs="Arial" w:eastAsia="Arial" w:hAnsi="Arial"/>
          <w:sz w:val="8"/>
          <w:szCs w:val="8"/>
          <w:color w:val="auto"/>
        </w:rPr>
      </w:pPr>
    </w:p>
    <w:p>
      <w:pPr>
        <w:ind w:left="120" w:hanging="116"/>
        <w:spacing w:after="0"/>
        <w:tabs>
          <w:tab w:leader="none" w:pos="120" w:val="left"/>
        </w:tabs>
        <w:numPr>
          <w:ilvl w:val="0"/>
          <w:numId w:val="8"/>
        </w:numPr>
        <w:rPr>
          <w:rFonts w:ascii="Arial" w:cs="Arial" w:eastAsia="Arial" w:hAnsi="Arial"/>
          <w:sz w:val="8"/>
          <w:szCs w:val="8"/>
          <w:color w:val="auto"/>
        </w:rPr>
      </w:pPr>
      <w:r>
        <w:rPr>
          <w:rFonts w:ascii="Arial" w:cs="Arial" w:eastAsia="Arial" w:hAnsi="Arial"/>
          <w:sz w:val="8"/>
          <w:szCs w:val="8"/>
          <w:color w:val="auto"/>
        </w:rPr>
        <w:t>For the thirteen and twenty-six weeks ended August 2, 2025 and August 3, 2024, this represents the estimated tax effect (by using the projected full year tax rates for the respective years) of the total adjustments made to arrive at Adjusted Net Income.</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Adjusted Net Income and Adjusted Earnings Per Common Share, Diluted, Guidance Reconciliation (amounts in millions, except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800" w:type="dxa"/>
            <w:vAlign w:val="bottom"/>
            <w:shd w:val="clear" w:color="auto" w:fill="0A2299"/>
          </w:tcPr>
          <w:p>
            <w:pPr>
              <w:jc w:val="center"/>
              <w:ind w:left="450"/>
              <w:spacing w:after="0"/>
              <w:rPr>
                <w:sz w:val="20"/>
                <w:szCs w:val="20"/>
                <w:color w:val="auto"/>
              </w:rPr>
            </w:pPr>
            <w:r>
              <w:rPr>
                <w:rFonts w:ascii="Arial" w:cs="Arial" w:eastAsia="Arial" w:hAnsi="Arial"/>
                <w:sz w:val="11"/>
                <w:szCs w:val="11"/>
                <w:b w:val="1"/>
                <w:bCs w:val="1"/>
                <w:color w:val="FFFFFF"/>
                <w:w w:val="98"/>
              </w:rPr>
              <w:t>Low Range*</w:t>
            </w:r>
          </w:p>
        </w:tc>
        <w:tc>
          <w:tcPr>
            <w:tcW w:w="500" w:type="dxa"/>
            <w:vAlign w:val="bottom"/>
            <w:shd w:val="clear" w:color="auto" w:fill="0A2299"/>
          </w:tcPr>
          <w:p>
            <w:pPr>
              <w:spacing w:after="0"/>
              <w:rPr>
                <w:sz w:val="14"/>
                <w:szCs w:val="14"/>
                <w:color w:val="auto"/>
              </w:rPr>
            </w:pPr>
          </w:p>
        </w:tc>
        <w:tc>
          <w:tcPr>
            <w:tcW w:w="80" w:type="dxa"/>
            <w:vAlign w:val="bottom"/>
            <w:shd w:val="clear" w:color="auto" w:fill="0A2299"/>
          </w:tcPr>
          <w:p>
            <w:pPr>
              <w:spacing w:after="0"/>
              <w:rPr>
                <w:sz w:val="14"/>
                <w:szCs w:val="14"/>
                <w:color w:val="auto"/>
              </w:rPr>
            </w:pPr>
          </w:p>
        </w:tc>
        <w:tc>
          <w:tcPr>
            <w:tcW w:w="360" w:type="dxa"/>
            <w:vAlign w:val="bottom"/>
            <w:shd w:val="clear" w:color="auto" w:fill="0A2299"/>
          </w:tcPr>
          <w:p>
            <w:pPr>
              <w:spacing w:after="0"/>
              <w:rPr>
                <w:sz w:val="14"/>
                <w:szCs w:val="14"/>
                <w:color w:val="auto"/>
              </w:rPr>
            </w:pPr>
          </w:p>
        </w:tc>
        <w:tc>
          <w:tcPr>
            <w:tcW w:w="1940" w:type="dxa"/>
            <w:vAlign w:val="bottom"/>
            <w:shd w:val="clear" w:color="auto" w:fill="0A2299"/>
          </w:tcPr>
          <w:p>
            <w:pPr>
              <w:jc w:val="center"/>
              <w:ind w:right="326"/>
              <w:spacing w:after="0"/>
              <w:rPr>
                <w:sz w:val="20"/>
                <w:szCs w:val="20"/>
                <w:color w:val="auto"/>
              </w:rPr>
            </w:pPr>
            <w:r>
              <w:rPr>
                <w:rFonts w:ascii="Arial" w:cs="Arial" w:eastAsia="Arial" w:hAnsi="Arial"/>
                <w:sz w:val="11"/>
                <w:szCs w:val="11"/>
                <w:b w:val="1"/>
                <w:bCs w:val="1"/>
                <w:color w:val="FFFFFF"/>
                <w:w w:val="97"/>
              </w:rPr>
              <w:t>High Range*</w:t>
            </w:r>
          </w:p>
        </w:tc>
      </w:tr>
      <w:tr>
        <w:trPr>
          <w:trHeight w:val="144"/>
        </w:trPr>
        <w:tc>
          <w:tcPr>
            <w:tcW w:w="6620" w:type="dxa"/>
            <w:vAlign w:val="bottom"/>
          </w:tcPr>
          <w:p>
            <w:pPr>
              <w:spacing w:after="0"/>
              <w:rPr>
                <w:sz w:val="12"/>
                <w:szCs w:val="12"/>
                <w:color w:val="auto"/>
              </w:rPr>
            </w:pPr>
          </w:p>
        </w:tc>
        <w:tc>
          <w:tcPr>
            <w:tcW w:w="1800" w:type="dxa"/>
            <w:vAlign w:val="bottom"/>
            <w:shd w:val="clear" w:color="auto" w:fill="0A2299"/>
          </w:tcPr>
          <w:p>
            <w:pPr>
              <w:jc w:val="center"/>
              <w:ind w:left="430"/>
              <w:spacing w:after="0"/>
              <w:rPr>
                <w:sz w:val="20"/>
                <w:szCs w:val="20"/>
                <w:color w:val="auto"/>
              </w:rPr>
            </w:pPr>
            <w:r>
              <w:rPr>
                <w:rFonts w:ascii="Arial" w:cs="Arial" w:eastAsia="Arial" w:hAnsi="Arial"/>
                <w:sz w:val="11"/>
                <w:szCs w:val="11"/>
                <w:b w:val="1"/>
                <w:bCs w:val="1"/>
                <w:color w:val="FFFFFF"/>
                <w:w w:val="97"/>
              </w:rPr>
              <w:t>Fiscal Year Ending</w:t>
            </w:r>
          </w:p>
        </w:tc>
        <w:tc>
          <w:tcPr>
            <w:tcW w:w="500" w:type="dxa"/>
            <w:vAlign w:val="bottom"/>
            <w:shd w:val="clear" w:color="auto" w:fill="0A2299"/>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shd w:val="clear" w:color="auto" w:fill="0A2299"/>
          </w:tcPr>
          <w:p>
            <w:pPr>
              <w:spacing w:after="0"/>
              <w:rPr>
                <w:sz w:val="12"/>
                <w:szCs w:val="12"/>
                <w:color w:val="auto"/>
              </w:rPr>
            </w:pPr>
          </w:p>
        </w:tc>
        <w:tc>
          <w:tcPr>
            <w:tcW w:w="1940" w:type="dxa"/>
            <w:vAlign w:val="bottom"/>
            <w:shd w:val="clear" w:color="auto" w:fill="0A2299"/>
          </w:tcPr>
          <w:p>
            <w:pPr>
              <w:jc w:val="center"/>
              <w:ind w:right="366"/>
              <w:spacing w:after="0"/>
              <w:rPr>
                <w:sz w:val="20"/>
                <w:szCs w:val="20"/>
                <w:color w:val="auto"/>
              </w:rPr>
            </w:pPr>
            <w:r>
              <w:rPr>
                <w:rFonts w:ascii="Arial" w:cs="Arial" w:eastAsia="Arial" w:hAnsi="Arial"/>
                <w:sz w:val="11"/>
                <w:szCs w:val="11"/>
                <w:b w:val="1"/>
                <w:bCs w:val="1"/>
                <w:color w:val="FFFFFF"/>
                <w:w w:val="97"/>
              </w:rPr>
              <w:t>Fiscal Year Ending</w:t>
            </w:r>
          </w:p>
        </w:tc>
      </w:tr>
      <w:tr>
        <w:trPr>
          <w:trHeight w:val="162"/>
        </w:trPr>
        <w:tc>
          <w:tcPr>
            <w:tcW w:w="6620" w:type="dxa"/>
            <w:vAlign w:val="bottom"/>
          </w:tcPr>
          <w:p>
            <w:pPr>
              <w:spacing w:after="0"/>
              <w:rPr>
                <w:sz w:val="14"/>
                <w:szCs w:val="14"/>
                <w:color w:val="auto"/>
              </w:rPr>
            </w:pPr>
          </w:p>
        </w:tc>
        <w:tc>
          <w:tcPr>
            <w:tcW w:w="1800" w:type="dxa"/>
            <w:vAlign w:val="bottom"/>
            <w:shd w:val="clear" w:color="auto" w:fill="0A2299"/>
          </w:tcPr>
          <w:p>
            <w:pPr>
              <w:jc w:val="center"/>
              <w:ind w:left="450"/>
              <w:spacing w:after="0"/>
              <w:rPr>
                <w:sz w:val="20"/>
                <w:szCs w:val="20"/>
                <w:color w:val="auto"/>
              </w:rPr>
            </w:pPr>
            <w:r>
              <w:rPr>
                <w:rFonts w:ascii="Arial" w:cs="Arial" w:eastAsia="Arial" w:hAnsi="Arial"/>
                <w:sz w:val="11"/>
                <w:szCs w:val="11"/>
                <w:b w:val="1"/>
                <w:bCs w:val="1"/>
                <w:color w:val="FFFFFF"/>
                <w:w w:val="97"/>
              </w:rPr>
              <w:t>January 31, 2026</w:t>
            </w:r>
          </w:p>
        </w:tc>
        <w:tc>
          <w:tcPr>
            <w:tcW w:w="500" w:type="dxa"/>
            <w:vAlign w:val="bottom"/>
            <w:shd w:val="clear" w:color="auto" w:fill="0A2299"/>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shd w:val="clear" w:color="auto" w:fill="0A2299"/>
          </w:tcPr>
          <w:p>
            <w:pPr>
              <w:spacing w:after="0"/>
              <w:rPr>
                <w:sz w:val="14"/>
                <w:szCs w:val="14"/>
                <w:color w:val="auto"/>
              </w:rPr>
            </w:pPr>
          </w:p>
        </w:tc>
        <w:tc>
          <w:tcPr>
            <w:tcW w:w="1940" w:type="dxa"/>
            <w:vAlign w:val="bottom"/>
            <w:shd w:val="clear" w:color="auto" w:fill="0A2299"/>
          </w:tcPr>
          <w:p>
            <w:pPr>
              <w:jc w:val="center"/>
              <w:ind w:right="306"/>
              <w:spacing w:after="0"/>
              <w:rPr>
                <w:sz w:val="20"/>
                <w:szCs w:val="20"/>
                <w:color w:val="auto"/>
              </w:rPr>
            </w:pPr>
            <w:r>
              <w:rPr>
                <w:rFonts w:ascii="Arial" w:cs="Arial" w:eastAsia="Arial" w:hAnsi="Arial"/>
                <w:sz w:val="11"/>
                <w:szCs w:val="11"/>
                <w:b w:val="1"/>
                <w:bCs w:val="1"/>
                <w:color w:val="FFFFFF"/>
                <w:w w:val="97"/>
              </w:rPr>
              <w:t>January 31, 2026</w:t>
            </w:r>
          </w:p>
        </w:tc>
      </w:tr>
      <w:tr>
        <w:trPr>
          <w:trHeight w:val="171"/>
        </w:trPr>
        <w:tc>
          <w:tcPr>
            <w:tcW w:w="6620" w:type="dxa"/>
            <w:vAlign w:val="bottom"/>
            <w:shd w:val="clear" w:color="auto" w:fill="DBDBDB"/>
          </w:tcPr>
          <w:p>
            <w:pPr>
              <w:spacing w:after="0"/>
              <w:rPr>
                <w:sz w:val="20"/>
                <w:szCs w:val="20"/>
                <w:color w:val="auto"/>
              </w:rPr>
            </w:pPr>
            <w:r>
              <w:rPr>
                <w:rFonts w:ascii="Arial" w:cs="Arial" w:eastAsia="Arial" w:hAnsi="Arial"/>
                <w:sz w:val="11"/>
                <w:szCs w:val="11"/>
                <w:color w:val="auto"/>
              </w:rPr>
              <w:t>Net Income</w:t>
            </w:r>
          </w:p>
        </w:tc>
        <w:tc>
          <w:tcPr>
            <w:tcW w:w="1800" w:type="dxa"/>
            <w:vAlign w:val="bottom"/>
            <w:shd w:val="clear" w:color="auto" w:fill="DBDBDB"/>
          </w:tcPr>
          <w:p>
            <w:pPr>
              <w:jc w:val="right"/>
              <w:ind w:right="169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360.0</w:t>
            </w:r>
          </w:p>
        </w:tc>
        <w:tc>
          <w:tcPr>
            <w:tcW w:w="440" w:type="dxa"/>
            <w:vAlign w:val="bottom"/>
            <w:gridSpan w:val="2"/>
            <w:shd w:val="clear" w:color="auto" w:fill="DBDBDB"/>
          </w:tcPr>
          <w:p>
            <w:pPr>
              <w:jc w:val="right"/>
              <w:ind w:right="251"/>
              <w:spacing w:after="0"/>
              <w:rPr>
                <w:sz w:val="20"/>
                <w:szCs w:val="20"/>
                <w:color w:val="auto"/>
              </w:rPr>
            </w:pPr>
            <w:r>
              <w:rPr>
                <w:rFonts w:ascii="Arial" w:cs="Arial" w:eastAsia="Arial" w:hAnsi="Arial"/>
                <w:sz w:val="11"/>
                <w:szCs w:val="11"/>
                <w:color w:val="auto"/>
              </w:rPr>
              <w:t>$</w:t>
            </w:r>
          </w:p>
        </w:tc>
        <w:tc>
          <w:tcPr>
            <w:tcW w:w="19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410.0</w:t>
            </w:r>
          </w:p>
        </w:tc>
      </w:tr>
      <w:tr>
        <w:trPr>
          <w:trHeight w:val="156"/>
        </w:trPr>
        <w:tc>
          <w:tcPr>
            <w:tcW w:w="662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 xml:space="preserve">Equity compensation </w:t>
            </w:r>
            <w:r>
              <w:rPr>
                <w:rFonts w:ascii="Arial" w:cs="Arial" w:eastAsia="Arial" w:hAnsi="Arial"/>
                <w:sz w:val="8"/>
                <w:szCs w:val="8"/>
                <w:color w:val="auto"/>
              </w:rPr>
              <w:t>(a)</w:t>
            </w:r>
          </w:p>
        </w:tc>
        <w:tc>
          <w:tcPr>
            <w:tcW w:w="1800" w:type="dxa"/>
            <w:vAlign w:val="bottom"/>
            <w:tcBorders>
              <w:bottom w:val="single" w:sz="8" w:color="auto"/>
            </w:tcBorders>
          </w:tcPr>
          <w:p>
            <w:pPr>
              <w:jc w:val="right"/>
              <w:ind w:right="169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w:t>
            </w:r>
          </w:p>
        </w:tc>
        <w:tc>
          <w:tcPr>
            <w:tcW w:w="8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color w:val="auto"/>
                <w:w w:val="71"/>
              </w:rPr>
              <w:t>$</w:t>
            </w:r>
          </w:p>
        </w:tc>
        <w:tc>
          <w:tcPr>
            <w:tcW w:w="19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20.0</w:t>
            </w:r>
          </w:p>
        </w:tc>
      </w:tr>
      <w:tr>
        <w:trPr>
          <w:trHeight w:val="184"/>
        </w:trPr>
        <w:tc>
          <w:tcPr>
            <w:tcW w:w="66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1"/>
                <w:szCs w:val="11"/>
                <w:color w:val="auto"/>
              </w:rPr>
              <w:t>Adjusted Net Income</w:t>
            </w:r>
          </w:p>
        </w:tc>
        <w:tc>
          <w:tcPr>
            <w:tcW w:w="1800" w:type="dxa"/>
            <w:vAlign w:val="bottom"/>
            <w:tcBorders>
              <w:bottom w:val="single" w:sz="8" w:color="auto"/>
            </w:tcBorders>
            <w:shd w:val="clear" w:color="auto" w:fill="DBDBDB"/>
          </w:tcPr>
          <w:p>
            <w:pPr>
              <w:jc w:val="right"/>
              <w:ind w:right="169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380.0</w:t>
            </w:r>
          </w:p>
        </w:tc>
        <w:tc>
          <w:tcPr>
            <w:tcW w:w="440" w:type="dxa"/>
            <w:vAlign w:val="bottom"/>
            <w:tcBorders>
              <w:bottom w:val="single" w:sz="8" w:color="DBDBDB"/>
            </w:tcBorders>
            <w:gridSpan w:val="2"/>
            <w:shd w:val="clear" w:color="auto" w:fill="DBDBDB"/>
          </w:tcPr>
          <w:p>
            <w:pPr>
              <w:jc w:val="right"/>
              <w:ind w:right="251"/>
              <w:spacing w:after="0"/>
              <w:rPr>
                <w:sz w:val="20"/>
                <w:szCs w:val="20"/>
                <w:color w:val="auto"/>
              </w:rPr>
            </w:pPr>
            <w:r>
              <w:rPr>
                <w:rFonts w:ascii="Arial" w:cs="Arial" w:eastAsia="Arial" w:hAnsi="Arial"/>
                <w:sz w:val="11"/>
                <w:szCs w:val="11"/>
                <w:color w:val="auto"/>
              </w:rPr>
              <w:t>$</w:t>
            </w:r>
          </w:p>
        </w:tc>
        <w:tc>
          <w:tcPr>
            <w:tcW w:w="19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430.0</w:t>
            </w:r>
          </w:p>
        </w:tc>
      </w:tr>
      <w:tr>
        <w:trPr>
          <w:trHeight w:val="151"/>
        </w:trPr>
        <w:tc>
          <w:tcPr>
            <w:tcW w:w="6620" w:type="dxa"/>
            <w:vAlign w:val="bottom"/>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spacing w:after="0"/>
              <w:rPr>
                <w:sz w:val="13"/>
                <w:szCs w:val="13"/>
                <w:color w:val="auto"/>
              </w:rPr>
            </w:pPr>
          </w:p>
        </w:tc>
      </w:tr>
      <w:tr>
        <w:trPr>
          <w:trHeight w:val="162"/>
        </w:trPr>
        <w:tc>
          <w:tcPr>
            <w:tcW w:w="6620" w:type="dxa"/>
            <w:vAlign w:val="bottom"/>
            <w:shd w:val="clear" w:color="auto" w:fill="DBDBDB"/>
          </w:tcPr>
          <w:p>
            <w:pPr>
              <w:spacing w:after="0"/>
              <w:rPr>
                <w:sz w:val="20"/>
                <w:szCs w:val="20"/>
                <w:color w:val="auto"/>
              </w:rPr>
            </w:pPr>
            <w:r>
              <w:rPr>
                <w:rFonts w:ascii="Arial" w:cs="Arial" w:eastAsia="Arial" w:hAnsi="Arial"/>
                <w:sz w:val="11"/>
                <w:szCs w:val="11"/>
                <w:color w:val="auto"/>
              </w:rPr>
              <w:t>Earnings Per Common Share, Diluted</w:t>
            </w:r>
          </w:p>
        </w:tc>
        <w:tc>
          <w:tcPr>
            <w:tcW w:w="1800" w:type="dxa"/>
            <w:vAlign w:val="bottom"/>
            <w:shd w:val="clear" w:color="auto" w:fill="DBDBDB"/>
          </w:tcPr>
          <w:p>
            <w:pPr>
              <w:jc w:val="right"/>
              <w:ind w:right="169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5.30</w:t>
            </w:r>
          </w:p>
        </w:tc>
        <w:tc>
          <w:tcPr>
            <w:tcW w:w="440" w:type="dxa"/>
            <w:vAlign w:val="bottom"/>
            <w:gridSpan w:val="2"/>
            <w:shd w:val="clear" w:color="auto" w:fill="DBDBDB"/>
          </w:tcPr>
          <w:p>
            <w:pPr>
              <w:jc w:val="right"/>
              <w:ind w:right="251"/>
              <w:spacing w:after="0"/>
              <w:rPr>
                <w:sz w:val="20"/>
                <w:szCs w:val="20"/>
                <w:color w:val="auto"/>
              </w:rPr>
            </w:pPr>
            <w:r>
              <w:rPr>
                <w:rFonts w:ascii="Arial" w:cs="Arial" w:eastAsia="Arial" w:hAnsi="Arial"/>
                <w:sz w:val="11"/>
                <w:szCs w:val="11"/>
                <w:color w:val="auto"/>
              </w:rPr>
              <w:t>$</w:t>
            </w:r>
          </w:p>
        </w:tc>
        <w:tc>
          <w:tcPr>
            <w:tcW w:w="19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6.00</w:t>
            </w:r>
          </w:p>
        </w:tc>
      </w:tr>
      <w:tr>
        <w:trPr>
          <w:trHeight w:val="157"/>
        </w:trPr>
        <w:tc>
          <w:tcPr>
            <w:tcW w:w="662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 xml:space="preserve">Equity compensation </w:t>
            </w:r>
            <w:r>
              <w:rPr>
                <w:rFonts w:ascii="Arial" w:cs="Arial" w:eastAsia="Arial" w:hAnsi="Arial"/>
                <w:sz w:val="8"/>
                <w:szCs w:val="8"/>
                <w:color w:val="auto"/>
              </w:rPr>
              <w:t>(a)</w:t>
            </w:r>
          </w:p>
        </w:tc>
        <w:tc>
          <w:tcPr>
            <w:tcW w:w="1800" w:type="dxa"/>
            <w:vAlign w:val="bottom"/>
            <w:tcBorders>
              <w:bottom w:val="single" w:sz="8" w:color="auto"/>
            </w:tcBorders>
          </w:tcPr>
          <w:p>
            <w:pPr>
              <w:jc w:val="right"/>
              <w:ind w:right="169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0.30</w:t>
            </w:r>
          </w:p>
        </w:tc>
        <w:tc>
          <w:tcPr>
            <w:tcW w:w="8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color w:val="auto"/>
                <w:w w:val="71"/>
              </w:rPr>
              <w:t>$</w:t>
            </w:r>
          </w:p>
        </w:tc>
        <w:tc>
          <w:tcPr>
            <w:tcW w:w="19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0.30</w:t>
            </w:r>
          </w:p>
        </w:tc>
      </w:tr>
      <w:tr>
        <w:trPr>
          <w:trHeight w:val="173"/>
        </w:trPr>
        <w:tc>
          <w:tcPr>
            <w:tcW w:w="66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1"/>
                <w:szCs w:val="11"/>
                <w:color w:val="auto"/>
              </w:rPr>
              <w:t>Adjusted Earnings Per Common Share, Diluted</w:t>
            </w:r>
          </w:p>
        </w:tc>
        <w:tc>
          <w:tcPr>
            <w:tcW w:w="1800" w:type="dxa"/>
            <w:vAlign w:val="bottom"/>
            <w:tcBorders>
              <w:bottom w:val="single" w:sz="8" w:color="auto"/>
            </w:tcBorders>
            <w:shd w:val="clear" w:color="auto" w:fill="DBDBDB"/>
          </w:tcPr>
          <w:p>
            <w:pPr>
              <w:jc w:val="right"/>
              <w:ind w:right="169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5.60</w:t>
            </w:r>
          </w:p>
        </w:tc>
        <w:tc>
          <w:tcPr>
            <w:tcW w:w="80" w:type="dxa"/>
            <w:vAlign w:val="bottom"/>
            <w:tcBorders>
              <w:bottom w:val="single" w:sz="8" w:color="DBDBDB"/>
            </w:tcBorders>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jc w:val="right"/>
              <w:ind w:right="251"/>
              <w:spacing w:after="0"/>
              <w:rPr>
                <w:sz w:val="20"/>
                <w:szCs w:val="20"/>
                <w:color w:val="auto"/>
              </w:rPr>
            </w:pPr>
            <w:r>
              <w:rPr>
                <w:rFonts w:ascii="Arial" w:cs="Arial" w:eastAsia="Arial" w:hAnsi="Arial"/>
                <w:sz w:val="10"/>
                <w:szCs w:val="10"/>
                <w:color w:val="auto"/>
                <w:w w:val="71"/>
              </w:rPr>
              <w:t>$</w:t>
            </w:r>
          </w:p>
        </w:tc>
        <w:tc>
          <w:tcPr>
            <w:tcW w:w="19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-782320</wp:posOffset>
            </wp:positionV>
            <wp:extent cx="297180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71800" cy="571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-976630</wp:posOffset>
            </wp:positionV>
            <wp:extent cx="297180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71800" cy="5715"/>
                    </a:xfrm>
                    <a:prstGeom prst="rect">
                      <a:avLst/>
                    </a:prstGeom>
                    <a:noFill/>
                  </pic:spPr>
                </pic:pic>
              </a:graphicData>
            </a:graphic>
          </wp:anchor>
        </w:drawing>
      </w:r>
    </w:p>
    <w:p>
      <w:pPr>
        <w:spacing w:after="0" w:line="148" w:lineRule="exact"/>
        <w:rPr>
          <w:sz w:val="20"/>
          <w:szCs w:val="20"/>
          <w:color w:val="auto"/>
        </w:rPr>
      </w:pPr>
    </w:p>
    <w:p>
      <w:pPr>
        <w:ind w:left="360" w:hanging="356"/>
        <w:spacing w:after="0"/>
        <w:tabs>
          <w:tab w:leader="none" w:pos="360" w:val="left"/>
        </w:tabs>
        <w:numPr>
          <w:ilvl w:val="0"/>
          <w:numId w:val="9"/>
        </w:numPr>
        <w:rPr>
          <w:rFonts w:ascii="Arial" w:cs="Arial" w:eastAsia="Arial" w:hAnsi="Arial"/>
          <w:sz w:val="8"/>
          <w:szCs w:val="8"/>
          <w:color w:val="auto"/>
        </w:rPr>
      </w:pPr>
      <w:r>
        <w:rPr>
          <w:rFonts w:ascii="Arial" w:cs="Arial" w:eastAsia="Arial" w:hAnsi="Arial"/>
          <w:sz w:val="8"/>
          <w:szCs w:val="8"/>
          <w:color w:val="auto"/>
        </w:rPr>
        <w:t>Amounts presented have been rounded.</w:t>
      </w:r>
    </w:p>
    <w:p>
      <w:pPr>
        <w:spacing w:after="0" w:line="43" w:lineRule="exact"/>
        <w:rPr>
          <w:sz w:val="20"/>
          <w:szCs w:val="20"/>
          <w:color w:val="auto"/>
        </w:rPr>
      </w:pPr>
    </w:p>
    <w:p>
      <w:pPr>
        <w:ind w:left="360" w:hanging="356"/>
        <w:spacing w:after="0"/>
        <w:tabs>
          <w:tab w:leader="none" w:pos="360" w:val="left"/>
        </w:tabs>
        <w:numPr>
          <w:ilvl w:val="0"/>
          <w:numId w:val="10"/>
        </w:numPr>
        <w:rPr>
          <w:rFonts w:ascii="Arial" w:cs="Arial" w:eastAsia="Arial" w:hAnsi="Arial"/>
          <w:sz w:val="8"/>
          <w:szCs w:val="8"/>
          <w:color w:val="auto"/>
        </w:rPr>
      </w:pPr>
      <w:r>
        <w:rPr>
          <w:rFonts w:ascii="Arial" w:cs="Arial" w:eastAsia="Arial" w:hAnsi="Arial"/>
          <w:sz w:val="8"/>
          <w:szCs w:val="8"/>
          <w:color w:val="auto"/>
        </w:rPr>
        <w:t>Adjustments include non-cash charges related to equity-based compensation (as defined above), which may vary from period to period.</w:t>
      </w:r>
    </w:p>
    <w:p>
      <w:pPr>
        <w:spacing w:after="0" w:line="59" w:lineRule="exact"/>
        <w:rPr>
          <w:sz w:val="20"/>
          <w:szCs w:val="20"/>
          <w:color w:val="auto"/>
        </w:rPr>
      </w:pPr>
    </w:p>
    <w:p>
      <w:pPr>
        <w:ind w:left="11180"/>
        <w:spacing w:after="0"/>
        <w:rPr>
          <w:sz w:val="20"/>
          <w:szCs w:val="20"/>
          <w:color w:val="auto"/>
        </w:rPr>
      </w:pPr>
      <w:r>
        <w:rPr>
          <w:rFonts w:ascii="Arial" w:cs="Arial" w:eastAsia="Arial" w:hAnsi="Arial"/>
          <w:sz w:val="10"/>
          <w:szCs w:val="10"/>
          <w:color w:val="auto"/>
        </w:rPr>
        <w:t>10</w:t>
      </w:r>
    </w:p>
    <w:p>
      <w:pPr>
        <w:sectPr>
          <w:pgSz w:w="11900" w:h="16838" w:orient="portrait"/>
          <w:cols w:equalWidth="0" w:num="1">
            <w:col w:w="11300"/>
          </w:cols>
          <w:pgMar w:left="300" w:top="696" w:right="29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i w:val="1"/>
          <w:iCs w:val="1"/>
          <w:color w:val="auto"/>
        </w:rPr>
        <w:t>Adjusted Free Cash Flow</w:t>
      </w:r>
    </w:p>
    <w:p>
      <w:pPr>
        <w:spacing w:after="0" w:line="139"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We define “Adjusted Free Cash Flow” as net cash provided by (used in) operating activities less net cash used in investing activities. We describe these adjustments reconciling net cash provided by operating activities to adjusted free cash flow in the following table (amounts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60" w:type="dxa"/>
            <w:vAlign w:val="bottom"/>
          </w:tcPr>
          <w:p>
            <w:pPr>
              <w:spacing w:after="0"/>
              <w:rPr>
                <w:sz w:val="14"/>
                <w:szCs w:val="14"/>
                <w:color w:val="auto"/>
              </w:rPr>
            </w:pPr>
          </w:p>
        </w:tc>
        <w:tc>
          <w:tcPr>
            <w:tcW w:w="320" w:type="dxa"/>
            <w:vAlign w:val="bottom"/>
            <w:shd w:val="clear" w:color="auto" w:fill="0A2299"/>
          </w:tcPr>
          <w:p>
            <w:pPr>
              <w:spacing w:after="0"/>
              <w:rPr>
                <w:sz w:val="14"/>
                <w:szCs w:val="14"/>
                <w:color w:val="auto"/>
              </w:rPr>
            </w:pPr>
          </w:p>
        </w:tc>
        <w:tc>
          <w:tcPr>
            <w:tcW w:w="2140" w:type="dxa"/>
            <w:vAlign w:val="bottom"/>
            <w:gridSpan w:val="3"/>
            <w:shd w:val="clear" w:color="auto" w:fill="0A2299"/>
          </w:tcPr>
          <w:p>
            <w:pPr>
              <w:jc w:val="right"/>
              <w:spacing w:after="0"/>
              <w:rPr>
                <w:sz w:val="20"/>
                <w:szCs w:val="20"/>
                <w:color w:val="auto"/>
              </w:rPr>
            </w:pPr>
            <w:r>
              <w:rPr>
                <w:rFonts w:ascii="Arial" w:cs="Arial" w:eastAsia="Arial" w:hAnsi="Arial"/>
                <w:sz w:val="11"/>
                <w:szCs w:val="11"/>
                <w:b w:val="1"/>
                <w:bCs w:val="1"/>
                <w:color w:val="FFFFFF"/>
              </w:rPr>
              <w:t>Thirteen Weeks Ended</w:t>
            </w:r>
          </w:p>
        </w:tc>
        <w:tc>
          <w:tcPr>
            <w:tcW w:w="1280" w:type="dxa"/>
            <w:vAlign w:val="bottom"/>
            <w:shd w:val="clear" w:color="auto" w:fill="0A2299"/>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shd w:val="clear" w:color="auto" w:fill="0A2299"/>
          </w:tcPr>
          <w:p>
            <w:pPr>
              <w:spacing w:after="0"/>
              <w:rPr>
                <w:sz w:val="14"/>
                <w:szCs w:val="14"/>
                <w:color w:val="auto"/>
              </w:rPr>
            </w:pPr>
          </w:p>
        </w:tc>
        <w:tc>
          <w:tcPr>
            <w:tcW w:w="3240" w:type="dxa"/>
            <w:vAlign w:val="bottom"/>
            <w:gridSpan w:val="4"/>
            <w:shd w:val="clear" w:color="auto" w:fill="0A2299"/>
          </w:tcPr>
          <w:p>
            <w:pPr>
              <w:jc w:val="right"/>
              <w:ind w:right="1066"/>
              <w:spacing w:after="0"/>
              <w:rPr>
                <w:sz w:val="20"/>
                <w:szCs w:val="20"/>
                <w:color w:val="auto"/>
              </w:rPr>
            </w:pPr>
            <w:r>
              <w:rPr>
                <w:rFonts w:ascii="Arial" w:cs="Arial" w:eastAsia="Arial" w:hAnsi="Arial"/>
                <w:sz w:val="11"/>
                <w:szCs w:val="11"/>
                <w:b w:val="1"/>
                <w:bCs w:val="1"/>
                <w:color w:val="FFFFFF"/>
              </w:rPr>
              <w:t>Twenty-Six Weeks Ended</w:t>
            </w:r>
          </w:p>
        </w:tc>
      </w:tr>
      <w:tr>
        <w:trPr>
          <w:trHeight w:val="165"/>
        </w:trPr>
        <w:tc>
          <w:tcPr>
            <w:tcW w:w="3960" w:type="dxa"/>
            <w:vAlign w:val="bottom"/>
          </w:tcPr>
          <w:p>
            <w:pPr>
              <w:spacing w:after="0"/>
              <w:rPr>
                <w:sz w:val="14"/>
                <w:szCs w:val="14"/>
                <w:color w:val="auto"/>
              </w:rPr>
            </w:pPr>
          </w:p>
        </w:tc>
        <w:tc>
          <w:tcPr>
            <w:tcW w:w="320" w:type="dxa"/>
            <w:vAlign w:val="bottom"/>
            <w:shd w:val="clear" w:color="auto" w:fill="0A2299"/>
          </w:tcPr>
          <w:p>
            <w:pPr>
              <w:spacing w:after="0"/>
              <w:rPr>
                <w:sz w:val="14"/>
                <w:szCs w:val="14"/>
                <w:color w:val="auto"/>
              </w:rPr>
            </w:pPr>
          </w:p>
        </w:tc>
        <w:tc>
          <w:tcPr>
            <w:tcW w:w="1620" w:type="dxa"/>
            <w:vAlign w:val="bottom"/>
            <w:gridSpan w:val="2"/>
            <w:shd w:val="clear" w:color="auto" w:fill="0A2299"/>
          </w:tcPr>
          <w:p>
            <w:pPr>
              <w:ind w:left="240"/>
              <w:spacing w:after="0"/>
              <w:rPr>
                <w:sz w:val="20"/>
                <w:szCs w:val="20"/>
                <w:color w:val="auto"/>
              </w:rPr>
            </w:pPr>
            <w:r>
              <w:rPr>
                <w:rFonts w:ascii="Arial" w:cs="Arial" w:eastAsia="Arial" w:hAnsi="Arial"/>
                <w:sz w:val="11"/>
                <w:szCs w:val="11"/>
                <w:b w:val="1"/>
                <w:bCs w:val="1"/>
                <w:color w:val="FFFFFF"/>
              </w:rPr>
              <w:t>August 2, 2025</w:t>
            </w:r>
          </w:p>
        </w:tc>
        <w:tc>
          <w:tcPr>
            <w:tcW w:w="520" w:type="dxa"/>
            <w:vAlign w:val="bottom"/>
            <w:shd w:val="clear" w:color="auto" w:fill="0A2299"/>
          </w:tcPr>
          <w:p>
            <w:pPr>
              <w:spacing w:after="0"/>
              <w:rPr>
                <w:sz w:val="14"/>
                <w:szCs w:val="14"/>
                <w:color w:val="auto"/>
              </w:rPr>
            </w:pPr>
          </w:p>
        </w:tc>
        <w:tc>
          <w:tcPr>
            <w:tcW w:w="1280" w:type="dxa"/>
            <w:vAlign w:val="bottom"/>
            <w:shd w:val="clear" w:color="auto" w:fill="0A2299"/>
          </w:tcPr>
          <w:p>
            <w:pPr>
              <w:jc w:val="right"/>
              <w:ind w:right="466"/>
              <w:spacing w:after="0"/>
              <w:rPr>
                <w:sz w:val="20"/>
                <w:szCs w:val="20"/>
                <w:color w:val="auto"/>
              </w:rPr>
            </w:pPr>
            <w:r>
              <w:rPr>
                <w:rFonts w:ascii="Arial" w:cs="Arial" w:eastAsia="Arial" w:hAnsi="Arial"/>
                <w:sz w:val="11"/>
                <w:szCs w:val="11"/>
                <w:b w:val="1"/>
                <w:bCs w:val="1"/>
                <w:color w:val="FFFFFF"/>
                <w:w w:val="95"/>
              </w:rPr>
              <w:t>August 3, 2024</w:t>
            </w:r>
          </w:p>
        </w:tc>
        <w:tc>
          <w:tcPr>
            <w:tcW w:w="80" w:type="dxa"/>
            <w:vAlign w:val="bottom"/>
          </w:tcPr>
          <w:p>
            <w:pPr>
              <w:spacing w:after="0"/>
              <w:rPr>
                <w:sz w:val="14"/>
                <w:szCs w:val="14"/>
                <w:color w:val="auto"/>
              </w:rPr>
            </w:pPr>
          </w:p>
        </w:tc>
        <w:tc>
          <w:tcPr>
            <w:tcW w:w="280" w:type="dxa"/>
            <w:vAlign w:val="bottom"/>
            <w:shd w:val="clear" w:color="auto" w:fill="0A2299"/>
          </w:tcPr>
          <w:p>
            <w:pPr>
              <w:spacing w:after="0"/>
              <w:rPr>
                <w:sz w:val="14"/>
                <w:szCs w:val="14"/>
                <w:color w:val="auto"/>
              </w:rPr>
            </w:pPr>
          </w:p>
        </w:tc>
        <w:tc>
          <w:tcPr>
            <w:tcW w:w="1500" w:type="dxa"/>
            <w:vAlign w:val="bottom"/>
            <w:gridSpan w:val="2"/>
            <w:shd w:val="clear" w:color="auto" w:fill="0A2299"/>
          </w:tcPr>
          <w:p>
            <w:pPr>
              <w:ind w:left="200"/>
              <w:spacing w:after="0"/>
              <w:rPr>
                <w:sz w:val="20"/>
                <w:szCs w:val="20"/>
                <w:color w:val="auto"/>
              </w:rPr>
            </w:pPr>
            <w:r>
              <w:rPr>
                <w:rFonts w:ascii="Arial" w:cs="Arial" w:eastAsia="Arial" w:hAnsi="Arial"/>
                <w:sz w:val="11"/>
                <w:szCs w:val="11"/>
                <w:b w:val="1"/>
                <w:bCs w:val="1"/>
                <w:color w:val="FFFFFF"/>
              </w:rPr>
              <w:t>August 2, 2025</w:t>
            </w:r>
          </w:p>
        </w:tc>
        <w:tc>
          <w:tcPr>
            <w:tcW w:w="280" w:type="dxa"/>
            <w:vAlign w:val="bottom"/>
            <w:shd w:val="clear" w:color="auto" w:fill="0A2299"/>
          </w:tcPr>
          <w:p>
            <w:pPr>
              <w:spacing w:after="0"/>
              <w:rPr>
                <w:sz w:val="14"/>
                <w:szCs w:val="14"/>
                <w:color w:val="auto"/>
              </w:rPr>
            </w:pPr>
          </w:p>
        </w:tc>
        <w:tc>
          <w:tcPr>
            <w:tcW w:w="1460" w:type="dxa"/>
            <w:vAlign w:val="bottom"/>
            <w:shd w:val="clear" w:color="auto" w:fill="0A2299"/>
          </w:tcPr>
          <w:p>
            <w:pPr>
              <w:jc w:val="right"/>
              <w:ind w:right="446"/>
              <w:spacing w:after="0"/>
              <w:rPr>
                <w:sz w:val="20"/>
                <w:szCs w:val="20"/>
                <w:color w:val="auto"/>
              </w:rPr>
            </w:pPr>
            <w:r>
              <w:rPr>
                <w:rFonts w:ascii="Arial" w:cs="Arial" w:eastAsia="Arial" w:hAnsi="Arial"/>
                <w:sz w:val="11"/>
                <w:szCs w:val="11"/>
                <w:b w:val="1"/>
                <w:bCs w:val="1"/>
                <w:color w:val="FFFFFF"/>
              </w:rPr>
              <w:t>August 3, 2024</w:t>
            </w:r>
          </w:p>
        </w:tc>
      </w:tr>
      <w:tr>
        <w:trPr>
          <w:trHeight w:val="171"/>
        </w:trPr>
        <w:tc>
          <w:tcPr>
            <w:tcW w:w="3960" w:type="dxa"/>
            <w:vAlign w:val="bottom"/>
            <w:shd w:val="clear" w:color="auto" w:fill="DBDBDB"/>
          </w:tcPr>
          <w:p>
            <w:pPr>
              <w:spacing w:after="0"/>
              <w:rPr>
                <w:sz w:val="20"/>
                <w:szCs w:val="20"/>
                <w:color w:val="auto"/>
              </w:rPr>
            </w:pPr>
            <w:r>
              <w:rPr>
                <w:rFonts w:ascii="Arial" w:cs="Arial" w:eastAsia="Arial" w:hAnsi="Arial"/>
                <w:sz w:val="11"/>
                <w:szCs w:val="11"/>
                <w:color w:val="auto"/>
              </w:rPr>
              <w:t>Net cash provided by operating activities</w:t>
            </w:r>
          </w:p>
        </w:tc>
        <w:tc>
          <w:tcPr>
            <w:tcW w:w="320" w:type="dxa"/>
            <w:vAlign w:val="bottom"/>
            <w:shd w:val="clear" w:color="auto" w:fill="DBDBDB"/>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56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78,575</w:t>
            </w:r>
          </w:p>
        </w:tc>
        <w:tc>
          <w:tcPr>
            <w:tcW w:w="60" w:type="dxa"/>
            <w:vAlign w:val="bottom"/>
            <w:shd w:val="clear" w:color="auto" w:fill="DBDBDB"/>
          </w:tcPr>
          <w:p>
            <w:pPr>
              <w:spacing w:after="0"/>
              <w:rPr>
                <w:sz w:val="14"/>
                <w:szCs w:val="14"/>
                <w:color w:val="auto"/>
              </w:rPr>
            </w:pPr>
          </w:p>
        </w:tc>
        <w:tc>
          <w:tcPr>
            <w:tcW w:w="520" w:type="dxa"/>
            <w:vAlign w:val="bottom"/>
            <w:shd w:val="clear" w:color="auto" w:fill="DBDBDB"/>
          </w:tcPr>
          <w:p>
            <w:pPr>
              <w:jc w:val="right"/>
              <w:ind w:right="386"/>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91,346</w:t>
            </w:r>
          </w:p>
        </w:tc>
        <w:tc>
          <w:tcPr>
            <w:tcW w:w="360" w:type="dxa"/>
            <w:vAlign w:val="bottom"/>
            <w:gridSpan w:val="2"/>
            <w:shd w:val="clear" w:color="auto" w:fill="DBDBDB"/>
          </w:tcPr>
          <w:p>
            <w:pPr>
              <w:jc w:val="right"/>
              <w:ind w:right="171"/>
              <w:spacing w:after="0"/>
              <w:rPr>
                <w:sz w:val="20"/>
                <w:szCs w:val="20"/>
                <w:color w:val="auto"/>
              </w:rPr>
            </w:pPr>
            <w:r>
              <w:rPr>
                <w:rFonts w:ascii="Arial" w:cs="Arial" w:eastAsia="Arial" w:hAnsi="Arial"/>
                <w:sz w:val="11"/>
                <w:szCs w:val="11"/>
                <w:b w:val="1"/>
                <w:bCs w:val="1"/>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236,047</w:t>
            </w:r>
          </w:p>
        </w:tc>
        <w:tc>
          <w:tcPr>
            <w:tcW w:w="80" w:type="dxa"/>
            <w:vAlign w:val="bottom"/>
            <w:shd w:val="clear" w:color="auto" w:fill="DBDBDB"/>
          </w:tcPr>
          <w:p>
            <w:pPr>
              <w:spacing w:after="0"/>
              <w:rPr>
                <w:sz w:val="14"/>
                <w:szCs w:val="14"/>
                <w:color w:val="auto"/>
              </w:rPr>
            </w:pPr>
          </w:p>
        </w:tc>
        <w:tc>
          <w:tcPr>
            <w:tcW w:w="280" w:type="dxa"/>
            <w:vAlign w:val="bottom"/>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4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291,023</w:t>
            </w:r>
          </w:p>
        </w:tc>
      </w:tr>
      <w:tr>
        <w:trPr>
          <w:trHeight w:val="160"/>
        </w:trPr>
        <w:tc>
          <w:tcPr>
            <w:tcW w:w="396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Net cash used in investing activities</w:t>
            </w: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(56,911)</w:t>
            </w:r>
          </w:p>
        </w:tc>
        <w:tc>
          <w:tcPr>
            <w:tcW w:w="60" w:type="dxa"/>
            <w:vAlign w:val="bottom"/>
            <w:tcBorders>
              <w:bottom w:val="single" w:sz="8" w:color="DBDBDB"/>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(41,384)</w:t>
            </w:r>
          </w:p>
        </w:tc>
        <w:tc>
          <w:tcPr>
            <w:tcW w:w="80" w:type="dxa"/>
            <w:vAlign w:val="bottom"/>
            <w:tcBorders>
              <w:bottom w:val="single" w:sz="8" w:color="DBDBDB"/>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(107,899)</w:t>
            </w:r>
          </w:p>
        </w:tc>
        <w:tc>
          <w:tcPr>
            <w:tcW w:w="80" w:type="dxa"/>
            <w:vAlign w:val="bottom"/>
            <w:tcBorders>
              <w:bottom w:val="single" w:sz="8" w:color="DBDBDB"/>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(73,739)</w:t>
            </w:r>
          </w:p>
        </w:tc>
      </w:tr>
      <w:tr>
        <w:trPr>
          <w:trHeight w:val="169"/>
        </w:trPr>
        <w:tc>
          <w:tcPr>
            <w:tcW w:w="39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1"/>
                <w:szCs w:val="11"/>
                <w:color w:val="auto"/>
              </w:rPr>
              <w:t>Adjusted Free Cash Flow</w:t>
            </w:r>
          </w:p>
        </w:tc>
        <w:tc>
          <w:tcPr>
            <w:tcW w:w="320" w:type="dxa"/>
            <w:vAlign w:val="bottom"/>
            <w:tcBorders>
              <w:bottom w:val="single" w:sz="8" w:color="auto"/>
            </w:tcBorders>
            <w:shd w:val="clear" w:color="auto" w:fill="DBDBDB"/>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21,664</w:t>
            </w:r>
          </w:p>
        </w:tc>
        <w:tc>
          <w:tcPr>
            <w:tcW w:w="60" w:type="dxa"/>
            <w:vAlign w:val="bottom"/>
            <w:tcBorders>
              <w:bottom w:val="single" w:sz="8" w:color="DBDBDB"/>
            </w:tcBorders>
            <w:shd w:val="clear" w:color="auto" w:fill="DBDBDB"/>
          </w:tcPr>
          <w:p>
            <w:pPr>
              <w:spacing w:after="0"/>
              <w:rPr>
                <w:sz w:val="14"/>
                <w:szCs w:val="14"/>
                <w:color w:val="auto"/>
              </w:rPr>
            </w:pPr>
          </w:p>
        </w:tc>
        <w:tc>
          <w:tcPr>
            <w:tcW w:w="520" w:type="dxa"/>
            <w:vAlign w:val="bottom"/>
            <w:tcBorders>
              <w:bottom w:val="single" w:sz="8" w:color="auto"/>
            </w:tcBorders>
            <w:shd w:val="clear" w:color="auto" w:fill="DBDBDB"/>
          </w:tcPr>
          <w:p>
            <w:pPr>
              <w:jc w:val="right"/>
              <w:ind w:right="38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49,962</w:t>
            </w:r>
          </w:p>
        </w:tc>
        <w:tc>
          <w:tcPr>
            <w:tcW w:w="80" w:type="dxa"/>
            <w:vAlign w:val="bottom"/>
            <w:tcBorders>
              <w:bottom w:val="single" w:sz="8" w:color="DBDBDB"/>
            </w:tcBorders>
            <w:shd w:val="clear" w:color="auto" w:fill="DBDBDB"/>
          </w:tcPr>
          <w:p>
            <w:pPr>
              <w:spacing w:after="0"/>
              <w:rPr>
                <w:sz w:val="14"/>
                <w:szCs w:val="14"/>
                <w:color w:val="auto"/>
              </w:rPr>
            </w:pPr>
          </w:p>
        </w:tc>
        <w:tc>
          <w:tcPr>
            <w:tcW w:w="280" w:type="dxa"/>
            <w:vAlign w:val="bottom"/>
            <w:tcBorders>
              <w:bottom w:val="single" w:sz="8" w:color="auto"/>
            </w:tcBorders>
            <w:shd w:val="clear" w:color="auto" w:fill="DBDBDB"/>
          </w:tcPr>
          <w:p>
            <w:pPr>
              <w:jc w:val="right"/>
              <w:ind w:right="171"/>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128,148</w:t>
            </w:r>
          </w:p>
        </w:tc>
        <w:tc>
          <w:tcPr>
            <w:tcW w:w="80" w:type="dxa"/>
            <w:vAlign w:val="bottom"/>
            <w:tcBorders>
              <w:bottom w:val="single" w:sz="8" w:color="DBDBDB"/>
            </w:tcBorders>
            <w:shd w:val="clear" w:color="auto" w:fill="DBDBDB"/>
          </w:tcPr>
          <w:p>
            <w:pPr>
              <w:spacing w:after="0"/>
              <w:rPr>
                <w:sz w:val="14"/>
                <w:szCs w:val="14"/>
                <w:color w:val="auto"/>
              </w:rPr>
            </w:pP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4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217,284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2520950</wp:posOffset>
            </wp:positionH>
            <wp:positionV relativeFrom="paragraph">
              <wp:posOffset>-342265</wp:posOffset>
            </wp:positionV>
            <wp:extent cx="465201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52010" cy="5715"/>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-450850</wp:posOffset>
            </wp:positionV>
            <wp:extent cx="465201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520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200"/>
        <w:spacing w:after="0"/>
        <w:rPr>
          <w:sz w:val="20"/>
          <w:szCs w:val="20"/>
          <w:color w:val="auto"/>
        </w:rPr>
      </w:pPr>
      <w:r>
        <w:rPr>
          <w:rFonts w:ascii="Arial" w:cs="Arial" w:eastAsia="Arial" w:hAnsi="Arial"/>
          <w:sz w:val="8"/>
          <w:szCs w:val="8"/>
          <w:color w:val="auto"/>
        </w:rPr>
        <w:t>11</w:t>
      </w:r>
    </w:p>
    <w:p>
      <w:pPr>
        <w:sectPr>
          <w:pgSz w:w="11900" w:h="16838" w:orient="portrait"/>
          <w:cols w:equalWidth="0" w:num="1">
            <w:col w:w="11300"/>
          </w:cols>
          <w:pgMar w:left="300" w:top="696" w:right="299" w:bottom="1440"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2025-09-02T07:11:18Z</dcterms:created>
  <dcterms:modified xsi:type="dcterms:W3CDTF">2025-09-02T07:11:18Z</dcterms:modified>
</cp:coreProperties>
</file>