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jpeg" ContentType="image/jpeg"/>
  <Override PartName="/word/media/image3.png" ContentType="image/pn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79"/>
        <w:gridCol w:w="780"/>
        <w:gridCol w:w="645"/>
        <w:gridCol w:w="1313"/>
        <w:gridCol w:w="623"/>
        <w:gridCol w:w="623"/>
        <w:gridCol w:w="856"/>
        <w:gridCol w:w="566"/>
        <w:gridCol w:w="566"/>
        <w:gridCol w:w="858"/>
        <w:gridCol w:w="566"/>
        <w:gridCol w:w="566"/>
        <w:gridCol w:w="394"/>
        <w:gridCol w:w="254"/>
        <w:gridCol w:w="254"/>
        <w:gridCol w:w="162"/>
      </w:tblGrid>
      <w:tr>
        <w:trPr/>
        <w:tc>
          <w:tcPr>
            <w:tcW w:w="11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One)</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ans-serif" w:hAnsi="Times New Roman;sans-serif"/>
                <w:b/>
                <w:color w:val="000000"/>
                <w:sz w:val="20"/>
              </w:rPr>
              <w:t>ANNUAL REPORT PURSUANT TO SECTION 13 OR 15(d) OF THE SECURITIES EXCHANGE ACT OF 1934</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February 3, 2024</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88" w:before="145" w:after="283"/>
              <w:jc w:val="center"/>
              <w:rPr/>
            </w:pPr>
            <w:r>
              <w:rPr>
                <w:rFonts w:ascii="Times New Roman;sans-serif" w:hAnsi="Times New Roman;sans-serif"/>
                <w:b/>
                <w:color w:val="000000"/>
                <w:sz w:val="18"/>
              </w:rPr>
              <w:t>For the transition period from ___________ to ___________</w:t>
            </w:r>
            <w:r>
              <w:rPr>
                <w:rFonts w:ascii="Times New Roman;sans-serif" w:hAnsi="Times New Roman;sans-serif"/>
                <w:b w:val="false"/>
                <w:color w:val="000000"/>
                <w:sz w:val="18"/>
              </w:rPr>
              <w:t>.</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No. 001-39589</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1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85-1800912</w:t>
            </w:r>
          </w:p>
        </w:tc>
        <w:tc>
          <w:tcPr>
            <w:tcW w:w="162" w:type="dxa"/>
            <w:tcBorders/>
          </w:tcPr>
          <w:p>
            <w:pPr>
              <w:pStyle w:val="TableContents"/>
              <w:bidi w:val="0"/>
              <w:spacing w:before="0" w:after="283"/>
              <w:jc w:val="left"/>
              <w:rPr>
                <w:sz w:val="4"/>
                <w:szCs w:val="4"/>
              </w:rPr>
            </w:pPr>
            <w:r>
              <w:rPr>
                <w:sz w:val="4"/>
                <w:szCs w:val="4"/>
              </w:rPr>
            </w:r>
          </w:p>
        </w:tc>
      </w:tr>
      <w:tr>
        <w:trPr/>
        <w:tc>
          <w:tcPr>
            <w:tcW w:w="516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 incorporation or organization)</w:t>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 Identification No.)</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1800 North Mason Road</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Katy, Texas 77449</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 (Zip Code)</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c>
          <w:tcPr>
            <w:tcW w:w="162" w:type="dxa"/>
            <w:tcBorders/>
          </w:tcPr>
          <w:p>
            <w:pPr>
              <w:pStyle w:val="TableContents"/>
              <w:bidi w:val="0"/>
              <w:spacing w:before="0" w:after="283"/>
              <w:jc w:val="left"/>
              <w:rPr>
                <w:sz w:val="4"/>
                <w:szCs w:val="4"/>
              </w:rPr>
            </w:pPr>
            <w:r>
              <w:rPr>
                <w:sz w:val="4"/>
                <w:szCs w:val="4"/>
              </w:rPr>
            </w:r>
          </w:p>
        </w:tc>
      </w:tr>
      <w:tr>
        <w:trPr/>
        <w:tc>
          <w:tcPr>
            <w:tcW w:w="51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Title of each class</w:t>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Trading Symbol(s)</w:t>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Name of each exchange on which registered</w:t>
            </w:r>
          </w:p>
        </w:tc>
        <w:tc>
          <w:tcPr>
            <w:tcW w:w="162" w:type="dxa"/>
            <w:tcBorders/>
          </w:tcPr>
          <w:p>
            <w:pPr>
              <w:pStyle w:val="TableContents"/>
              <w:bidi w:val="0"/>
              <w:spacing w:before="0" w:after="283"/>
              <w:jc w:val="left"/>
              <w:rPr>
                <w:sz w:val="4"/>
                <w:szCs w:val="4"/>
              </w:rPr>
            </w:pPr>
            <w:r>
              <w:rPr>
                <w:sz w:val="4"/>
                <w:szCs w:val="4"/>
              </w:rPr>
            </w:r>
          </w:p>
        </w:tc>
      </w:tr>
      <w:tr>
        <w:trPr/>
        <w:tc>
          <w:tcPr>
            <w:tcW w:w="51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ASO</w:t>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914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Yes ☑ No ☐</w:t>
            </w:r>
          </w:p>
        </w:tc>
        <w:tc>
          <w:tcPr>
            <w:tcW w:w="162" w:type="dxa"/>
            <w:tcBorders/>
          </w:tcPr>
          <w:p>
            <w:pPr>
              <w:pStyle w:val="TableContents"/>
              <w:bidi w:val="0"/>
              <w:spacing w:before="0" w:after="283"/>
              <w:jc w:val="left"/>
              <w:rPr>
                <w:sz w:val="4"/>
                <w:szCs w:val="4"/>
              </w:rPr>
            </w:pPr>
            <w:r>
              <w:rPr>
                <w:sz w:val="4"/>
                <w:szCs w:val="4"/>
              </w:rPr>
            </w:r>
          </w:p>
        </w:tc>
      </w:tr>
      <w:tr>
        <w:trPr/>
        <w:tc>
          <w:tcPr>
            <w:tcW w:w="914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Section 15(d) of the Act.</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Yes ☐ No ☑</w:t>
            </w:r>
          </w:p>
        </w:tc>
        <w:tc>
          <w:tcPr>
            <w:tcW w:w="162" w:type="dxa"/>
            <w:tcBorders/>
          </w:tcPr>
          <w:p>
            <w:pPr>
              <w:pStyle w:val="TableContents"/>
              <w:bidi w:val="0"/>
              <w:spacing w:before="0" w:after="283"/>
              <w:jc w:val="left"/>
              <w:rPr>
                <w:sz w:val="4"/>
                <w:szCs w:val="4"/>
              </w:rPr>
            </w:pPr>
            <w:r>
              <w:rPr>
                <w:sz w:val="4"/>
                <w:szCs w:val="4"/>
              </w:rPr>
            </w:r>
          </w:p>
        </w:tc>
      </w:tr>
      <w:tr>
        <w:trPr/>
        <w:tc>
          <w:tcPr>
            <w:tcW w:w="9141"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Yes ☑ No ☐</w:t>
            </w:r>
          </w:p>
        </w:tc>
        <w:tc>
          <w:tcPr>
            <w:tcW w:w="162" w:type="dxa"/>
            <w:tcBorders/>
          </w:tcPr>
          <w:p>
            <w:pPr>
              <w:pStyle w:val="TableContents"/>
              <w:bidi w:val="0"/>
              <w:spacing w:before="0" w:after="283"/>
              <w:jc w:val="left"/>
              <w:rPr>
                <w:sz w:val="4"/>
                <w:szCs w:val="4"/>
              </w:rPr>
            </w:pPr>
            <w:r>
              <w:rPr>
                <w:sz w:val="4"/>
                <w:szCs w:val="4"/>
              </w:rPr>
            </w:r>
          </w:p>
        </w:tc>
      </w:tr>
      <w:tr>
        <w:trPr/>
        <w:tc>
          <w:tcPr>
            <w:tcW w:w="9141" w:type="dxa"/>
            <w:gridSpan w:val="12"/>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902"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Yes ☑ No ☐</w:t>
            </w:r>
          </w:p>
        </w:tc>
        <w:tc>
          <w:tcPr>
            <w:tcW w:w="162" w:type="dxa"/>
            <w:tcBorders/>
          </w:tcPr>
          <w:p>
            <w:pPr>
              <w:pStyle w:val="TableContents"/>
              <w:bidi w:val="0"/>
              <w:spacing w:before="0" w:after="283"/>
              <w:jc w:val="left"/>
              <w:rPr>
                <w:sz w:val="4"/>
                <w:szCs w:val="4"/>
              </w:rPr>
            </w:pPr>
            <w:r>
              <w:rPr>
                <w:sz w:val="4"/>
                <w:szCs w:val="4"/>
              </w:rPr>
            </w:r>
          </w:p>
        </w:tc>
      </w:tr>
      <w:tr>
        <w:trPr/>
        <w:tc>
          <w:tcPr>
            <w:tcW w:w="9141" w:type="dxa"/>
            <w:gridSpan w:val="12"/>
            <w:vMerge w:val="continue"/>
            <w:tcBorders/>
            <w:tcMar>
              <w:top w:w="0" w:type="dxa"/>
              <w:left w:w="0" w:type="dxa"/>
              <w:bottom w:w="0" w:type="dxa"/>
              <w:right w:w="0" w:type="dxa"/>
            </w:tcMar>
            <w:vAlign w:val="center"/>
          </w:tcPr>
          <w:p>
            <w:pPr>
              <w:pStyle w:val="Normal"/>
              <w:bidi w:val="0"/>
              <w:jc w:val="left"/>
              <w:rPr/>
            </w:pPr>
            <w:r>
              <w:rPr/>
            </w:r>
          </w:p>
        </w:tc>
        <w:tc>
          <w:tcPr>
            <w:tcW w:w="902"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 </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Common Stock held by non-affiliates of the registrant, based on the closing price of the Common Stock on the Nasdaq Stock Market LLC on July 29, 2023, the last business day of the registrant's most recently completed second fiscal quarter, was approximately $4.3 billion.</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As of March 14, 2024, Academy Sports and Outdoors, Inc. had 74,405,351 shares of common stock, par value $0.01 per share, outstanding.</w:t>
            </w:r>
          </w:p>
        </w:tc>
        <w:tc>
          <w:tcPr>
            <w:tcW w:w="162" w:type="dxa"/>
            <w:tcBorders/>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 Part III of this Annual Report on Form 10-K incorporates certain information from the registrant's definite proxy statement for its 2024 Annual Meeting of Stockholders, which shall be filed with the Securities and Exchange Commission pursuant to Regulation 14A of the Securities Exchange Act of 1934, as amended, within 120 days of the registrant's fiscal year end.</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89"/>
        <w:gridCol w:w="3069"/>
        <w:gridCol w:w="3074"/>
        <w:gridCol w:w="167"/>
        <w:gridCol w:w="167"/>
        <w:gridCol w:w="239"/>
      </w:tblGrid>
      <w:tr>
        <w:trPr/>
        <w:tc>
          <w:tcPr>
            <w:tcW w:w="3489"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CAUTIONARY STATEMENT REGARDING FORWARD-LOOKING STATEMENTS</w:t>
            </w:r>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6cf4b2025b824858ac35ad8a0193b6b3_10">
              <w:r>
                <w:rPr>
                  <w:rStyle w:val="InternetLink"/>
                  <w:rFonts w:ascii="Times New Roman;sans-serif" w:hAnsi="Times New Roman;sans-serif"/>
                  <w:b w:val="false"/>
                  <w:color w:val="0000FF"/>
                  <w:sz w:val="20"/>
                  <w:u w:val="single"/>
                </w:rPr>
                <w:t>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9">
              <w:r>
                <w:rPr>
                  <w:rStyle w:val="InternetLink"/>
                  <w:rFonts w:ascii="Times New Roman;sans-serif" w:hAnsi="Times New Roman;sans-serif"/>
                  <w:b w:val="false"/>
                  <w:color w:val="0000FF"/>
                  <w:sz w:val="20"/>
                  <w:u w:val="single"/>
                </w:rPr>
                <w:t>6</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Business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22">
              <w:r>
                <w:rPr>
                  <w:rStyle w:val="InternetLink"/>
                  <w:rFonts w:ascii="Times New Roman;sans-serif" w:hAnsi="Times New Roman;sans-serif"/>
                  <w:b w:val="false"/>
                  <w:color w:val="0000FF"/>
                  <w:sz w:val="20"/>
                  <w:u w:val="single"/>
                </w:rPr>
                <w:t>6</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 Risk Factors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64">
              <w:r>
                <w:rPr>
                  <w:rStyle w:val="InternetLink"/>
                  <w:rFonts w:ascii="Times New Roman;sans-serif" w:hAnsi="Times New Roman;sans-serif"/>
                  <w:b w:val="false"/>
                  <w:color w:val="0000FF"/>
                  <w:sz w:val="20"/>
                  <w:u w:val="single"/>
                </w:rPr>
                <w:t>16</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 Unresolved Staff Comments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67">
              <w:r>
                <w:rPr>
                  <w:rStyle w:val="InternetLink"/>
                  <w:rFonts w:ascii="Times New Roman;sans-serif" w:hAnsi="Times New Roman;sans-serif"/>
                  <w:b w:val="false"/>
                  <w:color w:val="0000FF"/>
                  <w:sz w:val="20"/>
                  <w:u w:val="single"/>
                </w:rPr>
                <w:t>40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 Cybersecurity</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754">
              <w:r>
                <w:rPr>
                  <w:rStyle w:val="InternetLink"/>
                  <w:rFonts w:ascii="Times New Roman;sans-serif" w:hAnsi="Times New Roman;sans-serif"/>
                  <w:b w:val="false"/>
                  <w:color w:val="0000FF"/>
                  <w:sz w:val="20"/>
                  <w:u w:val="single"/>
                </w:rPr>
                <w:t>41</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Properties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70">
              <w:r>
                <w:rPr>
                  <w:rStyle w:val="InternetLink"/>
                  <w:rFonts w:ascii="Times New Roman;sans-serif" w:hAnsi="Times New Roman;sans-serif"/>
                  <w:b w:val="false"/>
                  <w:color w:val="0000FF"/>
                  <w:sz w:val="20"/>
                  <w:u w:val="single"/>
                </w:rPr>
                <w:t>42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Legal Proceedings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73">
              <w:r>
                <w:rPr>
                  <w:rStyle w:val="InternetLink"/>
                  <w:rFonts w:ascii="Times New Roman;sans-serif" w:hAnsi="Times New Roman;sans-serif"/>
                  <w:b w:val="false"/>
                  <w:color w:val="0000FF"/>
                  <w:sz w:val="20"/>
                  <w:u w:val="single"/>
                </w:rPr>
                <w:t>43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Mine Safety Disclosures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76">
              <w:r>
                <w:rPr>
                  <w:rStyle w:val="InternetLink"/>
                  <w:rFonts w:ascii="Times New Roman;sans-serif" w:hAnsi="Times New Roman;sans-serif"/>
                  <w:b w:val="false"/>
                  <w:color w:val="0000FF"/>
                  <w:sz w:val="20"/>
                  <w:u w:val="single"/>
                </w:rPr>
                <w:t>43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79">
              <w:r>
                <w:rPr>
                  <w:rStyle w:val="InternetLink"/>
                  <w:rFonts w:ascii="Times New Roman;sans-serif" w:hAnsi="Times New Roman;sans-serif"/>
                  <w:b w:val="false"/>
                  <w:color w:val="0000FF"/>
                  <w:sz w:val="20"/>
                  <w:u w:val="single"/>
                </w:rPr>
                <w:t>44</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 Market for Registrant's Common Equity, Related Stockholder Matters and Issuer Purchases of Equity Securities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82">
              <w:r>
                <w:rPr>
                  <w:rStyle w:val="InternetLink"/>
                  <w:rFonts w:ascii="Times New Roman;sans-serif" w:hAnsi="Times New Roman;sans-serif"/>
                  <w:b w:val="false"/>
                  <w:color w:val="0000FF"/>
                  <w:sz w:val="20"/>
                  <w:u w:val="single"/>
                </w:rPr>
                <w:t>44</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 Reserved</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85">
              <w:r>
                <w:rPr>
                  <w:rStyle w:val="InternetLink"/>
                  <w:rFonts w:ascii="Times New Roman;sans-serif" w:hAnsi="Times New Roman;sans-serif"/>
                  <w:b w:val="false"/>
                  <w:color w:val="0000FF"/>
                  <w:sz w:val="20"/>
                  <w:u w:val="single"/>
                </w:rPr>
                <w:t>45</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 Management's Discussion and Analysis of Financial Condition and Results of Operations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88">
              <w:r>
                <w:rPr>
                  <w:rStyle w:val="InternetLink"/>
                  <w:rFonts w:ascii="Times New Roman;sans-serif" w:hAnsi="Times New Roman;sans-serif"/>
                  <w:b w:val="false"/>
                  <w:color w:val="0000FF"/>
                  <w:sz w:val="20"/>
                  <w:u w:val="single"/>
                </w:rPr>
                <w:t>46</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 Quantitative and Qualitative Disclosures About Market Risk</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18">
              <w:r>
                <w:rPr>
                  <w:rStyle w:val="InternetLink"/>
                  <w:rFonts w:ascii="Times New Roman;sans-serif" w:hAnsi="Times New Roman;sans-serif"/>
                  <w:b w:val="false"/>
                  <w:color w:val="0000FF"/>
                  <w:sz w:val="20"/>
                  <w:u w:val="single"/>
                </w:rPr>
                <w:t>62</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 Financial Statements and Supplementary Data</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21">
              <w:r>
                <w:rPr>
                  <w:rStyle w:val="InternetLink"/>
                  <w:rFonts w:ascii="Times New Roman;sans-serif" w:hAnsi="Times New Roman;sans-serif"/>
                  <w:b w:val="false"/>
                  <w:color w:val="0000FF"/>
                  <w:sz w:val="20"/>
                  <w:u w:val="single"/>
                </w:rPr>
                <w:t>62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 Changes in and Disagreements with Accountants on Accounting and Financial Disclosure</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24">
              <w:r>
                <w:rPr>
                  <w:rStyle w:val="InternetLink"/>
                  <w:rFonts w:ascii="Times New Roman;sans-serif" w:hAnsi="Times New Roman;sans-serif"/>
                  <w:b w:val="false"/>
                  <w:color w:val="0000FF"/>
                  <w:sz w:val="20"/>
                  <w:u w:val="single"/>
                </w:rPr>
                <w:t>62</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 Controls and Procedures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27">
              <w:r>
                <w:rPr>
                  <w:rStyle w:val="InternetLink"/>
                  <w:rFonts w:ascii="Times New Roman;sans-serif" w:hAnsi="Times New Roman;sans-serif"/>
                  <w:b w:val="false"/>
                  <w:color w:val="0000FF"/>
                  <w:sz w:val="20"/>
                  <w:u w:val="single"/>
                </w:rPr>
                <w:t>63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 Other Information</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33">
              <w:r>
                <w:rPr>
                  <w:rStyle w:val="InternetLink"/>
                  <w:rFonts w:ascii="Times New Roman;sans-serif" w:hAnsi="Times New Roman;sans-serif"/>
                  <w:b w:val="false"/>
                  <w:color w:val="0000FF"/>
                  <w:sz w:val="20"/>
                  <w:u w:val="single"/>
                </w:rPr>
                <w:t>65</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 Disclosure Regarding Foreign Jurisdictions that Prevent Inspections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36">
              <w:r>
                <w:rPr>
                  <w:rStyle w:val="InternetLink"/>
                  <w:rFonts w:ascii="Times New Roman;sans-serif" w:hAnsi="Times New Roman;sans-serif"/>
                  <w:b w:val="false"/>
                  <w:color w:val="0000FF"/>
                  <w:sz w:val="20"/>
                  <w:u w:val="single"/>
                </w:rPr>
                <w:t>67</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39">
              <w:r>
                <w:rPr>
                  <w:rStyle w:val="InternetLink"/>
                  <w:rFonts w:ascii="Times New Roman;sans-serif" w:hAnsi="Times New Roman;sans-serif"/>
                  <w:b w:val="false"/>
                  <w:color w:val="0000FF"/>
                  <w:sz w:val="20"/>
                  <w:u w:val="single"/>
                </w:rPr>
                <w:t>67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 Directors, Executive Officers and Corporate Governance</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42">
              <w:r>
                <w:rPr>
                  <w:rStyle w:val="InternetLink"/>
                  <w:rFonts w:ascii="Times New Roman;sans-serif" w:hAnsi="Times New Roman;sans-serif"/>
                  <w:b w:val="false"/>
                  <w:color w:val="0000FF"/>
                  <w:sz w:val="20"/>
                  <w:u w:val="single"/>
                </w:rPr>
                <w:t>67</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 Executive Compensation</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45">
              <w:r>
                <w:rPr>
                  <w:rStyle w:val="InternetLink"/>
                  <w:rFonts w:ascii="Times New Roman;sans-serif" w:hAnsi="Times New Roman;sans-serif"/>
                  <w:b w:val="false"/>
                  <w:color w:val="0000FF"/>
                  <w:sz w:val="20"/>
                  <w:u w:val="single"/>
                </w:rPr>
                <w:t>67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 Security Ownership of Certain Beneficial Owners and Management and Related Shareholder Matters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48">
              <w:r>
                <w:rPr>
                  <w:rStyle w:val="InternetLink"/>
                  <w:rFonts w:ascii="Times New Roman;sans-serif" w:hAnsi="Times New Roman;sans-serif"/>
                  <w:b w:val="false"/>
                  <w:color w:val="0000FF"/>
                  <w:sz w:val="20"/>
                  <w:u w:val="single"/>
                </w:rPr>
                <w:t>68</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 Certain Relationships and Related Transactions, and Director Independence</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51">
              <w:r>
                <w:rPr>
                  <w:rStyle w:val="InternetLink"/>
                  <w:rFonts w:ascii="Times New Roman;sans-serif" w:hAnsi="Times New Roman;sans-serif"/>
                  <w:b w:val="false"/>
                  <w:color w:val="0000FF"/>
                  <w:sz w:val="20"/>
                  <w:u w:val="single"/>
                </w:rPr>
                <w:t>68</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 Principal Accountant Fees and Services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54">
              <w:r>
                <w:rPr>
                  <w:rStyle w:val="InternetLink"/>
                  <w:rFonts w:ascii="Times New Roman;sans-serif" w:hAnsi="Times New Roman;sans-serif"/>
                  <w:b w:val="false"/>
                  <w:color w:val="0000FF"/>
                  <w:sz w:val="20"/>
                  <w:u w:val="single"/>
                </w:rPr>
                <w:t>68</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IV</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57">
              <w:r>
                <w:rPr>
                  <w:rStyle w:val="InternetLink"/>
                  <w:rFonts w:ascii="Times New Roman;sans-serif" w:hAnsi="Times New Roman;sans-serif"/>
                  <w:b w:val="false"/>
                  <w:color w:val="0000FF"/>
                  <w:sz w:val="20"/>
                  <w:u w:val="single"/>
                </w:rPr>
                <w:t>69</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 Exhibits and Financial Statement Schedules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60">
              <w:r>
                <w:rPr>
                  <w:rStyle w:val="InternetLink"/>
                  <w:rFonts w:ascii="Times New Roman;sans-serif" w:hAnsi="Times New Roman;sans-serif"/>
                  <w:b w:val="false"/>
                  <w:color w:val="0000FF"/>
                  <w:sz w:val="20"/>
                  <w:u w:val="single"/>
                </w:rPr>
                <w:t>69</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 Form 10-K Summary</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256">
              <w:r>
                <w:rPr>
                  <w:rStyle w:val="InternetLink"/>
                  <w:rFonts w:ascii="Times New Roman;sans-serif" w:hAnsi="Times New Roman;sans-serif"/>
                  <w:b w:val="false"/>
                  <w:color w:val="0000FF"/>
                  <w:sz w:val="20"/>
                  <w:u w:val="single"/>
                </w:rPr>
                <w:t>106</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265">
              <w:r>
                <w:rPr>
                  <w:rStyle w:val="InternetLink"/>
                  <w:rFonts w:ascii="Times New Roman;sans-serif" w:hAnsi="Times New Roman;sans-serif"/>
                  <w:b w:val="false"/>
                  <w:color w:val="0000FF"/>
                  <w:sz w:val="20"/>
                  <w:u w:val="single"/>
                </w:rPr>
                <w:t>112</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01675"/>
                <wp:effectExtent l="0" t="0" r="0" b="0"/>
                <wp:wrapNone/>
                <wp:docPr id="3" name="Frame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ind w:left="0" w:right="0" w:firstLine="324"/>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(this "Annual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Annual Report, including in the section entitled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w:t>
      </w:r>
    </w:p>
    <w:p>
      <w:pPr>
        <w:pStyle w:val="TextBody"/>
        <w:bidi w:val="0"/>
        <w:spacing w:before="0" w:after="0"/>
        <w:jc w:val="left"/>
        <w:rPr/>
      </w:pPr>
      <w:r>
        <w:rPr/>
      </w:r>
    </w:p>
    <w:p>
      <w:pPr>
        <w:pStyle w:val="TextBody"/>
        <w:bidi w:val="0"/>
        <w:spacing w:lineRule="auto" w:line="288" w:before="0" w:after="0"/>
        <w:ind w:left="0" w:right="0" w:firstLine="324"/>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Annual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this Annual Report, as such risk factors may be updated from time to time in our periodic filings with the Securities and Exchange Commission, or SEC, and are accessible on the SEC's website at www.sec.gov.</w:t>
      </w:r>
    </w:p>
    <w:p>
      <w:pPr>
        <w:pStyle w:val="TextBody"/>
        <w:bidi w:val="0"/>
        <w:spacing w:before="0" w:after="0"/>
        <w:ind w:left="0" w:right="0" w:firstLine="324"/>
        <w:jc w:val="both"/>
        <w:rPr/>
      </w:pPr>
      <w:r>
        <w:rPr/>
      </w:r>
    </w:p>
    <w:p>
      <w:pPr>
        <w:pStyle w:val="TextBody"/>
        <w:bidi w:val="0"/>
        <w:spacing w:lineRule="auto" w:line="288" w:before="0" w:after="0"/>
        <w:ind w:left="0" w:right="0" w:firstLine="324"/>
        <w:jc w:val="both"/>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Annual Report speaks only as of the date of this Annual Report and are expressly qualified in their entirety by the cautionary statements included in this Annual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pStyle w:val="TextBody"/>
        <w:bidi w:val="0"/>
        <w:spacing w:before="0" w:after="0"/>
        <w:ind w:left="0" w:right="0" w:firstLine="32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76"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references to "Academy", "we", "us," "our" or the "Company" in this Annual Report and the accompanying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w:t>
      </w:r>
    </w:p>
    <w:p>
      <w:pPr>
        <w:pStyle w:val="TextBody"/>
        <w:bidi w:val="0"/>
        <w:spacing w:lineRule="auto" w:line="276" w:before="0" w:after="0"/>
        <w:ind w:left="0" w:right="0" w:firstLine="324"/>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“2021,” “2022,” and “2023” relate to our fiscal years ended January 29, 2022, January 28, 2023, and February 3, 2024, respectively, unless the context requires otherwise.</w:t>
      </w:r>
    </w:p>
    <w:p>
      <w:pPr>
        <w:pStyle w:val="TextBody"/>
        <w:bidi w:val="0"/>
        <w:spacing w:before="0" w:after="0"/>
        <w:ind w:left="0" w:right="0" w:firstLine="324"/>
        <w:jc w:val="both"/>
        <w:rPr/>
      </w:pPr>
      <w:r>
        <w:rPr/>
      </w:r>
    </w:p>
    <w:p>
      <w:pPr>
        <w:pStyle w:val="TextBody"/>
        <w:bidi w:val="0"/>
        <w:spacing w:lineRule="auto" w:line="276" w:before="0" w:after="0"/>
        <w:ind w:left="0" w:right="0" w:firstLine="324"/>
        <w:jc w:val="both"/>
        <w:rPr>
          <w:rFonts w:ascii="Times New Roman;sans-serif" w:hAnsi="Times New Roman;sans-serif"/>
          <w:b w:val="false"/>
          <w:color w:val="000000"/>
          <w:sz w:val="20"/>
        </w:rPr>
      </w:pPr>
      <w:r>
        <w:rPr>
          <w:rFonts w:ascii="Times New Roman;sans-serif" w:hAnsi="Times New Roman;sans-serif"/>
          <w:b w:val="false"/>
          <w:color w:val="000000"/>
          <w:sz w:val="20"/>
        </w:rPr>
        <w:t>Numerical figures included in this Annual Report have been subject to rounding adjustments. Accordingly, numerical figures shown as totals in various tables may not be arithmetic aggregations of the figures that precede them.</w:t>
      </w:r>
    </w:p>
    <w:p>
      <w:pPr>
        <w:pStyle w:val="TextBody"/>
        <w:bidi w:val="0"/>
        <w:spacing w:before="0" w:after="0"/>
        <w:ind w:left="0" w:right="0" w:firstLine="32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01675"/>
                <wp:effectExtent l="0" t="0" r="0" b="0"/>
                <wp:wrapNone/>
                <wp:docPr id="4" name="Frame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Investing in our securities involves a high degree of risk. The following is a summary of the principal factors that make an investment in our securities speculative or risky, all of which are more fully described below in the section entitled “Risk Factors.” In addition to the following summary, you should consider the information set forth in the “Risk Factors” section and the other information contained in this Annual Report before investing in our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Risks Related to Our Business and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overall decline in the health of the economy and consumer discretionary spending;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predict or effectively react to changes in consumer tastes and preferences, to acquire and sell brand name merchandise at competitive prices and/or to manage our inventory balances;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our reliance on internationally manufactured merchandise;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safeguard sensitive or confidential data relating to us and our customers, team members and vendors;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intense competition in the sporting goods and outdoor recreation retail industries;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operate, update or implement our information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disruptions in our supply chain and losses of merchandise purchasing incentives;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harm to our reputation;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failure of our third-party vendors of outsourced business services and solutions;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continue our store growth plans or manage our growth effectively, or any failure of our new stores to generate sales and/or achieve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our e-commerce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private label brand merchandise;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disruption in the operation of our distribution centers;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quarterly and seasonal fluctuations in our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occurrence of severe weather events, catastrophic health events, natural or man-made disasters, social and political conditions or civil unrest;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failure to attract, train and retain quality team members in sufficient numbers, increases in wage and labor costs, and changes in laws and other labor issues;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retain key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geographic concentration of our stores;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merchandise (including raw materials) costs and availability;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payment-related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effectiveness of our marketing and advertising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protect against inventory shrink;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pursue strategic acquisitions and integrate acquired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Legal and Regulatory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comply with laws and regulations affecting our business, including those relating to the sale, manufacture and import of consumer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climate change and other sustainability-related matters;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claims, demands and lawsuits to which we are, and may in the future, be subject and the risk that our insurance or indemnities coverage may not be sufficient;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product safety;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protect our intellectual property and avoid the infringement of third-party intellectual property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Risks Related to Our Indebtedness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level of indebtedness and related debt service payments and our ability to generate sufficient cash flow to satisfy all of our obligations under our indebtedness;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incur substantially more debt;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variable rate indebtedness subjects us to interest rate risk;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restrictions on our current and future operations imposed by the terms of our indebtedness;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borrow under the ABL Facility (as defined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level of indebtedness may hinder our ability to negotiate favorable terms with our vendors.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01675"/>
                <wp:effectExtent l="0" t="0" r="0" b="0"/>
                <wp:wrapNone/>
                <wp:docPr id="5" name="Frame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Risks Related to the Ownership of Our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stock price is volatile or may decline;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or decision to pay dividends on our common stock or conduct stock repurchases;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anti-takeover provisions in our organizational documents could delay or prevent a change of control;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exclusive forum provision;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you may be diluted by any future issuances of shares by us.</w:t>
      </w:r>
    </w:p>
    <w:p>
      <w:pPr>
        <w:pStyle w:val="TextBody"/>
        <w:bidi w:val="0"/>
        <w:spacing w:before="0" w:after="0"/>
        <w:jc w:val="left"/>
        <w:rPr/>
      </w:pPr>
      <w:r>
        <w:rPr/>
      </w:r>
    </w:p>
    <w:p>
      <w:pPr>
        <w:pStyle w:val="TextBody"/>
        <w:bidi w:val="0"/>
        <w:spacing w:lineRule="auto" w:line="288" w:before="0" w:after="0"/>
        <w:ind w:left="0" w:right="0" w:firstLine="324"/>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our forward-looking statements.</w:t>
      </w:r>
    </w:p>
    <w:p>
      <w:pPr>
        <w:pStyle w:val="TextBody"/>
        <w:bidi w:val="0"/>
        <w:spacing w:before="0" w:after="0"/>
        <w:ind w:left="0" w:right="0" w:firstLine="32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01675"/>
                <wp:effectExtent l="0" t="0" r="0" b="0"/>
                <wp:wrapNone/>
                <wp:docPr id="6" name="Frame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Business</w:t>
      </w:r>
    </w:p>
    <w:p>
      <w:pPr>
        <w:pStyle w:val="TextBody"/>
        <w:bidi w:val="0"/>
        <w:spacing w:lineRule="auto" w:line="288" w:before="180" w:after="283"/>
        <w:ind w:left="0" w:right="0" w:firstLine="324"/>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together with our financial statements and related notes included elsewhere in this Annual Report for the fiscal year ended February 3, 2024. 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pStyle w:val="TextBody"/>
        <w:bidi w:val="0"/>
        <w:spacing w:before="0" w:after="0"/>
        <w:ind w:left="0" w:right="0" w:firstLine="32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Who We 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Academy Sports + Outdoors is a leading full-line sporting goods and outdoor recreation retailer in the United States. Originally founded in 1938 as a family business in Texas, we now operate 282 stores across 18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28%, 28%, 24% and 20% of our 2023 net sales, respectively) through both leading national brands and a portfolio of 19 private label brands, which go well beyond traditional sporting goods and apparel offerings.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attributes differentiate us from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Value-based assortment that enables our customers to participate and have fun, no matter their budget.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Broad assortment that extends beyond sporting goods and apparel to outdoor recreation and is localized for individual stores.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Emerging, growing and profitable omnichannel strategy that leverages our buy-online-pickup-in-store program ("BOPIS") and shipping fulfillment capabilities.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Strong customer loyalty, with opportunities to increase penetration in existing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Regional focus in the southern United States with a growing presence in some of the fastest-growing Metropolitan Statistical Areas (or "MSAs").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Core customers comprising active families that we support with one-stop shop convenience.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Significant whitespace opportunity for new stores for both existing and adjacent geographies and new markets.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appeals to customers from beginners to experts, including families and casual participants.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national brand and private label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2023 merchandise sales was comprised of national brand products, with the remainder coming from exclusive products in our portfolio of private label brands. No single brand we carry accounted for more than 12% of our 2023 sales.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endeavor to offer products for customers of all ages, incomes and aspirations across sporting and outdoor recreation activities, seasons and experience levels. As such, we have a balanced, year-round business and a large customer base. Our average customer visits our stores anywhere from two to three times per year.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01675"/>
                <wp:effectExtent l="0" t="0" r="0" b="0"/>
                <wp:wrapNone/>
                <wp:docPr id="7" name="Frame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retail business is highly competitive based on many variables including price, product assortment, customer service, omnichannel experience and store locations.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retail sporting goods and outdoor recreation retail industry comprises six principal categories of retailers: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Mass general merchants</w:t>
      </w:r>
      <w:r>
        <w:rPr>
          <w:color w:val="000000"/>
        </w:rPr>
        <w:t xml:space="preserve"> </w:t>
      </w:r>
      <w:r>
        <w:rPr>
          <w:rFonts w:ascii="Times New Roman;sans-serif" w:hAnsi="Times New Roman;sans-serif"/>
          <w:b w:val="false"/>
          <w:color w:val="000000"/>
          <w:sz w:val="20"/>
        </w:rPr>
        <w:t xml:space="preserve">(examples: Walmart, Kohl’s and Target) generally range in size from 50,000 to over 200,000 square feet and are typically located in shopping centers, free-standing sites or regional malls. Sporting goods merchandise and apparel and outdoor recreation products may represent a small portion of the total merchandise in these stores.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Large format sporting goods stores</w:t>
      </w:r>
      <w:r>
        <w:rPr>
          <w:color w:val="000000"/>
        </w:rPr>
        <w:t xml:space="preserve"> </w:t>
      </w:r>
      <w:r>
        <w:rPr>
          <w:rFonts w:ascii="Times New Roman;sans-serif" w:hAnsi="Times New Roman;sans-serif"/>
          <w:b w:val="false"/>
          <w:color w:val="000000"/>
          <w:sz w:val="20"/>
        </w:rPr>
        <w:t>(examples: Dick’s Sporting Goods and Scheels) generally range in size from 20,000 to over 100,000 square feet and offer a broad selection of sporting goods and outdoor recreation merchandise.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Traditional sporting goods stores</w:t>
      </w:r>
      <w:r>
        <w:rPr>
          <w:color w:val="000000"/>
        </w:rPr>
        <w:t xml:space="preserve"> </w:t>
      </w:r>
      <w:r>
        <w:rPr>
          <w:rFonts w:ascii="Times New Roman;sans-serif" w:hAnsi="Times New Roman;sans-serif"/>
          <w:b w:val="false"/>
          <w:color w:val="000000"/>
          <w:sz w:val="20"/>
        </w:rPr>
        <w:t>(examples: Hibbett Sports and Big 5 Sporting Goods) generally range in size from 5,000 to 20,000 square feet and are frequently located in regional malls and shopping centers and typically carry a varied assortment of primarily sporting goods merchandise.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Specialty outdoor retailers</w:t>
      </w:r>
      <w:r>
        <w:rPr>
          <w:color w:val="000000"/>
        </w:rPr>
        <w:t xml:space="preserve"> </w:t>
      </w:r>
      <w:r>
        <w:rPr>
          <w:rFonts w:ascii="Times New Roman;sans-serif" w:hAnsi="Times New Roman;sans-serif"/>
          <w:b w:val="false"/>
          <w:color w:val="000000"/>
          <w:sz w:val="20"/>
        </w:rPr>
        <w:t>(examples: Bass Pro Shop/Cabela’s and Sportsman’s Warehouse) generally range in size from 7,500 to over 100,000 square feet and typically focus on specific categories such as outdoor recreation.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Specialty footwear retailers</w:t>
      </w:r>
      <w:r>
        <w:rPr>
          <w:color w:val="000000"/>
        </w:rPr>
        <w:t xml:space="preserve"> </w:t>
      </w:r>
      <w:r>
        <w:rPr>
          <w:rFonts w:ascii="Times New Roman;sans-serif" w:hAnsi="Times New Roman;sans-serif"/>
          <w:b w:val="false"/>
          <w:color w:val="000000"/>
          <w:sz w:val="20"/>
        </w:rPr>
        <w:t>(examples: Foot Locker, Boot Barn and The Finish Line) generally range in size from 2,000 to 20,000 square feet and typically focus on specific categories such as athletic footwear.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Catalogue &amp; Internet retailers</w:t>
      </w:r>
      <w:r>
        <w:rPr>
          <w:color w:val="000000"/>
        </w:rPr>
        <w:t xml:space="preserve"> </w:t>
      </w:r>
      <w:r>
        <w:rPr>
          <w:rFonts w:ascii="Times New Roman;sans-serif" w:hAnsi="Times New Roman;sans-serif"/>
          <w:b w:val="false"/>
          <w:color w:val="000000"/>
          <w:sz w:val="20"/>
        </w:rPr>
        <w:t>(examples: Amazon, eBay, and Fanatics) do not typically operate brick and mortar stores and primarily rely on delivery of goods. Sporting goods merchandise and apparel and outdoor recreation products may represent a small portion of the total merchandise on their websites.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competitors are large format sporting goods stores and mass general merchants that offer sporting goods, outdoor recreation products and other lifestyle and recreational merchandise.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Merchandising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merchandise consists of national brand products that we purchase and license from various vendors, private label brand products that we brand with our internal brands and exclusive license products that we purchase and license from vendors and carry exclusively. We have long-standing relationships with many of our suppliers and have partnered with them to grow our business over time. In 2023, we purchased merchandise from approximately 1,400 vendors. For 2023, 2022 and 2021 no vendor represented more than 11% of our total purchases.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preferred access to hundreds of well-recognized national brands, such as Nike, Under Armour, adidas, Winchester, Columbia Sportswear, Brooks, Skechers, Yeti and Carhartt, which are critical to our market penetration. These and some of our other national brands rely on us to broaden their consumer reach, which fosters a mutually beneficial relationship when it comes to pricing and assortment, and we play a critical role in delivering customer volume for these brands. Our national brand assortment spans across each brand’s price spectrum, which we complement with an assortment of our private label brands priced below the national brand price spectrum. As such, we receive favorable product allocations from leading suppliers.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private label brand portfolio consists of 19 brands, including Academy Sports + Outdoors, Magellan Outdoors, BCG, O'rageous, Game Winner, Outdoor Gourmet, Freely and R.O.W. Our private label brand strategy focuses on in-filling categories and price points that our national brand products may not satisfy. Our private label brand offerings support and complement our overall merchandising strategy due to limited price-point overlap with national brands. Additionally, our private label brands generate strong brand equity and drive significant customer loyalty. Approximately 55% of our customers purchased a private label brand from us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01675"/>
                <wp:effectExtent l="0" t="0" r="0" b="0"/>
                <wp:wrapNone/>
                <wp:docPr id="8" name="Frame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generally organized our merchandise in four divisions made up of sixteen categories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25"/>
        <w:gridCol w:w="461"/>
        <w:gridCol w:w="468"/>
        <w:gridCol w:w="596"/>
        <w:gridCol w:w="582"/>
        <w:gridCol w:w="570"/>
        <w:gridCol w:w="2194"/>
        <w:gridCol w:w="1984"/>
        <w:gridCol w:w="2825"/>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Division</w:t>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Category</w:t>
            </w:r>
          </w:p>
        </w:tc>
        <w:tc>
          <w:tcPr>
            <w:tcW w:w="7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Primary product types</w:t>
            </w:r>
          </w:p>
        </w:tc>
      </w:tr>
      <w:tr>
        <w:trPr/>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Outdoors</w:t>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Camping</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Coolers and drinkware, camping accessories and camping equipment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Fishing</w:t>
            </w:r>
          </w:p>
        </w:tc>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Marine equipment and fishing rods, reels, baits and equipment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Hunting</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Firearms, ammunition, archery and archery equipment, camouflage apparel, waders, shooting accessories, gun safes, optics, airguns and hunting equipment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Recreation</w:t>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Fitness</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Fitness equipment, fitness accessories and nutrition supplies</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Team sports</w:t>
            </w:r>
          </w:p>
        </w:tc>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Team and specialty sports equipment, including baseball, football, basketball, soccer, golf, racket sports, and volleyball, and backpacks and sports bags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Recreation</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Patio furniture, outdoor cooking, wheeled goods (bicycles, skateboards and other ride-on toys), trampolines, play sets, watersports and pet equipment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 end</w:t>
            </w:r>
          </w:p>
        </w:tc>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Electronics, watches, sunglasses and front-end (consumables, batteries, etc.)</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Apparel</w:t>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Outdoor and seasonal apparel</w:t>
            </w:r>
          </w:p>
        </w:tc>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Outdoor apparel, seasonal apparel, denim, work apparel, graphic t-shirts and accessories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Youth apparel</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Boys and girls outdoor and athletic apparel</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Athletic apparel</w:t>
            </w:r>
          </w:p>
        </w:tc>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Sporting apparel and apparel for fitness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apparel</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and collegiate team licensed apparel and accessories</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Footwear</w:t>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 and seasonal footwear</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Casual shoes, slippers, seasonal footwear and socks </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footwear</w:t>
            </w:r>
          </w:p>
        </w:tc>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and western boots, shoes and hunting footwear</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Youth footwear</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Boys and girls footwear</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Athletic footwear</w:t>
            </w:r>
          </w:p>
        </w:tc>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Running shoes, athletic lifestyle and training shoes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Team sports footwear</w:t>
            </w:r>
          </w:p>
        </w:tc>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Team and specialty sports footwear and slides</w:t>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01675"/>
                <wp:effectExtent l="0" t="0" r="0" b="0"/>
                <wp:wrapNone/>
                <wp:docPr id="9" name="Frame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amount of sales (all of which are based in the U.S.) by merchandise divisions for the periods presented (amounts in thousands):</w:t>
      </w:r>
    </w:p>
    <w:tbl>
      <w:tblPr>
        <w:tblW w:w="8044" w:type="dxa"/>
        <w:jc w:val="left"/>
        <w:tblInd w:w="0" w:type="dxa"/>
        <w:tblLayout w:type="fixed"/>
        <w:tblCellMar>
          <w:top w:w="28" w:type="dxa"/>
          <w:left w:w="28" w:type="dxa"/>
          <w:bottom w:w="28" w:type="dxa"/>
          <w:right w:w="28" w:type="dxa"/>
        </w:tblCellMar>
      </w:tblPr>
      <w:tblGrid>
        <w:gridCol w:w="819"/>
        <w:gridCol w:w="721"/>
        <w:gridCol w:w="724"/>
        <w:gridCol w:w="109"/>
        <w:gridCol w:w="109"/>
        <w:gridCol w:w="109"/>
        <w:gridCol w:w="253"/>
        <w:gridCol w:w="1191"/>
        <w:gridCol w:w="131"/>
        <w:gridCol w:w="109"/>
        <w:gridCol w:w="109"/>
        <w:gridCol w:w="109"/>
        <w:gridCol w:w="259"/>
        <w:gridCol w:w="1198"/>
        <w:gridCol w:w="133"/>
        <w:gridCol w:w="109"/>
        <w:gridCol w:w="109"/>
        <w:gridCol w:w="109"/>
        <w:gridCol w:w="257"/>
        <w:gridCol w:w="1190"/>
        <w:gridCol w:w="187"/>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Merchandise sales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Outdoors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1,727,018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1,819,418 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2,060,046 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1,452,377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1,577,776 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1,710,838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1,810,345 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Footwear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1,235,643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1,290,197 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merchandise sales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6,125,876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6,357,825 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6,738,364 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sales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33,415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6,159,291</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6,395,073 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6,773,128 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(1)Certain products and categories were re-categorized among various categories and divisions, respectively, during 2023 as compared to prior years in order to better align with our current merchandising strategy and view of the business. As a result, we have reclassified sales between divisions for 2022 and 2021 for comparability purposes. This reclassification is in divisional presentation only and did not impact the overall net sales balances previously disclosed.</w:t>
      </w:r>
    </w:p>
    <w:p>
      <w:pPr>
        <w:pStyle w:val="TextBody"/>
        <w:bidi w:val="0"/>
        <w:spacing w:lineRule="auto" w:line="288" w:before="60" w:after="6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(2)E-commerce sales consist of 10.7%, 10.7% and 9.3% of merchandise sales for 2023, 2022 and 2021, respectively.</w:t>
      </w:r>
    </w:p>
    <w:p>
      <w:pPr>
        <w:pStyle w:val="TextBody"/>
        <w:bidi w:val="0"/>
        <w:spacing w:lineRule="auto" w:line="288" w:before="60" w:after="6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(3)Other sales consists primarily of the gift card breakage income, credit card bounties and royalties, shipping income, net hunting and fishing license income, sales return allowance and other items.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stores, all of which are based in the U.S., are designed to provide our customers with an easy-in, easy-out shopping experience. The interior of most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stores average approximately 70,000 gross square feet, of which approximately 85% is dedicated to selling space. 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At this time, no stores are connected to malls. We seek to lease all of our stores in long-term lease agreements with third-party landlords, which typically range from 15 to 20 years. Of the 282 stores operated as of February 3, 2024, 281 are leased from third parties and one store is owned by the Company.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active members of the communities in which we operate, and our long-time customers have grown up with Academy and passed their passion for us on to the next generation, enabling us to benefit from strong customer loyalty and shopping frequency.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01675"/>
                <wp:effectExtent l="0" t="0" r="0" b="0"/>
                <wp:wrapNone/>
                <wp:docPr id="10" name="Frame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the number of stores that we operated, exclusively in the U.S., by state was as follows:</w:t>
      </w:r>
    </w:p>
    <w:p>
      <w:pPr>
        <w:pStyle w:val="TextBody"/>
        <w:bidi w:val="0"/>
        <w:spacing w:before="0" w:after="0"/>
        <w:ind w:left="0" w:right="0" w:firstLine="360"/>
        <w:jc w:val="left"/>
        <w:rPr/>
      </w:pPr>
      <w:r>
        <w:rPr/>
      </w:r>
    </w:p>
    <w:tbl>
      <w:tblPr>
        <w:tblW w:w="3297" w:type="dxa"/>
        <w:jc w:val="center"/>
        <w:tblInd w:w="0" w:type="dxa"/>
        <w:tblLayout w:type="fixed"/>
        <w:tblCellMar>
          <w:top w:w="28" w:type="dxa"/>
          <w:left w:w="28" w:type="dxa"/>
          <w:bottom w:w="28" w:type="dxa"/>
          <w:right w:w="28" w:type="dxa"/>
        </w:tblCellMar>
      </w:tblPr>
      <w:tblGrid>
        <w:gridCol w:w="486"/>
        <w:gridCol w:w="428"/>
        <w:gridCol w:w="436"/>
        <w:gridCol w:w="109"/>
        <w:gridCol w:w="109"/>
        <w:gridCol w:w="109"/>
        <w:gridCol w:w="474"/>
        <w:gridCol w:w="474"/>
        <w:gridCol w:w="672"/>
      </w:tblGrid>
      <w:tr>
        <w:trPr/>
        <w:tc>
          <w:tcPr>
            <w:tcW w:w="4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Stores</w:t>
            </w:r>
          </w:p>
        </w:tc>
      </w:tr>
      <w:tr>
        <w:trPr/>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real estate strategy has positioned us well for further expansion, and our track record has demonstrated that we can open and operate stores profitably. We believe there is significant near-term opportunity for expansion in both new and existing markets.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Marketing</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marketing approach is anchored in helping active minded families have fun in their pursuit of sports and outdoors activities. The strategy is designed to generate awareness and consideration for the Academy brand while improving intent to purchase across the broad selection of fun categories, top national and private brands at a compelling value within our sporting goods assortment.</w:t>
      </w:r>
      <w:r>
        <w:rPr>
          <w:color w:val="000000"/>
        </w:rPr>
        <w:t xml:space="preserve"> </w:t>
      </w:r>
      <w:r>
        <w:rPr>
          <w:rFonts w:ascii="Times New Roman;sans-serif" w:hAnsi="Times New Roman;sans-serif"/>
          <w:b w:val="false"/>
          <w:color w:val="000000"/>
          <w:sz w:val="20"/>
        </w:rPr>
        <w:t xml:space="preserve">We analyze first party data from across our customer data platform and data science environments, customer insights studies and retail industry market share data sources to develop annual and seasonal go to market strategies that lead to creation of engaging content and customer experiences that are communicated across a diverse range of owned and paid media channels.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Additionally, we utilize the customer data platform to generate first party data audiences for targeted customer lifecycle management campaigns designed to retain current customers and encourage omnichannel shopping behaviors. First party data is also used to inform creation of third party data audiences across a mix of media channels to drive engagement and acquisition of new customers through the use of brand designed, influencer and customer created content.</w:t>
      </w:r>
      <w:r>
        <w:rPr>
          <w:color w:val="000000"/>
        </w:rPr>
        <w:t xml:space="preserve"> </w:t>
      </w:r>
      <w:r>
        <w:rPr>
          <w:rFonts w:ascii="Times New Roman;sans-serif" w:hAnsi="Times New Roman;sans-serif"/>
          <w:b w:val="false"/>
          <w:color w:val="000000"/>
          <w:sz w:val="20"/>
        </w:rPr>
        <w:t>These campaigns are executed across a blend of digital and traditional, including paid search, email, text message, mobile app, digital advertising networks, affiliates, and social media along with linear and digital video, audio, print, outdoor and direct mail.</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focused on implementing and continually improving our customer centric marketing technologies, omnichannel services and experiences to save customers time and money while improving the long term health of our customer portfolio.</w:t>
      </w:r>
      <w:r>
        <w:rPr>
          <w:color w:val="000000"/>
        </w:rPr>
        <w:t xml:space="preserve"> </w:t>
      </w:r>
      <w:r>
        <w:rPr>
          <w:rFonts w:ascii="Times New Roman;sans-serif" w:hAnsi="Times New Roman;sans-serif"/>
          <w:b w:val="false"/>
          <w:color w:val="000000"/>
          <w:sz w:val="20"/>
        </w:rPr>
        <w:t>The Academy Credit Card program and Academy Sports + Outdoors app are foundational to build loyalty among customers while providing a seamless omnichannel shopping experience.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01675"/>
                <wp:effectExtent l="0" t="0" r="0" b="0"/>
                <wp:wrapNone/>
                <wp:docPr id="11" name="Frame1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making a positive impact on the communities we serve and partner with over 750 organizations, including youth sports leagues that reach approximately 400,000 participants. We also partner with school districts, Historically Black Colleges and Universities (HBCUs), collegiate and professional sports properties, local parks, hunting and fishing organizations, military bases and local first responders.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Distribution Centers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the capacity to service up to approximately 120 stores per distribution center.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Information Systems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information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customer,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seasonal fluctuations. A significant portion of our net sales and profits is driven by summer holidays, such as Memorial Day, Father’s Day and Independence Day, during the second quarter. Our net sales and profits are also impacted by the August/September back-to-school selling season during the third quarter and November/December holiday selling season, and in part by the sales of cold weather sporting goods and apparel during the fourth quarter.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Team Members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“Fun for All” and a critical component to our success is our people. As of February 3, 2024, we employed approximately 22,000 team members in the U.S. and eleven team members in Hong Kong. Of those team members, approximately 50% were full-time and 50% were part-time. Our employment levels may fluctuate over the course of the year due to the seasonality of our business. None of our team members are covered by collective bargaining agreements. The Company believes that it has a good working relationship with its team members.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01675"/>
                <wp:effectExtent l="0" t="0" r="0" b="0"/>
                <wp:wrapNone/>
                <wp:docPr id="12" name="Frame1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Culture and Core Values.</w:t>
      </w:r>
      <w:r>
        <w:rPr>
          <w:color w:val="000000"/>
        </w:rPr>
        <w:t xml:space="preserve"> </w:t>
      </w:r>
      <w:r>
        <w:rPr>
          <w:rFonts w:ascii="Times New Roman;sans-serif" w:hAnsi="Times New Roman;sans-serif"/>
          <w:b w:val="false"/>
          <w:color w:val="000000"/>
          <w:sz w:val="20"/>
        </w:rPr>
        <w:t>We strive to provide rewarding careers, benefits, and a workplace culture where team members are empowered to be their authentic self—drawing on their unique perspectives, passions, skills, interests, and experiences in their day-to-day jobs. Our core values establish a strong foundation for our culture and represent the key expectations we have of our team members. These include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Customer focus and service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Excellence in all we do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Responsible leadership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Initiative with urgency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Students of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Integrity always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Positive impact on our communities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Diversity, Inclusion and Belonging. </w:t>
      </w:r>
      <w:r>
        <w:rPr>
          <w:rFonts w:ascii="Times New Roman;sans-serif" w:hAnsi="Times New Roman;sans-serif"/>
          <w:b w:val="false"/>
          <w:color w:val="000000"/>
          <w:sz w:val="20"/>
        </w:rPr>
        <w:t>At Academy, we believe the diversity of our team members, customers, and all others with whom we interact enhances the quality of our work environment and our customers’ shopping experience. Academy encourages team members to work together and to value the strengths each team member brings to the team. Our strategy begins with attracting, recruiting, developing, and retaining team members with backgrounds that are representative of our diverse communities because it makes our company and communities stronger. We require all team members to complete unintentional bias training to help eliminate biases from recruiting, hiring, promotions, job assignments and opportunities, evaluations, compensation, and customer service.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established our Diversity, Inclusion and Belonging Committee, and they led the organization in the creation of our team member led Diversity, Inclusion and Belonging groups throughout the Company. These groups provide a forum for team members with common interests and/or backgrounds to connect, network, and provide input on issues related events while helping educate and celebrate our team members' diverse backgrounds and experiences.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Talent Management. </w:t>
      </w:r>
      <w:r>
        <w:rPr>
          <w:rFonts w:ascii="Times New Roman;sans-serif" w:hAnsi="Times New Roman;sans-serif"/>
          <w:b w:val="false"/>
          <w:color w:val="000000"/>
          <w:sz w:val="20"/>
        </w:rPr>
        <w:t>We believe the best way to serve our customers is to invest in top talent, be open to innovation, and have the vision to succeed. We are focused on creating a winning team by recruiting and retaining great people, promoting teamwork, and fostering an enjoyable and rewarding work environment. We also strive to provide all team members with opportunities for personal growth, cross functional training, job opportunities and career advancement. We offer a mix of instructor-led, online, and blended courses in several key areas, including Career Development and Leadership Development. Our wide variety of courses ranges from job specific (i.e., functional) to broad based leadership training to safety, security, ethics, and compliance training. We also engage in regular and ongoing feedback, annual performance reviews and annual talent calibration conversations. Succession planning is conducted on an annual basis to identify suitable internal candidates for key positions within the Company.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i/>
          <w:color w:val="000000"/>
          <w:sz w:val="20"/>
        </w:rPr>
        <w:t xml:space="preserve">Compensation and Benefits. </w:t>
      </w:r>
      <w:r>
        <w:rPr>
          <w:rFonts w:ascii="Times New Roman;sans-serif" w:hAnsi="Times New Roman;sans-serif"/>
          <w:b w:val="false"/>
          <w:color w:val="000000"/>
          <w:sz w:val="20"/>
        </w:rPr>
        <w:t>We offer a competitive compensation and benefits package. Our benefits package is designed to allow team members the ability to pick and choose which benefits are the best for their and their family’s health and well-being. Depending on the team member’s employment and work status, they may be eligible for: medical, dental, and vision insurance; participation in the Company’s 401(k) Plan with a six percent dollar for dollar match up to the IRS deferral limit; participation in the Company’s Employee Stock Purchase Plan which provides a 15 percent discount on the lower of the stock price at the beginning or the end of each offering period; paid time off and paid vacations; the ability for team members to get a portion of their earnings paid daily; tuition reimbursement programs; professional license/certification reimbursement; medical, family, and bereavement leave; additional voluntary short/long term, life, legal, pet, and accident insurance; paid maternity and parental leave; and a 20 percent team member discount on most all of our merchandise, to name a few. We also provide, in all our distribution centers and our Katy corporate office, subsidized meals for all team members at our onsite café and an annual health and benefits fair. Specific to our Katy corporate office, we engage our team members through the opportunity to participate in intramural sport teams, 5K fun walk/run events, subsidized membership in the company gym and exercise classes (this is also open to our Katy distribution team members); “food truck Thursdays”; onsite dental and car wash service; and a company holiday party and other team member appreciation events.</w:t>
      </w:r>
    </w:p>
    <w:p>
      <w:pPr>
        <w:pStyle w:val="TextBody"/>
        <w:bidi w:val="0"/>
        <w:spacing w:lineRule="auto" w:line="288" w:before="220" w:after="283"/>
        <w:ind w:left="0" w:right="0" w:firstLine="360"/>
        <w:jc w:val="both"/>
        <w:rPr/>
      </w:pPr>
      <w:r>
        <w:rPr>
          <w:rFonts w:ascii="Times New Roman;sans-serif" w:hAnsi="Times New Roman;sans-serif"/>
          <w:b/>
          <w:i/>
          <w:color w:val="000000"/>
          <w:sz w:val="20"/>
        </w:rPr>
        <w:t xml:space="preserve">Workplace, Health and Safety. </w:t>
      </w:r>
      <w:r>
        <w:rPr>
          <w:rFonts w:ascii="Times New Roman;sans-serif" w:hAnsi="Times New Roman;sans-serif"/>
          <w:b w:val="false"/>
          <w:color w:val="000000"/>
          <w:sz w:val="20"/>
        </w:rPr>
        <w:t>The health and safety of our customers, team members, and communities is our top priority. We strive to ensure that a safe and hygienic working environment is provided and that occupational health and safety practices which prevent accidents and injury are promoted. Throughout our stores, distribution centers, and corporate headquarters, we employ policies, procedures, and training to promote safe and healthy work environments.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01675"/>
                <wp:effectExtent l="0" t="0" r="0" b="0"/>
                <wp:wrapNone/>
                <wp:docPr id="13" name="Frame1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team member handbook outlines safety expectations, but we also empower our team members with knowledge and skills from various safety training courses during the onboarding process and on an ongoing basis through our learning engagement system with topics such as incident reporting, behavior-based safety, evacuation, active shooter response, hazardous materials, ergonomics, heat safety, electrical safety, industrial truck and pallet jack safety, confined space entry and parking lot and garage safety. We continue to focus on developing and driving our safety-first culture through awareness, training, and actions to reduce the frequency and severity of safety incidents.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Information about our Executive Officers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list of our executive officers, their respective ages as of March 21, 2024 and a brief account of the business experience of each of them.</w:t>
      </w:r>
    </w:p>
    <w:tbl>
      <w:tblPr>
        <w:tblW w:w="8465" w:type="dxa"/>
        <w:jc w:val="left"/>
        <w:tblInd w:w="0" w:type="dxa"/>
        <w:tblLayout w:type="fixed"/>
        <w:tblCellMar>
          <w:top w:w="28" w:type="dxa"/>
          <w:left w:w="28" w:type="dxa"/>
          <w:bottom w:w="28" w:type="dxa"/>
          <w:right w:w="28" w:type="dxa"/>
        </w:tblCellMar>
      </w:tblPr>
      <w:tblGrid>
        <w:gridCol w:w="868"/>
        <w:gridCol w:w="763"/>
        <w:gridCol w:w="768"/>
        <w:gridCol w:w="109"/>
        <w:gridCol w:w="109"/>
        <w:gridCol w:w="109"/>
        <w:gridCol w:w="180"/>
        <w:gridCol w:w="181"/>
        <w:gridCol w:w="146"/>
        <w:gridCol w:w="109"/>
        <w:gridCol w:w="109"/>
        <w:gridCol w:w="109"/>
        <w:gridCol w:w="1432"/>
        <w:gridCol w:w="1432"/>
        <w:gridCol w:w="2041"/>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C. Hicks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(Steve) P. Lawrence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Samuel (Sam) J. Johnson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(Carl) Ford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(Matt) M. McCabe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Merchandising Officer</w:t>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pPr>
      <w:r>
        <w:rPr>
          <w:rFonts w:ascii="Times New Roman;sans-serif" w:hAnsi="Times New Roman;sans-serif"/>
          <w:b/>
          <w:i/>
          <w:color w:val="000000"/>
          <w:sz w:val="20"/>
        </w:rPr>
        <w:t>Ken C. Hicks</w:t>
      </w:r>
      <w:r>
        <w:rPr>
          <w:color w:val="000000"/>
        </w:rPr>
        <w:t xml:space="preserve"> </w:t>
      </w:r>
      <w:r>
        <w:rPr>
          <w:rFonts w:ascii="Times New Roman;sans-serif" w:hAnsi="Times New Roman;sans-serif"/>
          <w:b w:val="false"/>
          <w:color w:val="000000"/>
          <w:sz w:val="20"/>
        </w:rPr>
        <w:t>has served as the Executive Chairman of the Board of Directors since June 1, 2023. Mr. Hicks served as Chairman of the Board and Chief Executive Officer from May 2018 to June 2023. Mr. Hicks has served as a member of the Board of Directors since June 2020 and served as a member of the Board of Managers of New Academy Holding Company, LLC from May 2017 to June 2020.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as Chairman of the board of directors of Guitar Center Holdings, Inc. since October 2023. Previously, Mr. Hicks served on the board of directors and the Compensation Committee of Whole Foods Market, Inc. from May 2017 to August 2017. Mr. Hicks graduated from the United States Military Academy located in West Point, NY, and served in the U.S. Army. He also earned a Masters of Business Administration with highest distinction from Harvard Business School.</w:t>
      </w:r>
    </w:p>
    <w:p>
      <w:pPr>
        <w:pStyle w:val="TextBody"/>
        <w:bidi w:val="0"/>
        <w:spacing w:before="0" w:after="0"/>
        <w:jc w:val="both"/>
        <w:rPr/>
      </w:pPr>
      <w:r>
        <w:rPr/>
      </w:r>
    </w:p>
    <w:p>
      <w:pPr>
        <w:pStyle w:val="TextBody"/>
        <w:bidi w:val="0"/>
        <w:spacing w:lineRule="auto" w:line="256" w:before="0" w:after="0"/>
        <w:ind w:left="0" w:right="0" w:firstLine="360"/>
        <w:jc w:val="both"/>
        <w:rPr/>
      </w:pPr>
      <w:r>
        <w:rPr>
          <w:rFonts w:ascii="Times New Roman;sans-serif" w:hAnsi="Times New Roman;sans-serif"/>
          <w:b/>
          <w:i/>
          <w:color w:val="000000"/>
          <w:sz w:val="20"/>
        </w:rPr>
        <w:t>Steven (Steve) P. Lawrence</w:t>
      </w:r>
      <w:r>
        <w:rPr>
          <w:color w:val="000000"/>
        </w:rPr>
        <w:t xml:space="preserve"> </w:t>
      </w:r>
      <w:r>
        <w:rPr>
          <w:rFonts w:ascii="Times New Roman;sans-serif" w:hAnsi="Times New Roman;sans-serif"/>
          <w:b w:val="false"/>
          <w:color w:val="000000"/>
          <w:sz w:val="20"/>
        </w:rPr>
        <w:t>has served as Chief Executive Officer and a member of the Board of Directors since June 2023. Mr. Lawrence joined the Company in February 2019 as Executive Vice President and Chief Merchandising Officer. Prior to joining the Company, Mr. Lawrence was President, Chief Executive Officer and served on the board of directors at francesca’s from October 2016 to January 2019. From May 2012 to September 2016, he served as Chief Merchandising Officer at Stage Stores. Mr. Lawrence also spent nearly 12 years working in various merchandising leadership roles at J.C. Penney after 10 years at Foley’s/May Co. Mr. Lawrence obtained his Bachelor of Business Administration in Finance from the University of Notre Dame.</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pPr>
      <w:r>
        <w:rPr>
          <w:rFonts w:ascii="Times New Roman;sans-serif" w:hAnsi="Times New Roman;sans-serif"/>
          <w:b/>
          <w:i/>
          <w:color w:val="000000"/>
          <w:sz w:val="20"/>
        </w:rPr>
        <w:t xml:space="preserve">Samuel (Sam) J. Johnson </w:t>
      </w:r>
      <w:r>
        <w:rPr>
          <w:rFonts w:ascii="Times New Roman;sans-serif" w:hAnsi="Times New Roman;sans-serif"/>
          <w:b w:val="false"/>
          <w:color w:val="000000"/>
          <w:sz w:val="20"/>
        </w:rPr>
        <w:t>has served as President since October 2023. Mr. Johnson joined the Company in April 2017 as Executive Vice President, Retail Operations. Prior to joining the Company,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pPr>
      <w:r>
        <w:rPr>
          <w:rFonts w:ascii="Times New Roman;sans-serif" w:hAnsi="Times New Roman;sans-serif"/>
          <w:b/>
          <w:i/>
          <w:color w:val="000000"/>
          <w:sz w:val="20"/>
        </w:rPr>
        <w:t xml:space="preserve">Earl Carlton (Carl) Ford IV </w:t>
      </w:r>
      <w:r>
        <w:rPr>
          <w:rFonts w:ascii="Times New Roman;sans-serif" w:hAnsi="Times New Roman;sans-serif"/>
          <w:b w:val="false"/>
          <w:color w:val="000000"/>
          <w:sz w:val="20"/>
        </w:rPr>
        <w:t>has served as Executive Vice President and Chief Financial Officer since July 2023. Mr. Ford joined the Company in January 2019, and served as the Senior Vice President, Finance, where he led the Financial Planning and Analysis function of the Company from January 2019 to July 2023 and the Loss Prevention and Inventory Control teams from February 2020 to July 2023. Prior to joining the Company, Mr. Ford served as the Vice President of Financial Planning &amp; Analysis at Belk, Inc. He also served as the Vice President of Internal Audit and held other leadership roles in accounting and treasury during his 15 years at Belk, Inc. Prior to joining Belk, Inc., Mr. Ford worked for Deloitte &amp; Touche in their Audit practice. Mr. Ford holds a master's degree in accounting from the University of Alabama, a bachelor's degree in accounting from the University of Southern Mississippi and is an active Certified Public Accountant.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01675"/>
                <wp:effectExtent l="0" t="0" r="0" b="0"/>
                <wp:wrapNone/>
                <wp:docPr id="14" name="Frame1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firstLine="360"/>
        <w:jc w:val="both"/>
        <w:rPr/>
      </w:pPr>
      <w:r>
        <w:rPr>
          <w:rFonts w:ascii="Times New Roman;sans-serif" w:hAnsi="Times New Roman;sans-serif"/>
          <w:b/>
          <w:i/>
          <w:color w:val="000000"/>
          <w:sz w:val="20"/>
        </w:rPr>
        <w:t xml:space="preserve">Matthew (Matt) McCabe </w:t>
      </w:r>
      <w:r>
        <w:rPr>
          <w:rFonts w:ascii="Times New Roman;sans-serif" w:hAnsi="Times New Roman;sans-serif"/>
          <w:b w:val="false"/>
          <w:color w:val="000000"/>
          <w:sz w:val="20"/>
        </w:rPr>
        <w:t>has served as the Executive Vice President and Chief Merchandising Officer since June 2023. Mr. McCabe joined the Company in December 2016 as the Vice President, Divisional Merchandise Manager of Athletic and Licensed Apparel and served as the Senior Vice President, General Merchandise Manager of Footwear from September 2017 to June 2023. In this role, he was responsible for setting the merchandising objectives and business strategy for the Footwear division. Prior to joining the Company, Mr. McCabe served as Vice President at Golfsmith International, where he led the apparel, footwear and soft consumables buying and private brand businesses. He has more than 25 years of experience in men's and women's apparel and footwear, and held various leadership roles at The Bon Ton Department Stores, Bachrach, Sears &amp; Roebuck Co., and Mark Shale. Mr. McCabe holds a Bachelor of Science from Miami University.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trademarks, service marks, copyrights, patents, processes, trade secrets, domain names and other intellectual property, including our Academy Sports + Outdoors brand, our private label brands, such as Academy Sports + Outdoors, Magellan Outdoors, BCG, O’rageous, Game Winner, Outdoor Gourmet and Freely, and our designs, names, slogans, images and trade dress associated with these brands, are valuable assets that are critical to our success.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Governmental Regulations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complex regulatory and legal environment that exposes us to regulatory, compliance and litigation risks that could materially affect our operations and financial results. Specifically,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affecting our business may change, sometimes frequently and significantly, as a result of political, economic, social or other events. Some of the federal, state or local laws and regulations that affect us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consumer product safety, product liability or consumer protection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laws related to advertising, marketing, pricing and selling our products, including but not limited to firearms, ammunition, and related accessories;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labor and employment laws, including wage and hour laws and forced labor prevention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tax laws or interpretations thereof, including collection of state sales tax on e-commerce sales;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data protection and privacy laws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environmental laws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hazardous material laws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customs or import and export laws and regulations, including collection of tariffs on product imports;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intellectual property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antitrust and competition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banking and anti-money laundering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Americans with Disabilities Act, or ADA, and similar state and local laws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website design and content regulations;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U.S. Foreign Corrupt Practices Act, or FCPA, the U.K. Bribery Act, or UKBA, and other anti-corruption laws;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securities and exchange laws and regulations.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01675"/>
                <wp:effectExtent l="0" t="0" r="0" b="0"/>
                <wp:wrapNone/>
                <wp:docPr id="15" name="Frame1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federally licensed firearms dealer, and we sell firearms, ammunition, and related accessories. Firearms represented approximately 5% of our net sales in 2023.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United States Department of Justice announced a new policy to underscore zero tolerance for willful violations of the law by federally licensed firearms dealers that put public safety at risk. In the future, there may be increased federal, state or local regulation and enforcement affecting the sale of firearms, ammunition, and related accessories, including taxation or restrictions on the type of firearms and ammunition available for retail sale, which could reduce our sales and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the risk factors herein in "Item 1A. Risk Factors" under the sub-caption "Legal and Regulatory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www.academy.com. We use our website as a channel of distribution for company information. We will make available free of charge on the Investor Relations section of our website our Annual Report on Form 10-K, Quarterly Reports on Form 10-Q, Current Reports on Form 8-K and all amendments to those reports as soon as reasonably practicable after such material is electronically filed with or furnished to the SEC pursuant to Section 13(a) or 15(d) of the Exchange Act. We will also make available through our website other reports filed with or furnished to the SEC under the Exchange Act, including our proxy statements and reports filed by officers and directors under Section 16(a) of the Exchange Act, as well as our Ethics and Code of Conduct Policy. Financial and other material information regarding the Company is routinely posted on our website and is readily accessible. We do not intend for information contained on our website to be part of this Annual Report on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01675"/>
                <wp:effectExtent l="0" t="0" r="0" b="0"/>
                <wp:wrapNone/>
                <wp:docPr id="16" name="Frame1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In addition to the other information contained in this Annual Report, you should consider the following risk factors before investing in our securities. Risks in this section are grouped in the following categories: (1) Risks Related to Our Business and Industry; (2) Legal and Regulatory Risks; (3) Risks Related to Our Indebtedness; and (4) Risks Related to the Ownership of Our Common Stock. Many risks affect more than one category, and the risks are not in order of significance or probability of occurrence because they have been grouped by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general conditions that affect U.S. consumer discretionary spending in our markets include: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health of the economy;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consumer confidence in the economy;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wages, jobs and unemployment trends;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public health events (such as the COVID-19 pandemic) and their effect on our customers, team members, vendors/suppliers and other stakeholders;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housing market, including real estate prices and mortgage rates;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consumer credit availability;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consumer debt levels;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gasoline and fuel prices;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interest rates and inflation;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tax rates and tax policy;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immigration policy;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import and customs duties/tariffs and policy;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impact of natural or man-made disasters;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legislation and regulations;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international unrest, trade disputes, labor shortages, and other disruptions to the supply chain;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to raw material and commodity prices;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national and international security and safety concerns.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volatility in financial markets may cause some of the aforementioned conditions to change with even greater degree of frequency and magnitude.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comparable sales, net sales per square foot, customer traffic or average value per transaction may be adversely affected if, for example, our customers reduce their purchases with us due to continued high inflation,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01675"/>
                <wp:effectExtent l="0" t="0" r="0" b="0"/>
                <wp:wrapNone/>
                <wp:docPr id="17" name="Frame1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including as a result of continued increases in interest rates,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shifts in behavior away from team sports and outdoor activities in favor of travel, media (including social media) and electronics-driven leisure activities;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local and federal government budget cuts on facilities and activities, such as school athletic budgets, parks, ball fields, recreational sports leagues, hunting and fishing services, etc.;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weak economic conditions, recession, inflation or other factors, such as global or local pandemics;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legal and regulatory changes in federal and state hunting and fishing seasons, bag limits and firearm and ammunition restrictions;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consumer activism relating to controversial products we may carry, services we may perform, or our corporate philosophy, including those relating to firearms and ammunition, which could cause them to take their retail business elsewhere;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escalating costs of sporting and outdoor activities due to adverse changes in economic conditions, including inflation, rising fuel prices, rising participation fees and rising sporting license fees;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severe weather and natural or man-made disasters (e.g., an oil spill closing large areas of hunting or fishing), including heat waves, freezes, hurricanes, tornadoes, large storms and floods, and the effects of such events on consumer demand for certain seasonal goods and the ability of large urban areas to continue spending on sporting goods and outdoor recreation products.</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01675"/>
                <wp:effectExtent l="0" t="0" r="0" b="0"/>
                <wp:wrapNone/>
                <wp:docPr id="18" name="Frame1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their brand name merchandise, we may not be able to meet the demand of our customers for their brand names.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factors beyond our control, such as severe weather, local safety concerns, player-lockouts or strikes, may significantly affect whether or not certain sports leagues are able to host their games in their usual seasons, and if they are, whether or not spectators can or are able to attend. Our licensed apparel is significantly more popular when spectators are able to attend the games of the sports teams featured on such apparel. If we are not successful in managing our inventory balances, our results of operations may be negatively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Intense competition in the sporting goods and outdoor recreation retail industries could limit our growth and reduce our profitability.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sporting and outdoor recreation goods is highly fragmented, intensely competitive, and continually evolving.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mass general merchants;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department stores;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large format sporting goods stores;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traditional sporting goods stores;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specialty outdoor retailers;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specialty footwear retailers;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catalogue and internet retailers;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suppliers that sell directly to customers.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free merchandise shipping, and suppliers selling directly to consumers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01675"/>
                <wp:effectExtent l="0" t="0" r="0" b="0"/>
                <wp:wrapNone/>
                <wp:docPr id="19" name="Frame1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Any failure to protect the integrity, confidentiality, and availability of our information systems (including our technology infrastructure and networks, third party services, and hosted and on-premises software) and data that we hold relating to us and our customers, team members, and partners (including vendors) could result in lost sales, fines, penalties, assessments, investigations, inquiries, and/or lawsuits, a loss of confidence in us, and harm to our reputation,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security of our information systems (including our technology infrastructure and networks, third party services, and hosted and on-premises software) and data (including from our customers, team members and partners) is critical to our business as a retailer, and we devote significant resources to protecting our information systems and data. In order to operate our business and to provide products and services to our customers, we collect, source, store, maintain, and process data that can be used to identify a person (i.e., personal data or personally identifiable information), including customers, partners, and team members, along with our intellectual property and proprietary business information. We share data with third parties for further processing consistent with applicable terms and conditions. Our retail stores and online operations depend on the secure transmission and processing of confidential information and the continued operation of information systems necessary to perform store operations and to process transactions. Our customers provide payment card and gift card information, alternative payment information, and other personal information to purchase products or services, enroll in promotional programs, apply for credit, create accounts and make purchases on our website or mobile applications, or otherwise communicate and interact with us. Job applicants provide personal information in connection with their employment application and our team members provide personal information in connection with their continued employment. We may share information about individual persons with partners assisting with certain aspects of our business. Some personal data and personally identifiable information may be deemed sensitive or otherwise protected under applicable laws or regulations and may be subject to specific requirements for collection, processing, security, and disposal.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partners rely on commercially available information security technology and industry standard operational practices for collecting, storing, maintaining, transmitting, protecting, and processing data. Despite our security measures, we may not be able to anticipate, prevent, and stop future cybersecurity incidents, including attacks to our information systems and data and those of our partners. Threat actors may have the ability to defeat our security measures and may obtain access to data (including personal data or personally identifiable information) that we hold relating to us and our customers, team members, and vendors, or may cause operational harm. For example, ransomware events could cause key systems to be unavailable for use, or credential stuffing attacks of customer accounts on our website could cause customer privacy breaches and authorized charges to payment or gift cards, or phishing/smishing attacks, in which attackers masquerade as a trustworthy entity in an electronic communication (including email or text message), could gain control of a user's device and/or credentials. The techniques used by threat actors to attack or access systems and data evolve and may not be recognized until or after being launched against a target. We may not have the resources or technical sophistication to anticipate, prevent or stop new or evolving cybersecurity incidents, including attacks to our information systems and data and those of our partners. We may also be vulnerable to breaches due to human error or other disruptions, including data privacy breaches by employees, insiders or others with authorized access, or other cybersecurity incidents. As new and improved technologies and methodologies become available to threat actors (for example, artificial intelligence), increased risks and currently unknown vulnerabilities could result in significant future expenditures related to our information systems, technology infrastructure and operations. A future cybersecurity incident could also (1) result in unauthorized access, disclosure, loss, or misuse of our intellectual property, proprietary information, or team member, customer or supplier data, (2) attract substantial media attention, (3) damage our relationships with our customers, team members, and partners, (4) cause a loss of confidence in us or cause us to violate applicable privacy laws and obligations, (5) expose us to costly government enforcement actions or private litigation and financial liability (possibly beyond our insurance coverage), (6) increase the costs we incur to protect against or remediate cybersecurity incidents and vulnerabilities, (7) result in additional costs and operational activities to comply with consumer protection and data privacy laws and obligations, and/or (8) disrupt our operations and distract our management and other key personnel from performing their primary operational duties, any of which could adversely affect our reputation, competitiveness, business, results of operations, and financial condition. Any of the foregoing can be exacerbated by a delay or failure to detect a cybersecurity incident or the full extent of such incident.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cyber liability insurance in an amount and coverage we deem appropriate, taking into account the specific coverages and coverage requirements in the marketplace. There is no guarantee that our cyber liability insurance will cover a particular cyber incident, that such coverage will be sufficient, or that insurance proceeds will be paid in a timely manner. If an insurance carrier seeks to deny coverage of a particular loss, we may incur costs to dispute the denial of coverage, which could result in paying costs that otherwise would be recovered from insurance and delays in or ultimate denial of coverage.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01675"/>
                <wp:effectExtent l="0" t="0" r="0" b="0"/>
                <wp:wrapNone/>
                <wp:docPr id="20" name="Frame1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data privacy and cybersecurity regulatory environment is constantly changing, with new and increasingly rigorous or complex requirements. Consumer data privacy and cybersecurity laws and related regulations have been enacted and additional laws and regulations are under consideration by various state and federal legislatures and regulatory authorities. Maintaining compliance with those requirements may require significant effort, cost, new or improved technical capabilities, and changes to our business practices, and may limit our ability to obtain or use data to provide a personalized customer experience or to engage in certain marketing practices. In addition, any alleged or actual failure to comply with applicable requirements could subject us to fines, sanctions, governmental investigations, lawsuits, reputational damage, and other risks and costs that may be difficult to anticipate but could become material.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 significant portion of the merchandise that we sell is manufactured in foreign countries, including China, which exposes us to various international risks that could have a material adverse effect on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merchandise that we sell, including merchandise we purchase from domestic suppliers and much of our private label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supply chain disruptions including those caused by extreme weather, natural disasters, public health events (such as pandemics)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For example, in late 2021, the United States Government enacted the Uyghur Forced Labor Prevention Act (“UFLPA”), which presumes goods produced in the Xinjiang Uyghur Autonomous Region of China, or with labor linked to specified Chinese government-sponsored labor programs, were produced using forced labor and prohibits importation of such goods into the United States absent clear and convincing evidence proving otherwise. Compliance with UFLPA could have a material adverse effect on our business, financial condition and results of operations.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become more expensive or may no longer be available at a commercially attractive price or at all, each of which in turn could have a material adverse effect on our business, financial condition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merchandise is produced in China. The ongoing COVID-19 pandemic in China has led to, and may continue to lead to,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again curtailed, we may need to seek alternate manufacturing sources, which may be more expensive. Alternate sources may not be available or may result in delays in shipments to us from our supply chain and subsequently to our customers, each of which would affect our results of operations. The duration of the production and supply chain disruption, and related financial impact, cannot be estimated at this time. Should such production and distribution closures continue or be re-imposed, the impact on our supply chain in China and globally could have a material adverse effect on our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01675"/>
                <wp:effectExtent l="0" t="0" r="0" b="0"/>
                <wp:wrapNone/>
                <wp:docPr id="21" name="Frame2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trade tensions between the United States and China began escalating in 2018, with the Trump administration ultimately imposing multiple rounds of tariffs on imports from China, where we and many of our vendors source commodities. As a result, we have experienced rising inventory costs on private label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have had an adverse effect on our business, financial condition and results of operations. In response, we have sought alternative suppliers or vendors, raised prices, and made changes to our operations. The continuation of this situation could have further adverse effects on our sales and profitability, results of operations and financial condition. Since the date of our last annual report, no significant modifications have been enacted relative to the escalated tariffs which impact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Problems with operating, updating or implementing our information systems could disrupt our operations and negatively impact our business operations and materially and adversely affect our financial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efficient operation of our business is dependent on the successful integration and operation of our information systems, some of which require interoperability to perform the intended function or are dependent on services managed or provided by third-parties. For example, we rely on our information systems to manage merchandise planning and replenishment, warehousing and distribution, store operations, customer relationships, e-commerce, and customer transactions, optimize our overall inventory levels, process financial information and sales transactions, pay and receive funds, prevent security breaches and fraud, communicate internally and externally, provide support services, and comply with legal and regulatory obligations.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information systems, if not functioning properly or if failing to function altogether, could disrupt our ability to track, record, and analyze sales and inventory and could cause disruptions of operations, including, among other things, our ability to order, process and ship inventory, process financial information including credit card transactions, prepare financial statements,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or other cybersecurity incidents, catastrophic events and severe weather such as fires, floods, tornadoes, earthquakes and hurricanes, and usage or coding errors by our team members or partners. From time to time we have experienced, and we may in the future further experience, interruptions, damages, or failures of our information systems, some of which disrupt our business and cause us to expend additional resources to rectify. Although we attempt to mitigate the risk of possible business interruptions by employing customary strategies, any material disruption, malfunction or any other similar problem in or with our information systems could negatively impact our business operations and materially and adversely affect our financial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information systems may require repair, upgrade, enhancement, integration and/or replacement for us to maintain successful current operations and achieve future sales and store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01675"/>
                <wp:effectExtent l="0" t="0" r="0" b="0"/>
                <wp:wrapNone/>
                <wp:docPr id="22" name="Frame2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Updating our existing information systems subjects us to numerous risks, including: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loss of information;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disruption of normal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accounting or other operating procedures;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internal control over financial reporting or general computer controls;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problems maintaining accuracy of historical data;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allocation and dedication of key business resources to the updating of existing systems;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ability to attract and retain adequate experienced technical resources and third-party contractors for the updating of existing systems;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unknown impact on remaining systems;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adequacy of training and change management to address critical changes in business processes and job functions;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updated information system ultimately does not meet the needs of the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successfully update and maintain our information systems, and any missteps, delays, cost overruns, vendor disputes, technical challenges or other similar issues that may arise during the updating of our information systems, could have a material impact on our business, financial condition, results of operations, internal controls over financial reporting and ability to manage our business effectively.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undertake initiatives involving numerous information systems to improve and enhance our capabilities, whether for operational, financial or risk reduction purposes. Any failure to timely, properly or adequately implement these information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approximately 1,400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approximately 1,400 suppliers to supply us in a timely and efficient manner with the merchandise we sell. Our significant dependence on these suppliers exposes us to various risks that could have a material adverse effect on our business and results of operations. In 2023, purchases from our largest vendor represented approximately 11%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as a result of public health emergencies, such as the COVID-19 pandemic, and measures taken by the Chinese government or other governments in response to such events), we may experience merchandise out-of-stocks, delivery delays or increased delivery costs, or otherwise be unable to obtain the same merchandise from other suppliers in a timely and efficient manner and on acceptable terms, or at all, which could materially affect our results of operations and our customers’ confidence in us. For example, during fiscal 2021, we began to see increased competition across the industry for resources throughout the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 Fluctuations in the supply chain or changes in our relationships with our suppliers (which can occur for various reasons in or out of our control)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Further, vendors increasingly sell their products directly to customers or through broadened or alternative distribution channels, such as department stores, family footwear stores, or e-commerce companies.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01675"/>
                <wp:effectExtent l="0" t="0" r="0" b="0"/>
                <wp:wrapNone/>
                <wp:docPr id="23" name="Frame2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Harm to our reputation could adversely impact our ability to attract and retain customers, team members, vendors and/or other partners.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cybersecurity incidents, product liability and product recalls, our social media activity, our handling of issues relating to corporate responsibility matters, including our response to such matters, failure to comply with applicable laws and regulations or enforce our own policies, our policies related to the sale of firearms, ammunition and accessories, our policies relating to public health, public stances on controversial social or political issues, concerns surrounding labor, environmental, workplace safety and other practices that may vary from U.S. standards in any of our foreign manufacturers, whether directly or indirectly,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failure of our third-party vendors of outsourced business services and solutions to meet our performance standards and expectations could adversely affect our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long-term strategy, we look for opportunities to cost-effectively enhance the capabilities of our business services. In some cases, 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In some cases, we rely on a single vendor for such services. While we believe we conduct appropriate due diligence before entering into agreements with these third-parties, if we fail to properly manage these vendors or if they fail to meet, or are prevented from meeting, our performance standards and expectations, then our reputation, sales, and results of operations could be adversely affected. Any significant interruption in the operations of these service providers, over which we have no control, could also have an adverse effect on our business. In addition, we could face increased costs or incur substantial time in finding and implementing replacement service vendors or, alternatively, hiring new team members, making additional technology purchases, and changing information systems configurations to provide these business services and solutions in-house.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01675"/>
                <wp:effectExtent l="0" t="0" r="0" b="0"/>
                <wp:wrapNone/>
                <wp:docPr id="24" name="Frame2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vacant retail stores or developable store sites. The availability of second-generation retail store space and developable store sites (i.e., land and redevelopment sites) that meet our criteria is very low. In addition, land prices and lease rents have continued to increase due to various macroeconomic factors. Further,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lease our stores under operating leases with initial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expansion in new and existing markets may present competitive, merchandising, marketing, human resources, distribution and regulatory challenges that differ from our current challenges, including expanding and improving our operating capabilities,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As a result of our anticipated growth, we may become increasingly reliant on entry into new markets to grow, we may face additional risks and our results of operations could suffer. To the extent that we are not able to meet new challenges, our sales could decrease and our operating costs could increase.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In 2020 and 2021, in response to the then-current retail environment, we temporarily stopped new store openings, before resuming in 2022 and continuing through the date of this Annual Report.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Furthermore, the success of our stores depends on several factors including the sustained success of the shopping center where the store is located, consumer demographics, and consumer shopping habits and patterns. Changes in consumer shopping habits and patterns, reduced customer traffic in the shopping centers where our stores are located, financial difficulties of our landlords, or the shopping center operators, anchor tenants or a significant number of other retailers, and shopping center vacancies or closures, could impact the profitability of our stores and increase the likelihood that our landlords or the shopping centers operators fail to fulfill their obligations and conditions under our lease agreements or governing documents. Thus, our failure to achieve our expansion plans could materially and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01675"/>
                <wp:effectExtent l="0" t="0" r="0" b="0"/>
                <wp:wrapNone/>
                <wp:docPr id="25" name="Frame2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e-commerce activities expose us to various risks that could have a material adverse impact on our overall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expansion of our sales across the United States, thereby, subjecting us to the regulatory and other requirements of the 50 states;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website operating issues, including website availability, system reliability, website operation, Internet connectivity, website errors, computer viruses, telecommunication failures, electronic break-ins or similar disruptions;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need to keep pace with rapid technological change and investments from competitors, and maintain investments necessary for our e-commerce operation;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legal compliance issues related to the online sale of merchandise;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intellectual property litigation related to the enforcement of patent rights;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privacy and personal data security;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protection against credit card and gift card fraud;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fulfillment, inventory control and shipping issues for e-commerce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tax issues, including state sales tax collection for e-commerce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hiring, retention and training of personnel qualified to conduct our e-commerce operation;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ability to procure adequate computer hardware and software and technology services and solutions from third-party providers;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reduction in visits to, diversion and/or cannibalization of sales from, existing retail stores.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In addition, offering different products through each channel could cause conflicts and cause some of our current or potential e-commerce customers to consider our competitors. Offering products through our e-commerce platform could also cause some of our current or potential vendors to consider competing internet or mobile offerings of their products either on their own or through competing distributors. If we do not successfully manage the risks and navigate the challenges associated with our e-commerce activities, it could have a material adverse effect on our results of operations. 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01675"/>
                <wp:effectExtent l="0" t="0" r="0" b="0"/>
                <wp:wrapNone/>
                <wp:docPr id="26" name="Frame2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private label brand merchandise exposes us to various risks generally encountered by companies that source, manufacture, market and retail exclusive private label brand merchandise.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national brand merchandise, we offer customers private label brand merchandise, most of which is sold exclusively by Academy. The sale of private label brand merchandise subjects us to certain risks, including: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and profitably conduct sourcing and manufacturing activities internally or with third-party agents, manufacturers and distributors;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failure or our manufacturers’ failure to comply with federal, state and local regulatory requirements, including product safety, working age and conditions, anti-corruption, import and customs and retail sale restrictions;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potential mandatory or voluntary product recalls;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claims and lawsuits resulting from injuries associated with the use of our private label brand merchandise;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protect our intellectual property or other proprietary rights (e.g., defending against counterfeit, knock-offs, grey-market, infringing or otherwise unauthorized goods);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navigate and avoid claims related to the intellectual property or other proprietary rights of third parties;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increases in the price of raw materials used in the manufacturing of our private label brand merchandise and other risks generally encountered by entities that source, manufacture, market and retail private label brand merchandise.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adequately address some or all of these risks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disruption in the operation of our distribution centers would affect our ability to deliver merchandise to either our stores or customers, which could adversely impact our revenues and harm our business and financial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three distribution centers located in Katy, Texas; Twiggs County, Georgia; and Cookeville, Tennessee, to manage the receipt, storage, sorting, packing and distribution of our merchandise to the appropriate stores or to the customer directly. We depend in large part on the orderly operation of our receiving and distribution process, which depends, in turn, on adherence to shipping schedules, proper functioning of our information technology and inventory control systems and overall effective management of our distribution centers. As a result of damage to, or prolonged interruption of, operations or inventory at any of these facilities, or with respect to third-party transportation providers, due to a work stoppage, labor shortage, operations significantly below historical efficiency levels, supply chain disruption, public health events (such as pandemics), severe weather (such as tornadoes) or natural or man-made disasters (including events that may be caused or exacerbated by climate change), system failures or cyber incidents, slowdowns or strikes, acts of terror or other unforeseen events in the areas or regions of these facilities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business interruption and property insurance for these facilities, there can be no assurance that our insurance coverage will be sufficient, or that insurance proceeds will be timely paid to us, if our distribution centers are shut down or interrupted for any unplanned reason.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01675"/>
                <wp:effectExtent l="0" t="0" r="0" b="0"/>
                <wp:wrapNone/>
                <wp:docPr id="27" name="Frame2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and comparable sales may fluctuate due to seasonality and other factors outside of our control.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We must carry a significant amount of inventory, particularly before these selling periods.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 If we are not successful in selling our inventory during these periods, we may be forced to rely on markdowns or promotional sales to dispose of the excess inventory or may not be able to sell the inventory at all, which could have a material adverse effect on our business, financial condition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and comparable sales have historically fluctuated, and may continue to fluctuate, as a result of factors outside our control, including: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general regional and national economic conditions;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consumer confidence in the economy;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unseasonal or extreme weather conditions, natural or man-made disasters or public health emergencies (such as snow storms, hurricanes, tornadoes, floods, pandemics, and civil disturbances);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catastrophic or tragic events (such as tragedies involving firearms);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demand for the products that we offer in our stores;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lack of new product introduction;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lockouts or strikes involving professional sports teams;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retirement of sports superstars used in marketing various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sports scandals, including those involving leagues, associations, teams or athletes with ties to us or our markets;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costs related to the closure of existing stores;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litigation;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or failure of college and professional sports teams in our markets;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expansion of existing or entry of new competitors into our markets;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consolidation of competitors in our markets;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shift in consumer tastes and fashion trends;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calendar shifts or holiday or seasonal periods;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of income tax refunds to customers;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laws and regulations, politics or consumer advocacy affecting our business, including sentiment relating to the sale of firearms and ammunition;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cancellations of tax-free holidays in certain states;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pricing, promotions or other actions taken by us or our existing or possible new competitors;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other tenants or landlords or surrounding geographic circumstances in the shopping centers in which we are located.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01675"/>
                <wp:effectExtent l="0" t="0" r="0" b="0"/>
                <wp:wrapNone/>
                <wp:docPr id="28" name="Frame2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occurrence of severe weather events, catastrophic public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our e-commerce orders, especially during peak shopping seasons.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Unforeseen events, including public health events, such as pandemics, natural disasters, such as earthquakes, hurricanes, tornadoes, freezes, snow or ice storms, floods and heavy rains, heatwaves,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Global climate change may result in significant natural disasters occurring more frequently or with greater intensity, such as drought, wildfires, storms, sea-level rise, and flooding. Socio-political factors, such as foreign wars, civil unrest or other economic or political uncertainties that contribute to consumer unease or harm to our supply chain or store base, may also result in decreased discretionary spending, property damage and/or business interruption losses. For example, we may face losses related to the civil unrest in the United States, such as that which occurred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and any precautions that we may take may not be adequate to mitigate the impact of such events. If these events impact areas in which we have our corporate headquarters, distribution centers, a concentration of retail stores or vendor sources or foreign and/or U.S. ports, such events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attract, train and retain quality team members in sufficient numbers, increases in wage and labor costs, and changes in laws and other labor issues could adversely affect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success of our business depends significantly on our ability to hire and retain quality team members, including store managers, </w:t>
      </w:r>
      <w:r>
        <w:rPr>
          <w:rFonts w:ascii="Times New Roman;sans-serif" w:hAnsi="Times New Roman;sans-serif"/>
          <w:b w:val="false"/>
          <w:i/>
          <w:color w:val="000000"/>
          <w:sz w:val="20"/>
        </w:rPr>
        <w:t>Enthusiasts</w:t>
      </w:r>
      <w:r>
        <w:rPr>
          <w:color w:val="000000"/>
        </w:rPr>
        <w:t xml:space="preserve"> </w:t>
      </w:r>
      <w:r>
        <w:rPr>
          <w:rFonts w:ascii="Times New Roman;sans-serif" w:hAnsi="Times New Roman;sans-serif"/>
          <w:b w:val="false"/>
          <w:color w:val="000000"/>
          <w:sz w:val="20"/>
        </w:rPr>
        <w:t>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which can lead to increased training and retention costs, particularly if employment opportunities increase.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public health events, such as the COVID-19 pandemic. We have experienced, and expect to continue to experience, a shortage of labor for certain functions, which has increased our labor costs and negatively impacted our profitability. The extent and duration of the effect of these labor market challenges are subject to numerous factors, including availability of qualified persons in the markets where we and our contracted service providers operate and unemployment levels within these markets, behavioral changes, prevailing wage rates and other benefits, inflation, adoption of new or revised employment and labor laws and regulations (including increased minimum wage requirements) or government programs, safety levels of our operations, and our reputation within the labor market.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or potential future legislative initiatives may seek to increase the federal minimum wage in the United States, as well as the minimum wage in a number of individual states or markets.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we continue to monitor which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01675"/>
                <wp:effectExtent l="0" t="0" r="0" b="0"/>
                <wp:wrapNone/>
                <wp:docPr id="29" name="Frame2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pStyle w:val="TextBody"/>
        <w:bidi w:val="0"/>
        <w:spacing w:before="120" w:after="283"/>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key personnel in order to support our existing business and future initiatives and may not be able to retain or replace these team members, recruit additional qualified personnel or effectively manage succession.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may be adversely impacted if we are not able to attract, retain and develop talent and future leaders, including our senior executives and team members. Our senior executive team closely supervises all major aspects of our business, including the design and development of our strategy, and procurement of merchandise; operation of our information technology platforms, supply chain, and store network; development and retention of critical talent; and financial planning, reporting and compliance. Our senior executive team has substantial experience and expertise in our retail business, and serves an integral role in the growth and support of our various initiatives. If we were to lose the leadership of senior executives or other key team members without appropriate successors in place, our business could be adversely affected. In addition, if significant unexpected turnover occurs at the team member level, the loss of the services of these individuals, or any resulting negative perceptions of our business, could damage our reputation and our business. Competition for such qualified talent is significant, and we cannot be sure we will be able to find suitable successors promptly, or at all, or to successfully integrate any successors, or that we will be able to attract, retain, and develop a sufficient number of qualified individuals in future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stores are located primarily in the southern United States which could subject us to regional risks.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Fluctuations in merchandise costs and availability due to fuel price uncertainty, demand changes, increases in commodity prices, labor shortages and other factors could negatively impact our consolidated and combined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For example, during fiscal 2021, we began to see increased competition across the industry for resources throughout the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 In addition, changes in regulations may result in higher fuel costs through taxation, transportation restrictions or other means. Fluctuations in transportation costs and availability could adversely affect our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Labor shortages in the transportation industry have historically had and could potentially continue to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01675"/>
                <wp:effectExtent l="0" t="0" r="0" b="0"/>
                <wp:wrapNone/>
                <wp:docPr id="30" name="Frame2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Difficulties in moving products manufactured overseas and through the ports of North America, whether due to port congestion, government shutdowns, labor disputes, product regulations and/or inspections or other factors, including man-made or natural disasters and public health events, could negatively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that could increase our operating costs, expose us to fraud or theft, subject us to potential liability and potentially disrupt our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The payment methods that we offer also subject us to potential fraud and theft by criminals, who are becoming increasingly sophisticated, seeking to obtain unauthorized access to or exploit weaknesses that may exist in the payment systems.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depends on the effectiveness of our marketing and advertising programs.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against inventory shrink, our results of operations and financial condition could be adversely affected.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ability to effectively manage our inventory. We have historically experienced loss of inventory (also called shrink) due to damage, theft (including from organized retail crime), and other causes. We continue to experience elevated levels of inventory shrink relative to historical levels, which has adversely affected, and could continue to adversely affect, our results of operations and financial condition. To protect against rising inventory shrink, we have taken, and may continue to take, certain operational and strategic actions that could adversely affect our reputation, customer experience, and results of operations. In addition, sustained high rates of inventory shrink at certain stores could impact the profitability of those stores and result in the impairment of long-term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pursue strategic acquisitions, which could have an adverse impact on our business, as could assimilation of companies following acquisition.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01675"/>
                <wp:effectExtent l="0" t="0" r="0" b="0"/>
                <wp:wrapNone/>
                <wp:docPr id="31" name="Frame3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and Regulatory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costs and risks associated with laws and regulations affecting our business, including those relating to the sale, manufacture and import of consumer products and other matters, and the substance or enforcement of such laws may change or become more stringent.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(DOJ), Department of Treasury, Federal Trade Commission, Customs and Border Protection, Bureau of Alcohol, Tobacco, Firearms and Explosives (ATF), SEC, Internal Revenue Service, or IRS, and Environmental Protection Agency and comparable state and local agencies.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affecting our business may change, sometimes frequently and significantly, as a result of political, economic, social or other events. Some of the federal, state or local laws and regulations that affect us include but are not limited to:</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consumer product safety, product liability or consumer protection laws;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laws related to advertising, marketing, pricing and selling our products, including but not limited to firearms, ammunition, and related accessories;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labor and employment laws, including wage and hour laws;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tax laws or interpretations thereof, including collection of state sales tax on e-commerce sales;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data protection and privacy laws and regulations;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environmental laws and regulations;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hazardous material laws and regulations;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customs or import and export laws and regulations, including collection of tariffs on product imports;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intellectual property laws;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antitrust and competition regulations;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banking and anti-money laundering regulations;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Americans with Disabilities Act, or ADA, and similar state and local laws and regulations;</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website design and content regulations; and</w:t>
      </w:r>
    </w:p>
    <w:p>
      <w:pPr>
        <w:pStyle w:val="TextBody"/>
        <w:bidi w:val="0"/>
        <w:spacing w:lineRule="auto" w:line="288" w:before="60" w:after="283"/>
        <w:ind w:left="0" w:right="0" w:firstLine="360"/>
        <w:jc w:val="both"/>
        <w:rPr/>
      </w:pPr>
      <w:r>
        <w:rPr>
          <w:color w:val="000000"/>
        </w:rPr>
        <w:t>•</w:t>
      </w:r>
      <w:r>
        <w:rPr>
          <w:rFonts w:ascii="Times New Roman;sans-serif" w:hAnsi="Times New Roman;sans-serif"/>
          <w:b w:val="false"/>
          <w:color w:val="000000"/>
          <w:sz w:val="20"/>
        </w:rPr>
        <w:t>securities and exchange laws and regulations.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federally licensed firearms dealer and we sell firearms, ammunition, and related accessories. Firearms represented approximately 5% of our net sales in 2023.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DOJ announced a new policy to underscore zero tolerance for willful violations of the law by federally licensed firearms dealers that put public safety at risk. Since announcing this policy, ATF (a law enforcement agency in the DOJ) revoked 157 federal firearms licenses in 2023, compared to 88 licenses revoked in 2022 and five in the last six months of 2021. In the future, there may be increased federal, state or local regulation or enforcement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Another significant risk relating to our operations is compliance with the FCPA, the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01675"/>
                <wp:effectExtent l="0" t="0" r="0" b="0"/>
                <wp:wrapNone/>
                <wp:docPr id="32" name="Frame3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climate change and other sustainability-related matters, or legal, regulatory or market expectations and responses.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Climate change resulting from increased concentrations of carbon dioxide and other greenhouse gases in the atmosphere, including increases in global temperatures, changes in weather patterns and increasingly frequent and/or prolonged extreme weather and climate related events, could present risks to our operations.</w:t>
      </w:r>
      <w:r>
        <w:rPr>
          <w:color w:val="000000"/>
        </w:rPr>
        <w:t xml:space="preserve"> </w:t>
      </w:r>
      <w:r>
        <w:rPr>
          <w:rFonts w:ascii="Times New Roman;sans-serif" w:hAnsi="Times New Roman;sans-serif"/>
          <w:b w:val="false"/>
          <w:color w:val="000000"/>
          <w:sz w:val="20"/>
        </w:rPr>
        <w:t>The potential impacts of climate change present a variety of risks. The physical effects of climate change, such as extreme weather conditions, drought, and rising sea levels, could adversely affect our results of operations, including by increasing our energy costs, disrupting our supply chain, negatively impacting our workforce, damaging our stores, distribution centers, and inventory, and threatening the habitability of the locations in which we operate.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significant operations in certain states where natural disasters are more prevalent. Natural disasters in those states or in other areas where we operate could result in significant physical damage to or closure of one or more of our stores, distribution centers, facilities, or key vendors. In addition, weather conditions, natural disasters, and other catastrophic events in areas where we or our vendors operate, or depend upon for continued operations, could adversely affect the availability and cost of certain products within our supply chain, affect consumer purchasing power, and reduce consumer demand. Any of these events could adversely affect our results of operations. For additional information, see also our risk factor related to the impact of severe weather under “Risks Related to Our Business and Industry” above.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Climate change could exacerbate challenges relating to the availability and quality of water and raw materials, including those used in the production of the private label and other merchandise that we sell, may lead to increased energy usage and costs, and may result in changes in regulations or consumer preferences that could have a material adverse effect on our business, results of operations and financial condition.</w:t>
      </w:r>
      <w:r>
        <w:rPr>
          <w:color w:val="000000"/>
        </w:rPr>
        <w:t xml:space="preserve"> </w:t>
      </w:r>
      <w:r>
        <w:rPr>
          <w:rFonts w:ascii="Times New Roman;sans-serif" w:hAnsi="Times New Roman;sans-serif"/>
          <w:b w:val="false"/>
          <w:color w:val="000000"/>
          <w:sz w:val="20"/>
        </w:rPr>
        <w:t>Uncharacteristic or significant weather conditions, including the physical impacts of climate change, can affect consumer shopping patterns, particularly in apparel and seasonal items, which could lead to lower sales or greater than expected markdowns and adversely affect our results of operations. There has been an increased focus by governmental and non-governmental organizations, customers, team members and other stakeholders on products that are sustainably made and other sustainability matters, including responsible sourcing, the use of plastic, conservation, energy and water, the recyclability of packaging and materials transparency, all of which may require us to incur increased costs for additional transparency, due diligence, and reporting.</w:t>
      </w:r>
      <w:r>
        <w:rPr>
          <w:color w:val="000000"/>
        </w:rPr>
        <w:t xml:space="preserve"> </w:t>
      </w:r>
      <w:r>
        <w:rPr>
          <w:rFonts w:ascii="Times New Roman;sans-serif" w:hAnsi="Times New Roman;sans-serif"/>
          <w:b w:val="false"/>
          <w:color w:val="000000"/>
          <w:sz w:val="20"/>
        </w:rPr>
        <w:t xml:space="preserve">Additionally, recent proposed legislative and regulatory changes related to climate change and reporting at both the federal and state levels could increase the complexity of, and compliance costs associated with, such regulations, which could have a material adverse effect on our business, results of operations and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01675"/>
                <wp:effectExtent l="0" t="0" r="0" b="0"/>
                <wp:wrapNone/>
                <wp:docPr id="33" name="Frame3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and may in the future, be subject to claims, demands and lawsuits, and our insurance or indemnities may not be sufficient to cover damages related to those claims and lawsuits.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product liability claims from customers or actions required or penalties assessed by government agencies relating to products we sell, including but not limited to products that are recalled, defective or otherwise alleged to be harmful;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design, purchase, manufacture, import, distribution and sale of our private label brand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municipalities or other organizations attempting to recover costs from firearm manufacturers and retailers, relating to the use of firearms and ammunition;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operations of a fleet of trucks for distribution purposes, including transportation of hazardous materials by such fleet;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procurement and ownership, leasing or operation of property for retail stores, distribution centers and other corporate needs;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alleged infringement upon intellectual property rights to merchandise we sell or technology or services we use, including information technology, marketing and advertising services;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global sourcing, including international, customs and trade issues;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real estate issues, including construction, leasing, zoning and environmental issues;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employment issues, including actions by team members, the Equal Employment Opportunity Commission, the Department of Labor, the Occupational Safety and Health Administration and other federal and state employment agencies;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commercial disputes, including contractual and business disputes with vendors, landlords, or competitors;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tort, personal injury and property damage claims related to our stores, e-commerce, distribution centers or corporate headquarters;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unauthorized access to our information systems or facilities that results in a breach of data security or privacy;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firearms, ammunition, and related accessories. These products are associated with an increased risk of injury and related lawsuits with respect to our compliance with federal and state laws and regulations covering such products. Any improper or illegal use by our customers of firearms, ammunition, or related accessories sold by us could have a negative impact on our reputation and business. We are, and may in the future also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01675"/>
                <wp:effectExtent l="0" t="0" r="0" b="0"/>
                <wp:wrapNone/>
                <wp:docPr id="34" name="Frame3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with third-party insurers. However, not every risk or liability is or can be protected by insurance, and, for those risks we insure, the limits of coverage we purchase or that are reasonably obtainable in the market may not be sufficient to cover all actual losses or liabilities incurred. Liability insurance coverage is expensive and there is a risk that commercially available liability insurance will not continue to be available to us at a reasonable cost, if at all. If we or other industry participants sustain significant losses or make significant insurance claims, our ability to obtain future insurance coverage at commercially reasonable rates could be materially adversely affected. An inability to obtain liability insurance, significant increases in the cost of insurance we obtain, or losses in excess of our liability insurance coverage could have a material adverse effect on us.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insurance we carry, including the aforementioned insurance coverage, reflects deductibles, self-insured retentions, limits of liability and similar provisions that we believe are prudent based on our operations. 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many of our vendors to carry their own insurance, and we have indemnity agreements with many of our vendors, but we cannot be assured that (1) any specific claim or lawsuit will be subject to a vendor’s insurance or indemnity agreement, (2) our vendors will carry or maintain such insurance coverage or meet their indemnity obligations or (3) we will be able to collect payments from our vendors sufficient to offset liability losses or, in the case of our private label brand products, where almost all of the manufacturing occurs outside the United States, that we will be able to collect anything at all.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all claims and lawsuits, however, there is a risk that liabilities, fines and losses may not be covered by insurance or indemnity or may exceed insurance or indemnity coverage.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sales and operating results could be adversely affected by product safety concerns.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products that we offer, including from both national brands and our private label brands, do not meet applicable safety standards or our customers’ expectations regarding safety, we could experience decreased sales, increased costs, and/or be exposed to legal and reputational risk. All of our vendors must comply with applicable product safety laws, and we rely on our vendors to ensure that the products we buy comply with all federal, state, and local requirements for sale, including product safety, labeling, and testing requirements. Negative customer perceptions and publicity regarding the safety and sourcing of the products we sell, and events that give rise to actual, potential, or perceived product safety concerns could expose us to government enforcement action and/or private litigation. Furthermore, reputational damage caused by real or perceived product safety concerns could have a negative impact on our sales and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or avoid the infringement of third-party intellectual property rights could be costly and have a negative impact on our results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trademarks, service marks, copyrights, patents, processes, trade secrets, domain names and other intellectual property, including our Academy Sports + Outdoors brand, our private label brands, such as Academy Sports + Outdoors, Magellan Outdoors, BCG, O'rageous, Game Winner, Outdoor Gourmet, Freely and R.O.W., and our goodwill, designs, names, slogans, images and trade dress associated with these brands, are valuable assets, and are essential to our success and our competitive position due to their name recognition with customers.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01675"/>
                <wp:effectExtent l="0" t="0" r="0" b="0"/>
                <wp:wrapNone/>
                <wp:docPr id="35" name="Frame3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requires that we dedicate a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had approximately $91.8 million outstanding under the Term Loan and $400.0 million outstanding under the Notes, all of which is secured. As of February 3, 2024, we had no borrowings outstanding under the ABL Facility (as defined in Note 4 of the accompanying financial statements), an available borrowing capacity under the ABL Facility of approximately $881.4 million (which is subject to customary borrowing conditions, including a borrowing base), and outstanding letters of credit of $11.6 million, all of which were issued under the ABL Facility.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overall level of indebtedness requires that we dedicate a portion of our cash flows to debt service payments. The Term Loan (as defined in Note 4 of the accompanying financial statements) requires quarterly principal payments through September 30, 2027, and monthly cash interest payments through maturity. The ABL Facility, under which we had no borrowings as of February 3, 2024, matures on November 6, 2025. The Notes (as defined in Note 4 of the accompanying financial statements) require semi-annual payments of interest (in arrears) and matures on November 15, 2027.</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reduces the funds that would otherwise be available for operations, future business opportunities and payments of our debt obligations and limits our ability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 additional financing, if necessary, for working capital and operations, or such financing may not be available on favorable terms;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make needed capital expenditures;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make strategic acquisitions or investments or enter into joint ventures;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react to changes or withstand a future downturn in our business, the industry or the economy in general;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meet store growth, distribution center expansion, e-commerce growth, budget targets and forecasts of future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engage in business activities, including future opportunities that may be in our interest;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react to competitive pressures or compete with competitors with less debt.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limitations could adversely affect our operating performance, growth, profitability and financial condition, which would make it more difficult for us to generate cash flow sufficient to satisfy our obligations under our indebtedness.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01675"/>
                <wp:effectExtent l="0" t="0" r="0" b="0"/>
                <wp:wrapNone/>
                <wp:docPr id="36" name="Frame3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Despite our level of indebtedness, we may still be able to incur substantially more debt, which could further increase the risks to our financial condition described above.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level of indebtedness, we may be able to incur significant additional indebtedness in the future, including off-balance sheet financings, trade credit, contractual obligations and general and commercial liabilities. Although the credit agreements governing the Term Loan and the ABL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February 3, 2024, we had no borrowings outstanding under the ABL Facility, and an available borrowing capacity under the ABL Facility of approximately $881.4 million (which is subject to customary borrowing conditions, including a borrowing base). We may be able to increase the commitments under the ABL Facility by $250.0 million, subject to certain conditions. We may also be able to increase the capacity under the Term Loan by up to the greater of (x) $480.0 million and (y) 100% of the Consolidated EBITDA (as defined in the Term Loan), plus an additional amount, subject to certain conditions, which borrowings would be secured indebtedness. The addition of new debt to our current debt levels could further exacerbate the related risks to our financial condition that we now face.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generate sufficient cash to service all of our indebtedness, we may be forced to take other actions to fund the satisfaction of our obligations under our indebtedness, which may not be successful.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and the ABL Facility and the indenture governing the Notes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terms of our outstanding indebtedness may restrict our current and future operations, particularly our ability to respond to changes or to take certain actions.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agreements governing the Term Loan and the ABL Facility and the indenture governing the Notes contain restrictive covenants that impose significant operating and financial restrictions on us and may limit our ability to engage in acts that may be in our best interest, including restrictions on our ability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incur additional indebtedness and guarantee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pay dividends or make other distributions in respect of, or repurchase or redeem, capital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prepay, redeem or repurchase certain debt;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make loans, investments and other restricted payments;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sell or otherwise dispose of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incur liens;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alter the businesses we conduct;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enter into agreements restricting our subsidiaries’ ability to pay dividends;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consolidate, merge or sell all or substantially all of our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01675"/>
                <wp:effectExtent l="0" t="0" r="0" b="0"/>
                <wp:wrapNone/>
                <wp:docPr id="37" name="Frame3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at certain times, the ABL Facility requires maintenance of a certain minimum adjusted fixed charge coverage ratio. Our ability to comply with the covenants and restrictions contained in our credit agreements and indenture may be affected by events beyond our control. If market or other economic conditions deteriorate, our ability to comply with these covenants and restrictions may be impaired.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 governing our ABL Facility would permit the lenders under our ABL Facility to terminate all commitments to extend further credit under that facility. Furthermore, if we were unable to repay the amounts due and payable under secured indebtedness, the lenders/holders of such indebtedness could proceed against the collateral granted to them to secure that indebtedness, and we could be forced into bankruptcy or liquidation.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variable rate indebtedness subjects us to interest rate risk, which could cause our debt service obligations to increase significantly.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Term Loan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In the past we have used, and in the future we may again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 (“SOFR”)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or our future debt linked to such a “benchmark” and our ability to service debt that bears interest at floating rates of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the financial institutions that are lenders under the ABL Facility fail to extend credit under the facility or reduce the borrowing base, our liquidity and results of operations may be adversely affected.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(or at all), our liquidity may be adversely affected. In addition, the lenders under the ABL Facility may reduce the borrowing base under the facility in certain circumstances, which could adversely impact our liquidity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new store profitability is partially attributable to our ability to negotiate attractive rental rates with our landlords and, in the future, to secure sale-leaseback financing at attractive cap rates. Our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01675"/>
                <wp:effectExtent l="0" t="0" r="0" b="0"/>
                <wp:wrapNone/>
                <wp:docPr id="38" name="Frame3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successful retail strategy is partially attributable to our ability to negotiate favorable trade terms with our vendors. Our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level of indebtedness could adversely affect the profitability of our business, which could make it more difficult for us to generate cash flow sufficient to satisfy our obligations under our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the Ownership of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may be highly volatile and may be adversely affected due to a number of factors, many of which are beyond our control, including without limitation those listed elsewhere under this “Risk Factors” section, and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results of operations that vary from the expectations of securities analysts and investors;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results of operations that vary from those of our competitors;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expectations as to our future financial performance, including financial estimates and investment recommendations by securities analysts and investors;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economic conditions for companies in our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market valuations of, or earnings and other announcements by, companies in our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declines in the market prices of stocks generally, particularly those of sporting goods and outdoor recreation retail companies;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additions or departures of key management personnel;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strategic actions by us or our competitors;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by us, our competitors, our suppliers of significant contracts, price reductions, new products or technologies, acquisitions, dispositions, joint marketing relationships, joint ventures, other strategic relationships or capital commitments;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preference of our customers and our market share;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general economic or market conditions or trends in our industry or the economy as a whole;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governmental fiscal policy or interest rate regulation;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business or regulatory conditions;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future sales of our common stock or other securities, or the perception that such sales may occur;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investor perceptions of or the investment opportunity associated with our common stock relative to other investment alternatives;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the way we are perceived in the marketplace, including due to negative publicity or campaigns on social media to boycott certain of our products, our business or our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public’s response to press releases or other public announcements by us or third parties, including our filings with the SEC;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or proposed changes in laws or regulations or differing interpretations or enforcement thereof affecting our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relating to litigation or governmental investigations;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guidance, if any, that we provide to the public, any changes in this guidance or our failure to meet this guidance;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development and sustainability of an active trading market for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accounting principles;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other events or factors, including those resulting from informational technology system failures and disruptions, epidemics, pandemics, natural disasters, acts of terrorism, civil unrest, wars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1675"/>
                <wp:effectExtent l="0" t="0" r="0" b="0"/>
                <wp:wrapNone/>
                <wp:docPr id="39" name="Frame3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cannot provide any guaranty of future dividend payments or that we will repurchase our common stock pursuant to our share repurchase program, and our indebtedness could limit our ability to pay future dividends on our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declared and paid our first quarterly cash dividend for the fourth quarter for fiscal 2021 and have paid a quarterly cash dividend consistently thereafter. However, we are not required to declare dividends. Any determination to pay future dividends to holders of our common stock will be at the discretion of our Board of Directors and will depend upon many factors, including our financial condition, results of operations, projections, liquidity, earnings, business strategy, legal requirements, covenant compliance, restrictions in our existing and any future debt agreements and other factors that our Board of Directors deems relevant. Therefore, there can be no assurance that we will pay any dividends to holders of our common stock or as to the amount of any such dividends. In addition, our historical results of operations, including cash flow, are not indicative of future financial performance, and our actual results of operations could differ significantly from our historical results of operations. We have not adopted, and do not currently expect to adopt, a separate written dividend policy. Furthermore, although our Board of Directors has authorized a share repurchase program, the timing, manner, price and amount of any common stock repurchases will be determined by the Company in its discretion and will depend on a variety of factors, including legal requirements, price and economic and market conditions. We are not obligated to make any purchases under the program, and we may discontinue it at any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operations are conducted through our wholly owned subsidiaries and our ability to generate cash to meet our debt service obligations or to make future dividend payments or conduct share repurchases, if any, is highly dependent on the earnings of, and the receipt of funds from, our subsidiaries via dividends or intercompany loans. In addition, Delaware law may impose requirements that may restrict our ability to pay dividends to holders of our common stock or our ability to repurchase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could delay or prevent a change of control.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pStyle w:val="TextBody"/>
        <w:bidi w:val="0"/>
        <w:spacing w:lineRule="auto" w:line="288" w:before="120" w:after="283"/>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provide for, among other things: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classified Board of Directors, as a result of which our Board of Directors is divided into three classes, with each class serving for staggered three-year terms;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Board of Directors to issue one or more series of preferred stock without stockholder approval;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advance notice requirements for nominations of directors by stockholders and for stockholders to include matters to be considered at our annual meetings;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certain limitations on convening special stockholder meetings;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removal of directors only for cause and only upon the affirmative vote of the holders of at least 66 2/3% of the shares of common stock entitled to vote generally in the election of directors;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that certain provisions may be amended only by the affirmative vote of at least 66 2/3% of shares of common stock entitled to vote generally in the election of directors.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01675"/>
                <wp:effectExtent l="0" t="0" r="0" b="0"/>
                <wp:wrapNone/>
                <wp:docPr id="40" name="Frame3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deemed to have waived our compliance with these laws, rules and regulations.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You may be diluted by the future issuance of additional common stock in connection with our incentive plans, acquisitions or otherwise.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approximately 226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New Academy Holding Company, LLC 2011 Unit Incentive Plan (the "2011 Equity Plan"), our 2020 Omnibus Incentive Plan (the "2020 Equity Plan"), and our 2020 Employee Stock Purchase Plan (the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01675"/>
                <wp:effectExtent l="0" t="0" r="0" b="0"/>
                <wp:wrapNone/>
                <wp:docPr id="41" name="Frame4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security of our information systems and data is critical to our business as a retailer, and we devote significant resources to protecting our information systems and data. We continue to invest in people, technology, and processes to protect data and systems against evolving cybersecurity threats. We have implemented a cybersecurity program that we believe is reasonably designed to manage risks from cybersecurity threats, including those that may result in adverse effects on the confidentiality, integrity, and availability of our information systems, and impact the security of information we create, maintain, and process on our information systems. Our program is designed to enable us to prevent, monitor, identify, detect, investigate, respond to, mitigate, and report on cybersecurity threats and incidents.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a cross-functional and multi-management level approach to assessing and managing risks arising from cybersecurity threats. The audit committee of our Board of Directors (the “Audit Committee”) oversees the Company’s enterprise risk management program. As part of this oversight, the Audit Committee has primary responsibility for overseeing risks related to cybersecurity, although the full Board of Directors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(CIO) and our General Counsel at its quarterly meetings on a range of topics, including our cybersecurity program and processes, our information systems, risk identification and mitigation strategies, the evolving cybersecurity threat landscape, regulatory developments, board education, and notable incidents or threats affecting the Company. From time to time between quarterly meetings, our CIO and General Counsel or other members of management may hold additional cybersecurity-related discussions with the Audit Committee. The Audit Committee regularly reports on its cybersecurity program oversight to the Board of Directors.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CIO is the primary executive responsible for leading the Company’s cybersecurity risk management program and has over 20 years of experience in various technology-related roles, including responsibilities related to managing information security, developing cybersecurity strategy, and implementing cybersecurity programs. Our cybersecurity team is responsible for the operations of our cybersecurity program, including implementing, monitoring, and maintaining cybersecurity and data protection solutions and practices across the enterprise. The team is led by our Director of IT Security and Compliance (our “Security Director”), who reports to our CIO. Our Security Director has over 20 years of IT experience and over 12 years of cybersecurity experience, and holds a Master of Science in Cybersecurity and Information Assurance. Our cybersecurity team works with our crisis management team and cybersecurity advisors we may engage to respond to and manage the resolution of cybersecurity incidents. Our CIO, Security Director, and cybersecurity team also work closely with our legal team on various aspects of our cybersecurity program. We also periodically engage assessors, consultants, Payment Card Industry-Data Security Standards (PCI-DSS) auditors, or other third parties to assist with our cybersecurity program. When appropriate, we engage forensic investigators and legal counsel to investigate cybersecurity threats and incidents.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 Security Committee is a management committee chartered to oversee our cybersecurity program. The Cyber Security Committee meets at least quarterly and more frequently as appropriate to review and discuss the Company’s cybersecurity program. Our CIO and Security Director provide reports at each Cyber Security Committee meeting on cybersecurity program matters and initiatives. The Cyber Security Committee reviews any significant cybersecurity threats or incidents reported by the Security Director. The Cyber Security Committee elevates cybersecurity threats and incidents to the Audit Committee, CEO and CFO, Disclosure Committee, and crisis management team, as appropriate. Our Disclosure Committee, a cross-functional group consisting of accounting, legal, finance, investor relations, internal audit, and IT management personnel, is responsible for disclosures concerning material cybersecurity incidents and the Company’s cybersecurity practices.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01675"/>
                <wp:effectExtent l="0" t="0" r="0" b="0"/>
                <wp:wrapNone/>
                <wp:docPr id="42" name="Frame4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is based on the National Institute of Standards and Technology (NIST) Cybersecurity Framework and applies, as appropriate, to the Company’s internal and external information systems, applications, networks, and operations. We conduct scanning, testing, and assessments designed to identify risks from cybersecurity threats, assess controls, and calibrate planning in response to rapidly evolving cybersecurity risks, and use the results from this testing to adjust our cybersecurity program roadmap to mitigate cybersecurity risks as they evolve. Our internal audit team performs audits on various aspects of cybersecurity and reports the results of these audits in its quarterly reports to management, the Cyber Security Committee, and the Audit Committee. Our internal auditors assess the sufficiency of security controls for relevant systems. Leaders from our risk management and internal audit teams administer our enterprise risk management program, which is designed to identify, assess and manage our top enterprise risks, including risks arising from cybersecurity threats.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a risk-based approach to secure access to our networks, systems, and applications by partners and vendors. We have implemented risk assessment processes for partners and vendors receiving access to our environment and data. Our partners and vendors with whom we share information to conduct our business are required to safeguard it by appropriate means, including elevated contractual commitments when appropriate. We provide cybersecurity training to our team members during onboarding and regularly thereafter. We maintain a software vulnerability management program supported by internal personnel and third-party service providers. We deploy technologies to automate and enhance our operational security capabilities. We also use third-party managed security services to augment our cybersecurity team’s capabilities.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Cyber Security Incident Response Plan (the “CSIRP”) to provide a standardized framework for responding to cybersecurity incidents. The CSIRP is a coordinated approach to investigate, contain, mitigate, and document cybersecurity incidents, including reporting and escalating findings as appropriate (including to the crisis management team).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risks from cybersecurity threats, including as a result of any previous cybersecurity incidents, have not materially affected us, including our business strategy, results of operations or financial condition, and we do not believe that such risks are reasonably likely to have such an effect over the long term. However, due to evolving cybersecurity threats, despite our security measures, we may not able to anticipate, prevent, and stop future cybersecurity incidents, including attacks to our information systems and data and those of our partners. Additional information on cybersecurity risks we face is discussed in Item 1A of Part I, “Risk Factors”, which should be read in conjunction with the foregoing.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headquartered at 1800 North Mason Road, Katy, Texas, 77449. The following table sets forth the location, use and size of our corporate and distribution center facilities:</w:t>
      </w:r>
    </w:p>
    <w:tbl>
      <w:tblPr>
        <w:tblW w:w="7479" w:type="dxa"/>
        <w:jc w:val="left"/>
        <w:tblInd w:w="0" w:type="dxa"/>
        <w:tblLayout w:type="fixed"/>
        <w:tblCellMar>
          <w:top w:w="28" w:type="dxa"/>
          <w:left w:w="28" w:type="dxa"/>
          <w:bottom w:w="28" w:type="dxa"/>
          <w:right w:w="28" w:type="dxa"/>
        </w:tblCellMar>
      </w:tblPr>
      <w:tblGrid>
        <w:gridCol w:w="766"/>
        <w:gridCol w:w="673"/>
        <w:gridCol w:w="675"/>
        <w:gridCol w:w="791"/>
        <w:gridCol w:w="791"/>
        <w:gridCol w:w="802"/>
        <w:gridCol w:w="869"/>
        <w:gridCol w:w="869"/>
        <w:gridCol w:w="871"/>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Square Footage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Katy, Texas</w:t>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Building 1</w:t>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Katy, Texas</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Building 2</w:t>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Katy, Texas</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Warehouse</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Katy, Texas</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Center</w:t>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Twiggs County, Georgia</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Center</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(5)</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Cookeville, Tennessee</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Center</w:t>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(6)</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Kowloon, Hong Kong</w:t>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Sourcing Office</w:t>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8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(7)</w:t>
            </w:r>
          </w:p>
        </w:tc>
      </w:tr>
    </w:tbl>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20 year lease entered in 2007. </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 20 year lease entered in 2015.</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15 year lease entered in 2012. </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(4) 20 year lease entered in 2007. Five year extension to original term entered in 2020.</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(5) 20 year lease entered in 2012. Five year lease extension to original term entered in 2020.</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(6) 20 year lease entered in 2016. Three year lease extension to original term entered in 2020.</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(7) Three year lease entered in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lease all but one of our stores. Our initial store lease terms are typically 15 to 20 years with various renewal options and lease escalation structures. We believe that all of our leases are entered into at then-prevailing market lease rates. As of February 3, 2024, our combined leased and owned store square footage was approximately 19.7 million square feet.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01675"/>
                <wp:effectExtent l="0" t="0" r="0" b="0"/>
                <wp:wrapNone/>
                <wp:docPr id="43" name="Frame4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In May and December 2023, U.S. Customs and Border Protection ("CBP") notified us that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anticipate that this matter will be resolved without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settled a legal matter pertaining to the overcharge of interchange feeds with certain financial institutions for prior periods dating back to 2004.  In connection with this settlement, we recognized a net gain of approximately $15.9 million in Other (income), net on the Consolidated Statements of Income, when the gain became realizable.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party to any other legal proceedings that we believe would have a material adverse effect on our financial position, results of operations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01675"/>
                <wp:effectExtent l="0" t="0" r="0" b="0"/>
                <wp:wrapNone/>
                <wp:docPr id="44" name="Frame4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Academy's common stock began trading on the Nasdaq Stock Market LLC, or Nasdaq, under the symbol "ASO" on October 2, 2020. Prior to that date, there was no public market for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Performance Graph</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 The graph below presents the Company’s cumulative total stockholder returns relative to the performance of the Nasdaq US Benchmark Retail Index and the Russell 3000 Index commencing October 2, 2020 (the Company’s initial day of trading) through February 2, 2024. All values assume a $100 initial investment at the opening price of the Company’s common stock on Nasdaq and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pStyle w:val="TextBody"/>
        <w:bidi w:val="0"/>
        <w:spacing w:before="120" w:after="283"/>
        <w:jc w:val="both"/>
        <w:rPr/>
      </w:pPr>
      <w:r>
        <w:rPr/>
        <w:drawing>
          <wp:inline distT="0" distB="0" distL="0" distR="0">
            <wp:extent cx="6477000" cy="3609975"/>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3"/>
                    <a:stretch>
                      <a:fillRect/>
                    </a:stretch>
                  </pic:blipFill>
                  <pic:spPr bwMode="auto">
                    <a:xfrm>
                      <a:off x="0" y="0"/>
                      <a:ext cx="6477000" cy="36099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01675"/>
                <wp:effectExtent l="0" t="0" r="0" b="0"/>
                <wp:wrapNone/>
                <wp:docPr id="46" name="Frame4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repurchases and cancellations of our common stock during the fourth quarter of 2023:</w:t>
      </w:r>
    </w:p>
    <w:tbl>
      <w:tblPr>
        <w:tblW w:w="10205" w:type="dxa"/>
        <w:jc w:val="left"/>
        <w:tblInd w:w="0" w:type="dxa"/>
        <w:tblLayout w:type="fixed"/>
        <w:tblCellMar>
          <w:top w:w="28" w:type="dxa"/>
          <w:left w:w="28" w:type="dxa"/>
          <w:bottom w:w="28" w:type="dxa"/>
          <w:right w:w="28" w:type="dxa"/>
        </w:tblCellMar>
      </w:tblPr>
      <w:tblGrid>
        <w:gridCol w:w="514"/>
        <w:gridCol w:w="452"/>
        <w:gridCol w:w="458"/>
        <w:gridCol w:w="109"/>
        <w:gridCol w:w="109"/>
        <w:gridCol w:w="109"/>
        <w:gridCol w:w="519"/>
        <w:gridCol w:w="469"/>
        <w:gridCol w:w="470"/>
        <w:gridCol w:w="109"/>
        <w:gridCol w:w="109"/>
        <w:gridCol w:w="109"/>
        <w:gridCol w:w="278"/>
        <w:gridCol w:w="814"/>
        <w:gridCol w:w="144"/>
        <w:gridCol w:w="109"/>
        <w:gridCol w:w="109"/>
        <w:gridCol w:w="109"/>
        <w:gridCol w:w="750"/>
        <w:gridCol w:w="733"/>
        <w:gridCol w:w="735"/>
        <w:gridCol w:w="109"/>
        <w:gridCol w:w="109"/>
        <w:gridCol w:w="109"/>
        <w:gridCol w:w="347"/>
        <w:gridCol w:w="1953"/>
        <w:gridCol w:w="261"/>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 Value of Shares that May Yet be Purchased Under the Plans or Programs (b)</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29, 2023 to November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99,411,688 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26, 2023 to December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699,411,688 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 to February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696,688,936 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43,526 </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43,526 </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696,688,936 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 The total number of shares purchased excludes shares which were net-settled, and therefore not issued, to cover employee withholding related to the vesting of certain restricted stock awards and exercise of certain stock option awards.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(b) 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of the Company authorized a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As of February 3, 2024, approximately $696.7 million remained available for share repurchases pursuant to the Share Repurchase Programs (see Note 2 to the accompanying financial statements). The Share Repurchase Programs do not obligate the Company to acquire any particular number of common shares, and the programs may be suspended, extended, modified or discontinued at any time.</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Holders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14, 2024, there were 12 holders of record of ASO, Inc.'s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the Company issued a press release announcing that the Board of Directors declared a quarterly cash dividend with respect to the quarter ended February 3, 2024 of $0.11 per share of common stock, payable on April 18, 2024, to stockholders of record as of the close of business on March 26, 2024. The declaration, timing, amount and payment of any future cash dividends will be subject to the discretion and approval of the Board of Directors, taking into account such considerations as the Board of Directors may deem relevant at the time, including, among others, the Company’s results, financial condition and capital allocation plans.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01675"/>
                <wp:effectExtent l="0" t="0" r="0" b="0"/>
                <wp:wrapNone/>
                <wp:docPr id="47" name="Frame4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together with our consolidated financial statements and related notes included elsewhere in this Annual Report for the fiscal year ended February 3, 2024 (this "Annual Report").</w:t>
      </w:r>
    </w:p>
    <w:p>
      <w:pPr>
        <w:pStyle w:val="TextBody"/>
        <w:bidi w:val="0"/>
        <w:spacing w:lineRule="auto" w:line="288" w:before="120" w:after="283"/>
        <w:ind w:left="0" w:right="0" w:firstLine="324"/>
        <w:jc w:val="both"/>
        <w:rPr>
          <w:rFonts w:ascii="Times New Roman;sans-serif" w:hAnsi="Times New Roman;sans-serif"/>
          <w:b w:val="false"/>
          <w:i/>
          <w:color w:val="000000"/>
          <w:sz w:val="20"/>
        </w:rPr>
      </w:pPr>
      <w:r>
        <w:rPr>
          <w:rFonts w:ascii="Times New Roman;sans-serif" w:hAnsi="Times New Roman;sans-serif"/>
          <w:b w:val="false"/>
          <w:i/>
          <w:color w:val="000000"/>
          <w:sz w:val="20"/>
        </w:rPr>
        <w:t>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pStyle w:val="TextBody"/>
        <w:bidi w:val="0"/>
        <w:spacing w:lineRule="auto" w:line="288" w:before="120" w:after="283"/>
        <w:ind w:left="0" w:right="0" w:firstLine="324"/>
        <w:jc w:val="both"/>
        <w:rPr>
          <w:rFonts w:ascii="Times New Roman;sans-serif" w:hAnsi="Times New Roman;sans-serif"/>
          <w:b w:val="false"/>
          <w:i/>
          <w:color w:val="000000"/>
          <w:sz w:val="20"/>
        </w:rPr>
      </w:pPr>
      <w:r>
        <w:rPr>
          <w:rFonts w:ascii="Times New Roman;sans-serif" w:hAnsi="Times New Roman;sans-serif"/>
          <w:b w:val="false"/>
          <w:i/>
          <w:color w:val="000000"/>
          <w:sz w:val="20"/>
        </w:rPr>
        <w:t>Any reference in this Annual Report to "year" or any year in particular refers to our fiscal year, which represents the fifty-two or fifty-three week period ending on the Saturday closest to January 31. Unless otherwise specified, all comparisons or changes regarding 2023 are made to 2022.</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references in this discussion and analysis to "2023", "2022" and "2021" or like terms relate to our fiscal years as follows:</w:t>
      </w:r>
    </w:p>
    <w:tbl>
      <w:tblPr>
        <w:tblW w:w="3954" w:type="dxa"/>
        <w:jc w:val="left"/>
        <w:tblInd w:w="0" w:type="dxa"/>
        <w:tblLayout w:type="fixed"/>
        <w:tblCellMar>
          <w:top w:w="28" w:type="dxa"/>
          <w:left w:w="28" w:type="dxa"/>
          <w:bottom w:w="28" w:type="dxa"/>
          <w:right w:w="28" w:type="dxa"/>
        </w:tblCellMar>
      </w:tblPr>
      <w:tblGrid>
        <w:gridCol w:w="396"/>
        <w:gridCol w:w="349"/>
        <w:gridCol w:w="350"/>
        <w:gridCol w:w="109"/>
        <w:gridCol w:w="109"/>
        <w:gridCol w:w="109"/>
        <w:gridCol w:w="497"/>
        <w:gridCol w:w="497"/>
        <w:gridCol w:w="505"/>
        <w:gridCol w:w="109"/>
        <w:gridCol w:w="109"/>
        <w:gridCol w:w="109"/>
        <w:gridCol w:w="206"/>
        <w:gridCol w:w="206"/>
        <w:gridCol w:w="294"/>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Weeks</w:t>
            </w:r>
          </w:p>
        </w:tc>
      </w:tr>
      <w:tr>
        <w:trPr/>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outdoors, apparel, sports &amp; recreation and footwear (representing 28%, 28%, 24% and 20% of our 2023 net sales, respectively) through both leading national brands and a portfolio of private label brands, which go well beyond traditional sporting goods and apparel offerings.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operated 282 stores that range in size from approximately 40,000 to 130,000 gross square feet, with an average size of approximately 70,000 gross square feet, throughout 18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pStyle w:val="TextBody"/>
        <w:bidi w:val="0"/>
        <w:spacing w:before="18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01675"/>
                <wp:effectExtent l="0" t="0" r="0" b="0"/>
                <wp:wrapNone/>
                <wp:docPr id="48" name="Frame4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store activity for the periods indicated:</w:t>
      </w:r>
    </w:p>
    <w:tbl>
      <w:tblPr>
        <w:tblW w:w="7290"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524"/>
        <w:gridCol w:w="524"/>
        <w:gridCol w:w="526"/>
        <w:gridCol w:w="111"/>
        <w:gridCol w:w="111"/>
        <w:gridCol w:w="111"/>
        <w:gridCol w:w="529"/>
        <w:gridCol w:w="529"/>
        <w:gridCol w:w="531"/>
        <w:gridCol w:w="111"/>
        <w:gridCol w:w="111"/>
        <w:gridCol w:w="111"/>
        <w:gridCol w:w="478"/>
        <w:gridCol w:w="478"/>
        <w:gridCol w:w="678"/>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Q1 new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Q2 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Q3 new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Q4 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Relocated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How We Assess the Performance of Our Business and Recent Trends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Comparable Sales. </w:t>
      </w:r>
      <w:r>
        <w:rPr>
          <w:rFonts w:ascii="Times New Roman;sans-serif" w:hAnsi="Times New Roman;sans-serif"/>
          <w:b w:val="false"/>
          <w:color w:val="000000"/>
          <w:sz w:val="20"/>
        </w:rPr>
        <w:t xml:space="preserve">We define comparable sales as the percentage of period-over-period net sales increase or decrease, in the aggregate, for stores open after thirteen full fiscal months, as well as for all e-commerce sales. There may be variations in the way in which some of our competitors and other retailers calculate comparable sales. As a result, data in this Annual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comparable sales metric for 2023 (53 week fiscal year) compares the 52 weeks ended January 27, 2024, against the 52 weeks ended January 28, 2023 (52 week fiscal year). The 2023 53rd week ended February 3, 2024, is not included in comparable sales for 2023. Merchandise net sales for the 2023 53rd week ended February 3, 2024, were $73.3 million. We have seen significant comparable sales fluctuations in recent years from increases of 16.1% and 18.9% in 2020 and 2021, respectively, followed by decreases of 6.4% and 6.5% in 2022 and 2023, respectively. See the discussion on Net Sales below for some contributing factors to the recent changes.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pPr>
      <w:r>
        <w:rPr>
          <w:rFonts w:ascii="Times New Roman;sans-serif" w:hAnsi="Times New Roman;sans-serif"/>
          <w:b/>
          <w:i/>
          <w:color w:val="000000"/>
          <w:sz w:val="20"/>
        </w:rPr>
        <w:t>Transactions and average ticket.</w:t>
      </w:r>
      <w:r>
        <w:rPr>
          <w:color w:val="000000"/>
        </w:rPr>
        <w:t xml:space="preserve"> </w:t>
      </w:r>
      <w:r>
        <w:rPr>
          <w:rFonts w:ascii="Times New Roman;sans-serif" w:hAnsi="Times New Roman;sans-serif"/>
          <w:b w:val="false"/>
          <w:color w:val="000000"/>
          <w:sz w:val="20"/>
        </w:rPr>
        <w:t>We define transactions as the number of customer transactions for stores and e-commerce during a given period on a 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01675"/>
                <wp:effectExtent l="0" t="0" r="0" b="0"/>
                <wp:wrapNone/>
                <wp:docPr id="49" name="Frame4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Adjusted EBITDA, Adjusted EBIT, Adjusted Net Income, Adjusted Earnings per Share and Adjusted Free Cash Flow. </w:t>
      </w:r>
      <w:r>
        <w:rPr>
          <w:rFonts w:ascii="Times New Roman;sans-serif" w:hAnsi="Times New Roman;sans-serif"/>
          <w:b w:val="false"/>
          <w:color w:val="000000"/>
          <w:sz w:val="20"/>
        </w:rPr>
        <w:t>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Components of Our Results of Operations. </w:t>
      </w:r>
      <w:r>
        <w:rPr>
          <w:rFonts w:ascii="Times New Roman;sans-serif" w:hAnsi="Times New Roman;sans-serif"/>
          <w:b w:val="false"/>
          <w:color w:val="000000"/>
          <w:sz w:val="20"/>
        </w:rPr>
        <w:t>Our profitability is primarily influenced by fluctuations in net sales, gross margin and our ability to leverage selling, general and administrative expenses.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Net Sales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Net sales are derived from in-store and e-commerce merchandise sales, net of sales tax and an allowance for merchandise returns.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shd w:fill="FFFFFF" w:val="clear"/>
        </w:rPr>
        <w:t>Our broad assortment gives us an advantage over mass general merchants who typically do not carry the leading national brands sold at Academy.</w:t>
      </w:r>
      <w:r>
        <w:rPr>
          <w:color w:val="000000"/>
        </w:rPr>
        <w:t xml:space="preserve"> </w:t>
      </w:r>
      <w:r>
        <w:rPr>
          <w:rFonts w:ascii="Times New Roman;sans-serif" w:hAnsi="Times New Roman;sans-serif"/>
          <w:b w:val="false"/>
          <w:color w:val="000000"/>
          <w:sz w:val="20"/>
          <w:shd w:fill="FFFFFF" w:val="clear"/>
        </w:rPr>
        <w:t>We have also continued to add private label brand products to our assortment of products, which we generally price lower than the national brand products of comparable quality that we also offer.</w:t>
      </w:r>
      <w:r>
        <w:rPr>
          <w:color w:val="000000"/>
        </w:rPr>
        <w:t xml:space="preserve"> </w:t>
      </w:r>
      <w:r>
        <w:rPr>
          <w:rFonts w:ascii="Times New Roman;sans-serif" w:hAnsi="Times New Roman;sans-serif"/>
          <w:b w:val="false"/>
          <w:color w:val="000000"/>
          <w:sz w:val="20"/>
          <w:shd w:fill="FFFFFF" w:val="clear"/>
        </w:rPr>
        <w:t xml:space="preserve">A shift in our sales mix in which we sell more units of our private label brand products and fewer units of the national brand products would generally have a positive impact on our gross margin but an adverse impact on our total net sales. </w:t>
      </w:r>
      <w:r>
        <w:rPr>
          <w:rFonts w:ascii="Times New Roman;sans-serif" w:hAnsi="Times New Roman;sans-serif"/>
          <w:b w:val="false"/>
          <w:color w:val="000000"/>
          <w:sz w:val="20"/>
        </w:rPr>
        <w:t>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In recent years, we have experienced higher sales related to the outdoors and sports and recreation merchandise divisions, as our customers turned to us for isolated recreation and outdoor and leisure activities during the pandemic. As our business has normalized, we have experienced a shift in our sales mix from the outdoors and sports and recreation merchandise divisions to the footwear and apparel merchandise divisions, which has generally had a positive impact on our gross margin rate.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which focus on customer segmentation with the intention of improving customer identification and increasing customer engagement. Additionally, we recently implemented several innovative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2023,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01675"/>
                <wp:effectExtent l="0" t="0" r="0" b="0"/>
                <wp:wrapNone/>
                <wp:docPr id="50" name="Frame4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new stores will be a key driver of growth in our net sales and gross margin in the future as we execute our new store opening growth plans.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2023 we opened 14 new stores. We believe our real estate strategy has positioned us well for further expansion.</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Gross Margin. </w:t>
      </w:r>
      <w:r>
        <w:rPr>
          <w:rFonts w:ascii="Times New Roman;sans-serif" w:hAnsi="Times New Roman;sans-serif"/>
          <w:b w:val="false"/>
          <w:color w:val="000000"/>
          <w:sz w:val="20"/>
        </w:rPr>
        <w:t>Gross margin is our net sales less cost of goods sold. Our cost of goods sold includes the direct cost of merchandise and costs related to procurement, warehousing and distribution, which consist primarily of payroll and benefits, distribution center occupancy costs and freight and are generally variable in nature relative to our sales volume.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depends on a number of factors, such as net sales increases or decreases, our promotional activities, product mix including private label brand merchandise sales, and our ability to control cost of goods sold, such as inventory and logistics cost management. Our gross margin is also impacted by variables including commodity costs, freight costs, shrinkage (discussed below) and inventory processing costs and e-commerce shipping costs. We track and measure gross margin as a percentage of net sales in order to evaluate our performance against profitability targets.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we began to see increased competition across the industry for resources throughout a constrained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loss or theft of inventory as "shrinkage" or "shrink". Over recent years, the United States retail industry, including Academy, has experienced a significant increase in inventory shrink, which has resulted in a negative impact to our gross margins. A prolonged period of significant increased shrink could have a material negative impact on our gross margin and results of operations.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Selling, General and Administrative Expenses. </w:t>
      </w:r>
      <w:r>
        <w:rPr>
          <w:rFonts w:ascii="Times New Roman;sans-serif" w:hAnsi="Times New Roman;sans-serif"/>
          <w:b w:val="false"/>
          <w:color w:val="000000"/>
          <w:sz w:val="20"/>
        </w:rPr>
        <w:t>Selling, general and administrative ("SG&amp;A") expenses include store and corporate administrative 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21.4% in 2022 to 23.3% in 2023. The majority of the increase in SG&amp;A from the prior year was driven by investments in our growth initiatives, including costs related to new stores (such as additional property and facility fees, employee compensation costs and advertising costs).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tbl>
      <w:tblPr>
        <w:tblW w:w="8718"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447"/>
        <w:gridCol w:w="894"/>
        <w:gridCol w:w="233"/>
        <w:gridCol w:w="109"/>
        <w:gridCol w:w="109"/>
        <w:gridCol w:w="109"/>
        <w:gridCol w:w="462"/>
        <w:gridCol w:w="887"/>
        <w:gridCol w:w="240"/>
        <w:gridCol w:w="109"/>
        <w:gridCol w:w="109"/>
        <w:gridCol w:w="109"/>
        <w:gridCol w:w="447"/>
        <w:gridCol w:w="860"/>
        <w:gridCol w:w="328"/>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new stores opened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Interest Expense. </w:t>
      </w:r>
      <w:r>
        <w:rPr>
          <w:rFonts w:ascii="Times New Roman;sans-serif" w:hAnsi="Times New Roman;sans-serif"/>
          <w:b w:val="false"/>
          <w:color w:val="000000"/>
          <w:sz w:val="20"/>
        </w:rPr>
        <w:t>Interest expense includes regular interest payable related to our Term Loan, Notes and ABL Facility (see Note 4 to the accompanying financial statements) and the amortization of our deferred loan costs and original issuance discounts associated with the acquisition of the debt. In May of 2021, we entered into an amendment to our Term Loan which reduced the applicable margin on our LIBOR rate by 1.25%, and paid down $99 million. In December of 2022, we utilized cash on hand to voluntarily prepay $100 million of outstanding borrowings on our Term Loan. However, this prepayment in principal on our Term Loan was largely offset by increases made by the Federal Reserve to the federal funds benchmark rate during 2022 and 2023, resulting in a small decrease in interest expense in 2023 compared to 2022. In February of 2024, we made an additional prepayment of $100 million on our Term Loan, which we anticipate will result in decreased interest expense in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01675"/>
                <wp:effectExtent l="0" t="0" r="0" b="0"/>
                <wp:wrapNone/>
                <wp:docPr id="51" name="Frame4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ASO, Inc. is treated as a U.S. corporation for U.S. federal, state, and local income tax purposes and accordingly, a provision for income taxes has been recorded for the anticipated tax consequences of our reported results of operations for federal, state and local income taxes. Recent fluctuations in income tax expense have been primarily as a result of changes in income before income taxes.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regarding Results of Operations and Analysis of Financial Condition for the fiscal year ended January 28, 2023, as compared to the fiscal year ended January 29, 2022, is included in “Part II – Item 7. Management’s Discussion and Analysis of Financial Condition and Results of Operations” to our Annual Report on Form 10-K for the fiscal year ended January 28,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(53 weeks) Compared to 2022 (52 weeks)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amounts and information derived from our consolidated statements of income for the periods indicated as follows (dollar amounts in thousands):</w:t>
      </w:r>
    </w:p>
    <w:tbl>
      <w:tblPr>
        <w:tblW w:w="10205" w:type="dxa"/>
        <w:jc w:val="left"/>
        <w:tblInd w:w="0" w:type="dxa"/>
        <w:tblLayout w:type="fixed"/>
        <w:tblCellMar>
          <w:top w:w="28" w:type="dxa"/>
          <w:left w:w="28" w:type="dxa"/>
          <w:bottom w:w="28" w:type="dxa"/>
          <w:right w:w="28" w:type="dxa"/>
        </w:tblCellMar>
      </w:tblPr>
      <w:tblGrid>
        <w:gridCol w:w="700"/>
        <w:gridCol w:w="613"/>
        <w:gridCol w:w="326"/>
        <w:gridCol w:w="109"/>
        <w:gridCol w:w="109"/>
        <w:gridCol w:w="109"/>
        <w:gridCol w:w="211"/>
        <w:gridCol w:w="991"/>
        <w:gridCol w:w="109"/>
        <w:gridCol w:w="109"/>
        <w:gridCol w:w="109"/>
        <w:gridCol w:w="109"/>
        <w:gridCol w:w="315"/>
        <w:gridCol w:w="316"/>
        <w:gridCol w:w="301"/>
        <w:gridCol w:w="109"/>
        <w:gridCol w:w="109"/>
        <w:gridCol w:w="109"/>
        <w:gridCol w:w="211"/>
        <w:gridCol w:w="976"/>
        <w:gridCol w:w="109"/>
        <w:gridCol w:w="109"/>
        <w:gridCol w:w="109"/>
        <w:gridCol w:w="109"/>
        <w:gridCol w:w="308"/>
        <w:gridCol w:w="308"/>
        <w:gridCol w:w="271"/>
        <w:gridCol w:w="109"/>
        <w:gridCol w:w="109"/>
        <w:gridCol w:w="109"/>
        <w:gridCol w:w="211"/>
        <w:gridCol w:w="849"/>
        <w:gridCol w:w="109"/>
        <w:gridCol w:w="109"/>
        <w:gridCol w:w="109"/>
        <w:gridCol w:w="109"/>
        <w:gridCol w:w="266"/>
        <w:gridCol w:w="268"/>
        <w:gridCol w:w="475"/>
      </w:tblGrid>
      <w:tr>
        <w:trPr/>
        <w:tc>
          <w:tcPr>
            <w:tcW w:w="7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6,159,291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4,049,080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2,110,211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1,432,356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677,855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retirement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663,156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Percentages in table may not sum properly due to rounding.</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Net Sales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Net sales decreased $235.8 million, or 3.7%, in 2023 over the prior year as a result of decreased comparable sales of 6.5%, which were partially offset by additional net sales generated by new locations. As of the end of 2023, we operated 14 additional stores as compared to the end of 2022, and the full benefit of nine stores opened during 2022. Collectively, these stores accounted for a $113.5 million increase in net sales for 2023, which does not include e-commerce sales fulfilled from these locations. Additionally, merchandise net sales from the 53rd week, which is not included in comparable sales for 2023, increased net sales by $73.3 million in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of 6.5% in comparable sales was driven by lower sales across all merchandise divisions as a result of fewer transactions of 7.0%, partially offset by an increase in average ticket of 0.5%. The outdoors merchandise division sales declines were primarily as a result of the hunting category, driven by decreases in firearms and ammunition sales over the prior year. The apparel division sales decreased due to lower sales in athletic and outdoor apparel. The footwear merchandise division sales decreased due to lower sales in the athletic footwear and work footwear categories, partially offset by increased sales in the casual and seasonal footwear categories. The sports and recreation merchandise division decrease was a result of decreased sales in fitness equipment and bikes.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E-commerce sales represented 10.7% of merchandise sales for 2023 and 2022.</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01675"/>
                <wp:effectExtent l="0" t="0" r="0" b="0"/>
                <wp:wrapNone/>
                <wp:docPr id="52" name="Frame5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Gross Margin.</w:t>
      </w:r>
      <w:r>
        <w:rPr>
          <w:color w:val="000000"/>
        </w:rPr>
        <w:t xml:space="preserve"> </w:t>
      </w:r>
      <w:r>
        <w:rPr>
          <w:rFonts w:ascii="Times New Roman;sans-serif" w:hAnsi="Times New Roman;sans-serif"/>
          <w:b w:val="false"/>
          <w:color w:val="000000"/>
          <w:sz w:val="20"/>
        </w:rPr>
        <w:t>Gross margin for 2023 decreased $102.3 million, or 4.6%, when compared to 2022. Our gross margin, as a percentage of net sales, was 34.3% in 2023 compared to 34.6% in 2022, a decrease of 30 basis points. This decrease is primarily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57 basis points of unfavorability in merchandise margin as a result of increased planned promotional activity compared to the prior year;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41 basis points of unfavorability as a result of increased inventory shrink;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21 basis points of unfavorability in inventory overhead expenditures as a result of higher absorption rates from slower inventory turnover; 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73 basis points of favorability in import and domestic freight due to lower freight costs per unit.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expenses increased $66.4 million, or 4.9%, to $1,432.4 million in 2023 from $1,366.0 million in 2022. As a percentage of net sales, SG&amp;A expenses increased 1.9% to 23.3% in 2023 compared to 21.4% in 2022. The increase of 190 basis points is partially attributable to deleverage from decreased sales. SG&amp;A costs also increased $66.4 million primarily as a result of:</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Property and facility fees increase of $34.7 million primarily due to investments in long-term growth initiatives, which includes the addition of 14 new stores since the end of the prior year and increased technology expense;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Employee compensation costs increased $22.7 million primarily due to increased wages expense over the prior year, partially attributable to the addition of new stores;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Advertising spend increase of $9.4 million.</w:t>
      </w:r>
    </w:p>
    <w:p>
      <w:pPr>
        <w:pStyle w:val="TextBody"/>
        <w:bidi w:val="0"/>
        <w:spacing w:lineRule="auto" w:line="288" w:before="220" w:after="283"/>
        <w:ind w:left="0" w:right="0" w:firstLine="360"/>
        <w:jc w:val="both"/>
        <w:rPr/>
      </w:pPr>
      <w:r>
        <w:rPr>
          <w:rFonts w:ascii="Times New Roman;sans-serif" w:hAnsi="Times New Roman;sans-serif"/>
          <w:b/>
          <w:i/>
          <w:color w:val="000000"/>
          <w:sz w:val="20"/>
        </w:rPr>
        <w:t xml:space="preserve">Loss on early retirement of debt. </w:t>
      </w:r>
      <w:r>
        <w:rPr>
          <w:rFonts w:ascii="Times New Roman;sans-serif" w:hAnsi="Times New Roman;sans-serif"/>
          <w:b w:val="false"/>
          <w:color w:val="000000"/>
          <w:sz w:val="20"/>
        </w:rPr>
        <w:t xml:space="preserve">We utilized cash on hand to voluntarily prepay $100 million of outstanding borrowings under the Term Loan in February of 2024. In December of 2022, we also voluntarily prepaid $100 million of outstanding borrowings under the Term Loan. These prepayments resulted in losses on early retirement of debt of $1.5 million and $2.0 million for 2023 and 2022, respectively. </w:t>
      </w:r>
    </w:p>
    <w:p>
      <w:pPr>
        <w:pStyle w:val="TextBody"/>
        <w:bidi w:val="0"/>
        <w:spacing w:lineRule="auto" w:line="288" w:before="200" w:after="283"/>
        <w:ind w:left="0" w:right="0" w:firstLine="360"/>
        <w:jc w:val="both"/>
        <w:rPr/>
      </w:pPr>
      <w:r>
        <w:rPr>
          <w:rFonts w:ascii="Times New Roman;sans-serif" w:hAnsi="Times New Roman;sans-serif"/>
          <w:b/>
          <w:i/>
          <w:color w:val="000000"/>
          <w:sz w:val="20"/>
        </w:rPr>
        <w:t>Interest Expense.</w:t>
      </w:r>
      <w:r>
        <w:rPr>
          <w:color w:val="000000"/>
        </w:rPr>
        <w:t xml:space="preserve"> </w:t>
      </w:r>
      <w:r>
        <w:rPr>
          <w:rFonts w:ascii="Times New Roman;sans-serif" w:hAnsi="Times New Roman;sans-serif"/>
          <w:b w:val="false"/>
          <w:color w:val="000000"/>
          <w:sz w:val="20"/>
        </w:rPr>
        <w:t>Interest expense decreased $0.4 million, or 0.8%, to $46.1 million in 2023 from $46.4 million in 2022 resulting primarily from higher capitalized interest due to increased construction of new stores and a lower outstanding balance on our long-term debt, driven by a voluntary prepayment of $100.0 million made in December 2022, partially offset by an increase in interest rates on our Term Loan.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Other (Income), net. </w:t>
      </w:r>
      <w:r>
        <w:rPr>
          <w:rFonts w:ascii="Times New Roman;sans-serif" w:hAnsi="Times New Roman;sans-serif"/>
          <w:b w:val="false"/>
          <w:color w:val="000000"/>
          <w:sz w:val="20"/>
        </w:rPr>
        <w:t>Other income increased $12.7 million in 2023, primarily driven by the recognition of a $15.9 million gain pertaining to the settlement of a credit card company litigation matter, which occurred in the fourth quarter of 2023, and higher interest rates on money market investments in the current year, both of which were partially offset by the receipt of $7.2 million in business interruption insurance proceeds relative to a winter storm in 2022 and $3.7 million in proceeds relative to a sale in which we factored rights to pursue a legal matter pertaining to the overpayment of certain tariffs.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Income tax expense decreased $46.4 million to $144.0 million in 2023 as compared to $190.3 million in 2022, resulting primarily from a decrease in pre-tax income. ASO, Inc.'s effective tax rate for 2023 was 21.7% compared to 23.3% in 2022. The decrease in effective tax rate was largely driven by the inclusion of certain research and development tax credits relative to 2022 and 2023 in the current year results, as well as increased permanent adjustments resulting from the vesting of a higher number of stock compensation awards during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01675"/>
                <wp:effectExtent l="0" t="0" r="0" b="0"/>
                <wp:wrapNone/>
                <wp:docPr id="53" name="Frame5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Non-GAAP Measures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Adjusted EBIT, Adjusted Net Income, Adjusted Earnings per Share and Adjusted Free Cash Flow, as shown below, have been presented in this Annual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pStyle w:val="TextBody"/>
        <w:bidi w:val="0"/>
        <w:spacing w:before="0" w:after="0"/>
        <w:ind w:left="0" w:right="0" w:firstLine="360"/>
        <w:jc w:val="both"/>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01675"/>
                <wp:effectExtent l="0" t="0" r="0" b="0"/>
                <wp:wrapNone/>
                <wp:docPr id="54" name="Frame5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costs or cash outlays for capital expenditures or contractual commitments;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and Adjusted EBIT do not reflect period to period changes in taxes, income tax expense or the cash necessary to pay income taxes;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the impact of earnings or charges resulting from matters we consider not to be indicative of our ongoing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Adjusted EBITDA and Adjusted Free Cash Flow do not reflect cash requirements for such replacements;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other companies in our industry may calculate these measures differently than we do, limiting their usefulness as comparative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01675"/>
                <wp:effectExtent l="0" t="0" r="0" b="0"/>
                <wp:wrapNone/>
                <wp:docPr id="55" name="Frame5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Adjusted EBITDA and Adjusted EBIT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reconciliations of net income to Adjusted EBITDA and to Adjusted EBIT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463"/>
        <w:gridCol w:w="337"/>
        <w:gridCol w:w="263"/>
        <w:gridCol w:w="545"/>
        <w:gridCol w:w="545"/>
        <w:gridCol w:w="560"/>
        <w:gridCol w:w="160"/>
        <w:gridCol w:w="160"/>
        <w:gridCol w:w="160"/>
        <w:gridCol w:w="354"/>
        <w:gridCol w:w="1413"/>
        <w:gridCol w:w="182"/>
        <w:gridCol w:w="160"/>
        <w:gridCol w:w="160"/>
        <w:gridCol w:w="160"/>
        <w:gridCol w:w="357"/>
        <w:gridCol w:w="1403"/>
        <w:gridCol w:w="184"/>
        <w:gridCol w:w="160"/>
        <w:gridCol w:w="160"/>
        <w:gridCol w:w="160"/>
        <w:gridCol w:w="337"/>
        <w:gridCol w:w="1562"/>
        <w:gridCol w:w="260"/>
      </w:tblGrid>
      <w:tr>
        <w:trPr/>
        <w:tc>
          <w:tcPr>
            <w:tcW w:w="46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7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27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46,051</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143,966</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188,159 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110,936</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(b)</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24,377</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retirement of debt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1,525</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associated with the 2021 Vesting Event (c)</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846,045</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994,661 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1,073,842 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(110,936)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(105,274)</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735,109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887,899 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968,568 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9142"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Net income for the year ended February 3, 2024, includes a $15.9 million net gain relative to a credit card fee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and are disclosed within Note 2 of the accompanying financial statements.</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9142"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non-cash charges related to equity based compensation, which vary from period to period depending on certain factors such as the 2021 Vesting Event (see Note 1 to the accompanying financial statements), timing and valuation of awards, achievement of performance targets and equity award forfeitures.</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9142"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cash expenses related to taxes on equity-based compensation resulting from the 2021 Vesting Event.</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9142"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Other adjustments include (representing deductions or additions to Adjusted EBITDA and Adjusted EBIT) amounts that management believes are not representative of our operating performance, including installation costs for energy savings associated with our profitability initiatives.</w:t>
            </w:r>
          </w:p>
        </w:tc>
      </w:tr>
    </w:tbl>
    <w:p>
      <w:pPr>
        <w:pStyle w:val="TextBody"/>
        <w:bidi w:val="0"/>
        <w:spacing w:before="180" w:after="283"/>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01675"/>
                <wp:effectExtent l="0" t="0" r="0" b="0"/>
                <wp:wrapNone/>
                <wp:docPr id="56" name="Frame5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Income and Adjusted Earnings per Share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Net Income and Adjusted Earnings per Share for the periods presented (amounts in thousands, except per share data):</w:t>
      </w:r>
    </w:p>
    <w:tbl>
      <w:tblPr>
        <w:tblW w:w="10205" w:type="dxa"/>
        <w:jc w:val="left"/>
        <w:tblInd w:w="0" w:type="dxa"/>
        <w:tblLayout w:type="fixed"/>
        <w:tblCellMar>
          <w:top w:w="28" w:type="dxa"/>
          <w:left w:w="28" w:type="dxa"/>
          <w:bottom w:w="28" w:type="dxa"/>
          <w:right w:w="28" w:type="dxa"/>
        </w:tblCellMar>
      </w:tblPr>
      <w:tblGrid>
        <w:gridCol w:w="283"/>
        <w:gridCol w:w="247"/>
        <w:gridCol w:w="247"/>
        <w:gridCol w:w="651"/>
        <w:gridCol w:w="651"/>
        <w:gridCol w:w="589"/>
        <w:gridCol w:w="174"/>
        <w:gridCol w:w="174"/>
        <w:gridCol w:w="174"/>
        <w:gridCol w:w="386"/>
        <w:gridCol w:w="1377"/>
        <w:gridCol w:w="199"/>
        <w:gridCol w:w="174"/>
        <w:gridCol w:w="174"/>
        <w:gridCol w:w="174"/>
        <w:gridCol w:w="391"/>
        <w:gridCol w:w="1367"/>
        <w:gridCol w:w="202"/>
        <w:gridCol w:w="174"/>
        <w:gridCol w:w="174"/>
        <w:gridCol w:w="174"/>
        <w:gridCol w:w="389"/>
        <w:gridCol w:w="1360"/>
        <w:gridCol w:w="300"/>
      </w:tblGrid>
      <w:tr>
        <w:trPr/>
        <w:tc>
          <w:tcPr>
            <w:tcW w:w="2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3, 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28, 2023</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2022</w:t>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519,190</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628,001 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671,381 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(b)</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24,377</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retirement of debt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1,525</w:t>
            </w: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associated with the 2021 Vesting Event (c)</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effects of these adjustments (e)</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(5,621)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539,471</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645,757 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716,536 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6.89</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6.70</w:t>
            </w: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7.16</w:t>
            </w: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6.96</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75,389</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90,956 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77,469</w:t>
            </w: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83,895 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94,284 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9428"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Net income for the year ended February 3, 2024, includes a $15.9 million net gain relative to a credit card fee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and are disclosed within Note 2 of the accompanying financial statements.</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9428"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non-cash charges related to equity based compensation, which vary from period to period depending on certain factors such as the 2021 Vesting Event, timing and valuation of awards, achievement of performance targets and equity award forfeitures.</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9428"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cash expenses related to taxes on equity-based compensation resulting from the 2021 Vesting Event.</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9428"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Other adjustments include (representing deductions or additions to Adjusted Net Income) amounts that management believes are not representative of our operating performance, including installation costs for energy savings associated with our profitability initiatives.</w:t>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9428"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the tax effect of the total adjustments made to arrive at Adjusted Net Income at our historical tax rate.</w:t>
            </w:r>
          </w:p>
        </w:tc>
      </w:tr>
    </w:tbl>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Free Cash Flow</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provided by operating activities to Adjusted Free Cash Flow for the periods presented (amounts in thousands):</w:t>
      </w:r>
    </w:p>
    <w:tbl>
      <w:tblPr>
        <w:tblW w:w="9243"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86"/>
        <w:gridCol w:w="1141"/>
        <w:gridCol w:w="147"/>
        <w:gridCol w:w="109"/>
        <w:gridCol w:w="109"/>
        <w:gridCol w:w="109"/>
        <w:gridCol w:w="292"/>
        <w:gridCol w:w="1146"/>
        <w:gridCol w:w="151"/>
        <w:gridCol w:w="109"/>
        <w:gridCol w:w="109"/>
        <w:gridCol w:w="109"/>
        <w:gridCol w:w="289"/>
        <w:gridCol w:w="1134"/>
        <w:gridCol w:w="211"/>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535,779</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552,005 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673,265 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(206,139)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329,640</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443,199 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597,248 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01675"/>
                <wp:effectExtent l="0" t="0" r="0" b="0"/>
                <wp:wrapNone/>
                <wp:docPr id="57" name="Frame5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Sources and Uses of Liquidity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liquidity requirements are for working capital, capital expenditures and cash used to pay our debt obligations and related interest expense. We also use cash to pay dividends and occasionally use cash to repurchase common stock. We may fund our liquidity requirements through cash and cash equivalents, cash generated from operating activities, issuances of debt (such as the Notes) and borrowings under our ABL Facility. On February 3, 2024, our cash and cash equivalents totaled $347.9 million. We believe our cash and cash equivalents, as well as our availability under the ABL Facility, will be sufficient to fund our cash requirements for at least the next 12 months.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the Company's long-term debt and interest rates consists of:</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Notes - 6.00% fixed rate senior secured notes with $400 million in principal outstanding and full principal maturing November 15, 2027;</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Term Loan - 9.19% variable rate term-loan with $91.8 million in principal outstanding maturing November 6, 2027 and quarterly principal payments of $750 thousand;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ABL Facility - $1.0 billion commitment on a variable rate secured asset-based revolving credit facility with no principal outstanding maturing November 6, 2025.</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to the accompanying financial statements for further disclosure regarding our debt agreements. The following table summarizes our current debt obligations by fiscal year (amounts in thousands):</w:t>
      </w:r>
    </w:p>
    <w:tbl>
      <w:tblPr>
        <w:tblW w:w="8239" w:type="dxa"/>
        <w:jc w:val="left"/>
        <w:tblInd w:w="0" w:type="dxa"/>
        <w:tblLayout w:type="fixed"/>
        <w:tblCellMar>
          <w:top w:w="28" w:type="dxa"/>
          <w:left w:w="28" w:type="dxa"/>
          <w:bottom w:w="28" w:type="dxa"/>
          <w:right w:w="28" w:type="dxa"/>
        </w:tblCellMar>
      </w:tblPr>
      <w:tblGrid>
        <w:gridCol w:w="1081"/>
        <w:gridCol w:w="948"/>
        <w:gridCol w:w="956"/>
        <w:gridCol w:w="211"/>
        <w:gridCol w:w="721"/>
        <w:gridCol w:w="109"/>
        <w:gridCol w:w="211"/>
        <w:gridCol w:w="616"/>
        <w:gridCol w:w="109"/>
        <w:gridCol w:w="211"/>
        <w:gridCol w:w="616"/>
        <w:gridCol w:w="109"/>
        <w:gridCol w:w="211"/>
        <w:gridCol w:w="721"/>
        <w:gridCol w:w="109"/>
        <w:gridCol w:w="109"/>
        <w:gridCol w:w="211"/>
        <w:gridCol w:w="82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Loan and related interest</w:t>
            </w:r>
            <w:r>
              <w:rPr>
                <w:color w:val="000000"/>
              </w:rPr>
              <w:t xml:space="preserv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Notes and related interest</w:t>
            </w:r>
            <w:r>
              <w:rPr>
                <w:color w:val="000000"/>
              </w:rPr>
              <w:t xml:space="preserve">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ABL Facility and related interest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Interest payments do not include amortization of discount and debt issuance costs and are approximated based on projected interest rates and assume no unscheduled principal payments.</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 Interest payments do not include amortization of debt issuance costs and assumes Notes are paid in full at maturity date.</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 Assumes a minimum revolving credit commitment of $1.0 billion and no balances drawn on our ABL Facility.</w:t>
      </w:r>
    </w:p>
    <w:p>
      <w:pPr>
        <w:pStyle w:val="TextBody"/>
        <w:bidi w:val="0"/>
        <w:spacing w:before="0" w:after="0"/>
        <w:jc w:val="both"/>
        <w:rPr/>
      </w:pPr>
      <w:r>
        <w:rPr/>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Liquidity information related to the ABL Facility is as follows for the periods shown (dollar amounts in thousands):</w:t>
      </w:r>
    </w:p>
    <w:tbl>
      <w:tblPr>
        <w:tblW w:w="8946" w:type="dxa"/>
        <w:jc w:val="left"/>
        <w:tblInd w:w="0" w:type="dxa"/>
        <w:tblLayout w:type="fixed"/>
        <w:tblCellMar>
          <w:top w:w="28" w:type="dxa"/>
          <w:left w:w="28" w:type="dxa"/>
          <w:bottom w:w="28" w:type="dxa"/>
          <w:right w:w="28" w:type="dxa"/>
        </w:tblCellMar>
      </w:tblPr>
      <w:tblGrid>
        <w:gridCol w:w="1265"/>
        <w:gridCol w:w="1110"/>
        <w:gridCol w:w="1120"/>
        <w:gridCol w:w="286"/>
        <w:gridCol w:w="1141"/>
        <w:gridCol w:w="147"/>
        <w:gridCol w:w="109"/>
        <w:gridCol w:w="109"/>
        <w:gridCol w:w="109"/>
        <w:gridCol w:w="292"/>
        <w:gridCol w:w="1146"/>
        <w:gridCol w:w="151"/>
        <w:gridCol w:w="109"/>
        <w:gridCol w:w="109"/>
        <w:gridCol w:w="109"/>
        <w:gridCol w:w="289"/>
        <w:gridCol w:w="1134"/>
        <w:gridCol w:w="211"/>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funds drawn</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days with outstanding balance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daily amount outstanding</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available borrowing capacity</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881,445</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Liquidity information related to the ABL Facility (amounts in thousands) as of:</w:t>
      </w:r>
    </w:p>
    <w:tbl>
      <w:tblPr>
        <w:tblW w:w="6070" w:type="dxa"/>
        <w:jc w:val="left"/>
        <w:tblInd w:w="0" w:type="dxa"/>
        <w:tblLayout w:type="fixed"/>
        <w:tblCellMar>
          <w:top w:w="28" w:type="dxa"/>
          <w:left w:w="28" w:type="dxa"/>
          <w:bottom w:w="28" w:type="dxa"/>
          <w:right w:w="28" w:type="dxa"/>
        </w:tblCellMar>
      </w:tblPr>
      <w:tblGrid>
        <w:gridCol w:w="918"/>
        <w:gridCol w:w="807"/>
        <w:gridCol w:w="810"/>
        <w:gridCol w:w="286"/>
        <w:gridCol w:w="1141"/>
        <w:gridCol w:w="147"/>
        <w:gridCol w:w="109"/>
        <w:gridCol w:w="109"/>
        <w:gridCol w:w="109"/>
        <w:gridCol w:w="289"/>
        <w:gridCol w:w="1134"/>
        <w:gridCol w:w="211"/>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11,553</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capacity</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881,445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2024, the Company issued a press release announcing that the Company entered into an amendment which among other things, extended the maturity of Academy’s asset-based revolving credit facility to March 8, 2029. See Note 17 to the accompanying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01675"/>
                <wp:effectExtent l="0" t="0" r="0" b="0"/>
                <wp:wrapNone/>
                <wp:docPr id="58" name="Frame5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February 3, 2024. In the fiscal year ended</w:t>
      </w:r>
      <w:r>
        <w:rPr>
          <w:color w:val="000000"/>
        </w:rPr>
        <w:t xml:space="preserve"> </w:t>
      </w:r>
      <w:r>
        <w:rPr>
          <w:rFonts w:ascii="Times New Roman;sans-serif" w:hAnsi="Times New Roman;sans-serif"/>
          <w:b w:val="false"/>
          <w:color w:val="000000"/>
          <w:sz w:val="20"/>
        </w:rPr>
        <w:t>February 3, 2024, we opened 14 new locations. The following table summarizes our operating lease obligations by fiscal year:</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19"/>
        <w:gridCol w:w="632"/>
        <w:gridCol w:w="636"/>
        <w:gridCol w:w="211"/>
        <w:gridCol w:w="826"/>
        <w:gridCol w:w="109"/>
        <w:gridCol w:w="211"/>
        <w:gridCol w:w="826"/>
        <w:gridCol w:w="109"/>
        <w:gridCol w:w="211"/>
        <w:gridCol w:w="826"/>
        <w:gridCol w:w="109"/>
        <w:gridCol w:w="211"/>
        <w:gridCol w:w="826"/>
        <w:gridCol w:w="109"/>
        <w:gridCol w:w="211"/>
        <w:gridCol w:w="826"/>
        <w:gridCol w:w="109"/>
        <w:gridCol w:w="211"/>
        <w:gridCol w:w="826"/>
        <w:gridCol w:w="109"/>
        <w:gridCol w:w="211"/>
        <w:gridCol w:w="976"/>
        <w:gridCol w:w="155"/>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2028</w:t>
            </w:r>
          </w:p>
        </w:tc>
        <w:tc>
          <w:tcPr>
            <w:tcW w:w="13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payments </w:t>
            </w:r>
            <w:r>
              <w:rPr>
                <w:rFonts w:ascii="Times New Roman;sans-serif" w:hAnsi="Times New Roman;sans-serif"/>
                <w:b w:val="false"/>
                <w:color w:val="000000"/>
                <w:sz w:val="13"/>
              </w:rPr>
              <w:t>(1) (2)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(1) Minimum lease payments have not been reduced by sublease rentals of $2.3 million due in the future under non-cancelable subleases.</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(2) These balances include stores where we have an executed contract but have not taken possession of the location as of February 3,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The Share Repurchase Programs do not obligate the Company to acquire any particular number of common shares, and the programs may be suspended, extended, modified or discontinued at any time. As of February 3, 2024, the Company had $696.7 million remaining for share repurchases under the Share Repurchase Programs.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 repurchases for the fiscal year ended February 3, 2024 (dollar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211"/>
        <w:gridCol w:w="914"/>
        <w:gridCol w:w="917"/>
        <w:gridCol w:w="109"/>
        <w:gridCol w:w="109"/>
        <w:gridCol w:w="109"/>
        <w:gridCol w:w="842"/>
        <w:gridCol w:w="693"/>
        <w:gridCol w:w="695"/>
        <w:gridCol w:w="109"/>
        <w:gridCol w:w="109"/>
        <w:gridCol w:w="109"/>
        <w:gridCol w:w="438"/>
        <w:gridCol w:w="1280"/>
        <w:gridCol w:w="226"/>
        <w:gridCol w:w="109"/>
        <w:gridCol w:w="109"/>
        <w:gridCol w:w="109"/>
        <w:gridCol w:w="353"/>
        <w:gridCol w:w="1390"/>
        <w:gridCol w:w="265"/>
      </w:tblGrid>
      <w:tr>
        <w:trPr/>
        <w:tc>
          <w:tcPr>
            <w:tcW w:w="1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 Price Paid per Share</w:t>
            </w:r>
            <w:r>
              <w:rPr>
                <w:color w:val="000000"/>
              </w:rPr>
              <w:t xml:space="preserv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Amount Repurchased </w:t>
            </w:r>
            <w:r>
              <w:rPr>
                <w:rFonts w:ascii="Times New Roman;sans-serif" w:hAnsi="Times New Roman;sans-serif"/>
                <w:b/>
                <w:color w:val="000000"/>
                <w:sz w:val="13"/>
              </w:rPr>
              <w:t>(1)</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(January 29, 2023 to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750,010 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(April 30, 2023 to July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1,994,064 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(July 30, 2023 to October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863,631 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Fourth Quarter (October 29, 2023 to February 3, 2024)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3,651,231 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202,796 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Excludes the impact of excise taxes.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See Part II, Item 5 - Market for Registrant's Common Equity, Related Stockholder Matters and Issuer Purchases of Equity Securities for further detail on the 2023 fourth quarter share repurchases.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quarterly dividend payments for the fiscal year ended February 3, 2024 (amounts in thousands, except per share amounts):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312"/>
        <w:gridCol w:w="1115"/>
        <w:gridCol w:w="1120"/>
        <w:gridCol w:w="109"/>
        <w:gridCol w:w="109"/>
        <w:gridCol w:w="109"/>
        <w:gridCol w:w="481"/>
        <w:gridCol w:w="1164"/>
        <w:gridCol w:w="250"/>
        <w:gridCol w:w="109"/>
        <w:gridCol w:w="109"/>
        <w:gridCol w:w="109"/>
        <w:gridCol w:w="336"/>
        <w:gridCol w:w="1149"/>
        <w:gridCol w:w="173"/>
        <w:gridCol w:w="109"/>
        <w:gridCol w:w="109"/>
        <w:gridCol w:w="109"/>
        <w:gridCol w:w="621"/>
        <w:gridCol w:w="621"/>
        <w:gridCol w:w="882"/>
      </w:tblGrid>
      <w:tr>
        <w:trPr/>
        <w:tc>
          <w:tcPr>
            <w:tcW w:w="13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Dividends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 Date of Record</w:t>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(January 29, 2023 to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(April 30, 2023 to July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2023</w:t>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(July 30, 2023 to October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13, 2023</w:t>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(October 29, 2023 to February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2023</w:t>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01675"/>
                <wp:effectExtent l="0" t="0" r="0" b="0"/>
                <wp:wrapNone/>
                <wp:docPr id="59" name="Frame5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the Company issued a press release announcing that the Board of Directors declared a quarterly cash dividend with respect to the quarter ended February 3, 2024 of $0.11 per share of common stock, payable on April 18, 2024, to stockholders of record as of the close of business on March 26,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Capital Expenditures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capital expenditures for the periods shown (amounts in thousands):</w:t>
      </w:r>
    </w:p>
    <w:tbl>
      <w:tblPr>
        <w:tblW w:w="10205" w:type="dxa"/>
        <w:jc w:val="left"/>
        <w:tblInd w:w="0" w:type="dxa"/>
        <w:tblLayout w:type="fixed"/>
        <w:tblCellMar>
          <w:top w:w="28" w:type="dxa"/>
          <w:left w:w="28" w:type="dxa"/>
          <w:bottom w:w="28" w:type="dxa"/>
          <w:right w:w="28" w:type="dxa"/>
        </w:tblCellMar>
      </w:tblPr>
      <w:tblGrid>
        <w:gridCol w:w="1727"/>
        <w:gridCol w:w="1491"/>
        <w:gridCol w:w="1495"/>
        <w:gridCol w:w="109"/>
        <w:gridCol w:w="109"/>
        <w:gridCol w:w="109"/>
        <w:gridCol w:w="270"/>
        <w:gridCol w:w="1079"/>
        <w:gridCol w:w="139"/>
        <w:gridCol w:w="109"/>
        <w:gridCol w:w="109"/>
        <w:gridCol w:w="109"/>
        <w:gridCol w:w="275"/>
        <w:gridCol w:w="1080"/>
        <w:gridCol w:w="142"/>
        <w:gridCol w:w="109"/>
        <w:gridCol w:w="109"/>
        <w:gridCol w:w="109"/>
        <w:gridCol w:w="295"/>
        <w:gridCol w:w="1011"/>
        <w:gridCol w:w="220"/>
      </w:tblGrid>
      <w:tr>
        <w:trPr/>
        <w:tc>
          <w:tcPr>
            <w:tcW w:w="172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stores and relocations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100,419</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e-commerce, information technology programs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81,992</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for existing stores and distribution centers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25,359</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207,770</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75,802 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capital expenditures for fiscal year 2024 to be between $225 million and $275 million. The following table summarizes our forecasted allocation of capital expenditures for fiscal year 2024:</w:t>
      </w:r>
    </w:p>
    <w:p>
      <w:pPr>
        <w:pStyle w:val="TextBody"/>
        <w:bidi w:val="0"/>
        <w:spacing w:before="0" w:after="0"/>
        <w:ind w:left="0" w:right="0" w:firstLine="360"/>
        <w:jc w:val="both"/>
        <w:rPr/>
      </w:pPr>
      <w:r>
        <w:rPr/>
      </w:r>
    </w:p>
    <w:tbl>
      <w:tblPr>
        <w:tblW w:w="6652" w:type="dxa"/>
        <w:jc w:val="left"/>
        <w:tblInd w:w="0" w:type="dxa"/>
        <w:tblLayout w:type="fixed"/>
        <w:tblCellMar>
          <w:top w:w="28" w:type="dxa"/>
          <w:left w:w="28" w:type="dxa"/>
          <w:bottom w:w="28" w:type="dxa"/>
          <w:right w:w="28" w:type="dxa"/>
        </w:tblCellMar>
      </w:tblPr>
      <w:tblGrid>
        <w:gridCol w:w="2034"/>
        <w:gridCol w:w="1782"/>
        <w:gridCol w:w="1809"/>
        <w:gridCol w:w="109"/>
        <w:gridCol w:w="109"/>
        <w:gridCol w:w="109"/>
        <w:gridCol w:w="180"/>
        <w:gridCol w:w="181"/>
        <w:gridCol w:w="339"/>
      </w:tblGrid>
      <w:tr>
        <w:trPr/>
        <w:tc>
          <w:tcPr>
            <w:tcW w:w="203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stores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e-commerce, information technology programs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for existing stores and distribution centers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forecasted capital expenditures throughout the year and will adjust our capital expenditures based on business conditions at that time.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statements of cash flows are summarized as follows (in thousands):</w:t>
      </w:r>
    </w:p>
    <w:p>
      <w:pPr>
        <w:pStyle w:val="TextBody"/>
        <w:bidi w:val="0"/>
        <w:spacing w:before="0" w:after="0"/>
        <w:ind w:left="0" w:right="0" w:firstLine="360"/>
        <w:jc w:val="left"/>
        <w:rPr/>
      </w:pPr>
      <w:r>
        <w:rPr/>
      </w:r>
    </w:p>
    <w:tbl>
      <w:tblPr>
        <w:tblW w:w="9771" w:type="dxa"/>
        <w:jc w:val="left"/>
        <w:tblInd w:w="0" w:type="dxa"/>
        <w:tblLayout w:type="fixed"/>
        <w:tblCellMar>
          <w:top w:w="28" w:type="dxa"/>
          <w:left w:w="28" w:type="dxa"/>
          <w:bottom w:w="28" w:type="dxa"/>
          <w:right w:w="28" w:type="dxa"/>
        </w:tblCellMar>
      </w:tblPr>
      <w:tblGrid>
        <w:gridCol w:w="1563"/>
        <w:gridCol w:w="1376"/>
        <w:gridCol w:w="1380"/>
        <w:gridCol w:w="286"/>
        <w:gridCol w:w="1141"/>
        <w:gridCol w:w="147"/>
        <w:gridCol w:w="109"/>
        <w:gridCol w:w="109"/>
        <w:gridCol w:w="109"/>
        <w:gridCol w:w="274"/>
        <w:gridCol w:w="1174"/>
        <w:gridCol w:w="142"/>
        <w:gridCol w:w="109"/>
        <w:gridCol w:w="109"/>
        <w:gridCol w:w="109"/>
        <w:gridCol w:w="289"/>
        <w:gridCol w:w="1134"/>
        <w:gridCol w:w="211"/>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535,779</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552,005 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673,265 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(206,139)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(318,865)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(592,052)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10,775</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(148,853)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Operating Activities.</w:t>
      </w:r>
      <w:r>
        <w:rPr>
          <w:color w:val="000000"/>
        </w:rPr>
        <w:t xml:space="preserve"> </w:t>
      </w:r>
      <w:r>
        <w:rPr>
          <w:rFonts w:ascii="Times New Roman;sans-serif" w:hAnsi="Times New Roman;sans-serif"/>
          <w:b w:val="false"/>
          <w:color w:val="000000"/>
          <w:sz w:val="20"/>
        </w:rPr>
        <w:t>Cash flows from operating activities are seasonal in our business. Typically, cash flows from operations are used to build inventory in advance of peak selling seasons, with the fourth quarter pre-holiday inventory increase being the most significant.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in 2023 decreased $16.2 million compared to 2022. This decrease is attributable to:</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$108.8 million decrease in net income;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$23.1 million net decrease in non-cash charges;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$115.7 million net increase in cash flows provided by operating assets and liabilities.</w:t>
      </w:r>
    </w:p>
    <w:p>
      <w:pPr>
        <w:pStyle w:val="TextBody"/>
        <w:bidi w:val="0"/>
        <w:spacing w:before="0" w:after="0"/>
        <w:jc w:val="left"/>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01675"/>
                <wp:effectExtent l="0" t="0" r="0" b="0"/>
                <wp:wrapNone/>
                <wp:docPr id="60" name="Frame5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cash flows from operating assets and liabilities was primarily attributable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$201.1 million increase in cash flows from merchandise inventories, net related to a reduction in inventory replenishment to align with 2023 sales patterns when compared to the prior year; partially offset by 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$86.9 million decrease in cash flows from accounts payable, primarily driven by a reduction in inventory replenishment and lower import and domestic freight costs relative to the prior year fourth quarter.</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Investing Activities</w:t>
      </w:r>
      <w:r>
        <w:rPr>
          <w:rFonts w:ascii="Times New Roman;sans-serif" w:hAnsi="Times New Roman;sans-serif"/>
          <w:b/>
          <w:color w:val="000000"/>
          <w:sz w:val="20"/>
        </w:rPr>
        <w:t xml:space="preserve">. </w:t>
      </w:r>
      <w:r>
        <w:rPr>
          <w:rFonts w:ascii="Times New Roman;sans-serif" w:hAnsi="Times New Roman;sans-serif"/>
          <w:b w:val="false"/>
          <w:color w:val="000000"/>
          <w:sz w:val="20"/>
        </w:rPr>
        <w:t>Cash used in investing activities increased $97.3 million in 2023 compared to 2022. The increase in cash used in investing activities is primarily related to:</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$99.5 million higher capital expenditures, primarily driven by increased investments in new stores in 2023.</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Financing Activities</w:t>
      </w:r>
      <w:r>
        <w:rPr>
          <w:rFonts w:ascii="Times New Roman;sans-serif" w:hAnsi="Times New Roman;sans-serif"/>
          <w:b/>
          <w:color w:val="000000"/>
          <w:sz w:val="20"/>
        </w:rPr>
        <w:t xml:space="preserve">. </w:t>
      </w:r>
      <w:r>
        <w:rPr>
          <w:rFonts w:ascii="Times New Roman;sans-serif" w:hAnsi="Times New Roman;sans-serif"/>
          <w:b w:val="false"/>
          <w:color w:val="000000"/>
          <w:sz w:val="20"/>
        </w:rPr>
        <w:t>Cash used in financing activities decreased $273.2 million in 2023, compared to 2022. The primary driver of the decrease was 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$286.7 million decrease in cash outflows caused by a reduction in repurchases and retirement of common stock in the current year.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Future Liquidity </w:t>
      </w:r>
    </w:p>
    <w:p>
      <w:pPr>
        <w:pStyle w:val="TextBody"/>
        <w:bidi w:val="0"/>
        <w:spacing w:before="0" w:after="0"/>
        <w:ind w:left="0" w:right="0" w:firstLine="405"/>
        <w:jc w:val="both"/>
        <w:rPr/>
      </w:pPr>
      <w:r>
        <w:rPr/>
      </w:r>
    </w:p>
    <w:p>
      <w:pPr>
        <w:pStyle w:val="TextBody"/>
        <w:bidi w:val="0"/>
        <w:spacing w:lineRule="auto" w:line="288" w:before="0" w:after="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existing cash balances, internally generated cash flows and available borrowings under our ABL Facility will fulfill anticipated obligations such as capital expenditures, dividends, stock repurchases, working capital needs and scheduled debt maturities over at least the next twelve months. As of February 3, 2024, we had $881.4 million of available capacity under our ABL Facility and $347.9 million of cash and cash equivalents.</w:t>
      </w:r>
    </w:p>
    <w:p>
      <w:pPr>
        <w:pStyle w:val="TextBody"/>
        <w:bidi w:val="0"/>
        <w:spacing w:before="0" w:after="0"/>
        <w:ind w:left="0" w:right="0" w:firstLine="40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and analysis of financial condition and results of operations is based upon the Company's consolidated financial statements, which have been prepared in accordance with U.S. generally accepted accounting principles (U.S. GAAP). The preparation of these financial statements requires the Company to make estimates, judgments, and assumptions that can have a meaningful effect on the reporting of consolidated financial statements. See Note 2 to the accompanying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defined as those reflective of significant judgments, estimates and uncertainties, which may result in materially different results under different assumptions and conditions. The Company believes the following are its 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Merchandise Inventories, net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Description:</w:t>
      </w:r>
      <w:r>
        <w:rPr>
          <w:color w:val="000000"/>
        </w:rPr>
        <w:t xml:space="preserve"> </w:t>
      </w:r>
      <w:r>
        <w:rPr>
          <w:rFonts w:ascii="Times New Roman;sans-serif" w:hAnsi="Times New Roman;sans-serif"/>
          <w:b w:val="false"/>
          <w:color w:val="000000"/>
          <w:sz w:val="20"/>
        </w:rPr>
        <w:t>Merchandise inventories are stated at the lower of weighted average cost and net realizable value. Merchandise inventories include the direct cost of merchandise and capitalized costs related to procurement, warehousing and distribution and are reflected net of shrinkage, vendor allowances and other valuation reserves.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Judgments and Uncertainties:</w:t>
      </w:r>
      <w:r>
        <w:rPr>
          <w:color w:val="000000"/>
        </w:rPr>
        <w:t xml:space="preserve"> </w:t>
      </w:r>
      <w:r>
        <w:rPr>
          <w:rFonts w:ascii="Times New Roman;sans-serif" w:hAnsi="Times New Roman;sans-serif"/>
          <w:b w:val="false"/>
          <w:color w:val="000000"/>
          <w:sz w:val="20"/>
        </w:rPr>
        <w:t>We record an inventory reserve for the estimated shrinkage between physical inventories on a by location basis. We generally perform a full physical inventory count for each store at least once a year, throughout the year, after which our shrinkage accrual rate to sales for each store is updated based on historical results. For vendor allowances based on contractual provisions, we develop accrual rates for receivables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01675"/>
                <wp:effectExtent l="0" t="0" r="0" b="0"/>
                <wp:wrapNone/>
                <wp:docPr id="61" name="Frame5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Impact of Assumptions: </w:t>
      </w:r>
      <w:r>
        <w:rPr>
          <w:rFonts w:ascii="Times New Roman;sans-serif" w:hAnsi="Times New Roman;sans-serif"/>
          <w:b w:val="false"/>
          <w:color w:val="000000"/>
          <w:sz w:val="20"/>
        </w:rPr>
        <w:t>For inventory shrinkage, our reserves may be inaccurate if our historical physical inventory shrinkage rates, used in our assumptions, differ significantly from actual rates due to consistent misses to our accrual. However, due to the frequency with which we perform full physical inventory counts, our assumptions are regularly updated, and we constantly analyze the physical inventory results to our accruals and, where necessary, adjust our store accruals to compensate for consistent patterns identified. We have not had a history of significant differences to our reserves for vendor allowances, and the assumptions generally do not have a significant impact on reserves since they are typically short-term and contractual in nature. We book a reserve for inventory permanently marked down below the inventory’s historical cost. Additionally, for slow moving or obsolete inventory, we book reserves based on historical margins received for marked down inventory with similarly slow historical sell-through rates. A twenty percent decrease in assumed margins would not have a material impact to our financial statements. We believe our long history of operations has given us sufficient data to enable us to accurately predict these reserves.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Description:</w:t>
      </w:r>
      <w:r>
        <w:rPr>
          <w:color w:val="000000"/>
        </w:rPr>
        <w:t xml:space="preserve"> </w:t>
      </w:r>
      <w:r>
        <w:rPr>
          <w:rFonts w:ascii="Times New Roman;sans-serif" w:hAnsi="Times New Roman;sans-serif"/>
          <w:b w:val="false"/>
          <w:color w:val="000000"/>
          <w:sz w:val="20"/>
        </w:rPr>
        <w:t>We review the carrying value of long-lived assets, including property and equipment at our stores, for indicators of impairment regularly and whenever events and circumstances indicate that the carrying value of an asset may not be recoverable.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Judgments and Uncertainties:</w:t>
      </w:r>
      <w:r>
        <w:rPr>
          <w:color w:val="000000"/>
        </w:rPr>
        <w:t xml:space="preserve"> </w:t>
      </w:r>
      <w:r>
        <w:rPr>
          <w:rFonts w:ascii="Times New Roman;sans-serif" w:hAnsi="Times New Roman;sans-serif"/>
          <w:b w:val="false"/>
          <w:color w:val="000000"/>
          <w:sz w:val="20"/>
        </w:rPr>
        <w:t>We test stores operating over a long enough time span, based on our previous store history for similar locations, to allow for meaningful analysis of future operating results.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Impact of Assumptions:</w:t>
      </w:r>
      <w:r>
        <w:rPr>
          <w:color w:val="000000"/>
        </w:rPr>
        <w:t xml:space="preserve"> </w:t>
      </w:r>
      <w:r>
        <w:rPr>
          <w:rFonts w:ascii="Times New Roman;sans-serif" w:hAnsi="Times New Roman;sans-serif"/>
          <w:b w:val="false"/>
          <w:color w:val="000000"/>
          <w:sz w:val="20"/>
        </w:rPr>
        <w:t>The assumptions used to project store impairment loss is based on projected future store income and considers variables such as historical and current trends, macroeconomic conditions, store location and local economy and supply chain factors. Additionally, the long-term store income projections also contain a projection of future store specific costs such as store wages and advertising. Actual long-term income results could vary significantly from our projections due to a variety of reasons such as changes in the local retail environment or macroeconomic factors not used in our assumptions. In addition to variables considered in developing projected long-term store income, assumptions are made to develop the assumed discount rate based on company specific factors. There is significant judgment used in determining these assumptions used in the assessment of store impairment and variability in the assumptions could cause us to reach a materially different conclusion on impairment, however, we do not believe the net book value of any individual store assets are material to the Company’s operations.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Description: </w:t>
      </w:r>
      <w:r>
        <w:rPr>
          <w:rFonts w:ascii="Times New Roman;sans-serif" w:hAnsi="Times New Roman;sans-serif"/>
          <w:b w:val="false"/>
          <w:color w:val="000000"/>
          <w:sz w:val="20"/>
        </w:rPr>
        <w:t>Goodwill represents the excess of the purchase price of an acquired business over the amounts assigned to assets 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Judgments and Uncertainties:</w:t>
      </w:r>
      <w:r>
        <w:rPr>
          <w:color w:val="000000"/>
        </w:rPr>
        <w:t xml:space="preserve"> </w:t>
      </w:r>
      <w:r>
        <w:rPr>
          <w:rFonts w:ascii="Times New Roman;sans-serif" w:hAnsi="Times New Roman;sans-serif"/>
          <w:b w:val="false"/>
          <w:color w:val="000000"/>
          <w:sz w:val="20"/>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 These approaches use key input assumptions such as our projected future operating results, the discount rate, the weighting for each valuation approach and the comparable set of companies.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01675"/>
                <wp:effectExtent l="0" t="0" r="0" b="0"/>
                <wp:wrapNone/>
                <wp:docPr id="62" name="Frame6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Impact of Assumptions:</w:t>
      </w:r>
      <w:r>
        <w:rPr>
          <w:color w:val="000000"/>
        </w:rPr>
        <w:t xml:space="preserve"> </w:t>
      </w:r>
      <w:r>
        <w:rPr>
          <w:rFonts w:ascii="Times New Roman;sans-serif" w:hAnsi="Times New Roman;sans-serif"/>
          <w:b w:val="false"/>
          <w:color w:val="000000"/>
          <w:sz w:val="20"/>
        </w:rPr>
        <w:t>The assumptions used to project long-term company income consider variables such as historical and current trends, macroeconomic conditions, supply chain factors, projections consistent with the Company’s operating strategy, such as the future development of e-commerce and our assumptions used on future store openings, and other variables expected to impact future sales. Additionally, the long-term company income projections also contain a projection of future company costs such as wages, freight and transportation, and advertising. Actual long-term company income results could vary significantly from our projections due to a variety of reasons such as changes in the retail environment or macroeconomic factors not used in our assumptions. In addition to variables considered in developing projected long-term company income, assumptions are made to develop the discount rate, which is based on an assumed risk-free rate, and an equity risk premium developed from general historical market data and comparable companies. The earnings multiples used in the market approach can vary dependent on which companies are selected in our comparable set. A history of declining trends in our operating results such as comparable sales, gross margin, net income and cash flow from operations could impact these assumptions and serve as indicators of future impairment. There is significant judgment used in determining these assumptions used in the assessment of goodwill impairment and variability in the assumptions could cause us to reach a different conclusion on impairment. In 2023, we performed a qualitative impairment assessment and determined a quantitative assessment was not necessary.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Description: </w:t>
      </w:r>
      <w:r>
        <w:rPr>
          <w:rFonts w:ascii="Times New Roman;sans-serif" w:hAnsi="Times New Roman;sans-serif"/>
          <w:b w:val="false"/>
          <w:color w:val="000000"/>
          <w:sz w:val="20"/>
        </w:rPr>
        <w:t>Intangible assets primarily consists of the trade name "Academy Sports + Outdoors" (the "Trade Name"). The Trade Name is expected to generate cash flows indefinitely and, therefore, is accounted for as an indefinite-lived asset not subject to amortization. The Trade Name is tested for impairment annually or whenever events or circumstances indicate that the carrying amount of the Trade Name may not be recoverable.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Judgments and Uncertainties: </w:t>
      </w:r>
      <w:r>
        <w:rPr>
          <w:rFonts w:ascii="Times New Roman;sans-serif" w:hAnsi="Times New Roman;sans-serif"/>
          <w:b w:val="false"/>
          <w:color w:val="000000"/>
          <w:sz w:val="20"/>
        </w:rPr>
        <w:t>The annual Trade Name impairment test provides for the option of first performing a qualitative assessment to evaluate 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Impact of Assumptions:</w:t>
      </w:r>
      <w:r>
        <w:rPr>
          <w:color w:val="000000"/>
        </w:rPr>
        <w:t xml:space="preserve"> </w:t>
      </w:r>
      <w:r>
        <w:rPr>
          <w:rFonts w:ascii="Times New Roman;sans-serif" w:hAnsi="Times New Roman;sans-serif"/>
          <w:b w:val="false"/>
          <w:color w:val="000000"/>
          <w:sz w:val="20"/>
        </w:rPr>
        <w:t>The assumptions used to project long-term company sales consider variables such as historical and current trends, macroeconomic conditions, supply chain factors, projections consistent with the Company’s operating strategy, such as the future development of e-commerce and our assumptions used on future store openings, and other variables expected to impact future sales. Actual long-term income results could vary significantly from our projections due to a variety of reasons such as changes in the retail environment or macroeconomic factors not used in our assumptions. In addition to variables considered in developing projected long-term sales, assumptions are made to develop the royalty rates and discount rates. The royalty rates are based on market data where royalty rates are applicable and the discount rates are based on an assumed risk-free rate, and an equity risk premium based on general historical market data and comparable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on intangible asset impairment and variability in the assumptions could cause us to reach a different conclusion on impairment. In 2023, we performed a qualitative impairment assessment and determined a quantitative assessment was not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of recent accounting pronouncements, see Note 2 to the accompanying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01675"/>
                <wp:effectExtent l="0" t="0" r="0" b="0"/>
                <wp:wrapNone/>
                <wp:docPr id="63" name="Frame6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changes in interest rates primarily results from our Term Loan and ABL Facility, as these borrowings have variable interest rates. When appropriate, we also enter into fixed interest rate debt, such as the Notes, to limit the floating interest rate exposure on our long term debt or historically we have used derivative financial instruments to mitigate the risk from such exposure. A discussion of our accounting policies for derivative financial instruments is included in Note 5. “Derivative Financial Instruments” and Note 6. “Fair Value Measurements” to our accompanying financial statements included in Part IV. Item 15 of this Annual Report. As of February 3, 2024, we do not have any derivative financial instruments outstanding. The detrimental effect of a hypothetical 100 basis point increase in interest rates on current borrowings under the Term Loan and ABL Facility would increase our interest expense by approximately $0.9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Interim Results and Seasonality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ind w:left="0" w:right="0" w:firstLine="360"/>
              <w:jc w:val="both"/>
              <w:rPr/>
            </w:pPr>
            <w:r>
              <w:rPr>
                <w:rFonts w:ascii="Times New Roman;sans-serif" w:hAnsi="Times New Roman;sans-serif"/>
                <w:b w:val="false"/>
                <w:color w:val="000000"/>
                <w:sz w:val="20"/>
              </w:rPr>
              <w:t xml:space="preserve">The financial statements required to be filed hereunder are set forth on pages </w:t>
            </w:r>
            <w:hyperlink w:anchor="i6cf4b2025b824858ac35ad8a0193b6b3_157">
              <w:r>
                <w:rPr>
                  <w:rStyle w:val="InternetLink"/>
                  <w:rFonts w:ascii="Times New Roman;sans-serif" w:hAnsi="Times New Roman;sans-serif"/>
                  <w:b w:val="false"/>
                  <w:strike w:val="false"/>
                  <w:dstrike w:val="false"/>
                  <w:color w:val="000000"/>
                  <w:sz w:val="20"/>
                  <w:u w:val="none"/>
                  <w:effect w:val="none"/>
                </w:rPr>
                <w:t>69</w:t>
              </w:r>
            </w:hyperlink>
            <w:r>
              <w:rPr>
                <w:rFonts w:ascii="Times New Roman;sans-serif" w:hAnsi="Times New Roman;sans-serif"/>
                <w:b w:val="false"/>
                <w:color w:val="000000"/>
                <w:sz w:val="20"/>
              </w:rPr>
              <w:t xml:space="preserve"> through </w:t>
            </w:r>
            <w:hyperlink w:anchor="i6cf4b2025b824858ac35ad8a0193b6b3_256">
              <w:r>
                <w:rPr>
                  <w:rStyle w:val="InternetLink"/>
                  <w:rFonts w:ascii="Times New Roman;sans-serif" w:hAnsi="Times New Roman;sans-serif"/>
                  <w:b w:val="false"/>
                  <w:strike w:val="false"/>
                  <w:dstrike w:val="false"/>
                  <w:color w:val="000000"/>
                  <w:sz w:val="20"/>
                  <w:u w:val="none"/>
                  <w:effect w:val="none"/>
                </w:rPr>
                <w:t>106</w:t>
              </w:r>
            </w:hyperlink>
            <w:r>
              <w:rPr>
                <w:rFonts w:ascii="Times New Roman;sans-serif" w:hAnsi="Times New Roman;sans-serif"/>
                <w:b w:val="false"/>
                <w:color w:val="000000"/>
                <w:sz w:val="20"/>
              </w:rPr>
              <w:t xml:space="preserve"> of this Annual Report on Form 10-K.</w:t>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01675"/>
                <wp:effectExtent l="0" t="0" r="0" b="0"/>
                <wp:wrapNone/>
                <wp:docPr id="64" name="Frame6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accounting principles generally accepted in the United States of America. The Company's internal control over financial reporting includes: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maintaining records that in reasonable detail accurately and fairly reflect our transactions;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reasonable assurance that transactions are recorded as necessary for preparation of our financial statements;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reasonable assurance that receipts and expenditures of Company assets are made in accordance with management authorization;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reasonable assurance that unauthorized acquisition, use or disposition of Company assets that could have a material effect on our financial statements would be prevented or detected on a timely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risk that controls may become inadequate because of change in conditions, or that the degree of compliance with the policies or procedures may deteriorate.</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Company’s management conducted an evaluation of the effectiveness of our internal control over financial reporting based on the framework and criteria established in </w:t>
      </w:r>
      <w:r>
        <w:rPr>
          <w:rFonts w:ascii="Times New Roman;sans-serif" w:hAnsi="Times New Roman;sans-serif"/>
          <w:b w:val="false"/>
          <w:i/>
          <w:color w:val="000000"/>
          <w:sz w:val="20"/>
        </w:rPr>
        <w:t>Internal Control—Integrated Framework (2013)</w:t>
      </w:r>
      <w:r>
        <w:rPr>
          <w:rFonts w:ascii="Times New Roman;sans-serif" w:hAnsi="Times New Roman;sans-serif"/>
          <w:b w:val="false"/>
          <w:color w:val="000000"/>
          <w:sz w:val="20"/>
        </w:rPr>
        <w:t>,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concluded that the Company’s internal control over financial reporting was effective as of the end of the period covered by this Annual Report.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an independent registered public accounting firm, has issued an attestation report on the Company’s internal control over financial reporting which is set forth herein.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extensively on information systems to manage our business and report operating results. During the 2023 second quarter, we completed the implementation of our new Enterprise Resource Planning ("ERP") system, which resulted in considerable changes to our processes and control environment, including modifications to existing applications and reports. The new ERP replaced our legacy system, in which our business transactions are processed and recorded. The new ERP is intended to facilitate transactional processing and enhance management tools and is expected to improve internal controls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described above, 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01675"/>
                <wp:effectExtent l="0" t="0" r="0" b="0"/>
                <wp:wrapNone/>
                <wp:docPr id="65" name="Frame6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Academy Sports and Outdoors,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Academy Sports and Outdoors, Inc. and subsidiaries (the “Company”) as of February 3,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February 3,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February 3, 2024, of the Company and our report dated March 21, 2024, expressed an unqualified opinion on those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Annual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21,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01675"/>
                <wp:effectExtent l="0" t="0" r="0" b="0"/>
                <wp:wrapNone/>
                <wp:docPr id="66" name="Frame6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Board of Directors Update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Appointment of Monique Picou to Board of Directors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2024, the Board of the Company approved an increase of the size of the Board of Directors from nine to ten directors and appointed Monique Picou, age 57, as an independent Class II director, effective immediately, to fill the vacancy created by such increase. Mrs. Picou’s initial term will expire on the date of the Company’s 2025 Annual Meeting of Stockholders and until her successor shall be elected and qualified or until her earlier death, resignation, retirement, disqualification or removal.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Mrs. Picou serves as Global Executive - Vice President, Google Cloud Supply Chain and Operations at Alphabet, Inc. since March 2023, and also served as Vice President, Google Product, Technology Strategy and Global Server Operations at Alphabet, Inc. from February 2021 to April 2023. Prior to Alphabet, Inc., Mrs. Picou served as Senior Vice President, Sam’s Club Chief Strategy and Supply Chain Officer from March 2020 to February 2021, as Sam’s Club Senior Vice President Supply Chain Flow from February 2019 to February 2020, and Vice President, Supply Chain at Walmart, Inc. from August 2018 to January 2019. Mrs. Picou held other senior leadership positions at Voyant Beauty, LLC and Procter &amp; Gamble Company, where she spent more than 25 years and served in various positions, including Senior Vice President – Product Supply Global Health Care from December 2016 to August 2017. Since November 2021, Mrs. Picou has served on the board of directors of Ryan Companies US, Inc., a commercial real estate services company. She is a graduate of Southern University with a Bachelor of Science in Electrical Engineering and earned a Master of Business Administration from Florida Institute of Technology.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selected Mrs. Picou because of her supply chain, logistics, strategic planning, operations, digital/technology, and engineering experience at technology, retail and manufacturing companies.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determined that Mrs. Picou qualifies as an independent director under the corporate governance standards of Nasdaq, and that there are no arrangement or understanding between Mrs. Picou and any other person pursuant to which she was elected as a director. There are no transactions in which Mrs. Picou has an interest requiring disclosure under Item 404(a) of Regulation 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compensation for her service on the Board, Mrs. Picou will receive the cash and equity compensation provided by the Company’s Non-Employee Director Compensation Policy, as it may be adjusted by the Board of Directors from time to time, a copy of which is filed as Exhibit 10.66 to this Annual Report on Form 10-K.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and Mrs. Picou will enter into the Company’s standard form of indemnification agreement for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Transition of Ken C. Hicks to Chairman of the Board of Directors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 planned transition process, on March 19, 2024, the Company and Ken C. Hicks, Executive Chairman of the Board of Directors of the Company, mutually agreed that Mr. Hicks’s Amended and Restated Employment Agreement, dated April 26, 2023 would not be extended beyond its initial one-year term and that Mr. Hicks will transition from Executive Chairman of the Board to non-employee Chairman of the Board of Directors, effective on June 1,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compensation for his service as non-employee Chairman of the Board of Directors, Mr. Hicks will receive annual cash retainers totaling $175,000 and equity compensation in the form of restricted stock units with an annualized grant value totaling $285,000, each as provided by the Company’s Non-Employee Director Compensation Policy, a copy of which is filed as Exhibit 10.66 to this Annual Report on Form 10-K.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01675"/>
                <wp:effectExtent l="0" t="0" r="0" b="0"/>
                <wp:wrapNone/>
                <wp:docPr id="67" name="Frame6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Trading Plans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February 3, 2024, the following trading plan(s) intended to satisfy the affirmative defense conditions of Rule 10b5-1(c) that are required to be disclosed under Item 408 of Regulation S-K was/were adopted or terminated: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08"/>
        <w:gridCol w:w="270"/>
        <w:gridCol w:w="273"/>
        <w:gridCol w:w="109"/>
        <w:gridCol w:w="109"/>
        <w:gridCol w:w="109"/>
        <w:gridCol w:w="254"/>
        <w:gridCol w:w="254"/>
        <w:gridCol w:w="258"/>
        <w:gridCol w:w="109"/>
        <w:gridCol w:w="109"/>
        <w:gridCol w:w="109"/>
        <w:gridCol w:w="429"/>
        <w:gridCol w:w="429"/>
        <w:gridCol w:w="430"/>
        <w:gridCol w:w="109"/>
        <w:gridCol w:w="109"/>
        <w:gridCol w:w="109"/>
        <w:gridCol w:w="469"/>
        <w:gridCol w:w="431"/>
        <w:gridCol w:w="433"/>
        <w:gridCol w:w="109"/>
        <w:gridCol w:w="109"/>
        <w:gridCol w:w="109"/>
        <w:gridCol w:w="661"/>
        <w:gridCol w:w="661"/>
        <w:gridCol w:w="663"/>
        <w:gridCol w:w="109"/>
        <w:gridCol w:w="109"/>
        <w:gridCol w:w="109"/>
        <w:gridCol w:w="684"/>
        <w:gridCol w:w="684"/>
        <w:gridCol w:w="979"/>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Plan </w:t>
              <w:br/>
              <w:t>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Comments</w:t>
            </w:r>
          </w:p>
        </w:tc>
      </w:tr>
      <w:tr>
        <w:trPr/>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 Tweedy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January 19,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19, 2024 through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 up to 2,400 common shares, subject to certain conditions set forth in the trading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Tweedy's previously disclosed trading plan was completed pursuant to the terms set forth in that trading plan.</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01675"/>
                <wp:effectExtent l="0" t="0" r="0" b="0"/>
                <wp:wrapNone/>
                <wp:docPr id="68" name="Frame6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executive officers is set forth under the heading “Information about our Executive Officers” in Part I of this report. Further information required by this item will be included in our definitive proxy statement for the 2024 Annual Meeting of Stockholders and is incorporated herein by reference.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for the 2024 Annual Meeting of Stockholders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01675"/>
                <wp:effectExtent l="0" t="0" r="0" b="0"/>
                <wp:wrapNone/>
                <wp:docPr id="69" name="Frame6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gives information about the Company's common stock that may be issued upon the exercise of options, warrants and rights under all of the Company's equity compensation plans as of February 3, 2024. The table includes the 2011 Unit Incentive Plan, the 2020 Omnibus Incentive Plan and the 2020 Employee Stock Purchase Plan.</w:t>
      </w:r>
    </w:p>
    <w:tbl>
      <w:tblPr>
        <w:tblW w:w="10205" w:type="dxa"/>
        <w:jc w:val="left"/>
        <w:tblInd w:w="0" w:type="dxa"/>
        <w:tblLayout w:type="fixed"/>
        <w:tblCellMar>
          <w:top w:w="28" w:type="dxa"/>
          <w:left w:w="28" w:type="dxa"/>
          <w:bottom w:w="28" w:type="dxa"/>
          <w:right w:w="28" w:type="dxa"/>
        </w:tblCellMar>
      </w:tblPr>
      <w:tblGrid>
        <w:gridCol w:w="973"/>
        <w:gridCol w:w="570"/>
        <w:gridCol w:w="516"/>
        <w:gridCol w:w="1009"/>
        <w:gridCol w:w="813"/>
        <w:gridCol w:w="816"/>
        <w:gridCol w:w="385"/>
        <w:gridCol w:w="1125"/>
        <w:gridCol w:w="199"/>
        <w:gridCol w:w="109"/>
        <w:gridCol w:w="109"/>
        <w:gridCol w:w="109"/>
        <w:gridCol w:w="1015"/>
        <w:gridCol w:w="1015"/>
        <w:gridCol w:w="1442"/>
      </w:tblGrid>
      <w:tr>
        <w:trPr/>
        <w:tc>
          <w:tcPr>
            <w:tcW w:w="97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2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 </w:t>
              <w:br/>
              <w:t>Number of securities to be issued upon exercise of outstanding options, warrants and rights</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br/>
              <w:t>Weighted average exercise price of outstanding</w:t>
              <w:br/>
              <w:t>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 </w:t>
              <w:br/>
              <w:t>Number of securities remaining available for future issuance under equity compensation plans (excluding securities reflected in column (a))</w:t>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72" w:type="dxa"/>
            <w:gridSpan w:val="3"/>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Stock Options</w:t>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2,615,798 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Stock Options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122,562 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Restricted Stock Units</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564,863 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311,822 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Employee Stock Purchase Plan</w:t>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8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3,615,045 </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Of the plans listed above, only 2020 Omnibus Incentive Plan and the 2020 Employee Stock Purchase Plan allows for future grants of securities. The maximum number of shares that may be granted under the 2020 Omnibus Incentive Plan (inclusive of unissued shares that were carried over from the 2011 Unit Incentive Plan) is approximately 5,738,738. Stock options and restricted stock units are counted on a one-for-one basis. Total shares available for future issuance under the 2020 Omnibus Incentive Plan is 4,534,051. The total shares available for issuance under the 2020 Employee Stock Purchase Plan is 1,593,760.</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Weighted average exercise price of outstanding options only.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required by this item will be included in our definitive proxy statement for the 2024 Annual Meeting of Stockholders and is incorporated herein by reference.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for the 2024 Annual Meeting of Stockholders and is incorporated herein by reference.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for the 2024 Annual Meeting of Stockholders and is incorporated herein by reference.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01675"/>
                <wp:effectExtent l="0" t="0" r="0" b="0"/>
                <wp:wrapNone/>
                <wp:docPr id="70" name="Frame6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94"/>
        <w:gridCol w:w="194"/>
        <w:gridCol w:w="194"/>
        <w:gridCol w:w="747"/>
        <w:gridCol w:w="747"/>
        <w:gridCol w:w="747"/>
        <w:gridCol w:w="747"/>
        <w:gridCol w:w="747"/>
        <w:gridCol w:w="747"/>
        <w:gridCol w:w="747"/>
        <w:gridCol w:w="747"/>
        <w:gridCol w:w="747"/>
        <w:gridCol w:w="747"/>
        <w:gridCol w:w="747"/>
        <w:gridCol w:w="1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 on Form 10-K: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81" w:type="dxa"/>
            <w:gridSpan w:val="12"/>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Financial Statements. The consolidated Financial Statements required to be filed hereunder are listed in the Index to Consolidated Financial Statements on page </w:t>
            </w:r>
            <w:hyperlink w:anchor="i6cf4b2025b824858ac35ad8a0193b6b3_163">
              <w:r>
                <w:rPr>
                  <w:rStyle w:val="InternetLink"/>
                  <w:rFonts w:ascii="Times New Roman;sans-serif" w:hAnsi="Times New Roman;sans-serif"/>
                  <w:b w:val="false"/>
                  <w:strike w:val="false"/>
                  <w:dstrike w:val="false"/>
                  <w:color w:val="000000"/>
                  <w:sz w:val="20"/>
                  <w:u w:val="none"/>
                  <w:effect w:val="none"/>
                </w:rPr>
                <w:t>70</w:t>
              </w:r>
            </w:hyperlink>
            <w:r>
              <w:rPr>
                <w:rFonts w:ascii="Times New Roman;sans-serif" w:hAnsi="Times New Roman;sans-serif"/>
                <w:b w:val="false"/>
                <w:color w:val="000000"/>
                <w:sz w:val="20"/>
              </w:rPr>
              <w:t xml:space="preserve"> of this Annual Report on Form 10-K.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vMerge w:val="continue"/>
            <w:tcBorders/>
            <w:tcMar>
              <w:top w:w="0" w:type="dxa"/>
              <w:left w:w="0" w:type="dxa"/>
              <w:bottom w:w="0" w:type="dxa"/>
              <w:right w:w="0" w:type="dxa"/>
            </w:tcMar>
            <w:vAlign w:val="center"/>
          </w:tcPr>
          <w:p>
            <w:pPr>
              <w:pStyle w:val="Normal"/>
              <w:bidi w:val="0"/>
              <w:jc w:val="left"/>
              <w:rPr/>
            </w:pPr>
            <w:r>
              <w:rPr/>
            </w:r>
          </w:p>
        </w:tc>
        <w:tc>
          <w:tcPr>
            <w:tcW w:w="9281" w:type="dxa"/>
            <w:gridSpan w:val="12"/>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281" w:type="dxa"/>
            <w:gridSpan w:val="12"/>
            <w:vMerge w:val="restart"/>
            <w:tcBorders/>
            <w:tcMar>
              <w:top w:w="0" w:type="dxa"/>
              <w:left w:w="0" w:type="dxa"/>
              <w:bottom w:w="0" w:type="dxa"/>
              <w:right w:w="0" w:type="dxa"/>
            </w:tcMar>
            <w:vAlign w:val="center"/>
          </w:tcPr>
          <w:p>
            <w:pPr>
              <w:pStyle w:val="TableContents"/>
              <w:bidi w:val="0"/>
              <w:spacing w:lineRule="auto" w:line="240" w:before="120" w:after="283"/>
              <w:jc w:val="both"/>
              <w:rPr/>
            </w:pPr>
            <w:r>
              <w:rPr>
                <w:rFonts w:ascii="Times New Roman;sans-serif" w:hAnsi="Times New Roman;sans-serif"/>
                <w:b w:val="false"/>
                <w:color w:val="000000"/>
                <w:sz w:val="20"/>
              </w:rPr>
              <w:t xml:space="preserve">Financial Statement Schedule. The consolidated financial statement schedule to be filed hereunder is included on page </w:t>
            </w:r>
            <w:hyperlink w:anchor="i6cf4b2025b824858ac35ad8a0193b6b3_268">
              <w:r>
                <w:rPr>
                  <w:rStyle w:val="InternetLink"/>
                  <w:rFonts w:ascii="Times New Roman;sans-serif" w:hAnsi="Times New Roman;sans-serif"/>
                  <w:b w:val="false"/>
                  <w:strike w:val="false"/>
                  <w:dstrike w:val="false"/>
                  <w:color w:val="000000"/>
                  <w:sz w:val="20"/>
                  <w:u w:val="none"/>
                  <w:effect w:val="none"/>
                </w:rPr>
                <w:t>113</w:t>
              </w:r>
            </w:hyperlink>
            <w:r>
              <w:rPr>
                <w:rFonts w:ascii="Times New Roman;sans-serif" w:hAnsi="Times New Roman;sans-serif"/>
                <w:b w:val="false"/>
                <w:color w:val="000000"/>
                <w:sz w:val="20"/>
              </w:rPr>
              <w:t xml:space="preserve"> of this Annual Report on Form 10-K. Other schedules have not been included because they are not applicable or because the information is included elsewhere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vMerge w:val="continue"/>
            <w:tcBorders/>
            <w:tcMar>
              <w:top w:w="0" w:type="dxa"/>
              <w:left w:w="0" w:type="dxa"/>
              <w:bottom w:w="0" w:type="dxa"/>
              <w:right w:w="0" w:type="dxa"/>
            </w:tcMar>
            <w:vAlign w:val="center"/>
          </w:tcPr>
          <w:p>
            <w:pPr>
              <w:pStyle w:val="Normal"/>
              <w:bidi w:val="0"/>
              <w:jc w:val="left"/>
              <w:rPr/>
            </w:pPr>
            <w:r>
              <w:rPr/>
            </w:r>
          </w:p>
        </w:tc>
        <w:tc>
          <w:tcPr>
            <w:tcW w:w="9281" w:type="dxa"/>
            <w:gridSpan w:val="12"/>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281"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Exhibits. The Exhibits listed in the Index to Exhibits, which appears on pages </w:t>
            </w:r>
            <w:hyperlink w:anchor="i6cf4b2025b824858ac35ad8a0193b6b3_259">
              <w:r>
                <w:rPr>
                  <w:rStyle w:val="InternetLink"/>
                  <w:rFonts w:ascii="Times New Roman;sans-serif" w:hAnsi="Times New Roman;sans-serif"/>
                  <w:b w:val="false"/>
                  <w:strike w:val="false"/>
                  <w:dstrike w:val="false"/>
                  <w:color w:val="000000"/>
                  <w:sz w:val="20"/>
                  <w:u w:val="none"/>
                  <w:effect w:val="none"/>
                </w:rPr>
                <w:t>107</w:t>
              </w:r>
            </w:hyperlink>
            <w:r>
              <w:rPr>
                <w:rFonts w:ascii="Times New Roman;sans-serif" w:hAnsi="Times New Roman;sans-serif"/>
                <w:b w:val="false"/>
                <w:color w:val="000000"/>
                <w:sz w:val="20"/>
              </w:rPr>
              <w:t xml:space="preserve"> to </w:t>
            </w:r>
            <w:hyperlink w:anchor="i6cf4b2025b824858ac35ad8a0193b6b3_262">
              <w:r>
                <w:rPr>
                  <w:rStyle w:val="InternetLink"/>
                  <w:rFonts w:ascii="Times New Roman;sans-serif" w:hAnsi="Times New Roman;sans-serif"/>
                  <w:b w:val="false"/>
                  <w:strike w:val="false"/>
                  <w:dstrike w:val="false"/>
                  <w:color w:val="000000"/>
                  <w:sz w:val="20"/>
                  <w:u w:val="none"/>
                  <w:effect w:val="none"/>
                </w:rPr>
                <w:t>111</w:t>
              </w:r>
            </w:hyperlink>
            <w:r>
              <w:rPr>
                <w:rFonts w:ascii="Times New Roman;sans-serif" w:hAnsi="Times New Roman;sans-serif"/>
                <w:b w:val="false"/>
                <w:color w:val="000000"/>
                <w:sz w:val="20"/>
              </w:rPr>
              <w:t xml:space="preserve"> and is incorporated herein by reference, are filed as part of this Annual Report on Form 10-K. Certain Exhibits are incorporated by reference from documents previously filed by the Company with the SEC pursuant to Rule 12b-32 under the Securities Exchange Act of 1934, as amended.</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01675"/>
                <wp:effectExtent l="0" t="0" r="0" b="0"/>
                <wp:wrapNone/>
                <wp:docPr id="71" name="Frame6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11"/>
        <w:gridCol w:w="3052"/>
        <w:gridCol w:w="3069"/>
        <w:gridCol w:w="167"/>
        <w:gridCol w:w="167"/>
        <w:gridCol w:w="239"/>
      </w:tblGrid>
      <w:tr>
        <w:trPr/>
        <w:tc>
          <w:tcPr>
            <w:tcW w:w="3511"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(PCAOB ID No. 34)</w:t>
            </w:r>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6cf4b2025b824858ac35ad8a0193b6b3_166">
              <w:r>
                <w:rPr>
                  <w:rStyle w:val="InternetLink"/>
                  <w:rFonts w:ascii="Times New Roman;sans-serif" w:hAnsi="Times New Roman;sans-serif"/>
                  <w:b w:val="false"/>
                  <w:color w:val="0000FF"/>
                  <w:sz w:val="20"/>
                  <w:u w:val="single"/>
                </w:rPr>
                <w:t>71</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February 3, 2024 and January 28, 2023</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72">
              <w:r>
                <w:rPr>
                  <w:rStyle w:val="InternetLink"/>
                  <w:rFonts w:ascii="Times New Roman;sans-serif" w:hAnsi="Times New Roman;sans-serif"/>
                  <w:b w:val="false"/>
                  <w:color w:val="0000FF"/>
                  <w:sz w:val="20"/>
                  <w:u w:val="single"/>
                </w:rPr>
                <w:t>73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Income for the fiscal years ended February 3, 2024, January 28, 2023 and January 29, 2022</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78">
              <w:r>
                <w:rPr>
                  <w:rStyle w:val="InternetLink"/>
                  <w:rFonts w:ascii="Times New Roman;sans-serif" w:hAnsi="Times New Roman;sans-serif"/>
                  <w:b w:val="false"/>
                  <w:color w:val="0000FF"/>
                  <w:sz w:val="20"/>
                  <w:u w:val="single"/>
                </w:rPr>
                <w:t>74</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fiscal years ended February 3, 2024, January 28, 2023 and January 29, 2022</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81">
              <w:r>
                <w:rPr>
                  <w:rStyle w:val="InternetLink"/>
                  <w:rFonts w:ascii="Times New Roman;sans-serif" w:hAnsi="Times New Roman;sans-serif"/>
                  <w:b w:val="false"/>
                  <w:color w:val="0000FF"/>
                  <w:sz w:val="20"/>
                  <w:u w:val="single"/>
                </w:rPr>
                <w:t>75</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fiscal years ended February 3, 2024, January 28, 2023 and January 29, 2022</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84">
              <w:r>
                <w:rPr>
                  <w:rStyle w:val="InternetLink"/>
                  <w:rFonts w:ascii="Times New Roman;sans-serif" w:hAnsi="Times New Roman;sans-serif"/>
                  <w:b w:val="false"/>
                  <w:color w:val="0000FF"/>
                  <w:sz w:val="20"/>
                  <w:u w:val="single"/>
                </w:rPr>
                <w:t>76</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fiscal years ended February 3, 2024, January 28, 2023 and January 29, 2022</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90">
              <w:r>
                <w:rPr>
                  <w:rStyle w:val="InternetLink"/>
                  <w:rFonts w:ascii="Times New Roman;sans-serif" w:hAnsi="Times New Roman;sans-serif"/>
                  <w:b w:val="false"/>
                  <w:color w:val="0000FF"/>
                  <w:sz w:val="20"/>
                  <w:u w:val="single"/>
                </w:rPr>
                <w:t>77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Consolidated Financial Statements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cf4b2025b824858ac35ad8a0193b6b3_193">
              <w:r>
                <w:rPr>
                  <w:rStyle w:val="InternetLink"/>
                  <w:rFonts w:ascii="Times New Roman;sans-serif" w:hAnsi="Times New Roman;sans-serif"/>
                  <w:b w:val="false"/>
                  <w:color w:val="0000FF"/>
                  <w:sz w:val="20"/>
                  <w:u w:val="single"/>
                </w:rPr>
                <w:t>78</w:t>
              </w:r>
            </w:hyperlink>
          </w:p>
        </w:tc>
      </w:tr>
      <w:tr>
        <w:trPr/>
        <w:tc>
          <w:tcPr>
            <w:tcW w:w="963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963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01675"/>
                <wp:effectExtent l="0" t="0" r="0" b="0"/>
                <wp:wrapNone/>
                <wp:docPr id="72" name="Frame7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Academy Sports and Outdoors,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Academy Sports and Outdoors, Inc. and subsidiaries (the "Company") as of February 3, 2024 and January 28, 2023, the related consolidated statements of income, comprehensive income, stockholders' equity, and cash flows, for each of the three years in the period ended February 3, 2024, and the related notes and schedule listed in the Index at Item 15 (collectively referred to as the "financial statements"). In our opinion, the financial statements present fairly, in all material respects, the financial position of the Company as of February 3, 2024 and January 28, 2023, and the results of its operations and its cash flows for each of the three years in the period ended February 3, 2024,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have also audited, in accordance with the standards of the Public Company Accounting Oversight Board (United States) (PCAOB), the Company's internal control over financial reporting as of</w:t>
      </w:r>
      <w:r>
        <w:rPr>
          <w:color w:val="000000"/>
        </w:rPr>
        <w:t xml:space="preserve"> </w:t>
      </w:r>
      <w:r>
        <w:rPr>
          <w:rFonts w:ascii="Times New Roman;sans-serif" w:hAnsi="Times New Roman;sans-serif"/>
          <w:b w:val="false"/>
          <w:color w:val="000000"/>
          <w:sz w:val="20"/>
          <w:shd w:fill="FFFFFF" w:val="clear"/>
        </w:rPr>
        <w:t xml:space="preserve">February 3, 2024, based on criteria established in </w:t>
      </w:r>
      <w:r>
        <w:rPr>
          <w:rFonts w:ascii="Times New Roman;sans-serif" w:hAnsi="Times New Roman;sans-serif"/>
          <w:b w:val="false"/>
          <w:i/>
          <w:color w:val="000000"/>
          <w:sz w:val="20"/>
        </w:rPr>
        <w:t>Internal Control — Integrated Framework (2013)</w:t>
      </w:r>
      <w:r>
        <w:rPr>
          <w:color w:val="000000"/>
          <w:shd w:fill="FFFFFF" w:val="clear"/>
        </w:rPr>
        <w:t xml:space="preserve"> </w:t>
      </w:r>
      <w:r>
        <w:rPr>
          <w:rFonts w:ascii="Times New Roman;sans-serif" w:hAnsi="Times New Roman;sans-serif"/>
          <w:b w:val="false"/>
          <w:color w:val="000000"/>
          <w:sz w:val="20"/>
          <w:shd w:fill="FFFFFF" w:val="clear"/>
        </w:rPr>
        <w:t xml:space="preserve">issued by the Committee of Sponsoring Organizations of the Treadway Commission and our report dated March 21, 2024 expressed an unqualified opinion on the Company's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01675"/>
                <wp:effectExtent l="0" t="0" r="0" b="0"/>
                <wp:wrapNone/>
                <wp:docPr id="73" name="Frame7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14 of the Consolidated Financial Statements, as of February 3, 2024, the Company is involved in a regulatory matter with the U.S. Customs and Border Protection Agency (“CBP”) regarding additional duties relating to certain products that the Company imported from China which CBP believes are subject to certain anti-dumping and/or countervailing duties, as well as a legal matter regarding payment card interchange fees charged by financial institutions (the defendants) to the Company (the plaintiff). The Company records a liability for legal proceedings and regulatory matters when management determines it is probable that a loss has been incurred and the amount of the loss can be reasonably estimated. The Company also discloses when it is reasonably possible that a material loss may be incurred. In assessing the probability of occurrence and whether an estimate of loss can be reasonably estimated for a particular legal proceeding, management exercises judgment on matters relevant to each proceeding, such as whether sufficient participation in settlement proceedings will occur, or whether it can predict the number of claims that may be filed. Similarly, the Company will record a contingency that might result in a gain when it is the plaintiff, when the gain is realized or realizable. Auditing management's accounting for, and disclosure of, contingencies was complex and highly judgmental as it involved our assessment of the significant judgments made by management when assessing the probability of occurrence for loss contingencies, determining whether an estimate of the amount of contingencies could be made, and assessing whether a gain contingency was realized or realizable.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management’s judgment included the following, among others: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We obtained an understanding, evaluated the design and tested the operating effectiveness of controls over management’s identification, monitoring and evaluation of contingencies.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read documents provided to the Company by outside legal counsel, read letters received directly by us from internal and outside legal counsel, and evaluated the current status of contingencies based on discussions with internal and outside legal counsel.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inspected minutes of the meetings of the Board of Directors and committees of the Board of Directors to search for any contradictory evidence, which may indicate that the accounting and disclosures for contingencies might not be appropriate.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made inquiries of management, including the Company’s internal legal counsel, regarding the status of these contingencies and whether any settlement discussions had been held.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evaluated management's assumptions and calculations by, among other things, comparing those assumptions to underlying legal documents and to payments made during the year. We also assessed the adequacy of the related disclosures.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tested the amounts of the gain contingency realizable as of year end, including consideration of any contrary evidence for events subsequent to year end.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With the assistance of professionals in our firm having experience in accounting for contingencies, we evaluated the reasonableness of the judgements and accounting guidance utilized by the Company to record the gain contingency that was realizable as of year end.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Deloitte &amp; Touche LLP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21, 2024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1996.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01675"/>
                <wp:effectExtent l="0" t="0" r="0" b="0"/>
                <wp:wrapNone/>
                <wp:docPr id="74" name="Frame7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 amounts in thousands, except per share data)</w:t>
      </w:r>
    </w:p>
    <w:tbl>
      <w:tblPr>
        <w:tblW w:w="10205" w:type="dxa"/>
        <w:jc w:val="center"/>
        <w:tblInd w:w="0" w:type="dxa"/>
        <w:tblLayout w:type="fixed"/>
        <w:tblCellMar>
          <w:top w:w="28" w:type="dxa"/>
          <w:left w:w="28" w:type="dxa"/>
          <w:bottom w:w="28" w:type="dxa"/>
          <w:right w:w="28" w:type="dxa"/>
        </w:tblCellMar>
      </w:tblPr>
      <w:tblGrid>
        <w:gridCol w:w="2800"/>
        <w:gridCol w:w="2087"/>
        <w:gridCol w:w="2105"/>
        <w:gridCol w:w="228"/>
        <w:gridCol w:w="1074"/>
        <w:gridCol w:w="118"/>
        <w:gridCol w:w="109"/>
        <w:gridCol w:w="109"/>
        <w:gridCol w:w="109"/>
        <w:gridCol w:w="230"/>
        <w:gridCol w:w="1065"/>
        <w:gridCol w:w="171"/>
      </w:tblGrid>
      <w:tr>
        <w:trPr/>
        <w:tc>
          <w:tcPr>
            <w:tcW w:w="280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347,920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less allowance for doubtful accounts of $2,217 and $2,004, respectively</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19,371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 net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1,194,159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83,450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1,644,900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1,686,675 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445,209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1,111,237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TRADE NAME</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578,236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861,920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35,211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4,676,713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4,595,439 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541,077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217,932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117,849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879,858</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LONG-TERM DEBT, NET </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484,551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LEASE LIABILITIES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1,091,294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 NET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254,796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LIABILITIES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11,564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2,722,063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2,967,133 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14)</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authorized 50,000,000 shares; none issued and outstanding</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authorized 300,000,000 shares; 74,349,927 and 76,711,720 issued and outstanding as of February 3, 2024 and January 28, 2023, respectively</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242,098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1,711,809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1,954,650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4,676,713</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4,595,439 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01675"/>
                <wp:effectExtent l="0" t="0" r="0" b="0"/>
                <wp:wrapNone/>
                <wp:docPr id="75" name="Frame7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768"/>
        <w:gridCol w:w="1558"/>
        <w:gridCol w:w="1524"/>
        <w:gridCol w:w="248"/>
        <w:gridCol w:w="1167"/>
        <w:gridCol w:w="128"/>
        <w:gridCol w:w="109"/>
        <w:gridCol w:w="109"/>
        <w:gridCol w:w="109"/>
        <w:gridCol w:w="253"/>
        <w:gridCol w:w="1171"/>
        <w:gridCol w:w="130"/>
        <w:gridCol w:w="109"/>
        <w:gridCol w:w="109"/>
        <w:gridCol w:w="109"/>
        <w:gridCol w:w="251"/>
        <w:gridCol w:w="1164"/>
        <w:gridCol w:w="189"/>
      </w:tblGrid>
      <w:tr>
        <w:trPr/>
        <w:tc>
          <w:tcPr>
            <w:tcW w:w="176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6,159,291</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6,395,073 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6,773,128 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4,049,080</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4,182,571 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4,422,033 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2,110,211</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2,212,502 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2,351,095 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1,432,356</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677,855</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846,549 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907,947 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46,051</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RETIREMENT OF DEBT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1,525</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(32,877)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663,156</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859,540 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143,966</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6.70</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75,389</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77,469</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01675"/>
                <wp:effectExtent l="0" t="0" r="0" b="0"/>
                <wp:wrapNone/>
                <wp:docPr id="76" name="Frame7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before="0" w:after="0"/>
        <w:jc w:val="center"/>
        <w:rPr/>
      </w:pPr>
      <w:r>
        <w:rPr/>
      </w:r>
    </w:p>
    <w:p>
      <w:pPr>
        <w:pStyle w:val="TextBody"/>
        <w:bidi w:val="0"/>
        <w:spacing w:before="0" w:after="0"/>
        <w:jc w:val="center"/>
        <w:rPr/>
      </w:pPr>
      <w:r>
        <w:rPr/>
      </w:r>
    </w:p>
    <w:tbl>
      <w:tblPr>
        <w:tblW w:w="9666" w:type="dxa"/>
        <w:jc w:val="center"/>
        <w:tblInd w:w="0" w:type="dxa"/>
        <w:tblLayout w:type="fixed"/>
        <w:tblCellMar>
          <w:top w:w="28" w:type="dxa"/>
          <w:left w:w="28" w:type="dxa"/>
          <w:bottom w:w="28" w:type="dxa"/>
          <w:right w:w="28" w:type="dxa"/>
        </w:tblCellMar>
      </w:tblPr>
      <w:tblGrid>
        <w:gridCol w:w="1528"/>
        <w:gridCol w:w="1341"/>
        <w:gridCol w:w="1346"/>
        <w:gridCol w:w="286"/>
        <w:gridCol w:w="1141"/>
        <w:gridCol w:w="147"/>
        <w:gridCol w:w="109"/>
        <w:gridCol w:w="109"/>
        <w:gridCol w:w="109"/>
        <w:gridCol w:w="292"/>
        <w:gridCol w:w="1146"/>
        <w:gridCol w:w="151"/>
        <w:gridCol w:w="109"/>
        <w:gridCol w:w="109"/>
        <w:gridCol w:w="109"/>
        <w:gridCol w:w="289"/>
        <w:gridCol w:w="1134"/>
        <w:gridCol w:w="21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interest expense on interest rate swaps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674,705 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01675"/>
                <wp:effectExtent l="0" t="0" r="0" b="0"/>
                <wp:wrapNone/>
                <wp:docPr id="77" name="Frame7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ACADEMY SPORTS AND OUTDOORS,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0"/>
        <w:gridCol w:w="329"/>
        <w:gridCol w:w="330"/>
        <w:gridCol w:w="368"/>
        <w:gridCol w:w="368"/>
        <w:gridCol w:w="226"/>
        <w:gridCol w:w="109"/>
        <w:gridCol w:w="109"/>
        <w:gridCol w:w="109"/>
        <w:gridCol w:w="211"/>
        <w:gridCol w:w="481"/>
        <w:gridCol w:w="109"/>
        <w:gridCol w:w="109"/>
        <w:gridCol w:w="109"/>
        <w:gridCol w:w="109"/>
        <w:gridCol w:w="216"/>
        <w:gridCol w:w="864"/>
        <w:gridCol w:w="112"/>
        <w:gridCol w:w="109"/>
        <w:gridCol w:w="109"/>
        <w:gridCol w:w="109"/>
        <w:gridCol w:w="212"/>
        <w:gridCol w:w="998"/>
        <w:gridCol w:w="109"/>
        <w:gridCol w:w="109"/>
        <w:gridCol w:w="109"/>
        <w:gridCol w:w="109"/>
        <w:gridCol w:w="333"/>
        <w:gridCol w:w="998"/>
        <w:gridCol w:w="173"/>
        <w:gridCol w:w="109"/>
        <w:gridCol w:w="109"/>
        <w:gridCol w:w="109"/>
        <w:gridCol w:w="215"/>
        <w:gridCol w:w="1012"/>
        <w:gridCol w:w="166"/>
      </w:tblGrid>
      <w:tr>
        <w:trPr/>
        <w:tc>
          <w:tcPr>
            <w:tcW w:w="74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January 30,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91,114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127,228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987,168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(3,324)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1,111,983</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 Payments adjustment for forfeitures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Recognized interest expense on interest rate swaps (net of tax benefit of $980)</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January 29,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87,079</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198,016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1,268,060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1,466,946</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$0.075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January 28,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76,712</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216,209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1,411,330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1,628,306</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24,377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24,377</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(204,154)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 net of shares withheld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5,484</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 net of shares withheld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14,192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14,201</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$0.09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(27,218)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February 3,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74,350</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242,098</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1,711,809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1,954,650</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01675"/>
                <wp:effectExtent l="0" t="0" r="0" b="0"/>
                <wp:wrapNone/>
                <wp:docPr id="78" name="Frame7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10"/>
        <w:gridCol w:w="1627"/>
        <w:gridCol w:w="1635"/>
        <w:gridCol w:w="109"/>
        <w:gridCol w:w="109"/>
        <w:gridCol w:w="109"/>
        <w:gridCol w:w="246"/>
        <w:gridCol w:w="945"/>
        <w:gridCol w:w="136"/>
        <w:gridCol w:w="109"/>
        <w:gridCol w:w="109"/>
        <w:gridCol w:w="109"/>
        <w:gridCol w:w="251"/>
        <w:gridCol w:w="946"/>
        <w:gridCol w:w="140"/>
        <w:gridCol w:w="109"/>
        <w:gridCol w:w="109"/>
        <w:gridCol w:w="109"/>
        <w:gridCol w:w="249"/>
        <w:gridCol w:w="937"/>
        <w:gridCol w:w="202"/>
      </w:tblGrid>
      <w:tr>
        <w:trPr/>
        <w:tc>
          <w:tcPr>
            <w:tcW w:w="1910"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5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2022</w:t>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519,190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671,381 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110,936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105,274 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16,723</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24,377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39,264 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loan, terminated interest rate swaps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2,739</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(4,247)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79,490 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loss on early retirement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1,525</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89,358</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(181,774)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(50,225)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(18,761)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(142,346)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(50,627)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(26,712)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(58,395)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17,640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535,779</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552,005 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673,265 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(207,770)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(108,304)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(75,802)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2,151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(206,139)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(108,806)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(76,017)</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(103,000)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(103,000)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Award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16,636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5,484</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(7,971)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(202,796)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(489,475)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(411,409)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(27,218)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(318,865)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(592,052)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(488,854)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10,775</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(148,853)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108,394 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337,145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485,998 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347,920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337,145 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485,998 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45,446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132,126</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125,040 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6,687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01675"/>
                <wp:effectExtent l="0" t="0" r="0" b="0"/>
                <wp:wrapNone/>
                <wp:docPr id="79" name="Frame7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1.Nature of Operations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On August 3, 2011, an investment entity owned by investment funds and other entities affiliated with Kohlberg Kravis Roberts &amp; Co. L.P. (collectively, "KKR"), acquired a majority interest in the Company. The Company completed an initial public offering (the "IPO") on October 6, 2020, and upon completion of the September 2021 Secondary Offering (as defined below), KKR no longer holds an ownership interest in the Company.</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is a leading full-line sporting goods and outdoor recreational products retailer in the United States in terms of net sales. As of February 3, 2024, we operated 282 "Academy Sports + Outdoors" retail locations in 18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sans-serif" w:hAnsi="Times New Roman;sans-serif"/>
          <w:b w:val="false"/>
          <w:i/>
          <w:color w:val="000000"/>
          <w:sz w:val="20"/>
        </w:rPr>
        <w:t>academy.com</w:t>
      </w:r>
      <w:r>
        <w:rPr>
          <w:color w:val="000000"/>
        </w:rPr>
        <w:t xml:space="preserve"> </w:t>
      </w:r>
      <w:r>
        <w:rPr>
          <w:rFonts w:ascii="Times New Roman;sans-serif" w:hAnsi="Times New Roman;sans-serif"/>
          <w:b w:val="false"/>
          <w:color w:val="000000"/>
          <w:sz w:val="20"/>
        </w:rPr>
        <w:t>website.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Fiscal Year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represents the 52 or 53 weeks ending on the Saturday closest to January 31 each year. References herein to 2023 relate to the 53-week fiscal year ended February 3, 2024, and references herein to 2022 and 2021 relate to the 52-week fiscal years ended January 28, 2023, and January 29, 2022,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May 2021 Secondary Offering and Stock Repurchase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also included the Company's repurchase and simultaneous retirement of 3,229,974 shares out of the 14,000,000 shares at $30.96 per share, the same price granted to the May 2021 Underwriters, which was at a discount to the prevailing market price at the time of repurchase (see "Share Repurchases" in Note 2). The May 2021 Secondary Offering was completed on May 10, 2021. The Company did not receive any proceeds from the May 2021 Secondary Offering.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01675"/>
                <wp:effectExtent l="0" t="0" r="0" b="0"/>
                <wp:wrapNone/>
                <wp:docPr id="80" name="Frame7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September 2021 Secondary Offering and Stock Repurchase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2021, ASO, Inc. entered into an underwriting agreement (the “September 2021 Underwriting Agreement”), by and among ASO, Inc., Allstar LLC, Allstar Co-Invest Blocker L.P. and KKR 2006 Allstar Blocker L.P. (collectively, the “September 2021 Selling Stockholders”), and Credit Suisse Securities (USA) LLC, as representative of the several underwriters named therein (the “September 2021 Underwriters”), relating to an underwritten offering (the “September 2021 Secondary Offering”) of 18,645,602 shares of common stock at approximately $43.52 per share, pursuant to the Company’s Registration Statement on Form S-1 (File No. 333-259477), filed on September 13, 2021. The September 2021 Secondary Offering also included the Company’s repurchase and simultaneous retirement of 4,500,000 shares out of the 18,645,602 shares of common stock at approximately $43.52, the same price granted to the September 2021 Underwriters, which was at a discount to the prevailing market price at the time of repurchase (see "Share Repurchases" in Note 2). The September 2021 Secondary Offering was completed on September 17, 2021. The Company did not receive any proceeds from the September 2021 Secondary Offering.</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2.Summary of Significant Accounting Policies </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 ASO Co-Invest Blocker Sub, L.P. and ASO Blocker Sub, L.P. were dissolved effective January 31,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of America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merchandise division sales table presented in Note 3, certain products and categories were recategorized among various categories and divisions, respectively, during 2023 to better align with our current merchandising strategy and view of the business. As a result, we have reclassified sales between divisions for 2022 and 2021 for comparability purposes. This reclassification is in divisional presentation only and did not impact the overall net sales balances previously disclosed.</w:t>
      </w:r>
    </w:p>
    <w:p>
      <w:pPr>
        <w:pStyle w:val="TextBody"/>
        <w:bidi w:val="0"/>
        <w:spacing w:lineRule="auto" w:line="288" w:before="180" w:after="20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Financial Instruments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are comprised of cash and cash equivalents, accounts receivable, accounts payable, certain accrued liabilities and debt. The carrying amounts of cash and cash equivalents, accounts receivable, accounts payable and accrued liabilities approximate their fair values due to the short-term nature of those instruments. We have also historically entered into derivative interest rate swaps to reduce the risk that our earnings and cash flows will be affected by changes in interest rates on our debt. The fair value of debt is influenced by fluctuations in market conditions for interest rates (see Note 6). We did not have any derivative financial instruments outstanding as of February 3, 2024 or January 28,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01675"/>
                <wp:effectExtent l="0" t="0" r="0" b="0"/>
                <wp:wrapNone/>
                <wp:docPr id="81" name="Frame7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consists primarily of amounts due from vendors for vendor allowances and other accounts receivable. We provide an allowance for doubtful accounts based on both historical experience and a specific identification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 of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subject us to potential credit risk consist of cash and cash equivalents.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believe that the financial risks associated with these financial instruments are minimal.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merchandise inventories from approximately 1,400 vendors. In each of the years 2023, 2022 and 2021, purchases from our largest vendor represented approximately 11% of our total inventory purchases. No other vendor in any of the aforementioned years exceeded 10% of our purchases. We typically do not enter into long-term inventory purchase commitments, and we did not have any such commitments as of February 3, 2024 or January 28,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war or other disruptions affecting the business or operations of third-party manufacturers located outside of the United States.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geographic concentration in the southern United States subjects us to certain regional risks, such as the state of regional economies, including downturns in the housing market, increased unemployment and gas prices. Other regional risks include legislation, politics, cultural views, severe weather conditions or man-made disasters (such as an oil spill closing large areas of hunting or fishing), fires, heat waves, freezes, hurricanes, tornadoes, large storms and floods and other natural disasters specific to the states in which the Company operates.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Merchandise Inventories, net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Merchandise inventories are stated at the lower of weighted average cost and net realizable value. Merchandise inventories include the direct cost of merchandise and capitalized costs related to procurement, warehousing and distribution and are reflected net of shrinkage, vendor allowances and other valuation reserves. We record an inventory reserve for the estimated shrinkage between physical inventories on a by location basis. We generally perform a full physical inventory count for each store at least once a year, throughout the year, after which our shrinkage accrual rate for each store is updated based on historical results. For vendor allowances based on contractual provisions, we develop accrual rates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 Prior to 2023, we valued merchandise inventories at the lower of the weighted average cost method or LIFO method (see Change in Accounting Principle discussion below). The application of the LIFO inventory method did not result in any LIFO charges or credits affecting cost of sales in 2022 or 2021.</w:t>
      </w:r>
    </w:p>
    <w:p>
      <w:pPr>
        <w:pStyle w:val="TextBody"/>
        <w:bidi w:val="0"/>
        <w:spacing w:lineRule="auto" w:line="288" w:before="18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Principle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As such, there is no impact to the prior periods from the retrospective presentation of the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01675"/>
                <wp:effectExtent l="0" t="0" r="0" b="0"/>
                <wp:wrapNone/>
                <wp:docPr id="82" name="Frame8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pro forma effect to our consolidated financial statements as if the Company had remained on LIFO (amounts in thousands):</w:t>
      </w:r>
    </w:p>
    <w:tbl>
      <w:tblPr>
        <w:tblW w:w="9222"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11"/>
        <w:gridCol w:w="976"/>
        <w:gridCol w:w="109"/>
        <w:gridCol w:w="109"/>
        <w:gridCol w:w="109"/>
        <w:gridCol w:w="109"/>
        <w:gridCol w:w="313"/>
        <w:gridCol w:w="1026"/>
        <w:gridCol w:w="161"/>
        <w:gridCol w:w="109"/>
        <w:gridCol w:w="109"/>
        <w:gridCol w:w="109"/>
        <w:gridCol w:w="255"/>
        <w:gridCol w:w="1179"/>
        <w:gridCol w:w="186"/>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1,191,544 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2,721,453 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1,709,804 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1,952,645 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February 3, 2024</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4,051,695 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2,107,596 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LIFO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Supplier Finance Programs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FASB issued ASU 2022-04: Liabilities - Supplier Finance Programs Disclosure of Supplier Finance Program Obligations. This pronouncement requires that a buyer in a supplier finance program disclose sufficient information about the program to allow a user of the financial statements to understand the program's nature, activity during the period, changes from period to period and potential magnitude. The Company adopted the new guidance as of January 29,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01675"/>
                <wp:effectExtent l="0" t="0" r="0" b="0"/>
                <wp:wrapNone/>
                <wp:docPr id="83" name="Frame8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The following table shows our liability associated with these arrangements, which is presented within accounts payable on the consolidated balance sheets, and the related activity for the periods presented (amounts in thousands):</w:t>
      </w:r>
    </w:p>
    <w:tbl>
      <w:tblPr>
        <w:tblW w:w="7972" w:type="dxa"/>
        <w:jc w:val="left"/>
        <w:tblInd w:w="0" w:type="dxa"/>
        <w:tblLayout w:type="fixed"/>
        <w:tblCellMar>
          <w:top w:w="28" w:type="dxa"/>
          <w:left w:w="28" w:type="dxa"/>
          <w:bottom w:w="28" w:type="dxa"/>
          <w:right w:w="28" w:type="dxa"/>
        </w:tblCellMar>
      </w:tblPr>
      <w:tblGrid>
        <w:gridCol w:w="1489"/>
        <w:gridCol w:w="1309"/>
        <w:gridCol w:w="1312"/>
        <w:gridCol w:w="109"/>
        <w:gridCol w:w="109"/>
        <w:gridCol w:w="109"/>
        <w:gridCol w:w="349"/>
        <w:gridCol w:w="1045"/>
        <w:gridCol w:w="180"/>
        <w:gridCol w:w="109"/>
        <w:gridCol w:w="109"/>
        <w:gridCol w:w="109"/>
        <w:gridCol w:w="351"/>
        <w:gridCol w:w="1027"/>
        <w:gridCol w:w="256"/>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outstanding at the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8,953</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added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44,673</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(46,452)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outstanding at the end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7,174</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pStyle w:val="TextBody"/>
        <w:bidi w:val="0"/>
        <w:spacing w:before="0" w:after="0"/>
        <w:jc w:val="both"/>
        <w:rPr/>
      </w:pPr>
      <w:r>
        <w:rPr/>
      </w:r>
    </w:p>
    <w:tbl>
      <w:tblPr>
        <w:tblW w:w="6491" w:type="dxa"/>
        <w:jc w:val="left"/>
        <w:tblInd w:w="0" w:type="dxa"/>
        <w:tblLayout w:type="fixed"/>
        <w:tblCellMar>
          <w:top w:w="28" w:type="dxa"/>
          <w:left w:w="28" w:type="dxa"/>
          <w:bottom w:w="28" w:type="dxa"/>
          <w:right w:w="28" w:type="dxa"/>
        </w:tblCellMar>
      </w:tblPr>
      <w:tblGrid>
        <w:gridCol w:w="1048"/>
        <w:gridCol w:w="921"/>
        <w:gridCol w:w="925"/>
        <w:gridCol w:w="109"/>
        <w:gridCol w:w="109"/>
        <w:gridCol w:w="109"/>
        <w:gridCol w:w="955"/>
        <w:gridCol w:w="955"/>
        <w:gridCol w:w="1360"/>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Lesser of asset useful life or lease term </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computer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equipment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fixtures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7–10 years</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40 years</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or enhance the functionality of an asset are capitalized and amortized.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Capitalized Computer Software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$33.3 million, $33.3 million and $36.7 million in 2023, 2022 and 2021,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Implementation costs for cloud-based information systems are capitalized in other non-current assets. Amortization of cloud-based software implementation costs is recognized in selling, general and administrative expenses and amortized over the longer of the contract term or expected benefit. The amounts capitalized were $23.5 million, $12.3 million and $3.7 million in 2023, 2022 and 2021, respectively.</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i/>
          <w:color w:val="000000"/>
          <w:sz w:val="20"/>
        </w:rPr>
        <w:t>Capitalized Interest</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capitalized interest primarily related to construction of new stores, store renovations, distribution centers and IT projects in the amount of $2.1 million, $0.6 million and $0.4 million in 2023, 2022 and 2021, respectively. Interest expense, net on the consolidated statement of income is shown net of capitalized interest.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01675"/>
                <wp:effectExtent l="0" t="0" r="0" b="0"/>
                <wp:wrapNone/>
                <wp:docPr id="84" name="Frame8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carrying value of long-lived assets, including store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 As a result of our assessment, we did not record an impairment of long-lived assets in 2023, 2022 and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of an acquired business over the amounts assigned to assets 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 In 2023, 2022 and 2021, we performed a qualitative assessment and determined a quantitative assessment was not necessary.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impairment of goodwill existed for 2023, 2022 or 2021.</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Intangible Assets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primarily consists of the trade name "Academy Sports + Outdoors" (the "Trade Name"). The Trade Name is expected to generate cash flows indefinitely and, therefore, is accounted for as an indefinite-lived asset not subject to amortization.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Trade Name is tested for impairment annually or whenever events or circumstances indicate that the carrying amount of the Trade Name may not be recoverable. The annual Trade Name impairment test provides for the option of first performing a qualitative assessment to evaluate 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 In 2023, 2022 and 2021, we performed a qualitative assessment and determined a quantitative assessment was not necessary.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of intangible assets existed for 2023, 2022 or 2021.</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01675"/>
                <wp:effectExtent l="0" t="0" r="0" b="0"/>
                <wp:wrapNone/>
                <wp:docPr id="85" name="Frame8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Loan Costs</w:t>
      </w:r>
    </w:p>
    <w:p>
      <w:pPr>
        <w:pStyle w:val="TextBody"/>
        <w:bidi w:val="0"/>
        <w:spacing w:before="0" w:after="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ans-serif" w:hAnsi="Times New Roman;sans-serif"/>
          <w:b w:val="false"/>
          <w:color w:val="000000"/>
          <w:sz w:val="20"/>
        </w:rPr>
        <w:t>Costs incurred to issue debt are deferred and recorded in the consolidated balance sheets. Those costs related to the issuance of our term loan and senior notes are recorded in long-term debt, net of current maturities and amortized as a component of interest expense over the terms of the related debt agreement using the effective interest method. The costs related to the issuance of our revolving credit facility is recorded in other noncurrent assets on the consolidated balance sheets and amortized as a component of interest expense over the terms of the related debt agreements using the straight-line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primarily related to changes in interest rates on our Term Loan (see Note 4) and have historically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are recognized at fair value in the consolidated balance sheets (see Note 5). The changes in the fair value of derivative instruments designated as cash flow hedges are recorded in accumulated other comprehensive income ("AOCI"), net of tax effects, and are subsequently reclassified to earnings when the hedged transaction affects earnings. On January 19, 2021, we settled our three remaining outstanding interest rate swaps, which were scheduled to expire on various dates during 2021, for $4.1 million. As of February 3, 2024, we do not have any derivative financial instruments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Self-Insurance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leases in accordance with Accounting Standards Codification ("ASC") 842 which requires that lessees recognize assets and liabilities arising from operating leases on the balance sheet and disclose key information about leasing arrangements.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store locations and all of our corporate office facilities, and warehouse and distribution centers are leased. We may receive reimbursement from a landlord for some or all of the cost of a construction project, which may be structured as a tenant improvement allowance or a construction allowance. Cash received from a landlord for tenant improvement allowances in store lease transactions are a reduction to the right-of-use assets on the balance sheet, which are amortized ratably over the remaining terms of the corresponding leases. Cash received for construction allowances is a reimbursement of certain spend incurred in the construction of the premises on behalf of the landlord, where the landlord owns the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each lease and non-lease components for our building leases as a single lease component which allows certain costs such as common area maintenance associated with these leases to be included as rent expense. We exclude leases with contract terms of 12 months or less from ASC 842 accounting treatment, which results in straight-line recognition of the cost over the lease term with no associated balance sheet lease liability or right-of-use asset.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01675"/>
                <wp:effectExtent l="0" t="0" r="0" b="0"/>
                <wp:wrapNone/>
                <wp:docPr id="86" name="Frame8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w:t>
      </w:r>
      <w:r>
        <w:rPr>
          <w:color w:val="3051F2"/>
        </w:rPr>
        <w:t xml:space="preserve"> </w:t>
      </w:r>
      <w:r>
        <w:rPr>
          <w:rFonts w:ascii="Times New Roman;sans-serif" w:hAnsi="Times New Roman;sans-serif"/>
          <w:b w:val="false"/>
          <w:color w:val="000000"/>
          <w:sz w:val="20"/>
        </w:rPr>
        <w:t>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includes the direct cost of merchandise and costs related to procurement, warehousing and distribution. These costs consist primarily of payroll and benefits, occupancy costs and freight.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Shipping and Handling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billed to customers are included in net sales. Shipping and handling costs that we incur associated with shipping products to customers are included in cost of goods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Vendor Allowances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such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store and corporate administrative payroll and payroll benefits, store and corporate headquarters occupancy costs, depreciation, advertising, credit card processing, information technology, pre-opening costs and other store and administrative expenses.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Advertising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Advertising expenses, net of specific vendor allowances, were $153.7 million, $144.5 million and $151.2 million in 2023, 2022 and 2021, respectively.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01675"/>
                <wp:effectExtent l="0" t="0" r="0" b="0"/>
                <wp:wrapNone/>
                <wp:docPr id="87" name="Frame8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Pre-Opening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Non-capital expenditures associated with opening new stores and distribution centers prior to sales generation or start of operations, which consist primarily of occupancy costs, marketing, payroll and recruiting costs, are expensed as incurred. The following table summarizes our pre-opening expense activity for the periods presented:</w:t>
      </w:r>
    </w:p>
    <w:p>
      <w:pPr>
        <w:pStyle w:val="TextBody"/>
        <w:bidi w:val="0"/>
        <w:spacing w:before="0" w:after="0"/>
        <w:ind w:left="0" w:right="0" w:firstLine="360"/>
        <w:jc w:val="both"/>
        <w:rPr/>
      </w:pPr>
      <w:r>
        <w:rPr/>
      </w:r>
    </w:p>
    <w:tbl>
      <w:tblPr>
        <w:tblW w:w="8391" w:type="dxa"/>
        <w:jc w:val="left"/>
        <w:tblInd w:w="0" w:type="dxa"/>
        <w:tblLayout w:type="fixed"/>
        <w:tblCellMar>
          <w:top w:w="28" w:type="dxa"/>
          <w:left w:w="28" w:type="dxa"/>
          <w:bottom w:w="28" w:type="dxa"/>
          <w:right w:w="28" w:type="dxa"/>
        </w:tblCellMar>
      </w:tblPr>
      <w:tblGrid>
        <w:gridCol w:w="1063"/>
        <w:gridCol w:w="936"/>
        <w:gridCol w:w="940"/>
        <w:gridCol w:w="457"/>
        <w:gridCol w:w="880"/>
        <w:gridCol w:w="237"/>
        <w:gridCol w:w="109"/>
        <w:gridCol w:w="109"/>
        <w:gridCol w:w="109"/>
        <w:gridCol w:w="462"/>
        <w:gridCol w:w="887"/>
        <w:gridCol w:w="240"/>
        <w:gridCol w:w="109"/>
        <w:gridCol w:w="109"/>
        <w:gridCol w:w="109"/>
        <w:gridCol w:w="447"/>
        <w:gridCol w:w="860"/>
        <w:gridCol w:w="328"/>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new stores opened</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 (in millions)</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Equity Compensation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equity compensation in accordance with ASC 718,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recognize forfeitures as they occur.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8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authorized a new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2023 Share Repurchase Program, the 2022 Share Repurchase Program and the 2021 Share Repurchase Program are collectively referred to as the "Share Repurchase Programs".</w:t>
      </w:r>
    </w:p>
    <w:p>
      <w:pPr>
        <w:pStyle w:val="TextBody"/>
        <w:bidi w:val="0"/>
        <w:spacing w:lineRule="auto" w:line="288" w:before="18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pStyle w:val="TextBody"/>
        <w:bidi w:val="0"/>
        <w:spacing w:lineRule="auto" w:line="288" w:before="18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 repurchases for the periods presented:</w:t>
      </w:r>
    </w:p>
    <w:tbl>
      <w:tblPr>
        <w:tblW w:w="9799" w:type="dxa"/>
        <w:jc w:val="left"/>
        <w:tblInd w:w="0" w:type="dxa"/>
        <w:tblLayout w:type="fixed"/>
        <w:tblCellMar>
          <w:top w:w="28" w:type="dxa"/>
          <w:left w:w="28" w:type="dxa"/>
          <w:bottom w:w="28" w:type="dxa"/>
          <w:right w:w="28" w:type="dxa"/>
        </w:tblCellMar>
      </w:tblPr>
      <w:tblGrid>
        <w:gridCol w:w="1455"/>
        <w:gridCol w:w="1280"/>
        <w:gridCol w:w="1284"/>
        <w:gridCol w:w="109"/>
        <w:gridCol w:w="109"/>
        <w:gridCol w:w="109"/>
        <w:gridCol w:w="355"/>
        <w:gridCol w:w="1037"/>
        <w:gridCol w:w="183"/>
        <w:gridCol w:w="109"/>
        <w:gridCol w:w="109"/>
        <w:gridCol w:w="109"/>
        <w:gridCol w:w="358"/>
        <w:gridCol w:w="1047"/>
        <w:gridCol w:w="185"/>
        <w:gridCol w:w="109"/>
        <w:gridCol w:w="109"/>
        <w:gridCol w:w="109"/>
        <w:gridCol w:w="351"/>
        <w:gridCol w:w="1027"/>
        <w:gridCol w:w="256"/>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Shares Repurchased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3,651,231 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11,903,636 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10,566,796 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Aggregate amount paid (amounts in millions)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Purchases for the fiscal year ended January 29, 2022, include purchases that were made prior to our Share Repurchase Programs.</w:t>
            </w:r>
          </w:p>
        </w:tc>
      </w:tr>
      <w:tr>
        <w:trPr/>
        <w:tc>
          <w:tcPr>
            <w:tcW w:w="9799"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Includes estimated excise tax fees of $1.4 million for the fiscal year ended February 3,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01675"/>
                <wp:effectExtent l="0" t="0" r="0" b="0"/>
                <wp:wrapNone/>
                <wp:docPr id="88" name="Frame8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February 3, 2024, we no longer had availability under the 2021 Share Repurchase Program, and we had $696.7 million available for share repurchases pursuant to the combined 2023 Share Repurchase Program and 2022 Share Repurchase Program. </w:t>
      </w:r>
    </w:p>
    <w:p>
      <w:pPr>
        <w:pStyle w:val="TextBody"/>
        <w:bidi w:val="0"/>
        <w:spacing w:before="0" w:after="0"/>
        <w:ind w:left="0" w:right="0" w:firstLine="446"/>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received and recognized approximately $7.2 million in business interruption proceeds due to the suspension of normal operations at some of our Texas store locations, as well as our e-commerce platform, for several days in February of 2021 as a result of a winter storm which had a significant impact on the energy infrastructure in the state of Texas. Additionally, during the fourth quarter of 2022 the Company completed a sale in which we factored rights to pursue a legal matter pertaining to the overpayment of certain tariffs and we received and recognized net proceeds of approximately $3.7 million. The proceeds for both events are included in Other (income), net on the Consolidated Statements of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settled a legal matter with credit card companies pertaining to the overcharge of credit card interchange fees for prior periods dating back to 2004. In connection with this settlement, we recognized a net gain of approximately $15.9 million in Other (income), net on the Consolidated Statements of Income.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Comprehensive Income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represents the net income for the period plus the results of certain changes to stockholders' equity (other comprehensive income) that are not reflected in the consolidated statements of income. Other comprehensive income consists of adjustments, net of tax, related to the Company’s historical ownership of interest rate swaps.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Segment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Given the similar business activities, economic characteristics, products sold, customer base and methods of procurement, as well as the similar marketing and promotional activities of our stores and our </w:t>
      </w:r>
      <w:r>
        <w:rPr>
          <w:rFonts w:ascii="Times New Roman;sans-serif" w:hAnsi="Times New Roman;sans-serif"/>
          <w:b w:val="false"/>
          <w:i/>
          <w:color w:val="000000"/>
          <w:sz w:val="20"/>
        </w:rPr>
        <w:t>academy.com</w:t>
      </w:r>
      <w:r>
        <w:rPr>
          <w:color w:val="000000"/>
        </w:rPr>
        <w:t xml:space="preserve"> </w:t>
      </w:r>
      <w:r>
        <w:rPr>
          <w:rFonts w:ascii="Times New Roman;sans-serif" w:hAnsi="Times New Roman;sans-serif"/>
          <w:b w:val="false"/>
          <w:color w:val="000000"/>
          <w:sz w:val="20"/>
        </w:rPr>
        <w:t>website, we report our financial results as one reportable segment. Substantially all of the Company’s identifiable assets are located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01675"/>
                <wp:effectExtent l="0" t="0" r="0" b="0"/>
                <wp:wrapNone/>
                <wp:docPr id="89" name="Frame8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 Rate Reform</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In December 2022, the FASB issued ASU 2022-06 which extended the effectiveness of this guidance to December 31, 2024. The Company elected to utilize these optional expedients in connection with the amendments to our ABL Facility and Term Loan, which transitioned from LIBOR to the Secured Overnight Financing Rate (“SOFR”) on March 30, 2023 and August 1, 2023, respectively (see Note 4).</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Improvements to Income Tax Disclosures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Improvements to Income Tax Disclosures.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fiscal years beginning after December 15, 2024 and should be applied on a prospective basis with the option to apply the standard retrospectively. The Company is currently evaluating the impact that the adoption of this accounting standard will have on its financial disclosures.</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is currently evaluating the impact that the adoption of this accounting standard will have on its financial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01675"/>
                <wp:effectExtent l="0" t="0" r="0" b="0"/>
                <wp:wrapNone/>
                <wp:docPr id="90" name="Frame8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3.Net Sales</w:t>
      </w:r>
    </w:p>
    <w:p>
      <w:pPr>
        <w:pStyle w:val="TextBody"/>
        <w:bidi w:val="0"/>
        <w:spacing w:before="0" w:after="0"/>
        <w:ind w:left="0" w:right="0" w:hanging="18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amount of sales (all of which are based in the U.S.) by merchandise divisions for the periods presented (amounts in thousands):</w:t>
      </w:r>
    </w:p>
    <w:tbl>
      <w:tblPr>
        <w:tblW w:w="8524"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253"/>
        <w:gridCol w:w="1191"/>
        <w:gridCol w:w="131"/>
        <w:gridCol w:w="109"/>
        <w:gridCol w:w="109"/>
        <w:gridCol w:w="109"/>
        <w:gridCol w:w="259"/>
        <w:gridCol w:w="1198"/>
        <w:gridCol w:w="133"/>
        <w:gridCol w:w="109"/>
        <w:gridCol w:w="109"/>
        <w:gridCol w:w="109"/>
        <w:gridCol w:w="257"/>
        <w:gridCol w:w="1190"/>
        <w:gridCol w:w="18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Merchandise division sales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Outdoors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1,727,018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1,819,418 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2,060,046 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Sports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1,452,377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1,577,776 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1,710,838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1,810,345 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Footwear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1,235,643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1,290,197 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Total merchandise sales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6,125,876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6,357,825 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6,738,364 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sales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33,415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6,159,291</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6,395,073 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6,773,128 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(1)Certain products and categories were re-categorized among various categories and divisions, respectively, during 2023 to better align with our current merchandising strategy and view of the business. As a result, we have reclassified sales between divisions for 2022 and 2021 for comparability purposes. This reclassification is in divisional presentation only and did not impact the overall net sales balances previously disclosed (see Note 2).</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(2)E-commerce sales consisted of 10.7%, 10.7% and 9.3% of merchandise sales for 2023, 2022 and 2021, respectively. </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(3)Other sales consists primarily of the gift card breakage income, credit card bounties and royalties, shipping income, net hunting and fishing license income, sales return allowance and other items.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gift cards in stores, online and in third-party retail locations. The gift cards we sell have no expiration dates. A liability for gift cards, which is recorded in accrued expenses and other liabilities on our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gift card liability (amounts in thousands):</w:t>
      </w:r>
    </w:p>
    <w:tbl>
      <w:tblPr>
        <w:tblW w:w="9017" w:type="dxa"/>
        <w:jc w:val="left"/>
        <w:tblInd w:w="0" w:type="dxa"/>
        <w:tblLayout w:type="fixed"/>
        <w:tblCellMar>
          <w:top w:w="28" w:type="dxa"/>
          <w:left w:w="28" w:type="dxa"/>
          <w:bottom w:w="28" w:type="dxa"/>
          <w:right w:w="28" w:type="dxa"/>
        </w:tblCellMar>
      </w:tblPr>
      <w:tblGrid>
        <w:gridCol w:w="1171"/>
        <w:gridCol w:w="1032"/>
        <w:gridCol w:w="1036"/>
        <w:gridCol w:w="109"/>
        <w:gridCol w:w="109"/>
        <w:gridCol w:w="109"/>
        <w:gridCol w:w="314"/>
        <w:gridCol w:w="1098"/>
        <w:gridCol w:w="162"/>
        <w:gridCol w:w="109"/>
        <w:gridCol w:w="109"/>
        <w:gridCol w:w="109"/>
        <w:gridCol w:w="322"/>
        <w:gridCol w:w="1101"/>
        <w:gridCol w:w="166"/>
        <w:gridCol w:w="109"/>
        <w:gridCol w:w="109"/>
        <w:gridCol w:w="109"/>
        <w:gridCol w:w="317"/>
        <w:gridCol w:w="1086"/>
        <w:gridCol w:w="231"/>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Gift card liability,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134,741</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136,553 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(124,370)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as breakage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Gift card liability,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94,155</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01675"/>
                <wp:effectExtent l="0" t="0" r="0" b="0"/>
                <wp:wrapNone/>
                <wp:docPr id="91" name="Frame8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4.Long-Term Debt</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debt consisted of the following (amounts in thousands) as of:</w:t>
      </w:r>
    </w:p>
    <w:tbl>
      <w:tblPr>
        <w:tblW w:w="7341" w:type="dxa"/>
        <w:jc w:val="left"/>
        <w:tblInd w:w="0" w:type="dxa"/>
        <w:tblLayout w:type="fixed"/>
        <w:tblCellMar>
          <w:top w:w="28" w:type="dxa"/>
          <w:left w:w="28" w:type="dxa"/>
          <w:bottom w:w="28" w:type="dxa"/>
          <w:right w:w="28" w:type="dxa"/>
        </w:tblCellMar>
      </w:tblPr>
      <w:tblGrid>
        <w:gridCol w:w="1260"/>
        <w:gridCol w:w="1108"/>
        <w:gridCol w:w="1111"/>
        <w:gridCol w:w="109"/>
        <w:gridCol w:w="109"/>
        <w:gridCol w:w="109"/>
        <w:gridCol w:w="290"/>
        <w:gridCol w:w="1135"/>
        <w:gridCol w:w="149"/>
        <w:gridCol w:w="109"/>
        <w:gridCol w:w="109"/>
        <w:gridCol w:w="109"/>
        <w:gridCol w:w="289"/>
        <w:gridCol w:w="1134"/>
        <w:gridCol w:w="211"/>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ABL Facility, due November 2025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491,750 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594,750 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on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deferred loan costs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484,551 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On March 8, 2024, the Company issued a press release announcing that the Company had entered into an amendment to the First Amended and Restated ABL Credit Agreement which, among other things, extended the maturity of our asset-based revolving credit facility to March 8, 2029. See Note 17 to the accompanying financial statements for further disclosures regarding the amendment.</w:t>
      </w:r>
    </w:p>
    <w:p>
      <w:pPr>
        <w:pStyle w:val="TextBody"/>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(2) Deferred loan costs are related to the Term Loan and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and January 28, 2023, the balance in deferred loan costs related to the ABL Facility (as defined below) was approximately $2.1 million and $3.2 million, respectively, and was included in other noncurrent assets on our consolidated balance sheets. Total amortization of deferred loan costs was $2.4 million, $2.6 million and $2.7 million in 2023, 2022 and 2021, respectively. Total expenses related to accretion of original issuance discount were $0.3 million, $0.4 million and $0.5 million in 2023, 2022 and 2021, respectively. The expenses related to amortization of deferred loan costs and accretion of original issuance discount are included in interest expense, net on the consolidated statements of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2021, the Company refinanced its 2020 Term Loan and paid down approximately $99.0 million of the 2020 Term Loan. On December 15, 2022 and February 1, 2024, the Company utilized cash on hand to voluntarily prepay $100.0 million of outstanding borrowings of the Term Loan, respectively.</w:t>
      </w:r>
    </w:p>
    <w:p>
      <w:pPr>
        <w:pStyle w:val="TextBody"/>
        <w:bidi w:val="0"/>
        <w:spacing w:lineRule="auto" w:line="288" w:before="180" w:after="283"/>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Term Loan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2020 Term Loan and then amendments thereto collectively as the "Term Loan".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as a part of the Refinancing Transactions, Academy, Ltd. entered into a seven-year $400.0 million senior secured term loan (the "2020 Term Loan") with Credit Suisse AG, Cayman Island Branch ("Credit Suisse"), as the administrative agent and collateral agent and the several other lenders and parties.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In connection with the 2020 Term Loan, the Company capitalized related professional fees of $5.8 million as deferred loan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2021, Academy, Ltd. entered into Amendment No. 4 (the “2021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2021 Amendment, the “Amended Credit Agreement”). Pursuant to the terms of the 2021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In connection with the principal payment in the 2021 Amendment, the Company recognized a non-cash loss on early retirement of debt of $2.2 million in 2021 from the write-off of deferred loan costs related to the original issuance discount associated with our 2020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01675"/>
                <wp:effectExtent l="0" t="0" r="0" b="0"/>
                <wp:wrapNone/>
                <wp:docPr id="92" name="Frame9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2022, the Company utilized cash on hand to voluntarily prepay $100.0 million of outstanding borrowings under the Term Loan. In connection with this principal payment, the Company recognized a non-cash loss on early retirement of debt of $2.0 million in 2022 from the write-off of deferred loan costs related to the original issuance discount associated with the Term Loan.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Academy, Ltd. entered into a Conforming Changes Amendment (the "2023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As of February 3, 2024, the weighted average interest rate was 9.19%, with interest payable monthly. Quarterly principal payments of $750.0 thousand are required through September 30, 2027 and borrowings mature on November 6, 2027. The terms and conditions of the Term Loan also require that the outstanding balance under the Term Loan is prepaid under certain circumstances.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2024, the Company utilized cash on hand to voluntarily prepay $100.0 million of outstanding borrowings under the Term Loan. In connection with this principal payment, the Company recognized a non-cash loss on early retirement of debt of $1.5 million in 2023 from the write-off of deferred loan costs related to the original issuance discount associated with the Term Loan.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events of default such as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 As of February 3, 2024, no prepayment was due under the terms and conditions of the Term Loan.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as a part of the Refinancing Transactions, Academy, Ltd. issued $400.0 million of 6.00% senior secured notes which are due November 15, 2027 (the "Notes"), pursuant to an indenture, dated as of November 6, 2020 (the "Indenture"), with Academy, Ltd. the Guarantors (as defined below) and The Bank of New York Mellon Trust Company, N.A., as trustee and collateral agent (in such capacity, the "Notes Collateral Agent"). The Notes pay interest semi-annually in arrears in cash on May 15 and November 15 of each year at a rate of 6.00% per year, which commenced on May 15, 2021. In connection with issuance of the Notes, the Company capitalized related professional fees of $5.2 million as deferred loan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occurrence of certain events constituting a Change of Control (as defined in the Indenture), Academy, Ltd. will be required to make an offer to repurchase all of the Notes at a price equal to 101% of the principal amount thereof, plus accrued and unpaid interest, if any, to, but excluding, the repurchase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01675"/>
                <wp:effectExtent l="0" t="0" r="0" b="0"/>
                <wp:wrapNone/>
                <wp:docPr id="93" name="Frame9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ABL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2020 ABL Facility and the amendments thereto collectively as the "ABL Facility".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as a part of the Refinancing Transactions, Academy, Ltd., as borrower, and the Guarantors, as guarantors, amended the previously existing secured asset-based revolving credit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(the "2020 ABL Facility"), among other things, extended the maturity of Academy, Ltd.’s asset-based revolving credit facility thereunder to November 6, 2025. In connection with the 2020 ABL Facility, the Company capitalized related professional fees of $3.1 million as deferred loan costs.</w:t>
      </w:r>
    </w:p>
    <w:p>
      <w:pPr>
        <w:pStyle w:val="TextBody"/>
        <w:bidi w:val="0"/>
        <w:spacing w:lineRule="auto" w:line="26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3, 2024, we had outstanding letters of credit of approximately $11.6 million, all of which were issued under the ABL Facility, and we had no borrowings outstanding under the ABL Facility, leaving the available borrowing capacity under the ABL Facility of $881.4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ABL Facility bear interest, at our election, at either of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February 3, 2024, no future prepayments of outstanding loans have been triggered under the terms and conditions of the ABL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2024, the Company issued a press release announcing that the Company had entered into an amendment to the First Amended and Restated ABL Credit Agreement which, among other things, extended the maturity of our asset-based revolving credit facility to March 8, 2029. See Note 17 to the accompanying financial statements for further disclosures regarding the amendment.</w:t>
      </w:r>
    </w:p>
    <w:p>
      <w:pPr>
        <w:pStyle w:val="TextBody"/>
        <w:bidi w:val="0"/>
        <w:spacing w:lineRule="auto" w:line="288" w:before="180" w:after="283"/>
        <w:ind w:left="0" w:right="0" w:firstLine="360"/>
        <w:jc w:val="both"/>
        <w:rPr/>
      </w:pPr>
      <w:r>
        <w:rPr>
          <w:rFonts w:ascii="Times New Roman;sans-serif" w:hAnsi="Times New Roman;sans-serif"/>
          <w:b/>
          <w:i/>
          <w:color w:val="000000"/>
          <w:sz w:val="20"/>
          <w:u w:val="single"/>
        </w:rPr>
        <w:t>Liens and guarantees.</w:t>
      </w:r>
      <w:r>
        <w:rPr>
          <w:color w:val="000000"/>
        </w:rPr>
        <w:t xml:space="preserve"> </w:t>
      </w:r>
      <w:r>
        <w:rPr>
          <w:rFonts w:ascii="Times New Roman;sans-serif" w:hAnsi="Times New Roman;sans-serif"/>
          <w:b w:val="false"/>
          <w:color w:val="000000"/>
          <w:sz w:val="20"/>
        </w:rPr>
        <w:t>The ABL Facility has a first priority lien on all Academy, Ltd.'s cash, accounts receivable, inventory, deposit and securities accounts and proceeds therefrom (the "ABL Collateral"). Additionally, the ABL Facility has a second priority lien on all other collateral of the Term Loan. All obligations under the Term Loan and the guarantees of those obligations are secured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second-priority security interest in the ABL Collateral;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first-priority security interest in, and mortgages on, substantially all present and after acquired tangible and intangible assets of Academy, Ltd and the Guarantors;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first-priority pledge of 100% of the capital stock of Academy, Ltd. and its domestic subsidiaries and 66% of the voting capital stock of each of Academy, Ltd.'s foreign subsidiaries, if any, that are directly owned by Academy, Ltd. or a future U.S. guarantor,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01675"/>
                <wp:effectExtent l="0" t="0" r="0" b="0"/>
                <wp:wrapNone/>
                <wp:docPr id="94" name="Frame9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is guaranteed by the Guarantors on a senior secured basis. All obligations under the Term Loan and the guarantees of those obligations will be secured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second-priority security interest in the ABL Priority Collateral;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first-priority security interest in, and mortgages on, substantially all present and after acquired tangible and intangible assets of Academy and the Guarantors;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first-priority pledge of 100% of the capital stock of Academy and its domestic subsidiaries and 66% of the voting capital stock of each of Academy’s foreign subsidiaries, if any, that are directly owned by Academy or a future U.S. guarantor, if 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secure the Notes and the guarantees, Academy, Ltd. and the Guarantors entered into certain security documents with the Notes Collateral Agent, including a security agreement and a pledge agreement, each dated as of November 6, 2020. The Notes and the guarantees are secured by: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first-priority lien on all of Academy, Ltd.’s and the Guarantors’ personal property that secure the Term Loan on a first-priority basis;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second-priority lien on Academy, Ltd.’s and the Guarantors’ personal property consisting of accounts and all other rights to payment, inventory, tax refunds, cash, deposit accounts, securities and commodities accounts, and documents and supporting obligations, securing the ABL Facility on a first-priority basis and the Term Loan on a second-priority basis (the "ABL Priority Collateral").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u w:val="single"/>
        </w:rPr>
        <w:t>Covenants.</w:t>
      </w:r>
      <w:r>
        <w:rPr>
          <w:color w:val="000000"/>
        </w:rPr>
        <w:t xml:space="preserve"> </w:t>
      </w:r>
      <w:r>
        <w:rPr>
          <w:rFonts w:ascii="Times New Roman;sans-serif" w:hAnsi="Times New Roman;sans-serif"/>
          <w:b w:val="false"/>
          <w:color w:val="000000"/>
          <w:sz w:val="20"/>
        </w:rPr>
        <w:t>The ABL Facility, Term Loan and Notes agreements contain covenants, including, among other things, covenants that may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February 3,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scheduled principal payments on our debt are as follows (amounts in thousands):</w:t>
      </w:r>
    </w:p>
    <w:p>
      <w:pPr>
        <w:pStyle w:val="TextBody"/>
        <w:bidi w:val="0"/>
        <w:spacing w:before="0" w:after="0"/>
        <w:ind w:left="0" w:right="0" w:firstLine="360"/>
        <w:jc w:val="both"/>
        <w:rPr/>
      </w:pPr>
      <w:r>
        <w:rPr/>
      </w:r>
    </w:p>
    <w:tbl>
      <w:tblPr>
        <w:tblW w:w="2286" w:type="dxa"/>
        <w:jc w:val="right"/>
        <w:tblInd w:w="0" w:type="dxa"/>
        <w:tblLayout w:type="fixed"/>
        <w:tblCellMar>
          <w:top w:w="28" w:type="dxa"/>
          <w:left w:w="28" w:type="dxa"/>
          <w:bottom w:w="28" w:type="dxa"/>
          <w:right w:w="28" w:type="dxa"/>
        </w:tblCellMar>
      </w:tblPr>
      <w:tblGrid>
        <w:gridCol w:w="396"/>
        <w:gridCol w:w="349"/>
        <w:gridCol w:w="350"/>
        <w:gridCol w:w="211"/>
        <w:gridCol w:w="82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8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5.Derivative Financial Instruments</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used interest rate swap agreements to hedge market risk relating to possible adverse changes in interest rates.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interest rate swaps had been designated as cash flow hedges of variable rate interest payments on borrowings under the Term Loan. On January 19, 2021, we settled our three outstanding interest rate swaps in full, which were scheduled to expire on various dates during 2021, for $4.1 million. As of February 3, 2024, we do not have any derivative financial instruments outstanding.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derivatives previously designated as hedging instruments, amounts included in AOCI were reclassified to interest expense in the same period during which the hedged transaction affected earnings, which is as interest expense was recorded on the underlying Term Loan.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01675"/>
                <wp:effectExtent l="0" t="0" r="0" b="0"/>
                <wp:wrapNone/>
                <wp:docPr id="95" name="Frame9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gains and losses related to interest rate swaps that were deferred into AOCI and subsequently reclassified into expense is as follows (amounts in thousands):</w:t>
      </w:r>
    </w:p>
    <w:tbl>
      <w:tblPr>
        <w:tblW w:w="10205" w:type="dxa"/>
        <w:jc w:val="left"/>
        <w:tblInd w:w="0" w:type="dxa"/>
        <w:tblLayout w:type="fixed"/>
        <w:tblCellMar>
          <w:top w:w="28" w:type="dxa"/>
          <w:left w:w="28" w:type="dxa"/>
          <w:bottom w:w="28" w:type="dxa"/>
          <w:right w:w="28" w:type="dxa"/>
        </w:tblCellMar>
      </w:tblPr>
      <w:tblGrid>
        <w:gridCol w:w="1927"/>
        <w:gridCol w:w="1690"/>
        <w:gridCol w:w="1698"/>
        <w:gridCol w:w="109"/>
        <w:gridCol w:w="109"/>
        <w:gridCol w:w="109"/>
        <w:gridCol w:w="374"/>
        <w:gridCol w:w="721"/>
        <w:gridCol w:w="194"/>
        <w:gridCol w:w="109"/>
        <w:gridCol w:w="109"/>
        <w:gridCol w:w="109"/>
        <w:gridCol w:w="366"/>
        <w:gridCol w:w="703"/>
        <w:gridCol w:w="190"/>
        <w:gridCol w:w="109"/>
        <w:gridCol w:w="109"/>
        <w:gridCol w:w="109"/>
        <w:gridCol w:w="276"/>
        <w:gridCol w:w="880"/>
        <w:gridCol w:w="205"/>
      </w:tblGrid>
      <w:tr>
        <w:trPr/>
        <w:tc>
          <w:tcPr>
            <w:tcW w:w="192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beginning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to interest expense (net of tax benefit of $980.0 million for the year ended January 29,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8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6.Fair Value Measurements</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are classified as either:</w:t>
      </w:r>
    </w:p>
    <w:p>
      <w:pPr>
        <w:pStyle w:val="TextBody"/>
        <w:bidi w:val="0"/>
        <w:spacing w:before="0" w:after="0"/>
        <w:ind w:left="0" w:right="0" w:hanging="180"/>
        <w:jc w:val="both"/>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Level 1 which represents valuations based on unadjusted quoted prices in active markets that are accessible at the measurement date for identical, unrestricted assets or liabilities;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Level 3 which represents valuations based on prices or valuation techniques that require inputs that are both significant to the fair value measurement and unobservable (i.e., supported by little or no market activity).</w:t>
      </w:r>
    </w:p>
    <w:p>
      <w:pPr>
        <w:pStyle w:val="TextBody"/>
        <w:bidi w:val="0"/>
        <w:spacing w:before="0" w:after="0"/>
        <w:ind w:left="0" w:right="0" w:hanging="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Financial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we make cash investments in money market funds comprised of U.S. Government treasury bills and securities, which are classified as cash and redeemable on demand. We held investments in money market funds of $303.4 million and $95.6 million as of February 3, 2024 and January 28, 2023, respectively.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Term Loan and Notes is estimated using a discounted cash flow analysis based on quoted market prices for the instrument in an inactive market and is therefore classified as Level 2 within the fair value hierarchy. As of February 3, 2024 and January 28, 2023, the estimated fair value of the Term Loan and Notes was $0.5 billion and $0.6 billion, respectively. As borrowings on the ABL Facility are generally repaid in less than 12 months, we believe that fair value approximates the carrying value.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01675"/>
                <wp:effectExtent l="0" t="0" r="0" b="0"/>
                <wp:wrapNone/>
                <wp:docPr id="96" name="Frame9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7.Property and Equipment</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(amounts in thousands) as of:</w:t>
      </w:r>
    </w:p>
    <w:tbl>
      <w:tblPr>
        <w:tblW w:w="7225" w:type="dxa"/>
        <w:jc w:val="left"/>
        <w:tblInd w:w="0" w:type="dxa"/>
        <w:tblLayout w:type="fixed"/>
        <w:tblCellMar>
          <w:top w:w="28" w:type="dxa"/>
          <w:left w:w="28" w:type="dxa"/>
          <w:bottom w:w="28" w:type="dxa"/>
          <w:right w:w="28" w:type="dxa"/>
        </w:tblCellMar>
      </w:tblPr>
      <w:tblGrid>
        <w:gridCol w:w="1336"/>
        <w:gridCol w:w="1174"/>
        <w:gridCol w:w="1180"/>
        <w:gridCol w:w="286"/>
        <w:gridCol w:w="1141"/>
        <w:gridCol w:w="147"/>
        <w:gridCol w:w="109"/>
        <w:gridCol w:w="109"/>
        <w:gridCol w:w="109"/>
        <w:gridCol w:w="289"/>
        <w:gridCol w:w="1134"/>
        <w:gridCol w:w="211"/>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571,785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software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688,143</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398,415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38,873</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land</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14,919</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1,712,135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(1,266,926)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445,209</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351,424 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$110.9 million, $106.8 million and $105.3 million in 2023, 2022 and 2021,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8.Accrued Expenses and Other Current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(amounts in thousands) as of:</w:t>
      </w:r>
    </w:p>
    <w:p>
      <w:pPr>
        <w:pStyle w:val="TextBody"/>
        <w:bidi w:val="0"/>
        <w:spacing w:before="0" w:after="0"/>
        <w:ind w:left="0" w:right="0" w:firstLine="360"/>
        <w:jc w:val="left"/>
        <w:rPr/>
      </w:pPr>
      <w:r>
        <w:rPr/>
      </w:r>
    </w:p>
    <w:tbl>
      <w:tblPr>
        <w:tblW w:w="7360" w:type="dxa"/>
        <w:jc w:val="left"/>
        <w:tblInd w:w="0" w:type="dxa"/>
        <w:tblLayout w:type="fixed"/>
        <w:tblCellMar>
          <w:top w:w="28" w:type="dxa"/>
          <w:left w:w="28" w:type="dxa"/>
          <w:bottom w:w="28" w:type="dxa"/>
          <w:right w:w="28" w:type="dxa"/>
        </w:tblCellMar>
      </w:tblPr>
      <w:tblGrid>
        <w:gridCol w:w="1384"/>
        <w:gridCol w:w="1217"/>
        <w:gridCol w:w="1224"/>
        <w:gridCol w:w="286"/>
        <w:gridCol w:w="1141"/>
        <w:gridCol w:w="147"/>
        <w:gridCol w:w="109"/>
        <w:gridCol w:w="109"/>
        <w:gridCol w:w="109"/>
        <w:gridCol w:w="289"/>
        <w:gridCol w:w="1134"/>
        <w:gridCol w:w="211"/>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6,717</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personnel costs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30,899</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1,818</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and use tax</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14,828</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15,269</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gift cards and other</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96,688</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9,313</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14,239</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allowance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6,400</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21,761</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217,932</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9.Share-Based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previously existing share-based compensation plan, the NAHC 2011 Unit Incentive Plan (the "2011 Unit Incentive Plan"), was frozen and no further issuances will be permitted as part of the 2011 Unit Incentive Plan. On June 1, 2023, our stockholders approved the First Amendment to the 2020 Omnibus Incentive Plan, which, among other changes, increased the number of shares available for issuance thereunder by 2,600,000 shares. As of February 3, 2024, there were 4,534,051 shares that were authorized and available for grant under the 2020 Omnibus Incentive Plan.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ASO, Inc. Board of Directors adopted the 2020 Employee Stock Purchase Plan (the "ESPP"), which became effective on October 1, 2020. We have reserved a total of 2,000,000 shares and as of February 3, 2024, there were 1,593,760 shares authorized and available for future issuance under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01675"/>
                <wp:effectExtent l="0" t="0" r="0" b="0"/>
                <wp:wrapNone/>
                <wp:docPr id="97" name="Frame9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total stock-based compensation recognized in the consolidated statements of income (amounts in thousands):</w:t>
      </w:r>
    </w:p>
    <w:tbl>
      <w:tblPr>
        <w:tblW w:w="8553" w:type="dxa"/>
        <w:jc w:val="left"/>
        <w:tblInd w:w="0" w:type="dxa"/>
        <w:tblLayout w:type="fixed"/>
        <w:tblCellMar>
          <w:top w:w="28" w:type="dxa"/>
          <w:left w:w="28" w:type="dxa"/>
          <w:bottom w:w="28" w:type="dxa"/>
          <w:right w:w="28" w:type="dxa"/>
        </w:tblCellMar>
      </w:tblPr>
      <w:tblGrid>
        <w:gridCol w:w="1006"/>
        <w:gridCol w:w="882"/>
        <w:gridCol w:w="887"/>
        <w:gridCol w:w="109"/>
        <w:gridCol w:w="109"/>
        <w:gridCol w:w="109"/>
        <w:gridCol w:w="314"/>
        <w:gridCol w:w="1098"/>
        <w:gridCol w:w="162"/>
        <w:gridCol w:w="109"/>
        <w:gridCol w:w="109"/>
        <w:gridCol w:w="109"/>
        <w:gridCol w:w="322"/>
        <w:gridCol w:w="1101"/>
        <w:gridCol w:w="166"/>
        <w:gridCol w:w="322"/>
        <w:gridCol w:w="1101"/>
        <w:gridCol w:w="166"/>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compensation expense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24,377</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5,245</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These costs are included within selling, general and administrative expenses in the consolidated statements of income.</w:t>
      </w:r>
    </w:p>
    <w:p>
      <w:pPr>
        <w:pStyle w:val="TextBody"/>
        <w:bidi w:val="0"/>
        <w:spacing w:lineRule="auto" w:line="288" w:before="0" w:after="0"/>
        <w:ind w:left="0" w:right="0" w:hanging="18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6"/>
        </w:rPr>
        <w:t>These costs include approximately $24.9 million in non-cash expenses related to the 2021 Vesting Event, which occurred during the 2021 second quarter (see Note 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unrecognized compensation cost related to non-vested share-based compensation awards of $28.6 million is expected to be recognized over a weighted average life of two years. The grant date fair value of Restricted Units and Restricted Stock Units vested was $11.7 million, $3.9 million and $24.4 million for 2023, 2022 and 2021, respectively.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2011 Unit Incentive Plan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adoption of the 2020 Omnibus Incentive Plan on October 1, 2020, no further Awards are authorized to be granted under the 2011 Unit Incentive Plan.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2020 Omnibus Incentive Plan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granted under the 2020 Omnibus Incentive Plan consist of Stock Options that vest upon the satisfaction of time-based requirements, each, a "Service Stock Option" (Service Unit Options and Service Stock Options together are "Service Options").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and/or market-based requirements (each, a "Performance Restricted Stock Unit"). In each case, vesting of the Company’s outstanding and unvested Stock Options and Restricted Stock Units is contingent upon the holder’s continued service through the date of each applicable vesting event.</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ESPP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01675"/>
                <wp:effectExtent l="0" t="0" r="0" b="0"/>
                <wp:wrapNone/>
                <wp:docPr id="98" name="Frame9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2020, NAHC paid a $257.0 million distribution to its members of record as of August 25, 2020. Holders of the outstanding granted equity Awards were entitled to receive value equal to $3.546 per share on a post-IPO basis, which was made in the form of cash payments, additional Restricted Unit grants or Unit Option exercise price adjustments. Cash payments due for unvested Awards were paid upon vesting of such Awards. Cash payments for vested Unit Options and vested Restricted Units ("Share-Based Award Payments") of $32.2 million were paid in-full as of July 31, 2021.</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Service Option Fair Value Assumptions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Service Options granted was estimated using a Black-Scholes option-pricing model. The expected lives of the Service Options granted were based on the "SEC simplified" method. Expected price volatility was determined based on our own volatility and the implied volatilities of comparable companies over a historical period that matches the expected life of the Service Options. The risk-free interest rate was based on the expected U.S. Treasury rate over the expected life. In 2022 and 2023, the dividend yield was based on the most recent annualized quarterly dividend and the valuation date closing stock price. In 2021, the dividend yield was based on the expectation that no dividends will be paid. The assumptions used to calculate the fair value of Service Options granted are evaluated and modified, as necessary, to reflect current market conditions and experience.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assumptions and grant date fair values for Service Options granted in 2023, 2022 and 2021:</w:t>
      </w:r>
    </w:p>
    <w:tbl>
      <w:tblPr>
        <w:tblW w:w="10172" w:type="dxa"/>
        <w:jc w:val="left"/>
        <w:tblInd w:w="0" w:type="dxa"/>
        <w:tblLayout w:type="fixed"/>
        <w:tblCellMar>
          <w:top w:w="28" w:type="dxa"/>
          <w:left w:w="28" w:type="dxa"/>
          <w:bottom w:w="28" w:type="dxa"/>
          <w:right w:w="28" w:type="dxa"/>
        </w:tblCellMar>
      </w:tblPr>
      <w:tblGrid>
        <w:gridCol w:w="1705"/>
        <w:gridCol w:w="1500"/>
        <w:gridCol w:w="1504"/>
        <w:gridCol w:w="524"/>
        <w:gridCol w:w="524"/>
        <w:gridCol w:w="526"/>
        <w:gridCol w:w="111"/>
        <w:gridCol w:w="111"/>
        <w:gridCol w:w="111"/>
        <w:gridCol w:w="529"/>
        <w:gridCol w:w="529"/>
        <w:gridCol w:w="531"/>
        <w:gridCol w:w="111"/>
        <w:gridCol w:w="111"/>
        <w:gridCol w:w="111"/>
        <w:gridCol w:w="478"/>
        <w:gridCol w:w="478"/>
        <w:gridCol w:w="678"/>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46% to 51%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 to 45%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 to 44%</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volatility</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3.7% to 4.4%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 to 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to 1.3%</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 Service Options</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$27.60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$16.36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01675"/>
                <wp:effectExtent l="0" t="0" r="0" b="0"/>
                <wp:wrapNone/>
                <wp:docPr id="99" name="Frame9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Option Activity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Option activity is as follows: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65"/>
        <w:gridCol w:w="643"/>
        <w:gridCol w:w="547"/>
        <w:gridCol w:w="505"/>
        <w:gridCol w:w="507"/>
        <w:gridCol w:w="256"/>
        <w:gridCol w:w="109"/>
        <w:gridCol w:w="109"/>
        <w:gridCol w:w="109"/>
        <w:gridCol w:w="379"/>
        <w:gridCol w:w="1108"/>
        <w:gridCol w:w="196"/>
        <w:gridCol w:w="109"/>
        <w:gridCol w:w="109"/>
        <w:gridCol w:w="109"/>
        <w:gridCol w:w="748"/>
        <w:gridCol w:w="748"/>
        <w:gridCol w:w="750"/>
        <w:gridCol w:w="109"/>
        <w:gridCol w:w="109"/>
        <w:gridCol w:w="109"/>
        <w:gridCol w:w="365"/>
        <w:gridCol w:w="1433"/>
        <w:gridCol w:w="274"/>
      </w:tblGrid>
      <w:tr>
        <w:trPr/>
        <w:tc>
          <w:tcPr>
            <w:tcW w:w="7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9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Service Options</w:t>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vMerge w:val="continue"/>
            <w:tcBorders/>
            <w:tcMar>
              <w:top w:w="0" w:type="dxa"/>
              <w:left w:w="0" w:type="dxa"/>
              <w:bottom w:w="0" w:type="dxa"/>
              <w:right w:w="0" w:type="dxa"/>
            </w:tcMar>
            <w:vAlign w:val="center"/>
          </w:tcPr>
          <w:p>
            <w:pPr>
              <w:pStyle w:val="Normal"/>
              <w:bidi w:val="0"/>
              <w:jc w:val="left"/>
              <w:rPr/>
            </w:pPr>
            <w:r>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Remaining Contractual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(in thousands)</w:t>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January 30, 2021</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6,282,782 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or modified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modified</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(3,258,329)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January 29, 2022</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3,898,214 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72,345 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or modified</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modified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(1,090,733)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January 28, 2023</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3,570,694 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or modified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262,640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modified</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(228,160)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(988,682)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Outstanding as of February 3, 2024 </w:t>
            </w:r>
            <w:r>
              <w:rPr>
                <w:rFonts w:ascii="Times New Roman;sans-serif" w:hAnsi="Times New Roman;sans-serif"/>
                <w:b/>
                <w:color w:val="000000"/>
                <w:sz w:val="13"/>
              </w:rPr>
              <w:t>(1)</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2,615,798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Exercisable as of February 3, 2024</w:t>
            </w:r>
          </w:p>
        </w:tc>
        <w:tc>
          <w:tcPr>
            <w:tcW w:w="10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1,633,434</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The Company has elected to recognize forfeitures as they occur. Therefore, the number of awards vested and expected to vest is equal to the awards outstanding. </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698"/>
        <w:gridCol w:w="611"/>
        <w:gridCol w:w="614"/>
        <w:gridCol w:w="505"/>
        <w:gridCol w:w="506"/>
        <w:gridCol w:w="256"/>
        <w:gridCol w:w="109"/>
        <w:gridCol w:w="109"/>
        <w:gridCol w:w="109"/>
        <w:gridCol w:w="368"/>
        <w:gridCol w:w="1077"/>
        <w:gridCol w:w="190"/>
        <w:gridCol w:w="109"/>
        <w:gridCol w:w="109"/>
        <w:gridCol w:w="109"/>
        <w:gridCol w:w="816"/>
        <w:gridCol w:w="816"/>
        <w:gridCol w:w="819"/>
        <w:gridCol w:w="109"/>
        <w:gridCol w:w="109"/>
        <w:gridCol w:w="109"/>
        <w:gridCol w:w="377"/>
        <w:gridCol w:w="1289"/>
        <w:gridCol w:w="282"/>
      </w:tblGrid>
      <w:tr>
        <w:trPr/>
        <w:tc>
          <w:tcPr>
            <w:tcW w:w="69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9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Performance Unit Options</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(in thousands)</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January 30, 2021</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or modified</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modified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(2,255,780)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January 29, 2022</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or modified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modified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January 28, 2023</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or modified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modified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(95,915)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Outstanding as of February 3, 2024 </w:t>
            </w:r>
            <w:r>
              <w:rPr>
                <w:rFonts w:ascii="Times New Roman;sans-serif" w:hAnsi="Times New Roman;sans-serif"/>
                <w:b/>
                <w:color w:val="000000"/>
                <w:sz w:val="13"/>
              </w:rPr>
              <w:t>(1)</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122,562</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Exercisable as of February 3, 2024</w:t>
            </w:r>
          </w:p>
        </w:tc>
        <w:tc>
          <w:tcPr>
            <w:tcW w:w="10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122,562</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(1) The Company has elected to recognize forfeitures as they occur. Therefore, the number of awards vested and expected to vest is equal to the awards outstanding.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income tax benefit recognized from the exercise of stock options was $3.9 million, $4.2 million and $18.5 million for the fiscal years ended February 3, 2024, January 28, 2023 and January 29,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01675"/>
                <wp:effectExtent l="0" t="0" r="0" b="0"/>
                <wp:wrapNone/>
                <wp:docPr id="100" name="Frame9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Restricted Unit Activity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Unit activity is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78"/>
        <w:gridCol w:w="419"/>
        <w:gridCol w:w="421"/>
        <w:gridCol w:w="422"/>
        <w:gridCol w:w="426"/>
        <w:gridCol w:w="181"/>
        <w:gridCol w:w="113"/>
        <w:gridCol w:w="113"/>
        <w:gridCol w:w="113"/>
        <w:gridCol w:w="293"/>
        <w:gridCol w:w="857"/>
        <w:gridCol w:w="151"/>
        <w:gridCol w:w="109"/>
        <w:gridCol w:w="109"/>
        <w:gridCol w:w="109"/>
        <w:gridCol w:w="498"/>
        <w:gridCol w:w="500"/>
        <w:gridCol w:w="160"/>
        <w:gridCol w:w="120"/>
        <w:gridCol w:w="120"/>
        <w:gridCol w:w="120"/>
        <w:gridCol w:w="293"/>
        <w:gridCol w:w="857"/>
        <w:gridCol w:w="151"/>
        <w:gridCol w:w="109"/>
        <w:gridCol w:w="109"/>
        <w:gridCol w:w="109"/>
        <w:gridCol w:w="422"/>
        <w:gridCol w:w="426"/>
        <w:gridCol w:w="181"/>
        <w:gridCol w:w="118"/>
        <w:gridCol w:w="118"/>
        <w:gridCol w:w="118"/>
        <w:gridCol w:w="289"/>
        <w:gridCol w:w="847"/>
        <w:gridCol w:w="226"/>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 Restricted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Liquidity Event Restricted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Restricted Units</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January 30, 2021</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1,339,330 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January 29, 2022</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338,879 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203,918 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January 28, 2023</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437,108 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393,131</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250,384</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(173,225)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(149,190)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(92,151)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(88,301)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February 3, 2024</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564,863</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311,822</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Vesting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and unvested Service Options typically vest ratably over a three or four-year period, on each anniversary of their grant date.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and unvested Service Restricted Units generally vest ratably over a three of four-year period on each anniversary of their grant date. In more limited grants, Service Restricted Units vest 100% on the first anniversary of the grant date, or, if earlier, the business day immediately preceding the following annual meeting of stockholders.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and unvested Performance Restricted Units typically vest either (i) if granted during 2023, on the third anniversary of the Performance Restricted Unit holder's vesting commencement date, or (ii) if granted prior to 2023, ratably over a four-year period on each anniversary of the Performance Restricted Unit holder’s vesting commencement date, so long as the Company achieved (a) the performance metric for the performance period or (b) achieves a stated target share price.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certain Company change of control transactions, the Company's then-outstanding and unvested Awards will become fully vested and exercisable subject to certain criteria (as defined in the award agreements). For certain Awards granted in 2022 and all Awards granted in 2023,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01675"/>
                <wp:effectExtent l="0" t="0" r="0" b="0"/>
                <wp:wrapNone/>
                <wp:docPr id="101" name="Frame9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10.Earnings per Common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dilutive weighted average common shares outstanding and basic and diluted earnings per common share are calculated as follows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810"/>
        <w:gridCol w:w="1559"/>
        <w:gridCol w:w="1576"/>
        <w:gridCol w:w="109"/>
        <w:gridCol w:w="109"/>
        <w:gridCol w:w="109"/>
        <w:gridCol w:w="255"/>
        <w:gridCol w:w="1020"/>
        <w:gridCol w:w="131"/>
        <w:gridCol w:w="109"/>
        <w:gridCol w:w="109"/>
        <w:gridCol w:w="109"/>
        <w:gridCol w:w="259"/>
        <w:gridCol w:w="1017"/>
        <w:gridCol w:w="134"/>
        <w:gridCol w:w="109"/>
        <w:gridCol w:w="109"/>
        <w:gridCol w:w="109"/>
        <w:gridCol w:w="257"/>
        <w:gridCol w:w="1010"/>
        <w:gridCol w:w="196"/>
      </w:tblGrid>
      <w:tr>
        <w:trPr/>
        <w:tc>
          <w:tcPr>
            <w:tcW w:w="181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519,190</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75,389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Service Restricted Units and Service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Performance Restricted Stock Units and Liquidity Event Restricted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Service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Performance Unit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Dilutive effect of ESPP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77,469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stock-based awards excluded from diluted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01675"/>
                <wp:effectExtent l="0" t="0" r="0" b="0"/>
                <wp:wrapNone/>
                <wp:docPr id="102" name="Frame10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11.Income Taxes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consists of the following (amounts in thousands) as of:</w:t>
      </w:r>
    </w:p>
    <w:tbl>
      <w:tblPr>
        <w:tblW w:w="7760" w:type="dxa"/>
        <w:jc w:val="left"/>
        <w:tblInd w:w="0" w:type="dxa"/>
        <w:tblLayout w:type="fixed"/>
        <w:tblCellMar>
          <w:top w:w="28" w:type="dxa"/>
          <w:left w:w="28" w:type="dxa"/>
          <w:bottom w:w="28" w:type="dxa"/>
          <w:right w:w="28" w:type="dxa"/>
        </w:tblCellMar>
      </w:tblPr>
      <w:tblGrid>
        <w:gridCol w:w="837"/>
        <w:gridCol w:w="733"/>
        <w:gridCol w:w="739"/>
        <w:gridCol w:w="286"/>
        <w:gridCol w:w="1141"/>
        <w:gridCol w:w="147"/>
        <w:gridCol w:w="109"/>
        <w:gridCol w:w="109"/>
        <w:gridCol w:w="109"/>
        <w:gridCol w:w="292"/>
        <w:gridCol w:w="1146"/>
        <w:gridCol w:w="151"/>
        <w:gridCol w:w="109"/>
        <w:gridCol w:w="109"/>
        <w:gridCol w:w="109"/>
        <w:gridCol w:w="289"/>
        <w:gridCol w:w="1134"/>
        <w:gridCol w:w="211"/>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125,325</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22,869</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expense</w:t>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148,213</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 (benefit):</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expense</w:t>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(4,247)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143,966</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190,319 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188,159 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statutory U.S. federal income tax rate to our effective income tax rate is as follows:</w:t>
      </w:r>
    </w:p>
    <w:tbl>
      <w:tblPr>
        <w:tblW w:w="9489" w:type="dxa"/>
        <w:jc w:val="left"/>
        <w:tblInd w:w="0" w:type="dxa"/>
        <w:tblLayout w:type="fixed"/>
        <w:tblCellMar>
          <w:top w:w="28" w:type="dxa"/>
          <w:left w:w="28" w:type="dxa"/>
          <w:bottom w:w="28" w:type="dxa"/>
          <w:right w:w="28" w:type="dxa"/>
        </w:tblCellMar>
      </w:tblPr>
      <w:tblGrid>
        <w:gridCol w:w="1458"/>
        <w:gridCol w:w="1286"/>
        <w:gridCol w:w="1291"/>
        <w:gridCol w:w="330"/>
        <w:gridCol w:w="330"/>
        <w:gridCol w:w="915"/>
        <w:gridCol w:w="109"/>
        <w:gridCol w:w="109"/>
        <w:gridCol w:w="109"/>
        <w:gridCol w:w="354"/>
        <w:gridCol w:w="354"/>
        <w:gridCol w:w="882"/>
        <w:gridCol w:w="109"/>
        <w:gridCol w:w="109"/>
        <w:gridCol w:w="109"/>
        <w:gridCol w:w="332"/>
        <w:gridCol w:w="332"/>
        <w:gridCol w:w="971"/>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at the statutory rate</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w:t>
            </w:r>
            <w:r>
              <w:rPr>
                <w:color w:val="000000"/>
              </w:rPr>
              <w:t> </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excess compensation</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 for share-based compensation</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other permanent items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9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w:t>
            </w:r>
            <w:r>
              <w:rPr>
                <w:color w:val="000000"/>
              </w:rPr>
              <w:t> </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deferred tax assets and liabilities consist of the following (amounts in thousands) as of:</w:t>
      </w:r>
    </w:p>
    <w:p>
      <w:pPr>
        <w:pStyle w:val="TextBody"/>
        <w:bidi w:val="0"/>
        <w:spacing w:before="0" w:after="0"/>
        <w:ind w:left="0" w:right="0" w:firstLine="360"/>
        <w:jc w:val="left"/>
        <w:rPr/>
      </w:pPr>
      <w:r>
        <w:rPr/>
      </w:r>
    </w:p>
    <w:tbl>
      <w:tblPr>
        <w:tblW w:w="6190" w:type="dxa"/>
        <w:jc w:val="left"/>
        <w:tblInd w:w="0" w:type="dxa"/>
        <w:tblLayout w:type="fixed"/>
        <w:tblCellMar>
          <w:top w:w="28" w:type="dxa"/>
          <w:left w:w="28" w:type="dxa"/>
          <w:bottom w:w="28" w:type="dxa"/>
          <w:right w:w="28" w:type="dxa"/>
        </w:tblCellMar>
      </w:tblPr>
      <w:tblGrid>
        <w:gridCol w:w="960"/>
        <w:gridCol w:w="844"/>
        <w:gridCol w:w="850"/>
        <w:gridCol w:w="272"/>
        <w:gridCol w:w="1162"/>
        <w:gridCol w:w="140"/>
        <w:gridCol w:w="109"/>
        <w:gridCol w:w="109"/>
        <w:gridCol w:w="109"/>
        <w:gridCol w:w="272"/>
        <w:gridCol w:w="1164"/>
        <w:gridCol w:w="199"/>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620</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reserves</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18,810</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27,102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(34,313)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items</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(6,554)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(13,983)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(227,027)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(214,292)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(281,898)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(285,465)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(254,796)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(259,043)</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realizability of the deferred tax assets and the need for additional valuation allowances annually. As of February 3, 2024, based on current facts and circumstances, management believes that it is more likely than not that the Company will realize benefit for its gross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01675"/>
                <wp:effectExtent l="0" t="0" r="0" b="0"/>
                <wp:wrapNone/>
                <wp:docPr id="103" name="Frame10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2021 through 2023, and 2020 through 2023,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8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 exception of one retail store which we own, 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such events require a re-measurement of the lease liability at current discount rates. The life of leasehold improvement assets are limited by the expected lease term. Additionally, we have certain agreements for equipment rentals, which are typically 12 months or less in duration. As of February 3, 2024, all of our leases are classified as operating leases. In addition, in certain situations, we may sublease real estate to third parties. Our sublease portfolio consists mainly of former store locations for which we are still under lease and existing store leases in which we have excess or unused space.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and sublease income included in selling, general and administrative ("SG&amp;A") expenses on our statement of income is as follows (amounts in thousands):</w:t>
      </w:r>
    </w:p>
    <w:tbl>
      <w:tblPr>
        <w:tblW w:w="7907" w:type="dxa"/>
        <w:jc w:val="left"/>
        <w:tblInd w:w="0" w:type="dxa"/>
        <w:tblLayout w:type="fixed"/>
        <w:tblCellMar>
          <w:top w:w="28" w:type="dxa"/>
          <w:left w:w="28" w:type="dxa"/>
          <w:bottom w:w="28" w:type="dxa"/>
          <w:right w:w="28" w:type="dxa"/>
        </w:tblCellMar>
      </w:tblPr>
      <w:tblGrid>
        <w:gridCol w:w="771"/>
        <w:gridCol w:w="677"/>
        <w:gridCol w:w="681"/>
        <w:gridCol w:w="109"/>
        <w:gridCol w:w="109"/>
        <w:gridCol w:w="109"/>
        <w:gridCol w:w="286"/>
        <w:gridCol w:w="1141"/>
        <w:gridCol w:w="147"/>
        <w:gridCol w:w="109"/>
        <w:gridCol w:w="109"/>
        <w:gridCol w:w="109"/>
        <w:gridCol w:w="292"/>
        <w:gridCol w:w="1146"/>
        <w:gridCol w:w="151"/>
        <w:gridCol w:w="109"/>
        <w:gridCol w:w="109"/>
        <w:gridCol w:w="109"/>
        <w:gridCol w:w="289"/>
        <w:gridCol w:w="1134"/>
        <w:gridCol w:w="21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214,672</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197,321 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224,614</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209,354 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204,592 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our operating leases is as follows (dollar amounts in thousands):</w:t>
      </w:r>
    </w:p>
    <w:tbl>
      <w:tblPr>
        <w:tblW w:w="10205" w:type="dxa"/>
        <w:jc w:val="left"/>
        <w:tblInd w:w="0" w:type="dxa"/>
        <w:tblLayout w:type="fixed"/>
        <w:tblCellMar>
          <w:top w:w="28" w:type="dxa"/>
          <w:left w:w="28" w:type="dxa"/>
          <w:bottom w:w="28" w:type="dxa"/>
          <w:right w:w="28" w:type="dxa"/>
        </w:tblCellMar>
      </w:tblPr>
      <w:tblGrid>
        <w:gridCol w:w="1856"/>
        <w:gridCol w:w="1485"/>
        <w:gridCol w:w="1494"/>
        <w:gridCol w:w="109"/>
        <w:gridCol w:w="109"/>
        <w:gridCol w:w="109"/>
        <w:gridCol w:w="658"/>
        <w:gridCol w:w="399"/>
        <w:gridCol w:w="394"/>
        <w:gridCol w:w="109"/>
        <w:gridCol w:w="109"/>
        <w:gridCol w:w="109"/>
        <w:gridCol w:w="446"/>
        <w:gridCol w:w="277"/>
        <w:gridCol w:w="677"/>
        <w:gridCol w:w="109"/>
        <w:gridCol w:w="109"/>
        <w:gridCol w:w="109"/>
        <w:gridCol w:w="239"/>
        <w:gridCol w:w="936"/>
        <w:gridCol w:w="363"/>
      </w:tblGrid>
      <w:tr>
        <w:trPr/>
        <w:tc>
          <w:tcPr>
            <w:tcW w:w="185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2022</w:t>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203,554 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r>
      <w:tr>
        <w:trPr/>
        <w:tc>
          <w:tcPr>
            <w:tcW w:w="4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4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w:t>
            </w:r>
            <w:r>
              <w:rPr>
                <w:color w:val="000000"/>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01675"/>
                <wp:effectExtent l="0" t="0" r="0" b="0"/>
                <wp:wrapNone/>
                <wp:docPr id="104" name="Frame10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maturities of lease liabilities by fiscal year as of February 3, 2024 are as follows (amounts in thousands):</w:t>
      </w:r>
    </w:p>
    <w:tbl>
      <w:tblPr>
        <w:tblW w:w="4353" w:type="dxa"/>
        <w:jc w:val="left"/>
        <w:tblInd w:w="0" w:type="dxa"/>
        <w:tblLayout w:type="fixed"/>
        <w:tblCellMar>
          <w:top w:w="28" w:type="dxa"/>
          <w:left w:w="28" w:type="dxa"/>
          <w:bottom w:w="28" w:type="dxa"/>
          <w:right w:w="28" w:type="dxa"/>
        </w:tblCellMar>
      </w:tblPr>
      <w:tblGrid>
        <w:gridCol w:w="974"/>
        <w:gridCol w:w="854"/>
        <w:gridCol w:w="857"/>
        <w:gridCol w:w="109"/>
        <w:gridCol w:w="109"/>
        <w:gridCol w:w="109"/>
        <w:gridCol w:w="211"/>
        <w:gridCol w:w="976"/>
        <w:gridCol w:w="154"/>
      </w:tblGrid>
      <w:tr>
        <w:trPr/>
        <w:tc>
          <w:tcPr>
            <w:tcW w:w="97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lease payments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Minimum lease payments have not been reduced by sublease rentals of $2.3 million due in the future under non-cancelable subleases. The Company has entered into operating leases related to future store locations for which we have not yet taken possession of the location. As of February 3, 2024, the future minimum lease payments on these leases approximated $159.3 million.</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8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2021, and September 14, 2021, in connection with the May 2021 Secondary Offering and the September 2021 Secondary Offering, respectively, the Company entered into Underwriting Agreements with affiliates of KKR (as selling stockholders), several other selling stockholders named therein, and several underwriters named therein, including KCM (as underwriter). The May 2021 Secondary Offering and September 2021 Secondary Offering were completed on May 10, 2021, and September 17, 2021, respectively. The Company did not pay KCM any fees in connection with these secondary offerings.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May 2021 Secondary Offering, we repurchased from the underwriters 3,229,974 shares of ASO, Inc. common stock at $30.96 per share for approximately $100.0 million. In connection with the September 2021 Secondary Offering, we repurchased from the underwriters 4,500,000 shares of ASO, Inc. common stock at approximately $43.52 for approximately $195.8 million. The shares repurchased in both the May 2021 Secondary Offering and the September 2021 Secondary Offering were immediately retired by the Company (see Note 1 and Note 2).</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14.Commitments and Contingencies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i/>
          <w:color w:val="000000"/>
          <w:sz w:val="20"/>
        </w:rPr>
        <w:t>Technology Related Commitments and Other</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have obligations under technology-related, construction and other contractual commitments in the amount of $68.0 million. Of such commitments, approximately $40.9 million is payable in the next 12 months.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Financial Guarantees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01675"/>
                <wp:effectExtent l="0" t="0" r="0" b="0"/>
                <wp:wrapNone/>
                <wp:docPr id="105" name="Frame10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In May and December 2023, U.S. Customs and Border Protection ("CBP") notified us that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anticipate that this matter will be resolved without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settled a legal matter pertaining to the overcharge of interchange feeds with certain financial institutions for prior periods dating back to 2004.  In connection with this settlement, we recognized a net gain of approximately $15.9 million in Other (income), net on the Consolidated Statements of Income, when the gain became realizable.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party to any other legal proceedings that we believe would have a material adverse effect on our financial position, results of operations or cash flows.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Sponsorship Agreement and Intellectual Property Commitments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3, 2024, we have $13.7 million in related commitments through 2027, of which $5.6 million is payable in next 12 months.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15.Employee Benefit Plans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safe harbor defined contribution 401(k) profit sharing plan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the money contributed by a plan participant to the 401(k) Plan each pay period, on a dollar-for-dollar basis, up to 6% of a plan participant’s eligible compensation during such pay period. Annual Company profit sharing contributions are made at the discretion of our Board of Directors, subject to certain limitations. The 401(k) Plan may be amended or terminated at our discretion. Employer contributions related to the 401(k) Plan totaled $15.5 million, $15.5 million and $15.6 million in 2023, 2022 and 2021,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01675"/>
                <wp:effectExtent l="0" t="0" r="0" b="0"/>
                <wp:wrapNone/>
                <wp:docPr id="106" name="Frame10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16.Selected Quarterly Financial Data (Unaudited)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summarized quarterly financial information for the fiscal years ended 2023 and 2022 are reflected in the table below (amounts in thousands, except earnings per share data):</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61"/>
        <w:gridCol w:w="631"/>
        <w:gridCol w:w="516"/>
        <w:gridCol w:w="136"/>
        <w:gridCol w:w="136"/>
        <w:gridCol w:w="136"/>
        <w:gridCol w:w="265"/>
        <w:gridCol w:w="1246"/>
        <w:gridCol w:w="136"/>
        <w:gridCol w:w="136"/>
        <w:gridCol w:w="136"/>
        <w:gridCol w:w="136"/>
        <w:gridCol w:w="265"/>
        <w:gridCol w:w="1246"/>
        <w:gridCol w:w="136"/>
        <w:gridCol w:w="136"/>
        <w:gridCol w:w="136"/>
        <w:gridCol w:w="136"/>
        <w:gridCol w:w="265"/>
        <w:gridCol w:w="1246"/>
        <w:gridCol w:w="136"/>
        <w:gridCol w:w="136"/>
        <w:gridCol w:w="136"/>
        <w:gridCol w:w="136"/>
        <w:gridCol w:w="265"/>
        <w:gridCol w:w="1246"/>
        <w:gridCol w:w="213"/>
      </w:tblGrid>
      <w:tr>
        <w:trPr/>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1st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2nd</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3rd</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4th</w:t>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1,383,609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1,583,077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1,397,777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1,794,828</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467,115</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563,446</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482,641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597,009</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126,196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210,963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136,731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203,965</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w:t>
            </w:r>
            <w:r>
              <w:rPr>
                <w:rFonts w:ascii="Times New Roman;sans-serif" w:hAnsi="Times New Roman;sans-serif"/>
                <w:b w:val="false"/>
                <w:color w:val="000000"/>
                <w:sz w:val="13"/>
              </w:rPr>
              <w:t>(1)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93,970</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99,978</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168,167</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76,862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76,104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74,461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74,219</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79,288</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78,091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76,057</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76,035</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1,686,915 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1,493,925 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1,746,503 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w:t>
            </w:r>
            <w:r>
              <w:rPr>
                <w:rFonts w:ascii="Times New Roman;sans-serif" w:hAnsi="Times New Roman;sans-serif"/>
                <w:b w:val="false"/>
                <w:color w:val="000000"/>
                <w:sz w:val="13"/>
              </w:rPr>
              <w:t>(2)</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(1) Net income for the quarter ended February 3, 2024, includes a $15.9 million net gain relative to a credit card fee litigation settlement which occurred in the fourth quarter of 2023 (see Note 2).</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(2) Net income for the year ended January 28, 2023, included a $7.2 million gain from a business interruption insurance recovery and a $3.7 million gain from the sale of a tariff relief litigation claim, both of which occurred in the fourth quarter of 2022 (see Note 2).</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01675"/>
                <wp:effectExtent l="0" t="0" r="0" b="0"/>
                <wp:wrapNone/>
                <wp:docPr id="107" name="Frame10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17.Subsequent Events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evaluated events or transactions that occurred after February 3, 2024 through March 21, 2024, the issuance date of the consolidated financial statements, and identified the following matter to report: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the Company's Board of Directors declared a quarterly cash dividend in the amount of $0.11 per share on the Company's common stock, payable on April 18, 2024 to stockholders of record as of the close of business on March 26, 2024.</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2024 Academy, Ltd. (“Academy”), a wholly-owned subsidiary of Academy Sports and Outdoors, Inc., as borrower, New Academy Holding Company, LLC, Associated Investors, L.L.C. and Academy Managing Co., L.L.C., each a direct or indirect, wholly-owned subsidiary of the Company,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if (i) more than $100 million of the aggregate principal amount of the 2027 Senior Notes (as defined in the ABL Amendment) or the Term Loans (as defined in the ABL Amendment), or any refinancing thereof, in each case, is outstanding on the date that is 91 days prior to the earliest maturity date of any such indebtedness or (ii) equal to or less than $100 million of the aggregate principal amount of the 2027 Senior Notes or the Term Loans, in either case, is outstanding on the date that is 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2027 Senior Notes and the Term Loans.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01675"/>
                <wp:effectExtent l="0" t="0" r="0" b="0"/>
                <wp:wrapNone/>
                <wp:docPr id="108" name="Frame10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Index to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3"/>
        <w:gridCol w:w="283"/>
        <w:gridCol w:w="284"/>
        <w:gridCol w:w="109"/>
        <w:gridCol w:w="109"/>
        <w:gridCol w:w="109"/>
        <w:gridCol w:w="2775"/>
        <w:gridCol w:w="2563"/>
        <w:gridCol w:w="3650"/>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Registrant (incorporated by reference to Exhibit 3.1 to the Registrant’s Current Report on Form 8-K filed on October 6, 2020).</w:t>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Change of Registered Agent and/or Registered Office of the Registrant (incorporated by reference to Exhibit 3.1 to the Registrant’s Current Report on Form 8-K filed on June 1, 2023).</w:t>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the Registrant (incorporated by reference to Exhibit 3.2 to the Registrant’s Quarterly Report on Form 10-Q filed on December 6, 2022).</w:t>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6, 2020, by and among Academy, Ltd., as issuer, the guarantors named therein and The Bank of New York Mellon Trust Company, N.A., as trustee and notes collateral agent (incorporated by reference to Exhibit 4.1 to the Registrant’s Current Report on Form 8-K filed on November 6, 2020).</w:t>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Exchange Act (incorporated by reference to Exhibit 4.2 to the Registrant’s Annual Report on Form 10-K filed on March 16, 2023).</w:t>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Credit Agreement, dated as of November 6, 2020, among Academy, Ltd., as Borrower, New Academy Holding Company, LLC, as Holdings, Associated Investors L.L.C. and Academy Managing Co., L.L.C., as Texas Intermediate Holdcos, the several lenders from time to time party thereto, Credit Suisse AG, Cayman Islands Branch, as the administrative agent and collateral agent and the several other parties named therein (incorporated by reference to Exhibit 10.1 to the Registrant’s Current Report on Form 8-K filed on November 6, 2020).</w:t>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4, dated May 25, 2021, to the Second Amended and Restated Credit Agreement among Academy, Ltd., as Borrower, Credit Suisse AG, Cayman Islands Branch, as the administrative agent and collateral agent, the several lenders party thereto and the several other parties named therein (incorporated by reference to Exhibit 10.1 to the Registrant’s Current Report on Form 8-K filed on May 25, 2021). </w:t>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Conforming Changes Amendment to the Credit Agreement, dated May 17, 2023, which amends that certain Second Amended and Restated Credit Agreement, dated November 6, 2020 (as amended, restated, amended and restated, supplemented or otherwise modified from time to time), by and among Academy, Ltd., as Borrower, New Academy Holding Company, LLC, as Holdings, Associated Investors, L.L.C. and Academy Managing Co., L.L.C., as Texas Intermediate Holdcos, the lending institutions from time to time party thereto and Credit Suisse AG, Cayman Island Branch, as the Administrative Agent and the Collateral Agent and the several other parties named therein (incorporated by reference to Exhibit 10.1 to the Registrant’s Quarterly Report on Form 10-Q filed on August 31, 2023).</w:t>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Term Loan Security Agreement, dated as of July 2, 2015, among Academy, Ltd., as Borrower, each of the subsidiaries listed on the signature pages thereto, and Morgan Stanley Senior Funding, Inc., as collateral agent for the benefit of the secured parties (incorporated by reference to Exhibit 10.2 to the Registrant’s Registration Statement on Form S-1 filed on September 23, 2020).</w:t>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Term Loan Pledge Agreement, dated as of July 2, 2015, among New Academy Holding Company, LLC, as Holdings, Associated Investors L.L.C. and Academy Managing Co., L.L.C, as Texas Intermediate Holdcos, Academy, Ltd., as Borrower, each of the subsidiaries listed on the signature pages thereto and Morgan Stanley Senior Funding, Inc., as collateral agent for the benefit of the secured parties (incorporated by reference to Exhibit 10.3 to the Registrant’s Registration Statement on Form S-1 filed on September 23, 2020).</w:t>
            </w:r>
          </w:p>
        </w:tc>
      </w:tr>
      <w:tr>
        <w:trPr/>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ABL Intercreditor Agreement, dated July 2, 2015, among JPMorgan Chase Bank, N.A., as agent for the ABL Secured Parties referred to therein, Morgan Stanley Senior Funding, Inc., as administrative agent and collateral agent for the Term Loan Secured Parties referred to therein, New Academy Holding Company, LLC, as Holdings, Associated Investors L.L.C. and Academy Managing Co., L.L.C, as Texas Intermediate Holdcos, Academy, Ltd., as Borrower, and each of the subsidiaries of the Borrower listed on the signature pages thereto (incorporated by reference to Exhibit 10.4 to the Registrant’s Registration Statement on Form S-1 filed on September 23, 2020).</w:t>
            </w:r>
          </w:p>
        </w:tc>
      </w:tr>
      <w:tr>
        <w:trPr/>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Joinder to ABL Intercreditor Agreement, dated November 6, 2020, among JPMorgan Chase Bank, N.A., as agent for the ABL Secured Parties referred to therein, Credit Suisse AG, Cayman Islands Branch, as agent for the Term Loan Secured Parties referred to therein, and The Bank of New York Mellon Trust Company, N.A., as collateral agent for the Additional Debt Secured Parties referred to therein (incorporated by reference to Exhibit 10.5 to the Registrant’s Registration Statement on Form S-1 filed on January 25,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01675"/>
                <wp:effectExtent l="0" t="0" r="0" b="0"/>
                <wp:wrapNone/>
                <wp:docPr id="109" name="Frame10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2762"/>
        <w:gridCol w:w="2559"/>
        <w:gridCol w:w="3643"/>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Joinder to ABL Intercreditor Agreement, dated November 6, 2020, among JPMorgan Chase Bank, N.A., as agent for the ABL Secured Parties referred to therein, and Credit Suisse AG, Cayman Islands Branch, as agent for the Term Loan Secured Parties referred to therein (incorporated by reference to Exhibit 10.6 to the Registrant’s Registration Statement on Form S-1 filed on January 25, 2021).</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Lien Intercreditor Agreement, dated November 6, 2020, among Credit Suisse AG, Cayman Islands Branch, as First Lien Collateral Agent and Authorized Representative for the Credit Agreement Secured Parties referred to therein, The Bank of New York Mellon Trust (incorporated by reference to Exhibit 10.7 to the Registrant’s Registration Statement on Form S-1 filed on January 25, 2021).</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ABL Security Agreement, dated as of July 2, 2015, among Academy, Ltd., as Borrower, each of the subsidiaries listed on the signature pages thereto, and JPMorgan Chase Bank, N.A., as collateral agent for the benefit of the secured parties (incorporated by reference to Exhibit 10.7 to the Registrant’s Registration Statement on Form S-1 filed on September 23, 2020).</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ABL Pledge Agreement, dated July 2, 2015, among New Academy Holding Company, LLC, as Holdings, Associated Investors L.L.C. and Academy Managing Co., L.L.C, as Texas Intermediate Holdcos, Academy, Ltd., as Borrower, each of the subsidiaries listed on the signature pages thereto and JPMorgan Chase Bank, N.A., as collateral agent for the benefit of the secured parties (incorporated by reference to Exhibit 10.8 to the Registrant’s Registration Statement on Form S-1 filed on September 23, 2020).</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Amended and Restated ABL Credit Agreement, dated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(incorporated by reference to Exhibit 10.5 to the Registrant’s Registration Statement on Form S-1 filed on September 23, 2020).</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 to First Amended and Restated ABL Credit Agreement, dated as of May 22, 2018, among Academy, Ltd., as Borrower, New Academy Holding Company, LLC, as Holdings, Associated Investors L.L.C. and Academy Managing Co., L.L.C, as Texas Intermediate Holdcos, each of the Guarantors party thereto, each of the lenders party thereto and JPMorgan Chase Bank, N.A., as the Administrative Agent, the Collateral Agent, the Letter of Credit Issuer and the Swingline Lender (incorporated by reference to Exhibit 10.6 to the Registrant’s Registration Statement on Form S-1 filed on September 23, 2020).</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2 to First Amended and Restated ABL Credit Agreement, dated as of November 6, 2020, among Academy, Ltd., as Borrower, New Academy Holding Company, LLC, as Holdings, Associated Investors, L.L.C. and Academy Managing Co., L.L.C., as Texas Intermediate Holdcos, the several lenders from time to time party thereto, JPMorgan Chase Bank, N.A., as the letter of credit issuer, administrative agent and collateral agent (incorporated by reference to Exhibit 10.2 to the Registrant’s Current Report on Form 8-K filed on November 6, 2020).</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3, dated March 30, 2023, to First Amended and Restated ABL Credit Agreement,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(incorporated by reference to Exhibit 10.1 to the Registrant’s Quarterly Report on Form 10-Q filed on June 6, 2023)</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4, dated March 8, 2024, to the First Amended and Restated ABL Credit agreement, dated as of July 2, 2015, among Academy, Ltd., as borrower, New Academy Holding Company, LLC, Associated Investors, L.L.C., and Academy Managing Co., L.L.C., as guarantors, the several lenders from time to time party thereto and JPMorgan Chase Bank, N.A., as the letter of credit issuer, swingline lender, administrative agent and collateral agent (incorporated by reference to Exhibit 10.1 of the Registrant's Current Report on Form 8-K filed on March 8, 2024).</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Security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10.13 to the Registrant’s Registration Statement on Form S-1 filed on January 25, 2021). </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Notes Pledge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10.14 to the Registrant’s Registration Statement on Form S-1 filed on January 25,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01675"/>
                <wp:effectExtent l="0" t="0" r="0" b="0"/>
                <wp:wrapNone/>
                <wp:docPr id="110" name="Frame10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5"/>
        <w:gridCol w:w="337"/>
        <w:gridCol w:w="339"/>
        <w:gridCol w:w="109"/>
        <w:gridCol w:w="109"/>
        <w:gridCol w:w="109"/>
        <w:gridCol w:w="2835"/>
        <w:gridCol w:w="2468"/>
        <w:gridCol w:w="3514"/>
      </w:tblGrid>
      <w:tr>
        <w:trPr/>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Non-Employee Director Time-Based Restricted Stock Unit Agreement (incorporated by reference to Exhibit 10.2 to the Registrant’s Quarterly Report on Form 10-Q filed on September 7, 2022).</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Q1 2023 CEO Performance-Based Restricted Stock Unit Agreement (incorporated by reference to Exhibit 10.5 to the Registrant’s Quarterly Report on Form 10-Q filed on August 31, 2023).</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Q1 2023 CEO Time-Based Restricted Stock Unit Agreement (incorporated by reference to Exhibit 10.6 to the Registrant’s Quarterly Report on Form 10-Q filed on August 31, 2023).</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Q1 2023 CEO Time-Based Option Agreement (incorporated by reference to Exhibit 10.7 to the Registrant’s Quarterly Report on Form 10-Q filed on August 31, 2023).</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2022 CEO Performance-Based Restricted Stock Unit Agreement (incorporated by reference to Exhibit 10.1 to the Registrant’s Quarterly Report on Form 10-Q filed on June 7, 2022).</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2022 CEO Time-Based Option Agreement (incorporated by reference to Exhibit 10.2 to the Registrant’s Quarterly Report on Form 10-Q filed on June 7, 2022).</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Q2 2023 Executive Performance-Based Restricted Stock Unit Agreement (incorporated by reference to Exhibit 10.2 to the Registrant’s Quarterly Report on Form 10-Q filed on August 31, 2023).</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Q2 2023 Executive Time-Based Restricted Stock Unit Agreement (incorporated by reference to Exhibit 10.3 to the Registrant’s Quarterly Report on Form 10-Q filed on August 31, 2023).</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Q2 2023 Executive Time-Based Option Agreement (incorporated by reference to Exhibit 10.4 to the Registrant’s Quarterly Report on Form 10-Q filed on August 31, 2023).</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2023 Executive Performance-Based Restricted Stock Unit Agreement (incorporated by reference to Exhibit 10.2 to the Registrant’s Quarterly Report on Form 10-Q filed on June 6, 2023).</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10.29†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2023 Executive Time-Based Restricted Stock Unit Agreement (incorporated by reference to Exhibit 10.3 to the Registrant’s Quarterly Report on Form 10-Q filed on June 6, 2023).</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10.30†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2023 Executive Time-Based Option Agreement (incorporated by reference to Exhibit 10.4 to the Registrant’s Quarterly Report on Form 10-Q filed on June 6, 2023).</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2022 Executive Performance-Based Restricted Stock Unit Agreement (incorporated by reference to Exhibit 10.3 to the Registrant’s Quarterly Report on Form 10-Q filed on June 7, 2022).</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2022 Executive Time-Based Restricted Stock Unit Agreement (incorporated by reference to Exhibit 10.4 to the Registrant’s Quarterly Report on Form 10-Q filed on June 7, 2022).</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2022 Executive Time-Based Option Agreement (incorporated by reference to Exhibit 10.5 to the Registrant’s Quarterly Report on Form 10-Q filed on June 7, 2022).</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2021 RSU Executive Retention Award Agreement (incorporated by reference to Exhibit 10.01 to the Registrant's Quarterly Report on From 10-Q filed on December 10, 2021).</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 Form of Performance-Based Restricted Stock Unit Agreement under the 2020 Omnibus Incentive Plan. Plan (incorporated by reference to Exhibit 10.19 to the Registrant’s Annual Report on Form 10-K filed on April 7, 2021).</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10.36†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Omnibus Incentive Plan (incorporated by reference to Exhibit 10.2 to the Registrant’s Quarterly Report on Form 10-Q filed on December 10, 2020).</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10.37†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Omnibus Incentive Plan, as amended by the First Amendment (incorporated by reference to Exhibit 10.1 to the Registrant’s Current Report on Form 8-K filed on June 1, 2023).</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10.38†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Time-Based Option Agreement under 2020 Omnibus Incentive Plan (incorporated by reference to Exhibit 10.10 to Amendment No. 1 to the Registrant’s Registration Statement on Form S-1 filed on September 23, 2020).</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10.39†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Non-Employee Director Restricted Stock Unit Agreement under 2020 Omnibus Incentive Plan (incorporated by reference to Exhibit 10.11 to Amendment No. 1 to the Registrant’s Registration Statement on Form S-1 filed on September 23, 2020).</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10.40†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Form of Performance-Based Restricted Stock Unit Agreement under 2020 Omnibus Incentive Plan (incorporated by reference to Exhibit 10.12 to Amendment No. 1 to the Registrant’s Registration Statement on Form S-1 filed on September 23, 2020).</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2011 Unit Incentive Plan (incorporated by reference to Exhibit 10.13 to the Registrant’s Registration Statement on Form S-1 filed on September 23, 2020).</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CEO Option Agreement under 2011 Unit Incentive Plan (incorporated by reference to Exhibit 10.14 to the Registrant’s Registration Statement on Form S-1 filed on September 23,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01675"/>
                <wp:effectExtent l="0" t="0" r="0" b="0"/>
                <wp:wrapNone/>
                <wp:docPr id="111" name="Frame10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5"/>
        <w:gridCol w:w="347"/>
        <w:gridCol w:w="348"/>
        <w:gridCol w:w="109"/>
        <w:gridCol w:w="109"/>
        <w:gridCol w:w="109"/>
        <w:gridCol w:w="2672"/>
        <w:gridCol w:w="2523"/>
        <w:gridCol w:w="3593"/>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Executive Option Agreement under 2011 Unit Incentive Plan (incorporated by reference to Exhibit 10.15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2019 CEO Option Agreement under 2011 Unit Incentive Plan (incorporated by reference to Exhibit 10.16 to the Registrant’s Registration Statement on Form S-1 filed on September 23, 2020).</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2019 Executive Option Agreement under 2011 Unit Incentive Plan (incorporated by reference to Exhibit 10.17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2018 CEO Option Agreement under 2011 Unit Incentive Plan (incorporated by reference to Exhibit 10.18 to the Registrant’s Registration Statement on Form S-1 filed on September 23, 2020).</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2018 Executive Option Agreement under 2011 Unit Incentive Plan (incorporated by reference to Exhibit 10.19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10.48†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2018 Non Executive Option Agreement under 2011 Unit Incentive Plan (incorporated by reference to Exhibit 10.27 to the Registrant’s Annual Report on Form 10-K filed on April 7, 2021).</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10.49†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2017 Executive Option Agreement under 2011 Unit Incentive Plan (incorporated by reference to Exhibit 10.20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10.50†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2016 Executive Option Agreement under 2011 Unit Incentive Plan (incorporated by reference to Exhibit 10.21 to the Registrant’s Registration Statement on Form S-1 filed on September 23, 2020).</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10.51†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August 2020 Restricted Unit Agreement under 2011 Unit Incentive Plan (incorporated by reference to Exhibit 10.22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10.52†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CEO Restricted Unit Agreement under 2011 Unit Incentive Plan (incorporated by reference to Exhibit 10.23 to the Registrant’s Registration Statement on Form S-1 filed on September 23, 2020).</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10.53†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2020 Executive Restricted Unit Agreement under 2011 Unit Incentive Plan (incorporated by reference to Exhibit 10.24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10.54†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2019 Executive Restricted Unit Agreement under 2011 Unit Incentive Plan (incorporated by reference to Exhibit 10.25 to the Registrant’s Registration Statement on Form S-1 filed on September 23, 2020).</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10.55†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2018 CEO Restricted Unit Agreement under 2011 Unit Incentive Plan (as amended) (incorporated by reference to Exhibit 10.26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10.56†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Independent Non-Employee Director Restricted Unit Agreement under 2011 Unit Incentive Plan (incorporated by reference to Exhibit 10.27 to the Registrant’s Registration Statement on Form S-1 filed on September 23, 2020).</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10.57†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2018 Executive Restricted Unit Agreement under 2011 Unit Incentive Plan (incorporated by reference to Exhibit 10.28 to the Registrant’s Registration Statement on Form S-1 filed on September 23, 2020).</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10.58†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Ken C. Hicks Amended and Restated Employment Agreement, dated April 26, 2023 (incorporated by reference to Exhibit 10.1 to the Registrant’s Current Report on Form 8-K filed on April 27, 2023).</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10.59†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Michael P. Mullican Amended and Restated Employment Agreement, dated April 26, 2023 (incorporated by reference to Exhibit 10.3 to the Registrant’s Current Report on Form 8-K filed on April 27, 2023).</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10.60†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Steven (Steve) P. Lawrence Amended and Restated Employment Agreement, dated April 26, 2023 (incorporated by reference to Exhibit 10.2 to the Registrant’s Current Report on Form 8-K filed on April 27, 2023).</w:t>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10.61†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Samuel (Sam) J. Johnson Amended and Restated Employment Agreement, dated October 23, 2023 (incorporated by reference to Exhibit 10.1 to the Registrant’s Current Report on Form 8-K filed on October 23, 2023).</w:t>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10.62†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Earl Carlton (Carl) Ford, IV Employment Agreement, dated July 6, 2023 (incorporated by reference to Exhibit 10.1 to the Registrant’s Current Report on Form 8-K filed on July 11,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1675"/>
                <wp:effectExtent l="0" t="0" r="0" b="0"/>
                <wp:wrapNone/>
                <wp:docPr id="112" name="Frame11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3"/>
        <w:gridCol w:w="327"/>
        <w:gridCol w:w="329"/>
        <w:gridCol w:w="109"/>
        <w:gridCol w:w="109"/>
        <w:gridCol w:w="109"/>
        <w:gridCol w:w="2741"/>
        <w:gridCol w:w="2519"/>
        <w:gridCol w:w="3589"/>
      </w:tblGrid>
      <w:tr>
        <w:trPr/>
        <w:tc>
          <w:tcPr>
            <w:tcW w:w="3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10.63†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Manish Maini Employment Agreement, dated May 25, 2017 (incorporated by reference to Exhibit 10.3 to the Registrant’s Quarterly Report on Form 10-Q filed on September 7, 2022).</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10.64†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Employee Stock Purchase Plan (incorporated by reference to Exhibit 10.34 to Amendment No. 1 to the Registrant’s Registration Statement on Form S-1 filed on September 23, 2020).</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10.65†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Director and Officer Indemnification Agreement (incorporated by reference to Exhibit 10.37 to Amendment No. 1 to the Registrant’s Registration Statement on Form S-1 filed on September 23, 2020).</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66-nonxeedirector.htm">
              <w:r>
                <w:rPr>
                  <w:rStyle w:val="InternetLink"/>
                  <w:rFonts w:ascii="Times New Roman;sans-serif" w:hAnsi="Times New Roman;sans-serif"/>
                  <w:b w:val="false"/>
                  <w:color w:val="0000FF"/>
                  <w:sz w:val="20"/>
                  <w:u w:val="single"/>
                </w:rPr>
                <w:t>10.66†*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Non-Employee Director Compensation Policy, effective</w:t>
            </w:r>
            <w:r>
              <w:rPr>
                <w:color w:val="000000"/>
              </w:rPr>
              <w:t xml:space="preserve"> </w:t>
            </w:r>
            <w:r>
              <w:rPr>
                <w:rFonts w:ascii="Times New Roman;sans-serif" w:hAnsi="Times New Roman;sans-serif"/>
                <w:b w:val="false"/>
                <w:color w:val="000000"/>
                <w:sz w:val="20"/>
              </w:rPr>
              <w:t>March 18, 2024.</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11-fy2023.htm">
              <w:r>
                <w:rPr>
                  <w:rStyle w:val="InternetLink"/>
                  <w:rFonts w:ascii="Times New Roman;sans-serif" w:hAnsi="Times New Roman;sans-serif"/>
                  <w:b w:val="false"/>
                  <w:color w:val="0000FF"/>
                  <w:sz w:val="20"/>
                  <w:u w:val="single"/>
                </w:rPr>
                <w:t>21.1*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1-fy2023.htm">
              <w:r>
                <w:rPr>
                  <w:rStyle w:val="InternetLink"/>
                  <w:rFonts w:ascii="Times New Roman;sans-serif" w:hAnsi="Times New Roman;sans-serif"/>
                  <w:b w:val="false"/>
                  <w:color w:val="0000FF"/>
                  <w:sz w:val="20"/>
                  <w:u w:val="single"/>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Deloitte &amp; Touche LLP (with respect to the financial statements of Academy Sports and Outdoors, Inc.).</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fy2023.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Executive Officer under Section 302 of the Sarbanes-Oxley Act of 2002.</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fy2023.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Financial Officer under Section 302 of the Sarbanes-Oxley Act of 2002.</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fy2023.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fy2023.htm">
              <w:r>
                <w:rPr>
                  <w:rStyle w:val="InternetLink"/>
                  <w:rFonts w:ascii="Times New Roman;sans-serif" w:hAnsi="Times New Roman;sans-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971-asoclawbackpoli.htm">
              <w:r>
                <w:rPr>
                  <w:rStyle w:val="InternetLink"/>
                  <w:rFonts w:ascii="Times New Roman;sans-serif" w:hAnsi="Times New Roman;sans-serif"/>
                  <w:b w:val="false"/>
                  <w:color w:val="0000FF"/>
                  <w:sz w:val="20"/>
                  <w:u w:val="single"/>
                </w:rPr>
                <w:t>97.1†*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Policy Relating to Recovery of Erroneously Awarded Compensation.</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for the Company’s Annual Report on Form 10-K for the fiscal year ended February 3, 2024 has been formatted in Inline XBRL.</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contract or compensatory plan or arrangement </w:t>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01675"/>
                <wp:effectExtent l="0" t="0" r="0" b="0"/>
                <wp:wrapNone/>
                <wp:docPr id="113" name="Frame11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on Form 10-K to be signed on March 21, 2024 on its behalf by the undersigned, thereto duly authorized.</w:t>
      </w:r>
    </w:p>
    <w:p>
      <w:pPr>
        <w:pStyle w:val="TextBody"/>
        <w:bidi w:val="0"/>
        <w:spacing w:before="0" w:after="0"/>
        <w:ind w:left="0" w:right="0" w:firstLine="360"/>
        <w:jc w:val="both"/>
        <w:rPr/>
      </w:pPr>
      <w:r>
        <w:rPr/>
      </w:r>
    </w:p>
    <w:tbl>
      <w:tblPr>
        <w:tblW w:w="3885" w:type="dxa"/>
        <w:jc w:val="lef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tbl>
      <w:tblPr>
        <w:tblW w:w="5562" w:type="dxa"/>
        <w:jc w:val="left"/>
        <w:tblInd w:w="0" w:type="dxa"/>
        <w:tblLayout w:type="fixed"/>
        <w:tblCellMar>
          <w:top w:w="28" w:type="dxa"/>
          <w:left w:w="28" w:type="dxa"/>
          <w:bottom w:w="28" w:type="dxa"/>
          <w:right w:w="28" w:type="dxa"/>
        </w:tblCellMar>
      </w:tblPr>
      <w:tblGrid>
        <w:gridCol w:w="151"/>
        <w:gridCol w:w="134"/>
        <w:gridCol w:w="135"/>
        <w:gridCol w:w="200"/>
        <w:gridCol w:w="200"/>
        <w:gridCol w:w="200"/>
        <w:gridCol w:w="1329"/>
        <w:gridCol w:w="1329"/>
        <w:gridCol w:w="188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4542"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45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spacing w:before="0" w:after="0"/>
        <w:ind w:left="0" w:right="0" w:firstLine="360"/>
        <w:jc w:val="left"/>
        <w:rPr/>
      </w:pPr>
      <w:r>
        <w:rPr/>
      </w:r>
    </w:p>
    <w:tbl>
      <w:tblPr>
        <w:tblW w:w="10089" w:type="dxa"/>
        <w:jc w:val="left"/>
        <w:tblInd w:w="0" w:type="dxa"/>
        <w:tblLayout w:type="fixed"/>
        <w:tblCellMar>
          <w:top w:w="28" w:type="dxa"/>
          <w:left w:w="28" w:type="dxa"/>
          <w:bottom w:w="28" w:type="dxa"/>
          <w:right w:w="28" w:type="dxa"/>
        </w:tblCellMar>
      </w:tblPr>
      <w:tblGrid>
        <w:gridCol w:w="175"/>
        <w:gridCol w:w="154"/>
        <w:gridCol w:w="154"/>
        <w:gridCol w:w="802"/>
        <w:gridCol w:w="802"/>
        <w:gridCol w:w="810"/>
        <w:gridCol w:w="109"/>
        <w:gridCol w:w="109"/>
        <w:gridCol w:w="109"/>
        <w:gridCol w:w="1692"/>
        <w:gridCol w:w="1692"/>
        <w:gridCol w:w="1715"/>
        <w:gridCol w:w="109"/>
        <w:gridCol w:w="109"/>
        <w:gridCol w:w="109"/>
        <w:gridCol w:w="419"/>
        <w:gridCol w:w="419"/>
        <w:gridCol w:w="60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C.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C.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WENDY 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Wendy 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T. MARLEY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T. Marley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 M. NEALON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 M. Nealon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THERESA E. PALERMO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Theresa E. Palermo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BERYL B. RAFF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Beryl B. Raff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L. TURNER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L. Turner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 TWEEDY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 Tweedy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01675"/>
                <wp:effectExtent l="0" t="0" r="0" b="0"/>
                <wp:wrapNone/>
                <wp:docPr id="114" name="Frame11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bidi w:val="0"/>
        <w:spacing w:lineRule="auto" w:line="288" w:before="0" w:after="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875"/>
        <w:gridCol w:w="647"/>
        <w:gridCol w:w="652"/>
        <w:gridCol w:w="109"/>
        <w:gridCol w:w="109"/>
        <w:gridCol w:w="109"/>
        <w:gridCol w:w="443"/>
        <w:gridCol w:w="1327"/>
        <w:gridCol w:w="229"/>
        <w:gridCol w:w="109"/>
        <w:gridCol w:w="109"/>
        <w:gridCol w:w="109"/>
        <w:gridCol w:w="435"/>
        <w:gridCol w:w="1303"/>
        <w:gridCol w:w="224"/>
        <w:gridCol w:w="109"/>
        <w:gridCol w:w="109"/>
        <w:gridCol w:w="109"/>
        <w:gridCol w:w="272"/>
        <w:gridCol w:w="622"/>
        <w:gridCol w:w="142"/>
        <w:gridCol w:w="109"/>
        <w:gridCol w:w="109"/>
        <w:gridCol w:w="109"/>
        <w:gridCol w:w="364"/>
        <w:gridCol w:w="1090"/>
        <w:gridCol w:w="272"/>
      </w:tblGrid>
      <w:tr>
        <w:trPr/>
        <w:tc>
          <w:tcPr>
            <w:tcW w:w="87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end of period</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February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2,004</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1,107</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(1)</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2,217</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6,100</w:t>
            </w: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11,200</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(2)</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(2)</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6,400</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shrink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4,960</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99,444</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(92,582)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(3)</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11,822</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30,170</w:t>
            </w: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70,509</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(75,669)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(4)</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25,010</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shrink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29,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shrink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write-offs to the reserve.</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the monthly increase (decrease) in the required reserve based on the Company's evaluation of anticipated merchandise returns.</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the actual inventory shrinkage experienced at the time of physical inventories.</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claim payments for self-insured claims.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color w:val="000000"/>
          <w:sz w:val="22"/>
        </w:rPr>
      </w:pPr>
      <w:r>
        <w:rPr>
          <w:rFonts w:ascii="Times New Roman;sans-serif" w:hAnsi="Times New Roman;sans-serif"/>
          <w:b/>
          <w:color w:val="000000"/>
          <w:sz w:val="22"/>
        </w:rPr>
        <w:t>Exhibit 10.66</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01675"/>
                <wp:effectExtent l="0" t="0" r="0" b="0"/>
                <wp:wrapNone/>
                <wp:docPr id="115" name="Frame11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drawing>
          <wp:inline distT="0" distB="0" distL="0" distR="0">
            <wp:extent cx="2190750" cy="685800"/>
            <wp:effectExtent l="0" t="0" r="0" b="0"/>
            <wp:docPr id="1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 descr=""/>
                    <pic:cNvPicPr>
                      <a:picLocks noChangeAspect="1" noChangeArrowheads="1"/>
                    </pic:cNvPicPr>
                  </pic:nvPicPr>
                  <pic:blipFill>
                    <a:blip r:embed="rId74"/>
                    <a:stretch>
                      <a:fillRect/>
                    </a:stretch>
                  </pic:blipFill>
                  <pic:spPr bwMode="auto">
                    <a:xfrm>
                      <a:off x="0" y="0"/>
                      <a:ext cx="2190750" cy="685800"/>
                    </a:xfrm>
                    <a:prstGeom prst="rect">
                      <a:avLst/>
                    </a:prstGeom>
                  </pic:spPr>
                </pic:pic>
              </a:graphicData>
            </a:graphic>
          </wp:inline>
        </w:drawing>
      </w:r>
    </w:p>
    <w:p>
      <w:pPr>
        <w:pStyle w:val="TextBody"/>
        <w:bidi w:val="0"/>
        <w:spacing w:before="0" w:after="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lineRule="auto" w:line="300" w:before="0" w:after="160"/>
        <w:jc w:val="center"/>
        <w:rPr>
          <w:rFonts w:ascii="Arial;sans-serif" w:hAnsi="Arial;sans-serif"/>
          <w:b/>
          <w:color w:val="000000"/>
          <w:sz w:val="22"/>
        </w:rPr>
      </w:pPr>
      <w:r>
        <w:rPr>
          <w:rFonts w:ascii="Arial;sans-serif" w:hAnsi="Arial;sans-serif"/>
          <w:b/>
          <w:color w:val="000000"/>
          <w:sz w:val="22"/>
        </w:rPr>
        <w:t>ACADEMY SPORTS AND OUTDOORS, INC.</w: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Non-Employee Director Compensation Policy</w: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EFFECTIVE DATE: March 18, 2024</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I.    Purpose</w:t>
      </w:r>
    </w:p>
    <w:p>
      <w:pPr>
        <w:pStyle w:val="TextBody"/>
        <w:bidi w:val="0"/>
        <w:spacing w:lineRule="auto" w:line="300" w:before="0" w:after="240"/>
        <w:jc w:val="both"/>
        <w:rPr/>
      </w:pPr>
      <w:r>
        <w:rPr>
          <w:rFonts w:ascii="Arial;sans-serif" w:hAnsi="Arial;sans-serif"/>
          <w:b w:val="false"/>
          <w:color w:val="000000"/>
          <w:sz w:val="22"/>
        </w:rPr>
        <w:t>Each member of the board of directors (the “</w:t>
      </w:r>
      <w:r>
        <w:rPr>
          <w:rFonts w:ascii="Arial;sans-serif" w:hAnsi="Arial;sans-serif"/>
          <w:b/>
          <w:color w:val="000000"/>
          <w:sz w:val="22"/>
        </w:rPr>
        <w:t>Board</w:t>
      </w:r>
      <w:r>
        <w:rPr>
          <w:color w:val="000000"/>
        </w:rPr>
        <w:t>”</w:t>
      </w:r>
      <w:r>
        <w:rPr>
          <w:rFonts w:ascii="Arial;sans-serif" w:hAnsi="Arial;sans-serif"/>
          <w:b w:val="false"/>
          <w:color w:val="000000"/>
          <w:sz w:val="22"/>
        </w:rPr>
        <w:t>) of Academy Sports and Outdoors, Inc., a Delaware corporation (the “</w:t>
      </w:r>
      <w:r>
        <w:rPr>
          <w:rFonts w:ascii="Arial;sans-serif" w:hAnsi="Arial;sans-serif"/>
          <w:b/>
          <w:color w:val="000000"/>
          <w:sz w:val="22"/>
        </w:rPr>
        <w:t>Company</w:t>
      </w:r>
      <w:r>
        <w:rPr>
          <w:color w:val="000000"/>
        </w:rPr>
        <w:t>”</w:t>
      </w:r>
      <w:r>
        <w:rPr>
          <w:rFonts w:ascii="Arial;sans-serif" w:hAnsi="Arial;sans-serif"/>
          <w:b w:val="false"/>
          <w:color w:val="000000"/>
          <w:sz w:val="22"/>
        </w:rPr>
        <w:t>), who is not an employee of the Company (or any parent or subsidiary of the Company) (each, a “</w:t>
      </w:r>
      <w:r>
        <w:rPr>
          <w:rFonts w:ascii="Arial;sans-serif" w:hAnsi="Arial;sans-serif"/>
          <w:b/>
          <w:color w:val="000000"/>
          <w:sz w:val="22"/>
        </w:rPr>
        <w:t>Director</w:t>
      </w:r>
      <w:r>
        <w:rPr>
          <w:color w:val="000000"/>
        </w:rPr>
        <w:t>”</w:t>
      </w:r>
      <w:r>
        <w:rPr>
          <w:rFonts w:ascii="Arial;sans-serif" w:hAnsi="Arial;sans-serif"/>
          <w:b w:val="false"/>
          <w:color w:val="000000"/>
          <w:sz w:val="22"/>
        </w:rPr>
        <w:t>) shall be eligible to receive cash and equity compensation for their service on the Board and any committee thereof in accordance with this Non-Employee Director Compensation Policy (this “</w:t>
      </w:r>
      <w:r>
        <w:rPr>
          <w:rFonts w:ascii="Arial;sans-serif" w:hAnsi="Arial;sans-serif"/>
          <w:b/>
          <w:color w:val="000000"/>
          <w:sz w:val="22"/>
        </w:rPr>
        <w:t>Policy</w:t>
      </w:r>
      <w:r>
        <w:rPr>
          <w:color w:val="000000"/>
        </w:rPr>
        <w:t>”</w:t>
      </w:r>
      <w:r>
        <w:rPr>
          <w:rFonts w:ascii="Arial;sans-serif" w:hAnsi="Arial;sans-serif"/>
          <w:b w:val="false"/>
          <w:color w:val="000000"/>
          <w:sz w:val="22"/>
        </w:rPr>
        <w:t>). For the avoidance of doubt, this Policy shall not apply to members of the Board who are employees of the Company (or any parent or subsidiary of the Company). This Policy shall be reviewed annually by the Compensation Committee of the Board and remain in effect until it is amended or rescinded by further action of the Board.</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II.    Cash Compensation</w:t>
      </w:r>
    </w:p>
    <w:tbl>
      <w:tblPr>
        <w:tblW w:w="8489" w:type="dxa"/>
        <w:jc w:val="left"/>
        <w:tblInd w:w="0" w:type="dxa"/>
        <w:tblLayout w:type="fixed"/>
        <w:tblCellMar>
          <w:top w:w="28" w:type="dxa"/>
          <w:left w:w="28" w:type="dxa"/>
          <w:bottom w:w="28" w:type="dxa"/>
          <w:right w:w="28" w:type="dxa"/>
        </w:tblCellMar>
      </w:tblPr>
      <w:tblGrid>
        <w:gridCol w:w="2276"/>
        <w:gridCol w:w="1998"/>
        <w:gridCol w:w="2011"/>
        <w:gridCol w:w="645"/>
        <w:gridCol w:w="645"/>
        <w:gridCol w:w="914"/>
      </w:tblGrid>
      <w:tr>
        <w:trPr/>
        <w:tc>
          <w:tcPr>
            <w:tcW w:w="2276"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color w:val="000000"/>
                <w:sz w:val="22"/>
              </w:rPr>
            </w:pPr>
            <w:r>
              <w:rPr>
                <w:rFonts w:ascii="Arial;sans-serif" w:hAnsi="Arial;sans-serif"/>
                <w:b/>
                <w:color w:val="000000"/>
                <w:sz w:val="22"/>
              </w:rPr>
              <w:t>Position</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color w:val="000000"/>
                <w:sz w:val="22"/>
              </w:rPr>
            </w:pPr>
            <w:r>
              <w:rPr>
                <w:rFonts w:ascii="Arial;sans-serif" w:hAnsi="Arial;sans-serif"/>
                <w:b/>
                <w:color w:val="000000"/>
                <w:sz w:val="22"/>
              </w:rPr>
              <w:t>Fiscal Year Amount</w:t>
            </w:r>
          </w:p>
        </w:tc>
      </w:tr>
      <w:tr>
        <w:trPr/>
        <w:tc>
          <w:tcPr>
            <w:tcW w:w="6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Director Annual Retainer</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$100,000</w:t>
            </w:r>
          </w:p>
        </w:tc>
      </w:tr>
      <w:tr>
        <w:trPr/>
        <w:tc>
          <w:tcPr>
            <w:tcW w:w="6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Board Chair Annual Retainer</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$75,000</w:t>
            </w:r>
          </w:p>
        </w:tc>
      </w:tr>
      <w:tr>
        <w:trPr/>
        <w:tc>
          <w:tcPr>
            <w:tcW w:w="6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Lead (independent) Director Annual Retainer</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$40,000</w:t>
            </w:r>
          </w:p>
        </w:tc>
      </w:tr>
      <w:tr>
        <w:trPr/>
        <w:tc>
          <w:tcPr>
            <w:tcW w:w="6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 xml:space="preserve">Audit Committee Chair Annual Retainer </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$30,000</w:t>
            </w:r>
          </w:p>
        </w:tc>
      </w:tr>
      <w:tr>
        <w:trPr/>
        <w:tc>
          <w:tcPr>
            <w:tcW w:w="6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 xml:space="preserve">Compensation Committee Chair Annual Retainer </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$25,000</w:t>
            </w:r>
          </w:p>
        </w:tc>
      </w:tr>
      <w:tr>
        <w:trPr/>
        <w:tc>
          <w:tcPr>
            <w:tcW w:w="62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 xml:space="preserve">Nominating and Governance Committee Chair Annual Retainer </w:t>
            </w:r>
          </w:p>
        </w:tc>
        <w:tc>
          <w:tcPr>
            <w:tcW w:w="22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$20,000</w:t>
            </w:r>
          </w:p>
        </w:tc>
      </w:tr>
    </w:tbl>
    <w:p>
      <w:pPr>
        <w:pStyle w:val="TextBody"/>
        <w:bidi w:val="0"/>
        <w:spacing w:before="0" w:after="0"/>
        <w:jc w:val="both"/>
        <w:rPr/>
      </w:pPr>
      <w:r>
        <w:rPr/>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A.    All cash compensation is earned on a fiscal year basis and 25% of the Fiscal Year Amount is paid in arrears at the end of each fiscal quarter for completing a full fiscal quarter of service.</w:t>
      </w:r>
    </w:p>
    <w:p>
      <w:pPr>
        <w:pStyle w:val="TextBody"/>
        <w:bidi w:val="0"/>
        <w:spacing w:before="0" w:after="24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41630"/>
                <wp:effectExtent l="0" t="0" r="0" b="0"/>
                <wp:wrapNone/>
                <wp:docPr id="117" name="Frame114"/>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r>
                              <w:br w:type="page"/>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424826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424826</w:t>
                      </w:r>
                    </w:p>
                  </w:txbxContent>
                </v:textbox>
                <w10:wrap type="none"/>
              </v:rect>
            </w:pict>
          </mc:Fallback>
        </mc:AlternateConten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B.    Directors who commence, or terminate, service during the fiscal quarter will receive pro-rated retainers based on the number of calendar days of service in the fiscal quarter divided by the total number of calendar days in the fiscal quarter.</w:t>
      </w:r>
    </w:p>
    <w:p>
      <w:pPr>
        <w:pStyle w:val="TextBody"/>
        <w:bidi w:val="0"/>
        <w:spacing w:lineRule="auto" w:line="300" w:before="0" w:after="240"/>
        <w:ind w:left="0" w:right="0" w:hanging="360"/>
        <w:jc w:val="both"/>
        <w:rPr/>
      </w:pPr>
      <w:r>
        <w:rPr>
          <w:rFonts w:ascii="Arial;sans-serif" w:hAnsi="Arial;sans-serif"/>
          <w:b w:val="false"/>
          <w:color w:val="000000"/>
          <w:sz w:val="22"/>
        </w:rPr>
        <w:t>C.    If the adoption of this Policy increases the value of any Director’s current cash compensation or if the Fiscal Year Amount is subsequently increased by the Board at any time before or after an Annual Stockholders Meeting, then the increase in cash compensation will be paid going forward from its adoption date. To the extent that any increase in Directors cash compensation is adopted</w:t>
      </w:r>
      <w:r>
        <w:rPr>
          <w:color w:val="000000"/>
        </w:rPr>
        <w:t xml:space="preserve"> </w:t>
      </w:r>
      <w:r>
        <w:rPr>
          <w:rFonts w:ascii="Arial;sans-serif" w:hAnsi="Arial;sans-serif"/>
          <w:b w:val="false"/>
          <w:color w:val="000000"/>
          <w:sz w:val="22"/>
        </w:rPr>
        <w:t>mid-quarter, the increased amount will be pro-rated based on the number of calendar days in the fiscal quarter on and after its adoption date divided by the total number of calendar days in the fiscal quarter; the calendar days in the fiscal quarter prior to such adoption date will be compensated based on the prior level of Director cash compensation.</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III.    Equity Compensation</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A.    New Director Equity Award</w:t>
      </w:r>
    </w:p>
    <w:p>
      <w:pPr>
        <w:pStyle w:val="TextBody"/>
        <w:bidi w:val="0"/>
        <w:spacing w:lineRule="auto" w:line="300" w:before="0" w:after="240"/>
        <w:jc w:val="both"/>
        <w:rPr/>
      </w:pPr>
      <w:r>
        <w:rPr>
          <w:rFonts w:ascii="Arial;sans-serif" w:hAnsi="Arial;sans-serif"/>
          <w:b w:val="false"/>
          <w:color w:val="000000"/>
          <w:sz w:val="22"/>
        </w:rPr>
        <w:t>Unless otherwise provided by the Board, a restricted stock unit award (“</w:t>
      </w:r>
      <w:r>
        <w:rPr>
          <w:rFonts w:ascii="Arial;sans-serif" w:hAnsi="Arial;sans-serif"/>
          <w:b/>
          <w:color w:val="000000"/>
          <w:sz w:val="22"/>
        </w:rPr>
        <w:t>RSU</w:t>
      </w:r>
      <w:r>
        <w:rPr>
          <w:color w:val="000000"/>
        </w:rPr>
        <w:t>”</w:t>
      </w:r>
      <w:r>
        <w:rPr>
          <w:rFonts w:ascii="Arial;sans-serif" w:hAnsi="Arial;sans-serif"/>
          <w:b w:val="false"/>
          <w:color w:val="000000"/>
          <w:sz w:val="22"/>
        </w:rPr>
        <w:t>) will be granted automatically under the 2020 Omnibus Incentive Plan or its successor (the “</w:t>
      </w:r>
      <w:r>
        <w:rPr>
          <w:rFonts w:ascii="Arial;sans-serif" w:hAnsi="Arial;sans-serif"/>
          <w:b/>
          <w:color w:val="000000"/>
          <w:sz w:val="22"/>
        </w:rPr>
        <w:t>Plan</w:t>
      </w:r>
      <w:r>
        <w:rPr>
          <w:color w:val="000000"/>
        </w:rPr>
        <w:t>”</w:t>
      </w:r>
      <w:r>
        <w:rPr>
          <w:rFonts w:ascii="Arial;sans-serif" w:hAnsi="Arial;sans-serif"/>
          <w:b w:val="false"/>
          <w:color w:val="000000"/>
          <w:sz w:val="22"/>
        </w:rPr>
        <w:t>) to each new Director on either (i) the date that the new Director is appointed to the Board (the “</w:t>
      </w:r>
      <w:r>
        <w:rPr>
          <w:rFonts w:ascii="Arial;sans-serif" w:hAnsi="Arial;sans-serif"/>
          <w:b/>
          <w:color w:val="000000"/>
          <w:sz w:val="22"/>
        </w:rPr>
        <w:t>New Director Appointment Date</w:t>
      </w:r>
      <w:r>
        <w:rPr>
          <w:color w:val="000000"/>
        </w:rPr>
        <w:t>”</w:t>
      </w:r>
      <w:r>
        <w:rPr>
          <w:rFonts w:ascii="Arial;sans-serif" w:hAnsi="Arial;sans-serif"/>
          <w:b w:val="false"/>
          <w:color w:val="000000"/>
          <w:sz w:val="22"/>
        </w:rPr>
        <w:t>), if such New Director Appointment Date occurs during a Window Period (as such term is defined in the Company’s Insider Trading Policy), or (ii) if such New Director Appointment Date does not occur during a Window Period, then on the first date of the Company’s next Window Period (whichever date applies, the “</w:t>
      </w:r>
      <w:r>
        <w:rPr>
          <w:rFonts w:ascii="Arial;sans-serif" w:hAnsi="Arial;sans-serif"/>
          <w:b/>
          <w:color w:val="000000"/>
          <w:sz w:val="22"/>
        </w:rPr>
        <w:t>New Director Grant Date</w:t>
      </w:r>
      <w:r>
        <w:rPr>
          <w:color w:val="000000"/>
        </w:rPr>
        <w:t>”</w:t>
      </w:r>
      <w:r>
        <w:rPr>
          <w:rFonts w:ascii="Arial;sans-serif" w:hAnsi="Arial;sans-serif"/>
          <w:b w:val="false"/>
          <w:color w:val="000000"/>
          <w:sz w:val="22"/>
        </w:rPr>
        <w:t>), with the following terms and conditions:</w:t>
      </w:r>
    </w:p>
    <w:p>
      <w:pPr>
        <w:pStyle w:val="TextBody"/>
        <w:bidi w:val="0"/>
        <w:spacing w:lineRule="auto" w:line="300" w:before="0" w:after="240"/>
        <w:ind w:left="0" w:right="0" w:hanging="360"/>
        <w:jc w:val="both"/>
        <w:rPr/>
      </w:pPr>
      <w:r>
        <w:rPr>
          <w:rFonts w:ascii="Arial;sans-serif" w:hAnsi="Arial;sans-serif"/>
          <w:b w:val="false"/>
          <w:color w:val="000000"/>
          <w:sz w:val="22"/>
        </w:rPr>
        <w:t>1.    The award will be based upon an annualized grant value of $160,000 (the “</w:t>
      </w:r>
      <w:r>
        <w:rPr>
          <w:rFonts w:ascii="Arial;sans-serif" w:hAnsi="Arial;sans-serif"/>
          <w:b/>
          <w:color w:val="000000"/>
          <w:sz w:val="22"/>
        </w:rPr>
        <w:t>Maximum Value</w:t>
      </w:r>
      <w:r>
        <w:rPr>
          <w:color w:val="000000"/>
        </w:rPr>
        <w:t>”</w:t>
      </w:r>
      <w:r>
        <w:rPr>
          <w:rFonts w:ascii="Arial;sans-serif" w:hAnsi="Arial;sans-serif"/>
          <w:b w:val="false"/>
          <w:color w:val="000000"/>
          <w:sz w:val="22"/>
        </w:rPr>
        <w:t>). In the case of a Director newly appointed to the Board Chair position, an additional amount based upon an annualized grant value of $125,000 will be granted, with the Maximum Value thereby being based upon an annualized grant value total of $285,000 annually (the “</w:t>
      </w:r>
      <w:r>
        <w:rPr>
          <w:rFonts w:ascii="Arial;sans-serif" w:hAnsi="Arial;sans-serif"/>
          <w:b/>
          <w:color w:val="000000"/>
          <w:sz w:val="22"/>
        </w:rPr>
        <w:t>Board Chair Maximum Value</w:t>
      </w:r>
      <w:r>
        <w:rPr>
          <w:color w:val="000000"/>
        </w:rPr>
        <w:t>”</w:t>
      </w:r>
      <w:r>
        <w:rPr>
          <w:rFonts w:ascii="Arial;sans-serif" w:hAnsi="Arial;sans-serif"/>
          <w:b w:val="false"/>
          <w:color w:val="000000"/>
          <w:sz w:val="22"/>
        </w:rPr>
        <w:t>).</w:t>
      </w:r>
    </w:p>
    <w:p>
      <w:pPr>
        <w:pStyle w:val="TextBody"/>
        <w:bidi w:val="0"/>
        <w:spacing w:lineRule="auto" w:line="300" w:before="0" w:after="240"/>
        <w:ind w:left="0" w:right="0" w:hanging="360"/>
        <w:jc w:val="both"/>
        <w:rPr/>
      </w:pPr>
      <w:r>
        <w:rPr>
          <w:rFonts w:ascii="Arial;sans-serif" w:hAnsi="Arial;sans-serif"/>
          <w:b w:val="false"/>
          <w:color w:val="000000"/>
          <w:sz w:val="22"/>
        </w:rPr>
        <w:t>2.    The actual target grant value (“</w:t>
      </w:r>
      <w:r>
        <w:rPr>
          <w:rFonts w:ascii="Arial;sans-serif" w:hAnsi="Arial;sans-serif"/>
          <w:b/>
          <w:color w:val="000000"/>
          <w:sz w:val="22"/>
        </w:rPr>
        <w:t>Award Value</w:t>
      </w:r>
      <w:r>
        <w:rPr>
          <w:color w:val="000000"/>
        </w:rPr>
        <w:t>”</w:t>
      </w:r>
      <w:r>
        <w:rPr>
          <w:rFonts w:ascii="Arial;sans-serif" w:hAnsi="Arial;sans-serif"/>
          <w:b w:val="false"/>
          <w:color w:val="000000"/>
          <w:sz w:val="22"/>
        </w:rPr>
        <w:t>) will be calculated by pro-rating the Maximum Value and the Board Chair Maximum Value (as applicable) based on the number of calendar days remaining from the date the new Director is appointed to the Board until (a) the next Annual Stockholders Meeting, if scheduled, or (b) the date of the first anniversary of the last Annual Stockholders Meeting, if the next Annual Shareholder Meeting has not been scheduled, divided by (x) the number of calendar days between the last and next scheduled Annual Stockholders Meeting, or (y) 365, if the next Annual Stockholders Meeting date does not exist.</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3.    The Award Value (as calculated directly above) will be converted into RSUs based on the prior 30 calendar days average closing stock price as of the New Director Grant Date (rounded down to the next whole share).</w:t>
      </w:r>
    </w:p>
    <w:p>
      <w:pPr>
        <w:pStyle w:val="TextBody"/>
        <w:bidi w:val="0"/>
        <w:spacing w:before="0" w:after="24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46075"/>
                <wp:effectExtent l="0" t="0" r="0" b="0"/>
                <wp:wrapNone/>
                <wp:docPr id="118" name="Frame11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4.    Subject to the Director’s continued service with the Company on the applicable vesting date, 100% of the RSUs shall vest on the earliest of (i) the first anniversary of the New Director Grant Date, or, if earlier, the date which is the business day immediately preceding the date of the next Annual Stockholders Meeting, (ii) the Director’s termination due to death or Disability (as defined in the Plan) or (iii) a Change in Control (as defined in the Plan).</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 xml:space="preserve">5.    If the Director is appointed 60 days or less prior to the Annual Stockholders Meeting, an annual equity grant will be made in accordance with Section III(B) below in lieu of any equity grant under this Section III(A). </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B.    Annual Director Equity Award</w:t>
      </w:r>
    </w:p>
    <w:p>
      <w:pPr>
        <w:pStyle w:val="TextBody"/>
        <w:bidi w:val="0"/>
        <w:spacing w:lineRule="auto" w:line="300" w:before="0" w:after="240"/>
        <w:jc w:val="both"/>
        <w:rPr/>
      </w:pPr>
      <w:r>
        <w:rPr>
          <w:rFonts w:ascii="Arial;sans-serif" w:hAnsi="Arial;sans-serif"/>
          <w:b w:val="false"/>
          <w:color w:val="000000"/>
          <w:sz w:val="22"/>
        </w:rPr>
        <w:t>Unless otherwise provided by the Board, an annual RSU award (“</w:t>
      </w:r>
      <w:r>
        <w:rPr>
          <w:rFonts w:ascii="Arial;sans-serif" w:hAnsi="Arial;sans-serif"/>
          <w:b/>
          <w:color w:val="000000"/>
          <w:sz w:val="22"/>
        </w:rPr>
        <w:t>Annual Award</w:t>
      </w:r>
      <w:r>
        <w:rPr>
          <w:color w:val="000000"/>
        </w:rPr>
        <w:t>”</w:t>
      </w:r>
      <w:r>
        <w:rPr>
          <w:rFonts w:ascii="Arial;sans-serif" w:hAnsi="Arial;sans-serif"/>
          <w:b w:val="false"/>
          <w:color w:val="000000"/>
          <w:sz w:val="22"/>
        </w:rPr>
        <w:t>) will be granted automatically under the Plan to each active Director on the first date of the Company’s next Window Period following the date of each Annual Stockholders Meeting (the “</w:t>
      </w:r>
      <w:r>
        <w:rPr>
          <w:rFonts w:ascii="Arial;sans-serif" w:hAnsi="Arial;sans-serif"/>
          <w:b/>
          <w:color w:val="000000"/>
          <w:sz w:val="22"/>
        </w:rPr>
        <w:t>Grant Date</w:t>
      </w:r>
      <w:r>
        <w:rPr>
          <w:color w:val="000000"/>
        </w:rPr>
        <w:t>”</w:t>
      </w:r>
      <w:r>
        <w:rPr>
          <w:rFonts w:ascii="Arial;sans-serif" w:hAnsi="Arial;sans-serif"/>
          <w:b w:val="false"/>
          <w:color w:val="000000"/>
          <w:sz w:val="22"/>
        </w:rPr>
        <w:t xml:space="preserve">), with the following terms and conditions: </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1.    The Annual Award will have a target grant value equal to the Maximum Value and the Board Chair Maximum Value for the Board Chair.</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2.    The Annual Award will be converted into RSUs based on the prior 30 calendar days average closing stock price as of the Grant Date (rounded down to the next whole share).</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3.    Subject to the Director’s continued service with the Company on the applicable vesting date, 100% of the RSUs shall vest on the earliest of (i) the first anniversary of the Grant Date, or, if earlier, the date which is the business day immediately preceding the date of the next Annual Stockholders Meeting, (ii) the Director’s termination due to death or Disability or (iii) a Change in Control.</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C.    Changes in Maximum Value and Board Chair Maximum Value</w:t>
      </w:r>
    </w:p>
    <w:p>
      <w:pPr>
        <w:pStyle w:val="TextBody"/>
        <w:bidi w:val="0"/>
        <w:spacing w:lineRule="auto" w:line="300" w:before="0" w:after="240"/>
        <w:jc w:val="both"/>
        <w:rPr/>
      </w:pPr>
      <w:r>
        <w:rPr>
          <w:rFonts w:ascii="Arial;sans-serif" w:hAnsi="Arial;sans-serif"/>
          <w:b w:val="false"/>
          <w:color w:val="000000"/>
          <w:sz w:val="22"/>
        </w:rPr>
        <w:t>Unless otherwise provided by the Board, if the Maximum Value and/or the Board Chair Maximum Value is subsequently increased by the Board at any time before or after an equity award is granted for the fiscal year under Sections III(A) an III(B), then the increase in the Maximum Value and Board Chair Maximum Value (as applicable) will be prorated and a supplemental award will be granted under the Plan to each Director on either (i) the date of such increase (the “</w:t>
      </w:r>
      <w:r>
        <w:rPr>
          <w:rFonts w:ascii="Arial;sans-serif" w:hAnsi="Arial;sans-serif"/>
          <w:b/>
          <w:color w:val="000000"/>
          <w:sz w:val="22"/>
        </w:rPr>
        <w:t>Increase Date</w:t>
      </w:r>
      <w:r>
        <w:rPr>
          <w:color w:val="000000"/>
        </w:rPr>
        <w:t>”</w:t>
      </w:r>
      <w:r>
        <w:rPr>
          <w:rFonts w:ascii="Arial;sans-serif" w:hAnsi="Arial;sans-serif"/>
          <w:b w:val="false"/>
          <w:color w:val="000000"/>
          <w:sz w:val="22"/>
        </w:rPr>
        <w:t>), if such Increase Date occurs during a Window Period, or (ii) if such Increase Date does not occur during a Window Period, then on the first date of the Company’s next Window Period (whichever date applies, the “</w:t>
      </w:r>
      <w:r>
        <w:rPr>
          <w:rFonts w:ascii="Arial;sans-serif" w:hAnsi="Arial;sans-serif"/>
          <w:b/>
          <w:color w:val="000000"/>
          <w:sz w:val="22"/>
        </w:rPr>
        <w:t>Supplemental Grant Date</w:t>
      </w:r>
      <w:r>
        <w:rPr>
          <w:color w:val="000000"/>
        </w:rPr>
        <w:t>”</w:t>
      </w:r>
      <w:r>
        <w:rPr>
          <w:rFonts w:ascii="Arial;sans-serif" w:hAnsi="Arial;sans-serif"/>
          <w:b w:val="false"/>
          <w:color w:val="000000"/>
          <w:sz w:val="22"/>
        </w:rPr>
        <w:t>), as follows:</w:t>
      </w:r>
    </w:p>
    <w:p>
      <w:pPr>
        <w:pStyle w:val="TextBody"/>
        <w:bidi w:val="0"/>
        <w:spacing w:before="0" w:after="24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46075"/>
                <wp:effectExtent l="0" t="0" r="0" b="0"/>
                <wp:wrapNone/>
                <wp:docPr id="119" name="Frame11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360"/>
        <w:jc w:val="both"/>
        <w:rPr/>
      </w:pPr>
      <w:r>
        <w:rPr>
          <w:rFonts w:ascii="Arial;sans-serif" w:hAnsi="Arial;sans-serif"/>
          <w:b w:val="false"/>
          <w:color w:val="000000"/>
          <w:sz w:val="22"/>
        </w:rPr>
        <w:t>1.    The new target grant value (“</w:t>
      </w:r>
      <w:r>
        <w:rPr>
          <w:rFonts w:ascii="Arial;sans-serif" w:hAnsi="Arial;sans-serif"/>
          <w:b/>
          <w:color w:val="000000"/>
          <w:sz w:val="22"/>
        </w:rPr>
        <w:t>Increased Value</w:t>
      </w:r>
      <w:r>
        <w:rPr>
          <w:color w:val="000000"/>
        </w:rPr>
        <w:t>”</w:t>
      </w:r>
      <w:r>
        <w:rPr>
          <w:rFonts w:ascii="Arial;sans-serif" w:hAnsi="Arial;sans-serif"/>
          <w:b w:val="false"/>
          <w:color w:val="000000"/>
          <w:sz w:val="22"/>
        </w:rPr>
        <w:t>) will be calculated by subtracting the new Maximum Value and Board Chair Maximum Value (as applicable) from the prior annual Director equity award value and multiplying the difference by the product of the number of calendar days remaining between the date of such approved change and (a) the next Annual Stockholders Meeting, if scheduled, or (b) the date of the first anniversary of the last Annual Stockholders Meeting, if the next Annual Stockholders Meeting is not scheduled, divided by (x) the number of calendar days between the last and next scheduled Annual Stockholders Meeting, or (y) 365, if either the last or the next Annual Stockholders Meeting date does not exist.</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2.    The Increased Value (as calculated directly above) will be converted into RSUs based on the prior 30 calendar days average closing stock price as of the Supplemental Grant Date (rounded down to the next whole share).</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3.    Subject to the Director’s continued service with the Company on the applicable vesting date, 100% of the RSUs shall vest on the earliest of (i) the first anniversary of the Supplemental Grant Date, or, if earlier, the date which is the business day immediately preceding the date of the next Annual Stockholders Meeting, (ii) the Director’s termination due to death or Disability or (iii) a Change in Control.</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4.    If the change to the Maximum Value and Board Chair Maximum Value (as applicable) is adopted 60 days or less prior to the Annual Stockholders Meeting, and an annual equity grant will be made at such meeting, no additional equity award grant will be made prior to such meeting to the Director.</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D.    Stock Ownership Guidelines</w: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All equity awards will be made and remain subject to the requirements and limitations set forth in the Plan and the Company’s Stock Ownership Guidelines.</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E.    Expense Reimbursement</w: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Directors shall be reimbursed for reasonable and documented out-of-pocket travel and lodging expenses incurred in connection with attending Board and committee meetings or such other Board service to the Company in accordance with Company’s travel policies in effect from time to time. Each Director shall provide the Company with such receipts and other records related to such reimbursable expenses as the Company may reasonably require.</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46075"/>
                <wp:effectExtent l="0" t="0" r="0" b="0"/>
                <wp:wrapNone/>
                <wp:docPr id="120" name="Frame11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v:textbox>
                <w10:wrap type="none"/>
              </v:rect>
            </w:pict>
          </mc:Fallback>
        </mc:AlternateContent>
      </w:r>
    </w:p>
    <w:tbl>
      <w:tblPr>
        <w:tblW w:w="8426" w:type="dxa"/>
        <w:jc w:val="center"/>
        <w:tblInd w:w="0" w:type="dxa"/>
        <w:tblLayout w:type="fixed"/>
        <w:tblCellMar>
          <w:top w:w="28" w:type="dxa"/>
          <w:left w:w="28" w:type="dxa"/>
          <w:bottom w:w="28" w:type="dxa"/>
          <w:right w:w="28" w:type="dxa"/>
        </w:tblCellMar>
      </w:tblPr>
      <w:tblGrid>
        <w:gridCol w:w="1638"/>
        <w:gridCol w:w="1439"/>
        <w:gridCol w:w="1439"/>
        <w:gridCol w:w="430"/>
        <w:gridCol w:w="430"/>
        <w:gridCol w:w="430"/>
        <w:gridCol w:w="758"/>
        <w:gridCol w:w="758"/>
        <w:gridCol w:w="1104"/>
      </w:tblGrid>
      <w:tr>
        <w:trPr/>
        <w:tc>
          <w:tcPr>
            <w:tcW w:w="163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84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ableContents"/>
              <w:bidi w:val="0"/>
              <w:spacing w:lineRule="auto" w:line="240" w:before="0" w:after="0"/>
              <w:jc w:val="center"/>
              <w:rPr/>
            </w:pPr>
            <w:r>
              <w:rPr>
                <w:rFonts w:ascii="Times New Roman;sans-serif" w:hAnsi="Times New Roman;sans-serif"/>
                <w:b/>
                <w:color w:val="000000"/>
                <w:sz w:val="20"/>
              </w:rPr>
              <w:t>SUBSIDIARIES OF THE REGISTRANT</w:t>
            </w:r>
            <w:r>
              <w:rPr>
                <w:rFonts w:ascii="Times New Roman;sans-serif" w:hAnsi="Times New Roman;sans-serif"/>
                <w:b/>
                <w:color w:val="000000"/>
                <w:sz w:val="13"/>
              </w:rPr>
              <w:t>1</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Subsidiaries of Academy Sports and Outdoors, Inc.</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Country of</w:t>
              <w:br/>
              <w:t>Incorporation or Formation</w:t>
            </w:r>
          </w:p>
        </w:tc>
      </w:tr>
      <w:tr>
        <w:trPr/>
        <w:tc>
          <w:tcPr>
            <w:tcW w:w="4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Academy Holding Company, LLC</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Academy Managing Co., L.L.C.</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Investors, L.L.C.</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Academy, Ltd.</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Academy International Limited</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Subsidiaries noted throughout this document may be direct or indirect subsidiaries of the Registrant.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 333-249233 and Registration Statement No. 333-263944 on Form S-8 of our reports dated March 21, 2024, relating to the consolidated financial statements of Academy Sports and Outdoors, Inc. and the effectiveness of Academy Sports and Outdoors, Inc.’s internal control over financial reporting appearing in this Annual Report on Form 10-K for the year ended February 3, 2024.</w:t>
      </w:r>
    </w:p>
    <w:p>
      <w:pPr>
        <w:pStyle w:val="TextBody"/>
        <w:bidi w:val="0"/>
        <w:spacing w:before="0" w:after="0"/>
        <w:jc w:val="left"/>
        <w:rPr/>
      </w:pPr>
      <w:r>
        <w:rPr/>
      </w:r>
    </w:p>
    <w:tbl>
      <w:tblPr>
        <w:tblW w:w="2546" w:type="dxa"/>
        <w:jc w:val="left"/>
        <w:tblInd w:w="0" w:type="dxa"/>
        <w:tblLayout w:type="fixed"/>
        <w:tblCellMar>
          <w:top w:w="28" w:type="dxa"/>
          <w:left w:w="28" w:type="dxa"/>
          <w:bottom w:w="28" w:type="dxa"/>
          <w:right w:w="28" w:type="dxa"/>
        </w:tblCellMar>
      </w:tblPr>
      <w:tblGrid>
        <w:gridCol w:w="124"/>
        <w:gridCol w:w="109"/>
        <w:gridCol w:w="109"/>
        <w:gridCol w:w="644"/>
        <w:gridCol w:w="644"/>
        <w:gridCol w:w="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Deloitte and Touche LLP</w:t>
            </w:r>
          </w:p>
        </w:tc>
      </w:tr>
      <w:tr>
        <w:trPr/>
        <w:tc>
          <w:tcPr>
            <w:tcW w:w="2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r>
      <w:tr>
        <w:trPr/>
        <w:tc>
          <w:tcPr>
            <w:tcW w:w="2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Lawrence,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fiscal year ended February 3, 2024 (this “Report”) of Academy Sports and Outdoors, Inc. (the “Registrant”);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4361"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79"/>
        <w:gridCol w:w="179"/>
        <w:gridCol w:w="181"/>
        <w:gridCol w:w="422"/>
        <w:gridCol w:w="422"/>
        <w:gridCol w:w="596"/>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2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Earl Carlton Ford, IV,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fiscal year ended February 3, 2024 (this “Report”) of Academy Sports and Outdoors, Inc. (the “Registrant”);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6399" w:type="dxa"/>
        <w:jc w:val="left"/>
        <w:tblInd w:w="0" w:type="dxa"/>
        <w:tblLayout w:type="fixed"/>
        <w:tblCellMar>
          <w:top w:w="28" w:type="dxa"/>
          <w:left w:w="28" w:type="dxa"/>
          <w:bottom w:w="28" w:type="dxa"/>
          <w:right w:w="28" w:type="dxa"/>
        </w:tblCellMar>
      </w:tblPr>
      <w:tblGrid>
        <w:gridCol w:w="198"/>
        <w:gridCol w:w="174"/>
        <w:gridCol w:w="174"/>
        <w:gridCol w:w="1290"/>
        <w:gridCol w:w="1290"/>
        <w:gridCol w:w="1294"/>
        <w:gridCol w:w="179"/>
        <w:gridCol w:w="179"/>
        <w:gridCol w:w="181"/>
        <w:gridCol w:w="422"/>
        <w:gridCol w:w="422"/>
        <w:gridCol w:w="596"/>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4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Academy Sports and Outdoors, Inc. (the “Company”) for the fiscal year ended February 3, 2024, as filed with the Securities and Exchange Commission on the date hereof (the “Report”), I, Steven Lawrence, Chief Executive Officer of the Company, do hereby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4361"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79"/>
        <w:gridCol w:w="179"/>
        <w:gridCol w:w="181"/>
        <w:gridCol w:w="422"/>
        <w:gridCol w:w="422"/>
        <w:gridCol w:w="596"/>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2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Academy Sports and Outdoors, Inc. (the “Company”) for the fiscal year ended February 3, 2024, as filed with the Securities and Exchange Commission on the date hereof (the “Report”), I, Earl Carlton Ford, IV, Executive Vice President and Chief Financial Officer of the Company, do hereby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6399" w:type="dxa"/>
        <w:jc w:val="left"/>
        <w:tblInd w:w="0" w:type="dxa"/>
        <w:tblLayout w:type="fixed"/>
        <w:tblCellMar>
          <w:top w:w="28" w:type="dxa"/>
          <w:left w:w="28" w:type="dxa"/>
          <w:bottom w:w="28" w:type="dxa"/>
          <w:right w:w="28" w:type="dxa"/>
        </w:tblCellMar>
      </w:tblPr>
      <w:tblGrid>
        <w:gridCol w:w="198"/>
        <w:gridCol w:w="174"/>
        <w:gridCol w:w="174"/>
        <w:gridCol w:w="1290"/>
        <w:gridCol w:w="1290"/>
        <w:gridCol w:w="1294"/>
        <w:gridCol w:w="179"/>
        <w:gridCol w:w="179"/>
        <w:gridCol w:w="181"/>
        <w:gridCol w:w="422"/>
        <w:gridCol w:w="422"/>
        <w:gridCol w:w="596"/>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r>
      <w:tr>
        <w:trPr/>
        <w:tc>
          <w:tcPr>
            <w:tcW w:w="44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 w:after="240"/>
        <w:jc w:val="left"/>
        <w:rPr/>
      </w:pPr>
      <w:r>
        <w:rPr/>
        <w:drawing>
          <wp:inline distT="0" distB="0" distL="0" distR="0">
            <wp:extent cx="1724025" cy="542925"/>
            <wp:effectExtent l="0" t="0" r="0" b="0"/>
            <wp:docPr id="1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 descr=""/>
                    <pic:cNvPicPr>
                      <a:picLocks noChangeAspect="1" noChangeArrowheads="1"/>
                    </pic:cNvPicPr>
                  </pic:nvPicPr>
                  <pic:blipFill>
                    <a:blip r:embed="rId75"/>
                    <a:stretch>
                      <a:fillRect/>
                    </a:stretch>
                  </pic:blipFill>
                  <pic:spPr bwMode="auto">
                    <a:xfrm>
                      <a:off x="0" y="0"/>
                      <a:ext cx="1724025" cy="542925"/>
                    </a:xfrm>
                    <a:prstGeom prst="rect">
                      <a:avLst/>
                    </a:prstGeom>
                  </pic:spPr>
                </pic:pic>
              </a:graphicData>
            </a:graphic>
          </wp:inline>
        </w:drawing>
      </w:r>
      <w:r>
        <w:rPr>
          <w:color w:val="000000"/>
        </w:rPr>
        <w:t xml:space="preserve"> </w:t>
      </w:r>
      <w:r>
        <w:rPr/>
        <w:drawing>
          <wp:inline distT="0" distB="0" distL="0" distR="0">
            <wp:extent cx="3933825" cy="628650"/>
            <wp:effectExtent l="0" t="0" r="0" b="0"/>
            <wp:docPr id="1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 descr=""/>
                    <pic:cNvPicPr>
                      <a:picLocks noChangeAspect="1" noChangeArrowheads="1"/>
                    </pic:cNvPicPr>
                  </pic:nvPicPr>
                  <pic:blipFill>
                    <a:blip r:embed="rId76"/>
                    <a:stretch>
                      <a:fillRect/>
                    </a:stretch>
                  </pic:blipFill>
                  <pic:spPr bwMode="auto">
                    <a:xfrm>
                      <a:off x="0" y="0"/>
                      <a:ext cx="3933825" cy="628650"/>
                    </a:xfrm>
                    <a:prstGeom prst="rect">
                      <a:avLst/>
                    </a:prstGeom>
                  </pic:spPr>
                </pic:pic>
              </a:graphicData>
            </a:graphic>
          </wp:inline>
        </w:drawing>
      </w:r>
    </w:p>
    <w:p>
      <w:pPr>
        <w:pStyle w:val="TextBody"/>
        <w:bidi w:val="0"/>
        <w:spacing w:before="0" w:after="240"/>
        <w:ind w:left="0" w:right="0" w:firstLine="720"/>
        <w:jc w:val="left"/>
        <w:rPr/>
      </w:pPr>
      <w:r>
        <w:rPr/>
      </w:r>
    </w:p>
    <w:p>
      <w:pPr>
        <w:pStyle w:val="TextBody"/>
        <w:bidi w:val="0"/>
        <w:spacing w:lineRule="auto" w:line="240" w:before="0" w:after="240"/>
        <w:ind w:left="0" w:right="0" w:firstLine="720"/>
        <w:jc w:val="left"/>
        <w:rPr/>
      </w:pPr>
      <w:r>
        <w:rPr>
          <w:rFonts w:ascii="Times New Roman;sans-serif" w:hAnsi="Times New Roman;sans-serif"/>
          <w:b/>
          <w:color w:val="000000"/>
          <w:sz w:val="24"/>
        </w:rPr>
        <w:t>1.</w:t>
      </w:r>
      <w:r>
        <w:rPr>
          <w:rFonts w:ascii="Times New Roman;sans-serif" w:hAnsi="Times New Roman;sans-serif"/>
          <w:b/>
          <w:color w:val="000000"/>
          <w:sz w:val="24"/>
        </w:rPr>
        <w:t>OVERVIEW</w:t>
      </w:r>
      <w:r>
        <w:rPr>
          <w:rFonts w:ascii="Times New Roman;sans-serif" w:hAnsi="Times New Roman;sans-serif"/>
          <w:b w:val="false"/>
          <w:color w:val="000000"/>
          <w:sz w:val="24"/>
        </w:rPr>
        <w:t>. The Board of Directors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of Academy Sports and Outdoors,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believes that it is in the best interests of the Company and its shareholders to create and maintain a culture that emphasizes integrity and accountability and that reinforces the Company’s pay-for-performance compensation philosophy. The Board has therefore adopted this Incentive Compensation Clawback Policy (this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which provides for the recoupment of certain incentive compensation in the event of an accounting restatement resulting from material noncompliance with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This Policy is intended to comply with and, as applicable, to be administered and interpreted consistent with, Listing Rule 5608 adopted by the Nasdaq Stock Market to implement Rule 10D-1 under the Securities Exchange Act of 1934, as amended (collectively, “</w:t>
      </w:r>
      <w:r>
        <w:rPr>
          <w:rFonts w:ascii="Times New Roman;sans-serif" w:hAnsi="Times New Roman;sans-serif"/>
          <w:b/>
          <w:color w:val="000000"/>
          <w:sz w:val="24"/>
        </w:rPr>
        <w:t>Rule 10D-1</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color w:val="000000"/>
          <w:sz w:val="24"/>
        </w:rPr>
        <w:t>2.</w:t>
      </w:r>
      <w:r>
        <w:rPr>
          <w:rFonts w:ascii="Times New Roman;sans-serif" w:hAnsi="Times New Roman;sans-serif"/>
          <w:b/>
          <w:color w:val="000000"/>
          <w:sz w:val="24"/>
        </w:rPr>
        <w:t>COMPENSATION COMMITTEE</w:t>
      </w:r>
      <w:r>
        <w:rPr>
          <w:rFonts w:ascii="Times New Roman;sans-serif" w:hAnsi="Times New Roman;sans-serif"/>
          <w:b w:val="false"/>
          <w:color w:val="000000"/>
          <w:sz w:val="24"/>
        </w:rPr>
        <w:t>. The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 of the Board shall have full authority and sole discretion to interpret and enforce this Policy in accordance with its business judgment. Any determination by the Committee with respect to this Policy shall be final, conclusive and binding on all interested parties.</w:t>
      </w:r>
    </w:p>
    <w:p>
      <w:pPr>
        <w:pStyle w:val="TextBody"/>
        <w:bidi w:val="0"/>
        <w:spacing w:lineRule="auto" w:line="240" w:before="0" w:after="240"/>
        <w:ind w:left="0" w:right="0" w:firstLine="720"/>
        <w:jc w:val="left"/>
        <w:rPr/>
      </w:pPr>
      <w:r>
        <w:rPr>
          <w:rFonts w:ascii="Times New Roman;sans-serif" w:hAnsi="Times New Roman;sans-serif"/>
          <w:b/>
          <w:color w:val="000000"/>
          <w:sz w:val="24"/>
        </w:rPr>
        <w:t>3.</w:t>
      </w:r>
      <w:r>
        <w:rPr>
          <w:rFonts w:ascii="Times New Roman;sans-serif" w:hAnsi="Times New Roman;sans-serif"/>
          <w:b/>
          <w:color w:val="000000"/>
          <w:sz w:val="24"/>
        </w:rPr>
        <w:t>COVERED TEAM MEMBERS</w:t>
      </w:r>
      <w:r>
        <w:rPr>
          <w:rFonts w:ascii="Times New Roman;sans-serif" w:hAnsi="Times New Roman;sans-serif"/>
          <w:b w:val="false"/>
          <w:color w:val="000000"/>
          <w:sz w:val="24"/>
        </w:rPr>
        <w:t>. This Policy applies to any officer of the Company as defined under Rule 16a-1(f) under the Securities Exchange Act of 1934, as amended (collectively, the “</w:t>
      </w:r>
      <w:r>
        <w:rPr>
          <w:rFonts w:ascii="Times New Roman;sans-serif" w:hAnsi="Times New Roman;sans-serif"/>
          <w:b/>
          <w:color w:val="000000"/>
          <w:sz w:val="24"/>
        </w:rPr>
        <w:t>Covered Team Members</w:t>
      </w:r>
      <w:r>
        <w:rPr>
          <w:color w:val="000000"/>
        </w:rPr>
        <w:t>”</w:t>
      </w:r>
      <w:r>
        <w:rPr>
          <w:rFonts w:ascii="Times New Roman;sans-serif" w:hAnsi="Times New Roman;sans-serif"/>
          <w:b w:val="false"/>
          <w:color w:val="000000"/>
          <w:sz w:val="24"/>
        </w:rPr>
        <w:t>). This Policy shall be binding and enforceable against all Covered Team Members and their beneficiaries, heirs, executors, administrators, or other legal representatives.</w:t>
      </w:r>
    </w:p>
    <w:p>
      <w:pPr>
        <w:pStyle w:val="TextBody"/>
        <w:bidi w:val="0"/>
        <w:spacing w:lineRule="auto" w:line="240" w:before="0" w:after="240"/>
        <w:ind w:left="0" w:right="0" w:firstLine="720"/>
        <w:jc w:val="left"/>
        <w:rPr/>
      </w:pPr>
      <w:r>
        <w:rPr>
          <w:rFonts w:ascii="Times New Roman;sans-serif" w:hAnsi="Times New Roman;sans-serif"/>
          <w:b/>
          <w:color w:val="000000"/>
          <w:sz w:val="24"/>
        </w:rPr>
        <w:t>4.</w:t>
      </w:r>
      <w:r>
        <w:rPr>
          <w:rFonts w:ascii="Times New Roman;sans-serif" w:hAnsi="Times New Roman;sans-serif"/>
          <w:b/>
          <w:color w:val="000000"/>
          <w:sz w:val="24"/>
        </w:rPr>
        <w:t>INCENTIVE COMPENSATION</w:t>
      </w:r>
      <w:r>
        <w:rPr>
          <w:rFonts w:ascii="Times New Roman;sans-serif" w:hAnsi="Times New Roman;sans-serif"/>
          <w:b w:val="false"/>
          <w:color w:val="000000"/>
          <w:sz w:val="24"/>
        </w:rPr>
        <w:t>. For purposes of this Policy, “</w:t>
      </w:r>
      <w:r>
        <w:rPr>
          <w:rFonts w:ascii="Times New Roman;sans-serif" w:hAnsi="Times New Roman;sans-serif"/>
          <w:b/>
          <w:color w:val="000000"/>
          <w:sz w:val="24"/>
        </w:rPr>
        <w:t>Incentive Compensation</w:t>
      </w:r>
      <w:r>
        <w:rPr>
          <w:color w:val="000000"/>
        </w:rPr>
        <w:t xml:space="preserve">” </w:t>
      </w:r>
      <w:r>
        <w:rPr>
          <w:rFonts w:ascii="Times New Roman;sans-serif" w:hAnsi="Times New Roman;sans-serif"/>
          <w:b w:val="false"/>
          <w:color w:val="000000"/>
          <w:sz w:val="24"/>
        </w:rPr>
        <w:t>means any compensation granted, earned or vested based in whole or in part on the Company’s attainment of a Financial Reporting Measure (as defined below) that was Received (as defined below) by a person (i) on or after October 2,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and after the person began service as a Covered Team Member, and (ii) who served as a Covered Team Member at any time during the performance period for the Incentive Compensation. Incentive Compensation is deemed to be “</w:t>
      </w:r>
      <w:r>
        <w:rPr>
          <w:rFonts w:ascii="Times New Roman;sans-serif" w:hAnsi="Times New Roman;sans-serif"/>
          <w:b/>
          <w:color w:val="000000"/>
          <w:sz w:val="24"/>
        </w:rPr>
        <w:t>Received</w:t>
      </w:r>
      <w:r>
        <w:rPr>
          <w:color w:val="000000"/>
        </w:rPr>
        <w:t xml:space="preserve">” </w:t>
      </w:r>
      <w:r>
        <w:rPr>
          <w:rFonts w:ascii="Times New Roman;sans-serif" w:hAnsi="Times New Roman;sans-serif"/>
          <w:b w:val="false"/>
          <w:color w:val="000000"/>
          <w:sz w:val="24"/>
        </w:rPr>
        <w:t>in the fiscal period during which the relevant Financial Reporting Measure is attained, regardless of when the compensation is actually paid or awarded. “</w:t>
      </w:r>
      <w:r>
        <w:rPr>
          <w:rFonts w:ascii="Times New Roman;sans-serif" w:hAnsi="Times New Roman;sans-serif"/>
          <w:b/>
          <w:color w:val="000000"/>
          <w:sz w:val="24"/>
        </w:rPr>
        <w:t>Financial Reporting Measure</w:t>
      </w:r>
      <w:r>
        <w:rPr>
          <w:color w:val="000000"/>
        </w:rPr>
        <w:t xml:space="preserve">” </w:t>
      </w:r>
      <w:r>
        <w:rPr>
          <w:rFonts w:ascii="Times New Roman;sans-serif" w:hAnsi="Times New Roman;sans-serif"/>
          <w:b w:val="false"/>
          <w:color w:val="000000"/>
          <w:sz w:val="24"/>
        </w:rPr>
        <w:t xml:space="preserve">means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 Incentive Compensation includes cash compensation and any equity awards to the extent based in whole or in part on such attainment. </w:t>
      </w:r>
    </w:p>
    <w:p>
      <w:pPr>
        <w:pStyle w:val="TextBody"/>
        <w:bidi w:val="0"/>
        <w:spacing w:lineRule="auto" w:line="240" w:before="0" w:after="240"/>
        <w:ind w:left="0" w:right="0" w:firstLine="720"/>
        <w:jc w:val="left"/>
        <w:rPr/>
      </w:pPr>
      <w:r>
        <w:rPr>
          <w:rFonts w:ascii="Times New Roman;sans-serif" w:hAnsi="Times New Roman;sans-serif"/>
          <w:b/>
          <w:color w:val="000000"/>
          <w:sz w:val="24"/>
        </w:rPr>
        <w:t>5.</w:t>
      </w:r>
      <w:r>
        <w:rPr>
          <w:rFonts w:ascii="Times New Roman;sans-serif" w:hAnsi="Times New Roman;sans-serif"/>
          <w:b/>
          <w:color w:val="000000"/>
          <w:sz w:val="24"/>
        </w:rPr>
        <w:t>RESTATEMENT OF FINANCIAL RESULTS; CALCULATION OF OVERPAYMENT</w:t>
      </w:r>
      <w:r>
        <w:rPr>
          <w:rFonts w:ascii="Times New Roman;sans-serif" w:hAnsi="Times New Roman;sans-serif"/>
          <w:b w:val="false"/>
          <w:color w:val="000000"/>
          <w:sz w:val="24"/>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9" name="Frame1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418664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418664</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If the Committee determines, in its discretion, that Incentive Compensation that is Received by a Covered Team Member during the Clawback Period (as defined below) exceeds the amount that would have been Received if determined or calculated based on the Company’s restated financial results, such excess amount of Incentive Compensation will be subject to mandatory recoupment by the Company pursuant to this Policy, as promptly as reasonably possible. Such excess amount shall be referred to herein as the “</w:t>
      </w:r>
      <w:r>
        <w:rPr>
          <w:rFonts w:ascii="Times New Roman;sans-serif" w:hAnsi="Times New Roman;sans-serif"/>
          <w:b/>
          <w:color w:val="000000"/>
          <w:sz w:val="24"/>
        </w:rPr>
        <w:t>Overpayment</w:t>
      </w:r>
      <w:r>
        <w:rPr>
          <w:rFonts w:ascii="Times New Roman;sans-serif" w:hAnsi="Times New Roman;sans-serif"/>
          <w:b w:val="false"/>
          <w:color w:val="000000"/>
          <w:sz w:val="24"/>
        </w:rPr>
        <w:t xml:space="preserve">.” For Incentive Compensation earned or vested based on stock price or total shareholder return, the Committee will determine any Overpayment amount based on a reasonable estimate of the effect of the accounting restatement on the relevant stock price or total shareholder return. In all cases, the calculation of the Overpayment to be recovered will be determined on a pre-tax basis.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The “</w:t>
      </w:r>
      <w:r>
        <w:rPr>
          <w:rFonts w:ascii="Times New Roman;sans-serif" w:hAnsi="Times New Roman;sans-serif"/>
          <w:b/>
          <w:color w:val="000000"/>
          <w:sz w:val="24"/>
        </w:rPr>
        <w:t>Clawback Period</w:t>
      </w:r>
      <w:r>
        <w:rPr>
          <w:color w:val="000000"/>
        </w:rPr>
        <w:t xml:space="preserve">” </w:t>
      </w:r>
      <w:r>
        <w:rPr>
          <w:rFonts w:ascii="Times New Roman;sans-serif" w:hAnsi="Times New Roman;sans-serif"/>
          <w:b w:val="false"/>
          <w:color w:val="000000"/>
          <w:sz w:val="24"/>
        </w:rPr>
        <w:t xml:space="preserve">means the three completed fiscal years immediately preceding the date that the Company is required to prepare the accounting restatement described in this Policy and any “transition period” (the date the Company is required to prepare the restatement and any “transition period” shall be determined pursuant to Rule 10D-1). </w:t>
      </w:r>
    </w:p>
    <w:p>
      <w:pPr>
        <w:pStyle w:val="TextBody"/>
        <w:bidi w:val="0"/>
        <w:spacing w:lineRule="auto" w:line="240" w:before="0" w:after="240"/>
        <w:ind w:left="0" w:right="0" w:firstLine="720"/>
        <w:jc w:val="left"/>
        <w:rPr/>
      </w:pPr>
      <w:r>
        <w:rPr>
          <w:rFonts w:ascii="Times New Roman;sans-serif" w:hAnsi="Times New Roman;sans-serif"/>
          <w:b/>
          <w:color w:val="000000"/>
          <w:sz w:val="24"/>
        </w:rPr>
        <w:t>6.</w:t>
      </w:r>
      <w:r>
        <w:rPr>
          <w:rFonts w:ascii="Times New Roman;sans-serif" w:hAnsi="Times New Roman;sans-serif"/>
          <w:b/>
          <w:color w:val="000000"/>
          <w:sz w:val="24"/>
        </w:rPr>
        <w:t>FORMS OF RECOVERY</w:t>
      </w:r>
      <w:r>
        <w:rPr>
          <w:rFonts w:ascii="Times New Roman;sans-serif" w:hAnsi="Times New Roman;sans-serif"/>
          <w:b w:val="false"/>
          <w:color w:val="000000"/>
          <w:sz w:val="24"/>
        </w:rPr>
        <w:t>. The Company may implement a clawback pursuant to this Policy in any manner consistent with applicable law, including by requiring payment of such amount(s) to the Company, by set-off, by reducing future compensation, or by such other means or combination of means as the Committee determines to be appropriate. Notwithstanding the foregoing, the Company need not recover the excess amount of Incentive Compensation if and to the extent that the Committee determines that such clawback is impracticable, subject to and in accordance with any applicable exceptions under the Nasdaq listing rules and not required under Rule 10D-1, including if the Committee determines that the direct expense paid to a third party to assist in enforcing this Policy would exceed the amount to be recovered after making a reasonable attempt to recover such amounts. The Company shall not indemnify any Covered Team Members against the loss of any Incentive Compensation pursuant to this Policy.</w:t>
      </w:r>
    </w:p>
    <w:p>
      <w:pPr>
        <w:pStyle w:val="TextBody"/>
        <w:bidi w:val="0"/>
        <w:spacing w:lineRule="auto" w:line="240" w:before="0" w:after="240"/>
        <w:ind w:left="0" w:right="0" w:firstLine="720"/>
        <w:jc w:val="left"/>
        <w:rPr/>
      </w:pPr>
      <w:r>
        <w:rPr>
          <w:rFonts w:ascii="Times New Roman;sans-serif" w:hAnsi="Times New Roman;sans-serif"/>
          <w:b/>
          <w:color w:val="000000"/>
          <w:sz w:val="24"/>
        </w:rPr>
        <w:t>7.</w:t>
      </w:r>
      <w:r>
        <w:rPr>
          <w:rFonts w:ascii="Times New Roman;sans-serif" w:hAnsi="Times New Roman;sans-serif"/>
          <w:b/>
          <w:color w:val="000000"/>
          <w:sz w:val="24"/>
        </w:rPr>
        <w:t>NON-EXCLUSIVITY</w:t>
      </w:r>
      <w:r>
        <w:rPr>
          <w:rFonts w:ascii="Times New Roman;sans-serif" w:hAnsi="Times New Roman;sans-serif"/>
          <w:b w:val="false"/>
          <w:color w:val="000000"/>
          <w:sz w:val="24"/>
        </w:rPr>
        <w:t>. Nothing in this Policy shall be viewed as limiting the right of the Company or the Committee to pursue recoupment under or as required by the Company’s plans, awards, any employment agreements, the applicable provisions of any law, rule or regulation (including, without limitation, Section 304 of the Sarbanes-Oxley Act of 2002), or any and any other legal remedies available to the Company. In addition, the Company’s Incentive Compensation Clawback Policy, as in effect prior to the Effective Date, shall continue to apply to any Incentive Compensation (as defined in such prior policy) Received prior to the Effective Date.</w: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Page 2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Page 2 of 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817358/000119312520264744/d910645dex31.htm" TargetMode="External"/><Relationship Id="rId5" Type="http://schemas.openxmlformats.org/officeDocument/2006/relationships/hyperlink" Target="http://www.sec.gov/Archives/edgar/data/1817358/000181735823000123/ex31toformcertofchangeofre.htm" TargetMode="External"/><Relationship Id="rId6" Type="http://schemas.openxmlformats.org/officeDocument/2006/relationships/hyperlink" Target="http://www.sec.gov/Archives/edgar/data/1817358/000181735822000182/exhibit32-amendedandrestat.htm" TargetMode="External"/><Relationship Id="rId7" Type="http://schemas.openxmlformats.org/officeDocument/2006/relationships/hyperlink" Target="http://www.sec.gov/Archives/edgar/data/0001817358/000119312520287988/d22150dex41.htm" TargetMode="External"/><Relationship Id="rId8" Type="http://schemas.openxmlformats.org/officeDocument/2006/relationships/hyperlink" Target="http://www.sec.gov/Archives/edgar/data/1817358/000181735823000062/exhibit42-descriptionofthe.htm" TargetMode="External"/><Relationship Id="rId9" Type="http://schemas.openxmlformats.org/officeDocument/2006/relationships/hyperlink" Target="http://www.sec.gov/Archives/edgar/data/0001817358/000119312520287988/d22150dex101.htm" TargetMode="External"/><Relationship Id="rId10" Type="http://schemas.openxmlformats.org/officeDocument/2006/relationships/hyperlink" Target="http://www.sec.gov/Archives/edgar/data/0001817358/000181735821000102/exh101-asoxamendmentno4r.htm" TargetMode="External"/><Relationship Id="rId11" Type="http://schemas.openxmlformats.org/officeDocument/2006/relationships/hyperlink" Target="http://www.sec.gov/Archives/edgar/data/1817358/000181735823000186/exhibit101conformingchange.htm" TargetMode="External"/><Relationship Id="rId12" Type="http://schemas.openxmlformats.org/officeDocument/2006/relationships/hyperlink" Target="http://www.sec.gov/Archives/edgar/data/0001817358/000119312520242076/d934024dex102.htm" TargetMode="External"/><Relationship Id="rId13" Type="http://schemas.openxmlformats.org/officeDocument/2006/relationships/hyperlink" Target="http://www.sec.gov/Archives/edgar/data/0001817358/000119312520242076/d934024dex103.htm" TargetMode="External"/><Relationship Id="rId14" Type="http://schemas.openxmlformats.org/officeDocument/2006/relationships/hyperlink" Target="http://www.sec.gov/Archives/edgar/data/0001817358/000119312520242076/d934024dex104.htm" TargetMode="External"/><Relationship Id="rId15" Type="http://schemas.openxmlformats.org/officeDocument/2006/relationships/hyperlink" Target="http://www.sec.gov/Archives/edgar/data/0001817358/000119312521016235/d103203dex105.htm" TargetMode="External"/><Relationship Id="rId16" Type="http://schemas.openxmlformats.org/officeDocument/2006/relationships/hyperlink" Target="http://www.sec.gov/Archives/edgar/data/0001817358/000119312521016235/d103203dex106.htm" TargetMode="External"/><Relationship Id="rId17" Type="http://schemas.openxmlformats.org/officeDocument/2006/relationships/hyperlink" Target="http://www.sec.gov/Archives/edgar/data/0001817358/000119312521016235/d103203dex107.htm" TargetMode="External"/><Relationship Id="rId18" Type="http://schemas.openxmlformats.org/officeDocument/2006/relationships/hyperlink" Target="http://www.sec.gov/Archives/edgar/data/0001817358/000119312520242076/d934024dex107.htm" TargetMode="External"/><Relationship Id="rId19" Type="http://schemas.openxmlformats.org/officeDocument/2006/relationships/hyperlink" Target="http://www.sec.gov/Archives/edgar/data/0001817358/000119312520242076/d934024dex108.htm" TargetMode="External"/><Relationship Id="rId20" Type="http://schemas.openxmlformats.org/officeDocument/2006/relationships/hyperlink" Target="http://www.sec.gov/Archives/edgar/data/0001817358/000119312520242076/d934024dex105.htm" TargetMode="External"/><Relationship Id="rId21" Type="http://schemas.openxmlformats.org/officeDocument/2006/relationships/hyperlink" Target="https://www.sec.gov/Archives/edgar/data/0001817358/000119312520242076/d934024dex106.htm" TargetMode="External"/><Relationship Id="rId22" Type="http://schemas.openxmlformats.org/officeDocument/2006/relationships/hyperlink" Target="http://www.sec.gov/Archives/edgar/data/0001817358/000119312520287988/d22150dex102.htm" TargetMode="External"/><Relationship Id="rId23" Type="http://schemas.openxmlformats.org/officeDocument/2006/relationships/hyperlink" Target="http://www.sec.gov/Archives/edgar/data/1817358/000181735823000153/exhibit101-ablamendment.htm" TargetMode="External"/><Relationship Id="rId24" Type="http://schemas.openxmlformats.org/officeDocument/2006/relationships/hyperlink" Target="http://www.sec.gov/Archives/edgar/data/1817358/000181735824000026/exhibit101-asoxamendment.htm" TargetMode="External"/><Relationship Id="rId25" Type="http://schemas.openxmlformats.org/officeDocument/2006/relationships/hyperlink" Target="http://www.sec.gov/Archives/edgar/data/0001817358/000119312521016235/d103203dex1013.htm" TargetMode="External"/><Relationship Id="rId26" Type="http://schemas.openxmlformats.org/officeDocument/2006/relationships/hyperlink" Target="http://www.sec.gov/Archives/edgar/data/0001817358/000119312521016235/d103203dex1014.htm" TargetMode="External"/><Relationship Id="rId27" Type="http://schemas.openxmlformats.org/officeDocument/2006/relationships/hyperlink" Target="http://www.sec.gov/Archives/edgar/data/1817358/000181735822000158/a102aso2022formofnon-emplo.htm" TargetMode="External"/><Relationship Id="rId28" Type="http://schemas.openxmlformats.org/officeDocument/2006/relationships/hyperlink" Target="http://www.sec.gov/Archives/edgar/data/1817358/000181735823000186/exhibit105-ceo2023formofpr.htm" TargetMode="External"/><Relationship Id="rId29" Type="http://schemas.openxmlformats.org/officeDocument/2006/relationships/hyperlink" Target="http://www.sec.gov/Archives/edgar/data/1817358/000181735823000186/exhibit106-ceo2023formofti.htm" TargetMode="External"/><Relationship Id="rId30" Type="http://schemas.openxmlformats.org/officeDocument/2006/relationships/hyperlink" Target="http://www.sec.gov/Archives/edgar/data/1817358/000181735823000186/exhibit107-ceo2023formofti.htm" TargetMode="External"/><Relationship Id="rId31" Type="http://schemas.openxmlformats.org/officeDocument/2006/relationships/hyperlink" Target="http://www.sec.gov/Archives/edgar/data/1817358/000181735822000119/exhibit101-ceoperformancer.htm" TargetMode="External"/><Relationship Id="rId32" Type="http://schemas.openxmlformats.org/officeDocument/2006/relationships/hyperlink" Target="http://www.sec.gov/Archives/edgar/data/1817358/000181735822000119/exhibit102-ceotimeoptions.htm" TargetMode="External"/><Relationship Id="rId33" Type="http://schemas.openxmlformats.org/officeDocument/2006/relationships/hyperlink" Target="http://www.sec.gov/Archives/edgar/data/1817358/000181735823000186/exhibit102-ecmay2023formof.htm" TargetMode="External"/><Relationship Id="rId34" Type="http://schemas.openxmlformats.org/officeDocument/2006/relationships/hyperlink" Target="http://www.sec.gov/Archives/edgar/data/1817358/000181735823000186/exhibit103-ecmay2023formof.htm" TargetMode="External"/><Relationship Id="rId35" Type="http://schemas.openxmlformats.org/officeDocument/2006/relationships/hyperlink" Target="http://www.sec.gov/Archives/edgar/data/1817358/000181735823000186/exhibit104-ecmay2023formof.htm" TargetMode="External"/><Relationship Id="rId36" Type="http://schemas.openxmlformats.org/officeDocument/2006/relationships/hyperlink" Target="http://www.sec.gov/Archives/edgar/data/1817358/000181735823000153/exhibit102-ec2023formofprs.htm" TargetMode="External"/><Relationship Id="rId37" Type="http://schemas.openxmlformats.org/officeDocument/2006/relationships/hyperlink" Target="http://www.sec.gov/Archives/edgar/data/1817358/000181735823000153/exhibit103-ec2023formoftim.htm" TargetMode="External"/><Relationship Id="rId38" Type="http://schemas.openxmlformats.org/officeDocument/2006/relationships/hyperlink" Target="http://www.sec.gov/Archives/edgar/data/1817358/000181735823000153/exhibit104-ec2023formoftim.htm" TargetMode="External"/><Relationship Id="rId39" Type="http://schemas.openxmlformats.org/officeDocument/2006/relationships/hyperlink" Target="http://www.sec.gov/Archives/edgar/data/1817358/000181735822000119/exhibit103-ecperformancers.htm" TargetMode="External"/><Relationship Id="rId40" Type="http://schemas.openxmlformats.org/officeDocument/2006/relationships/hyperlink" Target="http://www.sec.gov/Archives/edgar/data/1817358/000181735822000119/exhibit104-ectimersuagreem.htm" TargetMode="External"/><Relationship Id="rId41" Type="http://schemas.openxmlformats.org/officeDocument/2006/relationships/hyperlink" Target="http://www.sec.gov/Archives/edgar/data/1817358/000181735822000119/exhibit105-ectimeoptiongra.htm" TargetMode="External"/><Relationship Id="rId42" Type="http://schemas.openxmlformats.org/officeDocument/2006/relationships/hyperlink" Target="http://www.sec.gov/Archives/edgar/data/1817358/000181735821000215/exhibit1001q32021.htm" TargetMode="External"/><Relationship Id="rId43" Type="http://schemas.openxmlformats.org/officeDocument/2006/relationships/hyperlink" Target="http://www.sec.gov/Archives/edgar/data/1817358/000181735821000059/a1019fy2020.htm" TargetMode="External"/><Relationship Id="rId44" Type="http://schemas.openxmlformats.org/officeDocument/2006/relationships/hyperlink" Target="http://www.sec.gov/Archives/edgar/data/0001817358/000181735820000012/exhibit102.htm" TargetMode="External"/><Relationship Id="rId45" Type="http://schemas.openxmlformats.org/officeDocument/2006/relationships/hyperlink" Target="http://www.sec.gov/Archives/edgar/data/1817358/000181735823000153/exhibit101-ablamendment.htm" TargetMode="External"/><Relationship Id="rId46" Type="http://schemas.openxmlformats.org/officeDocument/2006/relationships/hyperlink" Target="http://www.sec.gov/Archives/edgar/data/0001817358/000119312520252290/d934024dex1010.htm" TargetMode="External"/><Relationship Id="rId47" Type="http://schemas.openxmlformats.org/officeDocument/2006/relationships/hyperlink" Target="http://www.sec.gov/Archives/edgar/data/0001817358/000119312520252290/d934024dex1011.htm" TargetMode="External"/><Relationship Id="rId48" Type="http://schemas.openxmlformats.org/officeDocument/2006/relationships/hyperlink" Target="http://www.sec.gov/Archives/edgar/data/0001817358/000119312520252290/d934024dex1012.htm" TargetMode="External"/><Relationship Id="rId49" Type="http://schemas.openxmlformats.org/officeDocument/2006/relationships/hyperlink" Target="http://www.sec.gov/Archives/edgar/data/1817358/000119312520242076/d934024dex1013.htm" TargetMode="External"/><Relationship Id="rId50" Type="http://schemas.openxmlformats.org/officeDocument/2006/relationships/hyperlink" Target="https://www.sec.gov/Archives/edgar/data/1817358/000119312520242076/d934024dex1014.htm" TargetMode="External"/><Relationship Id="rId51" Type="http://schemas.openxmlformats.org/officeDocument/2006/relationships/hyperlink" Target="http://www.sec.gov/Archives/edgar/data/1817358/000119312520242076/d934024dex1015.htm" TargetMode="External"/><Relationship Id="rId52" Type="http://schemas.openxmlformats.org/officeDocument/2006/relationships/hyperlink" Target="http://www.sec.gov/Archives/edgar/data/1817358/000119312520242076/d934024dex1016.htm" TargetMode="External"/><Relationship Id="rId53" Type="http://schemas.openxmlformats.org/officeDocument/2006/relationships/hyperlink" Target="http://www.sec.gov/Archives/edgar/data/1817358/000119312520242076/d934024dex1017.htm" TargetMode="External"/><Relationship Id="rId54" Type="http://schemas.openxmlformats.org/officeDocument/2006/relationships/hyperlink" Target="http://www.sec.gov/Archives/edgar/data/1817358/000119312520242076/d934024dex1018.htm" TargetMode="External"/><Relationship Id="rId55" Type="http://schemas.openxmlformats.org/officeDocument/2006/relationships/hyperlink" Target="http://www.sec.gov/Archives/edgar/data/1817358/000119312520242076/d934024dex1019.htm" TargetMode="External"/><Relationship Id="rId56" Type="http://schemas.openxmlformats.org/officeDocument/2006/relationships/hyperlink" Target="http://www.sec.gov/Archives/edgar/data/0001817358/000181735821000059/exhibit1027.htm" TargetMode="External"/><Relationship Id="rId57" Type="http://schemas.openxmlformats.org/officeDocument/2006/relationships/hyperlink" Target="http://www.sec.gov/Archives/edgar/data/1817358/000119312520242076/d934024dex1020.htm" TargetMode="External"/><Relationship Id="rId58" Type="http://schemas.openxmlformats.org/officeDocument/2006/relationships/hyperlink" Target="http://www.sec.gov/Archives/edgar/data/1817358/000119312520242076/d934024dex1021.htm" TargetMode="External"/><Relationship Id="rId59" Type="http://schemas.openxmlformats.org/officeDocument/2006/relationships/hyperlink" Target="http://www.sec.gov/Archives/edgar/data/1817358/000119312520242076/d934024dex1022.htm" TargetMode="External"/><Relationship Id="rId60" Type="http://schemas.openxmlformats.org/officeDocument/2006/relationships/hyperlink" Target="http://www.sec.gov/Archives/edgar/data/1817358/000119312520242076/d934024dex1023.htm" TargetMode="External"/><Relationship Id="rId61" Type="http://schemas.openxmlformats.org/officeDocument/2006/relationships/hyperlink" Target="http://www.sec.gov/Archives/edgar/data/1817358/000119312520242076/d934024dex1024.htm" TargetMode="External"/><Relationship Id="rId62" Type="http://schemas.openxmlformats.org/officeDocument/2006/relationships/hyperlink" Target="http://www.sec.gov/Archives/edgar/data/1817358/000119312520242076/d934024dex1025.htm" TargetMode="External"/><Relationship Id="rId63" Type="http://schemas.openxmlformats.org/officeDocument/2006/relationships/hyperlink" Target="http://www.sec.gov/Archives/edgar/data/1817358/000119312520242076/d934024dex1026.htm" TargetMode="External"/><Relationship Id="rId64" Type="http://schemas.openxmlformats.org/officeDocument/2006/relationships/hyperlink" Target="http://www.sec.gov/Archives/edgar/data/1817358/000119312520242076/d934024dex1027.htm" TargetMode="External"/><Relationship Id="rId65" Type="http://schemas.openxmlformats.org/officeDocument/2006/relationships/hyperlink" Target="http://www.sec.gov/Archives/edgar/data/1817358/000119312520242076/d934024dex1028.htm" TargetMode="External"/><Relationship Id="rId66" Type="http://schemas.openxmlformats.org/officeDocument/2006/relationships/hyperlink" Target="http://www.sec.gov/Archives/edgar/data/1817358/000181735823000087/ex101toform8-k4272023.htm" TargetMode="External"/><Relationship Id="rId67" Type="http://schemas.openxmlformats.org/officeDocument/2006/relationships/hyperlink" Target="http://www.sec.gov/Archives/edgar/data/1817358/000181735823000087/ex103toform8-k4272023.htm" TargetMode="External"/><Relationship Id="rId68" Type="http://schemas.openxmlformats.org/officeDocument/2006/relationships/hyperlink" Target="http://www.sec.gov/Archives/edgar/data/1817358/000119312520242076/d934024dex1031.htm" TargetMode="External"/><Relationship Id="rId69" Type="http://schemas.openxmlformats.org/officeDocument/2006/relationships/hyperlink" Target="http://www.sec.gov/Archives/edgar/data/1817358/000181735823000215/exhibit101toformjohnsonemp.htm" TargetMode="External"/><Relationship Id="rId70" Type="http://schemas.openxmlformats.org/officeDocument/2006/relationships/hyperlink" Target="http://www.sec.gov/Archives/edgar/data/1817358/000181735823000175/exhibit101toformfordemploy.htm" TargetMode="External"/><Relationship Id="rId71" Type="http://schemas.openxmlformats.org/officeDocument/2006/relationships/hyperlink" Target="http://www.sec.gov/Archives/edgar/data/1817358/000181735822000158/a103manishmaini-academyemp.htm" TargetMode="External"/><Relationship Id="rId72" Type="http://schemas.openxmlformats.org/officeDocument/2006/relationships/hyperlink" Target="http://www.sec.gov/Archives/edgar/data/0001817358/000119312520252290/d934024dex1034.htm" TargetMode="External"/><Relationship Id="rId73" Type="http://schemas.openxmlformats.org/officeDocument/2006/relationships/hyperlink" Target="http://www.sec.gov/Archives/edgar/data/0001817358/000119312520252290/d934024dex1037.htm" TargetMode="External"/><Relationship Id="rId74" Type="http://schemas.openxmlformats.org/officeDocument/2006/relationships/image" Target="media/image3.png"/><Relationship Id="rId75" Type="http://schemas.openxmlformats.org/officeDocument/2006/relationships/image" Target="media/image4.jpeg"/><Relationship Id="rId76" Type="http://schemas.openxmlformats.org/officeDocument/2006/relationships/image" Target="media/image5.png"/><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65997</Words>
  <Characters>369186</Characters>
  <CharactersWithSpaces>432392</CharactersWithSpaces>
  <Paragraphs>4271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