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Mullican Michael P.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71,836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152,001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withheld to cover the Reporting Person's tax liability in connection with the vesting of restricted stock units previously granted to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110,718 shares of common stock, par value $0.01 per share ("Common Stock"), issued in settlement of restricted stock units previously granted under the Issuer's 2011 Unit Incentive Plan, or the 2011 Equity Plan, that fully vested due to a Change of Control (as defined in the 2011 Equity Plan) that resulted from the Issuer's secondary public offering that closed on May 10, 2021.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630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2021-05-11T17:25:46Z</dcterms:created>
  <dcterms:modified xsi:type="dcterms:W3CDTF">2021-05-11T17:25:46Z</dcterms:modified>
</cp:coreProperties>
</file>