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Rutherford Jamey Traywick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SVP, Omnichannel</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1,069</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Arial" w:cs="Arial" w:eastAsia="Arial" w:hAnsi="Arial"/>
                <w:sz w:val="17"/>
                <w:szCs w:val="17"/>
                <w:color w:val="0000FF"/>
              </w:rPr>
              <w:t>76,128</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317</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jc w:val="right"/>
              <w:ind w:right="301"/>
              <w:spacing w:after="0"/>
              <w:rPr>
                <w:sz w:val="20"/>
                <w:szCs w:val="20"/>
                <w:color w:val="auto"/>
              </w:rPr>
            </w:pPr>
            <w:r>
              <w:rPr>
                <w:rFonts w:ascii="Arial" w:cs="Arial" w:eastAsia="Arial" w:hAnsi="Arial"/>
                <w:sz w:val="17"/>
                <w:szCs w:val="17"/>
                <w:color w:val="0000FF"/>
              </w:rPr>
              <w:t>75,811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1,069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1,069</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3,210</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jc w:val="both"/>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4,279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2022-03-04T16:47:49Z</dcterms:created>
  <dcterms:modified xsi:type="dcterms:W3CDTF">2022-03-04T16:47:49Z</dcterms:modified>
</cp:coreProperties>
</file>