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3_168781132856754.xml.htm"/>
      <w:bookmarkStart w:id="1" w:name="kswfform3_16878113285675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McCabe Matthew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06/25/2023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CMO</w:t>
                  </w:r>
                  <w:r>
                    <w:rPr/>
                    <w:t xml:space="preserve"> </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Stock Options (Right to Buy)</w:t>
            </w:r>
            <w:r>
              <w:rPr>
                <w:rFonts w:ascii="Times;serif" w:hAnsi="Times;serif"/>
                <w:color w:val="008000"/>
                <w:position w:val="7"/>
                <w:sz w:val="16"/>
                <w:sz w:val="20"/>
                <w:shd w:fill="FFFFFF" w:val="clear"/>
              </w:rPr>
              <w:t>(1)</w:t>
            </w:r>
            <w:r>
              <w:rPr/>
              <w:t xml:space="preserve"> </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11,368</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Stock Options (Right to Buy)</w:t>
            </w:r>
            <w:r>
              <w:rPr>
                <w:rFonts w:ascii="Times;serif" w:hAnsi="Times;serif"/>
                <w:color w:val="008000"/>
                <w:position w:val="7"/>
                <w:sz w:val="16"/>
                <w:sz w:val="20"/>
                <w:shd w:fill="FFFFFF" w:val="clear"/>
              </w:rPr>
              <w:t>(1)</w:t>
            </w:r>
            <w:r>
              <w:rPr/>
              <w:t xml:space="preserve"> </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10,173</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r>
              <w:rPr/>
              <w:t xml:space="preserve"> </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1,223</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r>
              <w:rPr/>
              <w:t xml:space="preserve"> </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1,628</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r>
              <w:rPr/>
              <w:t xml:space="preserve"> </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04/15/2032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7,449</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r>
              <w:rPr/>
              <w:t xml:space="preserve"> </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03/21/2033</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3,865</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time-based stock options vest in four annual installments beginning on March 31,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time-based stock options vest in four annual installments beginning on March 30,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31, 2021, the Reporting Person was granted 2,445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vest in three equal annual installments beginning on January 31,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restricted stock unit represents a contingent right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March 30, 2022, the Reporting Person was granted 2,125 performance-based restricted stock units ("RSUs"). These 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135 RSUs) may vest upon certification by the Issuer's compensation committee of achievement of certain Issuer stock price conditions as of the fourth anniversary of the Vesting Commencement Date (i.e., January 30,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April 15, 2022, the Reporting Person was granted 7,449 time-based restricted stock units that vest 50% on each the second and third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 March 21, 2023, the Reporting Person was granted 3,865 time-based restricted stock units that vest in three equal installments beginning on the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EX-24: Power of Attorney Matthew M. McCabe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2441" TargetMode="External"/><Relationship Id="rId3" Type="http://schemas.openxmlformats.org/officeDocument/2006/relationships/hyperlink" Target="http://www.sec.gov/cgi-bin/browse-edgar?action=getcompany&amp;CIK=0001817358"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829</Words>
  <Characters>4551</Characters>
  <CharactersWithSpaces>5298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