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20955</wp:posOffset>
            </wp:positionV>
            <wp:extent cx="6993255" cy="5583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583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Mullican Michael P.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ASO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1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09/08/2023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President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20"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20" w:space="12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09/08/2023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3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103,796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09/10/2023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10,931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114,727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09/11/2023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4,302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51.02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110,425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10,931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09/10/2023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10,931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10,931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-2028825</wp:posOffset>
            </wp:positionV>
            <wp:extent cx="29210" cy="2033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33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gift of common stock to a charitable donor advised fund.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shares of Common Stock acquired under the Issuer's employee stock purchase plan.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Company's 2020 Omnibus Incentive Plan.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September 10, 2021, subject to the Reporting Person's continued services with the Issuer, the Reporting Person was granted 21,862 time-based restricted stock units that vest 50% on each the second and third anniversary of the date of grant.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Gary Holland,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09/11/2023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5630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2023-09-11T18:14:49Z</dcterms:created>
  <dcterms:modified xsi:type="dcterms:W3CDTF">2023-09-11T18:14:49Z</dcterms:modified>
</cp:coreProperties>
</file>