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&amp; Outdoors,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1800 North Mason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Katy, TX 77449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Academy Sports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Outdoors,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10,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0001817358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Hicks: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on Form S-1 submitted July 10, 2020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Summary</w:t>
            </w: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Who We Are, page 1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statements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are one of the "leading full-line sporting goods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outdoor recreation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recreation retailers in the United States," and that you are the "largest value-oriented sporting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goods and outdoor recreation retailer in the country." We note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disclosure 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10, and elsewhere in your prospectus, that you are the leading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sporting goods retailer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the southern United States. Please provide support for these statements, and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 the measure by which you determined your competitive position in these markets.</w:t>
      </w: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similarly explain the difference in the various markets you cite, including the</w:t>
      </w:r>
    </w:p>
    <w:p>
      <w:pPr>
        <w:ind w:left="120" w:right="19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differences in the "full-line sporting goods and outdoor recreation retailers" Ken C. Hicks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&amp; Outdoors,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7,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and the "value-oriented sporting goods and outdoor recreation retailers" market.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of these statements are based upon management's belief, please indicate that this is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statements regarding your industry-leading unit sales and profitability,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comparison to your "nearest competitors." Please indicate how you are defining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nearest competitors, including the number of companies in this group, the category of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firstLine="421"/>
        <w:spacing w:after="0" w:line="205" w:lineRule="auto"/>
        <w:framePr w:w="4200" w:h="349" w:wrap="auto" w:vAnchor="page" w:hAnchor="page" w:x="1020" w:y="1209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NameAcademy Sports &amp; Outdoors, Inc. 7, 2020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retailer, and how you define a competitor as a "nearest" competitor.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 to the annual summary financial information and the annualized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for twelve months ended May 2, 2020, please consider including information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latest interim period included in the document. Pursuant to Item 3 of Part I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S-1, refer to Item 503 of Regulation S-K for guidance.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first quarter 2020 reflected the third consecutive quarter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positive comparable store sales. However, we note that you have experienced decreases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both comparable store sales and net sales per square foot in each of the last three fiscal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years. Please revise your disclosure to present a balanced picture of your comparable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store sales growth.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graph on page 3 showing the increase in net sales. It appears that the scale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for the graph shows more significant increases than the numerical increases for net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sales. Please revise so that the graph shows increases that are proportional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numerical net sales increases. Please make similar changes to the free cash flow bar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graph.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Performance Improvement Initiatives, page 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during the first quarter 2020, your smaller format store had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higher sales per square foot and higher inventory turns than your average store.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sales per square foot and inventory turns for your average store, and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 your average store. Please also disclose whether e-commerce sales impacted sales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inventory for your smaller format store, and whether the comparison you are making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uses the performance of your average store during the first quarter of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Large and loyal customer base, page 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what you mean in your statement that customers spend approximately 30%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their wallets at the Academy. Please also provide support for your statement that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customers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LastNameKen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spend 20% of their wallets at your competitors,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explain how</w:t>
      </w:r>
    </w:p>
    <w:p>
      <w:pPr>
        <w:ind w:left="3280" w:hanging="324"/>
        <w:spacing w:after="0" w:line="238" w:lineRule="auto"/>
        <w:tabs>
          <w:tab w:leader="none" w:pos="3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Hicks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defining your compeitors.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NameAcademy Sports &amp; Outdoors,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7, 2020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LastNameKen C. Hicks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&amp; Outdoors, Inc.</w:t>
      </w:r>
    </w:p>
    <w:p>
      <w:pPr>
        <w:spacing w:after="0" w:line="2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1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7, 2020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Strong and adaptive performance through economic cycles, page 8</w:t>
      </w:r>
    </w:p>
    <w:p>
      <w:pPr>
        <w:spacing w:after="0" w:line="20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that your revenue for the past two fiscal years is lower than your revenue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February 3, 2018, and the decrease in gross margin in the first quarter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2020, please tell us why you believe it is appropriate to state that you have consistently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demonstrated steady revenue growth and expanded profit margins. Please also balance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discussion of your margin expansion on page 10 to reflect the decrease in margin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most recent quarter.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 customer engagement and increase retention, page 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10 that your customers are attracted to the Academy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 Card because of its bank-funded 5% discount on every Academy purchase and free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standard shipping on online orders of $15 or more. Please tell us, and disclose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if you are required to pay any fees associated with your customers' usage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card and your accounting thereof. In addition, clarify whether you or the bank provide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free standard shipping on online orders of $15 or more.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 subject to claims, demands and lawsuits..., page 29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nine pending lawsuits relating to the November 2017 shooting in Sutherland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Springs, Texas. Please revise this risk factor, or add additional risk factor disclosure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to discuss any potential material impact of a decision in these lawsuits that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adverse to you. In the alternative, please tell us why you believe such disclosure is not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58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footnote disclosure explaining the nature and amounts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 that will be made to the Company's historical capitalization to arrive 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 forma amounts giving effect to the merger of New Academy Holding Company, LLC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Academy Sports and Outdoors, Inc. Management's Discussion and Analysis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We Assess the Performance of Our Business, page 69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12. You define comparable store sales as "the percentage of period-over-period net sales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or decrease for stores open after thirteen full fiscal months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commerce sales." You also note that "[i]ncreases or decreases in e-commerce between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being compared directly impact the comparable store sales results." We note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259 stores in 16 states, but your e-commerce platform reaches 47 states.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how you measure e-commerce sales within your comparable store sales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&amp; Outdoors,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7, 2020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71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each factor cited so that investors may understand the magnitude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relative impact of each factor on your results of operations. Refer to section 501.04 of the</w:t>
      </w:r>
    </w:p>
    <w:p>
      <w:pPr>
        <w:ind w:left="96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Codification of Financial Reporting Releases for guidance.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comparable store sales have declined for all periods presented except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thirteen weeks ended May 2, 2020. Please tell of your consideration of including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this trend and indicate when you anticipate achieving positive comparable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store sales.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Thirteen Weeks Ended May 2, 2020 Compared to Thirteen Weeks Ended May 4, 2019, page 71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gross margin decreased 5% for the first quarter 2020 due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lower margin goods. Please disclose the reason for the increased demand for the lower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 goods, and whether this shift is part of a known trend or uncertainty that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reasonably expect will have a material impact on revenue or results of operations. See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303(a)(3)(ii) of Regulation S-K. Non-GAAP Measures, page 76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computation of "free cash flow" differs from the typical calculation of this measure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(cash flows from operating activities as presented in the statement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flows under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less capital expenditures). Please revise the title of this non-GAAP measure so it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not confused with free cash flow as typically calculated. Refer to Question 102.07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staff s Compliance &amp; Discussion Interpretation on Non-GAAP Financial Measures for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91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the extent, if any, that your small box format is dependent on the success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 w:firstLine="737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your e-commerce platform. FirstName LastNameKen C. Hicks</w:t>
      </w:r>
    </w:p>
    <w:p>
      <w:pPr>
        <w:ind w:right="2239" w:firstLine="8"/>
        <w:spacing w:after="0" w:line="235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as of the first quarter 2020, 99.6% of your mature stores were profitable.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NameAcademy</w:t>
      </w:r>
    </w:p>
    <w:p>
      <w:pPr>
        <w:ind w:left="740"/>
        <w:spacing w:after="0" w:line="238" w:lineRule="auto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Sportsof&amp;your</w:t>
      </w:r>
    </w:p>
    <w:p>
      <w:pPr>
        <w:ind w:left="1480"/>
        <w:spacing w:after="0"/>
        <w:tabs>
          <w:tab w:leader="none" w:pos="4100" w:val="left"/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how many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Outdoors,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 were "mature stores" as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first quarter</w:t>
      </w:r>
    </w:p>
    <w:p>
      <w:pPr>
        <w:jc w:val="center"/>
        <w:ind w:right="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259 stores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August2020.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2020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LastNameKen C. Hicks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&amp; Outdoors,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NameAcademy Sports &amp; Outdoors,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7, 2020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beliefs regarding your significant growth opportunities in your core markets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outside of your footprint. Please qualify your belief that you have the opportunity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in the in-fill market with approximately 120 stores, adjacent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approximately 90 stores, and in greenfield markets with approximately 670 stores.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we refer to your disclosure on page 67 indicates that you plan to open eight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new stores per year, starting in 2022. We also note your disclosure on page 91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your "disciplined approach to store openings" and your disclosure on page 84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your plans for capital expenditures in 2020, which does not include plans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stores.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Proceedings, page 108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regarding the lawsuits related to the events in Sutherland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Springs Texas to include the name of the court or agency in which the proceedings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pending, the date instituted, the principal parties thereto, and the relief sought. See Item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103 of 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Role of Compensation Consultant, page 119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Meridian Compensation Partners or its affiliates provided additional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to you in excess of $120,000 during your last completed fiscal year. If so,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aggregate fees for determining or recommending the amount or form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and director compensation and the aggregate fees for any additional services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by the compensation consultant or its affiliates. See Item 407(e)(iii)(B)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Regulation S-K. Exclusive Forum, page 198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forum selection provision identifies the U.S. federal district courts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exclusive forum for Securities Act claims. Please revise your disclosure to also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there is uncertainty as to whether a court would enforce such provision. Please also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that investors cannot waive compliance with the federal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laws and the rules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regulations thereunder. In that regard, we note that Section 22 of the Securities Act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creates concurrent jurisdiction for federal and state courts over all suits brought to enforce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duty or liability created by the Securities Act or the rules and regulations thereunder.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Academy Holding Company, LLC Consolidated Financial Statements, page F-1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 will be treated as a taxable entity for income tax purposes after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consummation of the offering. Please revise to present pro forma income taxes, net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and earnings per unit on the face of the historical statement of operations for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presented as if income taxes had been computed for those periods. Include a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historical financial statements that provides the basis for this pro forma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819" w:firstLine="842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presentation. Ken C. Hicks</w:t>
      </w:r>
    </w:p>
    <w:p>
      <w:pPr>
        <w:ind w:right="67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LastNameKen C. Hicks Academy Sports &amp; Outdoors, Inc. 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NameAcademy Sports &amp; Outdoors, Inc.</w:t>
            </w: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7,</w:t>
            </w:r>
          </w:p>
        </w:tc>
        <w:tc>
          <w:tcPr>
            <w:tcW w:w="38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2020</w:t>
            </w: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6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7,</w:t>
            </w:r>
          </w:p>
        </w:tc>
        <w:tc>
          <w:tcPr>
            <w:tcW w:w="38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2020 Page 6</w:t>
            </w: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8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Equity and Unit-Based Compensation, page F-39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price per unit that was used to calculate the aggregate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intrinsic value of your outstanding and exercisable unit options in the tables on page F-41.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F-42 indicates that there are 3,291,162 Holdco membership units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are subject to outstanding and unvested liquidity event restricted units with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weighted average grant date fair value of $5.51. You also indicate that these units are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expensed and will not be expensed until the performance objective meets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definition of probable in ASC 718. As your disclosure appears to indicate that at least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portion of these units will vest in the event that you complete an initial public offering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to the fifth anniversary of the unit grant dates, please revise to disclose the amount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stock-based compensation expense that you will be required to recognize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in connection with the completion of your planned initial public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Party Transactions, page F-45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F-45 indicates that in the event the monitoring agreement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terminated in connection with certain financing, acquisition, disposition and change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transactions, an initial public offering or under certain circumstances, the adviser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entitled to all unpaid monitoring fees and expense plus the net present value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advisory fees that would have been paid from the termination date through the twelfth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anniversary of the effective date of the agreement, or if terminated after such anniversary,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the first anniversary of the effective date occurring after the termination date.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amount of any such payment and the related expense you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required to recognize in connection with the planned initial public offering of common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Patrick Kuhn at (202) 551-3308 or Linda Cvrkel at (202) 551-3813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Cara Wirth at (202) 551-7127 or Erin Jaskot at (202) 551-3442 with any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Joseph Kaufman,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7545E146"/>
    <w:multiLevelType w:val="hybridMultilevel"/>
    <w:lvl w:ilvl="0">
      <w:lvlJc w:val="left"/>
      <w:lvlText w:val="%1."/>
      <w:numFmt w:val="upperLetter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10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13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14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17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19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3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24"/>
    </w:lvl>
  </w:abstractNum>
  <w:abstractNum w:abstractNumId="11">
    <w:nsid w:val="140E0F76"/>
    <w:multiLevelType w:val="hybridMultilevel"/>
    <w:lvl w:ilvl="0">
      <w:lvlJc w:val="left"/>
      <w:lvlText w:val="%1."/>
      <w:numFmt w:val="decimal"/>
      <w:start w:val="13"/>
    </w:lvl>
  </w:abstractNum>
  <w:abstractNum w:abstractNumId="12">
    <w:nsid w:val="3352255A"/>
    <w:multiLevelType w:val="hybridMultilevel"/>
    <w:lvl w:ilvl="0">
      <w:lvlJc w:val="left"/>
      <w:lvlText w:val="%1."/>
      <w:numFmt w:val="decimal"/>
      <w:start w:val="2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2021-08-15T19:59:58Z</dcterms:created>
  <dcterms:modified xsi:type="dcterms:W3CDTF">2021-08-15T19:59:58Z</dcterms:modified>
</cp:coreProperties>
</file>