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3" w:lineRule="exact"/>
        <w:rPr>
          <w:sz w:val="24"/>
          <w:szCs w:val="24"/>
          <w:color w:val="auto"/>
        </w:rPr>
      </w:pPr>
    </w:p>
    <w:p>
      <w:pPr>
        <w:jc w:val="center"/>
        <w:spacing w:after="0" w:line="244"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confidentially submitted with the Securities and Exchange Commission on April 23, 2021</w:t>
      </w:r>
    </w:p>
    <w:p>
      <w:pPr>
        <w:spacing w:after="0" w:line="6" w:lineRule="exact"/>
        <w:rPr>
          <w:sz w:val="24"/>
          <w:szCs w:val="24"/>
          <w:color w:val="auto"/>
        </w:rPr>
      </w:pPr>
    </w:p>
    <w:p>
      <w:pPr>
        <w:ind w:left="77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38735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CONFIDENTIAL DRAFT SUBMISSION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45720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Academy Sports and Outdoors,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37465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8" w:lineRule="exact"/>
        <w:rPr>
          <w:sz w:val="24"/>
          <w:szCs w:val="24"/>
          <w:color w:val="auto"/>
        </w:rPr>
      </w:pPr>
    </w:p>
    <w:tbl>
      <w:tblPr>
        <w:tblLayout w:type="fixed"/>
        <w:tblInd w:w="640" w:type="dxa"/>
        <w:tblCellMar>
          <w:top w:w="0" w:type="dxa"/>
          <w:left w:w="0" w:type="dxa"/>
          <w:bottom w:w="0" w:type="dxa"/>
          <w:right w:w="0" w:type="dxa"/>
        </w:tblCellMar>
      </w:tblPr>
      <w:tr>
        <w:trPr>
          <w:trHeight w:val="183"/>
        </w:trPr>
        <w:tc>
          <w:tcPr>
            <w:tcW w:w="2560" w:type="dxa"/>
            <w:vAlign w:val="bottom"/>
          </w:tcPr>
          <w:p>
            <w:pPr>
              <w:jc w:val="center"/>
              <w:ind w:right="650"/>
              <w:spacing w:after="0"/>
              <w:rPr>
                <w:sz w:val="20"/>
                <w:szCs w:val="20"/>
                <w:color w:val="auto"/>
              </w:rPr>
            </w:pPr>
            <w:r>
              <w:rPr>
                <w:rFonts w:ascii="Arial" w:cs="Arial" w:eastAsia="Arial" w:hAnsi="Arial"/>
                <w:sz w:val="14"/>
                <w:szCs w:val="14"/>
                <w:b w:val="1"/>
                <w:bCs w:val="1"/>
                <w:color w:val="auto"/>
                <w:w w:val="91"/>
              </w:rPr>
              <w:t>Delaware</w:t>
            </w:r>
          </w:p>
        </w:tc>
        <w:tc>
          <w:tcPr>
            <w:tcW w:w="346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5940</w:t>
            </w:r>
          </w:p>
        </w:tc>
        <w:tc>
          <w:tcPr>
            <w:tcW w:w="2040" w:type="dxa"/>
            <w:vAlign w:val="bottom"/>
          </w:tcPr>
          <w:p>
            <w:pPr>
              <w:jc w:val="center"/>
              <w:ind w:left="890"/>
              <w:spacing w:after="0"/>
              <w:rPr>
                <w:sz w:val="20"/>
                <w:szCs w:val="20"/>
                <w:color w:val="auto"/>
              </w:rPr>
            </w:pPr>
            <w:r>
              <w:rPr>
                <w:rFonts w:ascii="Arial" w:cs="Arial" w:eastAsia="Arial" w:hAnsi="Arial"/>
                <w:sz w:val="14"/>
                <w:szCs w:val="14"/>
                <w:b w:val="1"/>
                <w:bCs w:val="1"/>
                <w:color w:val="auto"/>
                <w:w w:val="90"/>
              </w:rPr>
              <w:t>85-1800912</w:t>
            </w:r>
          </w:p>
        </w:tc>
      </w:tr>
      <w:tr>
        <w:trPr>
          <w:trHeight w:val="168"/>
        </w:trPr>
        <w:tc>
          <w:tcPr>
            <w:tcW w:w="2560" w:type="dxa"/>
            <w:vAlign w:val="bottom"/>
          </w:tcPr>
          <w:p>
            <w:pPr>
              <w:jc w:val="center"/>
              <w:ind w:right="690"/>
              <w:spacing w:after="0"/>
              <w:rPr>
                <w:sz w:val="20"/>
                <w:szCs w:val="20"/>
                <w:color w:val="auto"/>
              </w:rPr>
            </w:pPr>
            <w:r>
              <w:rPr>
                <w:rFonts w:ascii="Arial" w:cs="Arial" w:eastAsia="Arial" w:hAnsi="Arial"/>
                <w:sz w:val="14"/>
                <w:szCs w:val="14"/>
                <w:b w:val="1"/>
                <w:bCs w:val="1"/>
                <w:color w:val="auto"/>
                <w:w w:val="91"/>
              </w:rPr>
              <w:t>(State or other jurisdiction of</w:t>
            </w:r>
          </w:p>
        </w:tc>
        <w:tc>
          <w:tcPr>
            <w:tcW w:w="3460" w:type="dxa"/>
            <w:vAlign w:val="bottom"/>
          </w:tcPr>
          <w:p>
            <w:pPr>
              <w:jc w:val="center"/>
              <w:ind w:right="130"/>
              <w:spacing w:after="0"/>
              <w:rPr>
                <w:sz w:val="20"/>
                <w:szCs w:val="20"/>
                <w:color w:val="auto"/>
              </w:rPr>
            </w:pPr>
            <w:r>
              <w:rPr>
                <w:rFonts w:ascii="Arial" w:cs="Arial" w:eastAsia="Arial" w:hAnsi="Arial"/>
                <w:sz w:val="14"/>
                <w:szCs w:val="14"/>
                <w:b w:val="1"/>
                <w:bCs w:val="1"/>
                <w:color w:val="auto"/>
                <w:w w:val="94"/>
              </w:rPr>
              <w:t>(Primary Standard Industrial</w:t>
            </w:r>
          </w:p>
        </w:tc>
        <w:tc>
          <w:tcPr>
            <w:tcW w:w="2040" w:type="dxa"/>
            <w:vAlign w:val="bottom"/>
          </w:tcPr>
          <w:p>
            <w:pPr>
              <w:jc w:val="center"/>
              <w:ind w:left="850"/>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650"/>
              <w:spacing w:after="0"/>
              <w:rPr>
                <w:sz w:val="20"/>
                <w:szCs w:val="20"/>
                <w:color w:val="auto"/>
              </w:rPr>
            </w:pPr>
            <w:r>
              <w:rPr>
                <w:rFonts w:ascii="Arial" w:cs="Arial" w:eastAsia="Arial" w:hAnsi="Arial"/>
                <w:sz w:val="14"/>
                <w:szCs w:val="14"/>
                <w:b w:val="1"/>
                <w:bCs w:val="1"/>
                <w:color w:val="auto"/>
                <w:w w:val="92"/>
              </w:rPr>
              <w:t>incorporation or organization)</w:t>
            </w:r>
          </w:p>
        </w:tc>
        <w:tc>
          <w:tcPr>
            <w:tcW w:w="3460" w:type="dxa"/>
            <w:vAlign w:val="bottom"/>
          </w:tcPr>
          <w:p>
            <w:pPr>
              <w:jc w:val="center"/>
              <w:ind w:right="90"/>
              <w:spacing w:after="0"/>
              <w:rPr>
                <w:sz w:val="20"/>
                <w:szCs w:val="20"/>
                <w:color w:val="auto"/>
              </w:rPr>
            </w:pPr>
            <w:r>
              <w:rPr>
                <w:rFonts w:ascii="Arial" w:cs="Arial" w:eastAsia="Arial" w:hAnsi="Arial"/>
                <w:sz w:val="14"/>
                <w:szCs w:val="14"/>
                <w:b w:val="1"/>
                <w:bCs w:val="1"/>
                <w:color w:val="auto"/>
                <w:w w:val="90"/>
              </w:rPr>
              <w:t>Classification Code Number)</w:t>
            </w:r>
          </w:p>
        </w:tc>
        <w:tc>
          <w:tcPr>
            <w:tcW w:w="2040" w:type="dxa"/>
            <w:vAlign w:val="bottom"/>
          </w:tcPr>
          <w:p>
            <w:pPr>
              <w:jc w:val="center"/>
              <w:ind w:left="870"/>
              <w:spacing w:after="0"/>
              <w:rPr>
                <w:sz w:val="20"/>
                <w:szCs w:val="20"/>
                <w:color w:val="auto"/>
              </w:rPr>
            </w:pPr>
            <w:r>
              <w:rPr>
                <w:rFonts w:ascii="Arial" w:cs="Arial" w:eastAsia="Arial" w:hAnsi="Arial"/>
                <w:sz w:val="14"/>
                <w:szCs w:val="14"/>
                <w:b w:val="1"/>
                <w:bCs w:val="1"/>
                <w:color w:val="auto"/>
                <w:w w:val="92"/>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59055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1800 North Mason Road</w:t>
      </w:r>
    </w:p>
    <w:p>
      <w:pPr>
        <w:jc w:val="center"/>
        <w:spacing w:after="0" w:line="226" w:lineRule="auto"/>
        <w:rPr>
          <w:sz w:val="20"/>
          <w:szCs w:val="20"/>
          <w:color w:val="auto"/>
        </w:rPr>
      </w:pPr>
      <w:r>
        <w:rPr>
          <w:rFonts w:ascii="Arial" w:cs="Arial" w:eastAsia="Arial" w:hAnsi="Arial"/>
          <w:sz w:val="14"/>
          <w:szCs w:val="14"/>
          <w:b w:val="1"/>
          <w:bCs w:val="1"/>
          <w:color w:val="auto"/>
        </w:rPr>
        <w:t>Katy, Texas 77449</w:t>
      </w:r>
    </w:p>
    <w:p>
      <w:pPr>
        <w:jc w:val="center"/>
        <w:spacing w:after="0" w:line="221" w:lineRule="auto"/>
        <w:rPr>
          <w:sz w:val="20"/>
          <w:szCs w:val="20"/>
          <w:color w:val="auto"/>
        </w:rPr>
      </w:pPr>
      <w:r>
        <w:rPr>
          <w:rFonts w:ascii="Arial" w:cs="Arial" w:eastAsia="Arial" w:hAnsi="Arial"/>
          <w:sz w:val="14"/>
          <w:szCs w:val="14"/>
          <w:b w:val="1"/>
          <w:bCs w:val="1"/>
          <w:color w:val="auto"/>
        </w:rPr>
        <w:t>(281) 646-5200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37465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Rene G. Casares, Esq.</w:t>
      </w:r>
    </w:p>
    <w:p>
      <w:pPr>
        <w:jc w:val="center"/>
        <w:spacing w:after="0" w:line="226" w:lineRule="auto"/>
        <w:rPr>
          <w:sz w:val="20"/>
          <w:szCs w:val="20"/>
          <w:color w:val="auto"/>
        </w:rPr>
      </w:pPr>
      <w:r>
        <w:rPr>
          <w:rFonts w:ascii="Arial" w:cs="Arial" w:eastAsia="Arial" w:hAnsi="Arial"/>
          <w:sz w:val="14"/>
          <w:szCs w:val="14"/>
          <w:b w:val="1"/>
          <w:bCs w:val="1"/>
          <w:color w:val="auto"/>
        </w:rPr>
        <w:t>Senior Vice President and General Counsel</w:t>
      </w:r>
    </w:p>
    <w:p>
      <w:pPr>
        <w:jc w:val="center"/>
        <w:spacing w:after="0" w:line="221" w:lineRule="auto"/>
        <w:rPr>
          <w:sz w:val="20"/>
          <w:szCs w:val="20"/>
          <w:color w:val="auto"/>
        </w:rPr>
      </w:pPr>
      <w:r>
        <w:rPr>
          <w:rFonts w:ascii="Arial" w:cs="Arial" w:eastAsia="Arial" w:hAnsi="Arial"/>
          <w:sz w:val="14"/>
          <w:szCs w:val="14"/>
          <w:b w:val="1"/>
          <w:bCs w:val="1"/>
          <w:color w:val="auto"/>
        </w:rPr>
        <w:t>1800 North Mason Road</w:t>
      </w:r>
    </w:p>
    <w:p>
      <w:pPr>
        <w:jc w:val="center"/>
        <w:spacing w:after="0" w:line="222" w:lineRule="auto"/>
        <w:rPr>
          <w:sz w:val="20"/>
          <w:szCs w:val="20"/>
          <w:color w:val="auto"/>
        </w:rPr>
      </w:pPr>
      <w:r>
        <w:rPr>
          <w:rFonts w:ascii="Arial" w:cs="Arial" w:eastAsia="Arial" w:hAnsi="Arial"/>
          <w:sz w:val="14"/>
          <w:szCs w:val="14"/>
          <w:b w:val="1"/>
          <w:bCs w:val="1"/>
          <w:color w:val="auto"/>
        </w:rPr>
        <w:t>Katy, Texas 77449</w:t>
      </w:r>
    </w:p>
    <w:p>
      <w:pPr>
        <w:jc w:val="center"/>
        <w:spacing w:after="0" w:line="221" w:lineRule="auto"/>
        <w:rPr>
          <w:sz w:val="20"/>
          <w:szCs w:val="20"/>
          <w:color w:val="auto"/>
        </w:rPr>
      </w:pPr>
      <w:r>
        <w:rPr>
          <w:rFonts w:ascii="Arial" w:cs="Arial" w:eastAsia="Arial" w:hAnsi="Arial"/>
          <w:sz w:val="14"/>
          <w:szCs w:val="14"/>
          <w:b w:val="1"/>
          <w:bCs w:val="1"/>
          <w:color w:val="auto"/>
        </w:rPr>
        <w:t>(281) 646-5200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37465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8" w:lineRule="exact"/>
        <w:rPr>
          <w:sz w:val="24"/>
          <w:szCs w:val="24"/>
          <w:color w:val="auto"/>
        </w:rPr>
      </w:pPr>
    </w:p>
    <w:tbl>
      <w:tblPr>
        <w:tblLayout w:type="fixed"/>
        <w:tblInd w:w="1360" w:type="dxa"/>
        <w:tblCellMar>
          <w:top w:w="0" w:type="dxa"/>
          <w:left w:w="0" w:type="dxa"/>
          <w:bottom w:w="0" w:type="dxa"/>
          <w:right w:w="0" w:type="dxa"/>
        </w:tblCellMar>
      </w:tblPr>
      <w:tr>
        <w:trPr>
          <w:trHeight w:val="179"/>
        </w:trPr>
        <w:tc>
          <w:tcPr>
            <w:tcW w:w="2540" w:type="dxa"/>
            <w:vAlign w:val="bottom"/>
          </w:tcPr>
          <w:p>
            <w:pPr>
              <w:spacing w:after="0"/>
              <w:rPr>
                <w:sz w:val="15"/>
                <w:szCs w:val="15"/>
                <w:color w:val="auto"/>
              </w:rPr>
            </w:pPr>
          </w:p>
        </w:tc>
        <w:tc>
          <w:tcPr>
            <w:tcW w:w="426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289"/>
        </w:trPr>
        <w:tc>
          <w:tcPr>
            <w:tcW w:w="2540" w:type="dxa"/>
            <w:vAlign w:val="bottom"/>
          </w:tcPr>
          <w:p>
            <w:pPr>
              <w:jc w:val="center"/>
              <w:ind w:right="450"/>
              <w:spacing w:after="0"/>
              <w:rPr>
                <w:sz w:val="20"/>
                <w:szCs w:val="20"/>
                <w:color w:val="auto"/>
              </w:rPr>
            </w:pPr>
            <w:r>
              <w:rPr>
                <w:rFonts w:ascii="Arial" w:cs="Arial" w:eastAsia="Arial" w:hAnsi="Arial"/>
                <w:sz w:val="14"/>
                <w:szCs w:val="14"/>
                <w:b w:val="1"/>
                <w:bCs w:val="1"/>
                <w:color w:val="auto"/>
                <w:w w:val="91"/>
              </w:rPr>
              <w:t>Joseph H. Kaufman, Esq.</w:t>
            </w:r>
          </w:p>
        </w:tc>
        <w:tc>
          <w:tcPr>
            <w:tcW w:w="4260" w:type="dxa"/>
            <w:vAlign w:val="bottom"/>
          </w:tcPr>
          <w:p>
            <w:pPr>
              <w:jc w:val="center"/>
              <w:ind w:left="2530"/>
              <w:spacing w:after="0"/>
              <w:rPr>
                <w:sz w:val="20"/>
                <w:szCs w:val="20"/>
                <w:color w:val="auto"/>
              </w:rPr>
            </w:pPr>
            <w:r>
              <w:rPr>
                <w:rFonts w:ascii="Arial" w:cs="Arial" w:eastAsia="Arial" w:hAnsi="Arial"/>
                <w:sz w:val="14"/>
                <w:szCs w:val="14"/>
                <w:b w:val="1"/>
                <w:bCs w:val="1"/>
                <w:color w:val="auto"/>
                <w:w w:val="91"/>
              </w:rPr>
              <w:t>Marc D. Jaffe, Esq.</w:t>
            </w:r>
          </w:p>
        </w:tc>
      </w:tr>
      <w:tr>
        <w:trPr>
          <w:trHeight w:val="148"/>
        </w:trPr>
        <w:tc>
          <w:tcPr>
            <w:tcW w:w="2540" w:type="dxa"/>
            <w:vAlign w:val="bottom"/>
          </w:tcPr>
          <w:p>
            <w:pPr>
              <w:jc w:val="center"/>
              <w:ind w:right="450"/>
              <w:spacing w:after="0" w:line="149" w:lineRule="exact"/>
              <w:rPr>
                <w:sz w:val="20"/>
                <w:szCs w:val="20"/>
                <w:color w:val="auto"/>
              </w:rPr>
            </w:pPr>
            <w:r>
              <w:rPr>
                <w:rFonts w:ascii="Arial" w:cs="Arial" w:eastAsia="Arial" w:hAnsi="Arial"/>
                <w:sz w:val="14"/>
                <w:szCs w:val="14"/>
                <w:b w:val="1"/>
                <w:bCs w:val="1"/>
                <w:color w:val="auto"/>
                <w:w w:val="89"/>
              </w:rPr>
              <w:t>Sunny Cheong, Esq.</w:t>
            </w:r>
          </w:p>
        </w:tc>
        <w:tc>
          <w:tcPr>
            <w:tcW w:w="4260" w:type="dxa"/>
            <w:vAlign w:val="bottom"/>
          </w:tcPr>
          <w:p>
            <w:pPr>
              <w:jc w:val="center"/>
              <w:ind w:left="2530"/>
              <w:spacing w:after="0" w:line="149" w:lineRule="exact"/>
              <w:rPr>
                <w:sz w:val="20"/>
                <w:szCs w:val="20"/>
                <w:color w:val="auto"/>
              </w:rPr>
            </w:pPr>
            <w:r>
              <w:rPr>
                <w:rFonts w:ascii="Arial" w:cs="Arial" w:eastAsia="Arial" w:hAnsi="Arial"/>
                <w:sz w:val="14"/>
                <w:szCs w:val="14"/>
                <w:b w:val="1"/>
                <w:bCs w:val="1"/>
                <w:color w:val="auto"/>
                <w:w w:val="91"/>
              </w:rPr>
              <w:t>Ian D. Schuman, Esq.</w:t>
            </w:r>
          </w:p>
        </w:tc>
      </w:tr>
      <w:tr>
        <w:trPr>
          <w:trHeight w:val="149"/>
        </w:trPr>
        <w:tc>
          <w:tcPr>
            <w:tcW w:w="2540" w:type="dxa"/>
            <w:vAlign w:val="bottom"/>
          </w:tcPr>
          <w:p>
            <w:pPr>
              <w:jc w:val="center"/>
              <w:ind w:right="450"/>
              <w:spacing w:after="0" w:line="149" w:lineRule="exact"/>
              <w:rPr>
                <w:sz w:val="20"/>
                <w:szCs w:val="20"/>
                <w:color w:val="auto"/>
              </w:rPr>
            </w:pPr>
            <w:r>
              <w:rPr>
                <w:rFonts w:ascii="Arial" w:cs="Arial" w:eastAsia="Arial" w:hAnsi="Arial"/>
                <w:sz w:val="14"/>
                <w:szCs w:val="14"/>
                <w:b w:val="1"/>
                <w:bCs w:val="1"/>
                <w:color w:val="auto"/>
                <w:w w:val="94"/>
              </w:rPr>
              <w:t>Simpson Thacher &amp; Bartlett LLP</w:t>
            </w:r>
          </w:p>
        </w:tc>
        <w:tc>
          <w:tcPr>
            <w:tcW w:w="4260" w:type="dxa"/>
            <w:vAlign w:val="bottom"/>
          </w:tcPr>
          <w:p>
            <w:pPr>
              <w:jc w:val="center"/>
              <w:ind w:left="2530"/>
              <w:spacing w:after="0" w:line="149" w:lineRule="exact"/>
              <w:rPr>
                <w:sz w:val="20"/>
                <w:szCs w:val="20"/>
                <w:color w:val="auto"/>
              </w:rPr>
            </w:pPr>
            <w:r>
              <w:rPr>
                <w:rFonts w:ascii="Arial" w:cs="Arial" w:eastAsia="Arial" w:hAnsi="Arial"/>
                <w:sz w:val="14"/>
                <w:szCs w:val="14"/>
                <w:b w:val="1"/>
                <w:bCs w:val="1"/>
                <w:color w:val="auto"/>
                <w:w w:val="96"/>
              </w:rPr>
              <w:t>Latham &amp; Watkins LLP</w:t>
            </w:r>
          </w:p>
        </w:tc>
      </w:tr>
      <w:tr>
        <w:trPr>
          <w:trHeight w:val="148"/>
        </w:trPr>
        <w:tc>
          <w:tcPr>
            <w:tcW w:w="2540" w:type="dxa"/>
            <w:vAlign w:val="bottom"/>
          </w:tcPr>
          <w:p>
            <w:pPr>
              <w:jc w:val="center"/>
              <w:ind w:right="450"/>
              <w:spacing w:after="0" w:line="149" w:lineRule="exact"/>
              <w:rPr>
                <w:sz w:val="20"/>
                <w:szCs w:val="20"/>
                <w:color w:val="auto"/>
              </w:rPr>
            </w:pPr>
            <w:r>
              <w:rPr>
                <w:rFonts w:ascii="Arial" w:cs="Arial" w:eastAsia="Arial" w:hAnsi="Arial"/>
                <w:sz w:val="14"/>
                <w:szCs w:val="14"/>
                <w:b w:val="1"/>
                <w:bCs w:val="1"/>
                <w:color w:val="auto"/>
                <w:w w:val="90"/>
              </w:rPr>
              <w:t>425 Lexington Avenue</w:t>
            </w:r>
          </w:p>
        </w:tc>
        <w:tc>
          <w:tcPr>
            <w:tcW w:w="4260" w:type="dxa"/>
            <w:vAlign w:val="bottom"/>
          </w:tcPr>
          <w:p>
            <w:pPr>
              <w:jc w:val="center"/>
              <w:ind w:left="2530"/>
              <w:spacing w:after="0" w:line="149" w:lineRule="exact"/>
              <w:rPr>
                <w:sz w:val="20"/>
                <w:szCs w:val="20"/>
                <w:color w:val="auto"/>
              </w:rPr>
            </w:pPr>
            <w:r>
              <w:rPr>
                <w:rFonts w:ascii="Arial" w:cs="Arial" w:eastAsia="Arial" w:hAnsi="Arial"/>
                <w:sz w:val="14"/>
                <w:szCs w:val="14"/>
                <w:b w:val="1"/>
                <w:bCs w:val="1"/>
                <w:color w:val="auto"/>
                <w:w w:val="90"/>
              </w:rPr>
              <w:t>885 Third Avenue</w:t>
            </w:r>
          </w:p>
        </w:tc>
      </w:tr>
      <w:tr>
        <w:trPr>
          <w:trHeight w:val="149"/>
        </w:trPr>
        <w:tc>
          <w:tcPr>
            <w:tcW w:w="2540" w:type="dxa"/>
            <w:vAlign w:val="bottom"/>
          </w:tcPr>
          <w:p>
            <w:pPr>
              <w:jc w:val="center"/>
              <w:ind w:right="450"/>
              <w:spacing w:after="0" w:line="149" w:lineRule="exact"/>
              <w:rPr>
                <w:sz w:val="20"/>
                <w:szCs w:val="20"/>
                <w:color w:val="auto"/>
              </w:rPr>
            </w:pPr>
            <w:r>
              <w:rPr>
                <w:rFonts w:ascii="Arial" w:cs="Arial" w:eastAsia="Arial" w:hAnsi="Arial"/>
                <w:sz w:val="14"/>
                <w:szCs w:val="14"/>
                <w:b w:val="1"/>
                <w:bCs w:val="1"/>
                <w:color w:val="auto"/>
                <w:w w:val="93"/>
              </w:rPr>
              <w:t>New York, New York 10017</w:t>
            </w:r>
          </w:p>
        </w:tc>
        <w:tc>
          <w:tcPr>
            <w:tcW w:w="4260" w:type="dxa"/>
            <w:vAlign w:val="bottom"/>
          </w:tcPr>
          <w:p>
            <w:pPr>
              <w:jc w:val="center"/>
              <w:ind w:left="2530"/>
              <w:spacing w:after="0" w:line="149" w:lineRule="exact"/>
              <w:rPr>
                <w:sz w:val="20"/>
                <w:szCs w:val="20"/>
                <w:color w:val="auto"/>
              </w:rPr>
            </w:pPr>
            <w:r>
              <w:rPr>
                <w:rFonts w:ascii="Arial" w:cs="Arial" w:eastAsia="Arial" w:hAnsi="Arial"/>
                <w:sz w:val="14"/>
                <w:szCs w:val="14"/>
                <w:b w:val="1"/>
                <w:bCs w:val="1"/>
                <w:color w:val="auto"/>
                <w:w w:val="93"/>
              </w:rPr>
              <w:t>New York, New York 10022</w:t>
            </w:r>
          </w:p>
        </w:tc>
      </w:tr>
      <w:tr>
        <w:trPr>
          <w:trHeight w:val="183"/>
        </w:trPr>
        <w:tc>
          <w:tcPr>
            <w:tcW w:w="2540" w:type="dxa"/>
            <w:vAlign w:val="bottom"/>
          </w:tcPr>
          <w:p>
            <w:pPr>
              <w:jc w:val="center"/>
              <w:ind w:right="430"/>
              <w:spacing w:after="0"/>
              <w:rPr>
                <w:sz w:val="20"/>
                <w:szCs w:val="20"/>
                <w:color w:val="auto"/>
              </w:rPr>
            </w:pPr>
            <w:r>
              <w:rPr>
                <w:rFonts w:ascii="Arial" w:cs="Arial" w:eastAsia="Arial" w:hAnsi="Arial"/>
                <w:sz w:val="14"/>
                <w:szCs w:val="14"/>
                <w:b w:val="1"/>
                <w:bCs w:val="1"/>
                <w:color w:val="auto"/>
                <w:w w:val="91"/>
              </w:rPr>
              <w:t>(212) 455-2000</w:t>
            </w:r>
          </w:p>
        </w:tc>
        <w:tc>
          <w:tcPr>
            <w:tcW w:w="4260" w:type="dxa"/>
            <w:vAlign w:val="bottom"/>
          </w:tcPr>
          <w:p>
            <w:pPr>
              <w:jc w:val="center"/>
              <w:ind w:left="2550"/>
              <w:spacing w:after="0"/>
              <w:rPr>
                <w:sz w:val="20"/>
                <w:szCs w:val="20"/>
                <w:color w:val="auto"/>
              </w:rPr>
            </w:pPr>
            <w:r>
              <w:rPr>
                <w:rFonts w:ascii="Arial" w:cs="Arial" w:eastAsia="Arial" w:hAnsi="Arial"/>
                <w:sz w:val="14"/>
                <w:szCs w:val="14"/>
                <w:b w:val="1"/>
                <w:bCs w:val="1"/>
                <w:color w:val="auto"/>
                <w:w w:val="91"/>
              </w:rPr>
              <w:t>(212) 906-1200</w:t>
            </w:r>
          </w:p>
        </w:tc>
      </w:tr>
    </w:tbl>
    <w:p>
      <w:pPr>
        <w:spacing w:after="0" w:line="60"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32" w:lineRule="exact"/>
        <w:rPr>
          <w:sz w:val="24"/>
          <w:szCs w:val="24"/>
          <w:color w:val="auto"/>
        </w:rPr>
      </w:pPr>
    </w:p>
    <w:p>
      <w:pPr>
        <w:ind w:right="140" w:firstLine="360"/>
        <w:spacing w:after="0" w:line="17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right="440" w:firstLine="360"/>
        <w:spacing w:after="0" w:line="17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360"/>
        <w:spacing w:after="0" w:line="17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 w:lineRule="exact"/>
        <w:rPr>
          <w:sz w:val="24"/>
          <w:szCs w:val="24"/>
          <w:color w:val="auto"/>
        </w:rPr>
      </w:pPr>
    </w:p>
    <w:p>
      <w:pPr>
        <w:ind w:right="340" w:firstLine="36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jc w:val="both"/>
        <w:ind w:right="300" w:firstLine="360"/>
        <w:spacing w:after="0" w:line="2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6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940"/>
              <w:spacing w:after="0"/>
              <w:rPr>
                <w:sz w:val="20"/>
                <w:szCs w:val="20"/>
                <w:color w:val="auto"/>
              </w:rPr>
            </w:pPr>
            <w:r>
              <w:rPr>
                <w:rFonts w:ascii="Arial" w:cs="Arial" w:eastAsia="Arial" w:hAnsi="Arial"/>
                <w:sz w:val="14"/>
                <w:szCs w:val="14"/>
                <w:color w:val="auto"/>
              </w:rPr>
              <w:t>Accelerated filer</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196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940"/>
              <w:spacing w:after="0"/>
              <w:rPr>
                <w:sz w:val="20"/>
                <w:szCs w:val="20"/>
                <w:color w:val="auto"/>
              </w:rPr>
            </w:pPr>
            <w:r>
              <w:rPr>
                <w:rFonts w:ascii="Arial" w:cs="Arial" w:eastAsia="Arial" w:hAnsi="Arial"/>
                <w:sz w:val="14"/>
                <w:szCs w:val="14"/>
                <w:color w:val="auto"/>
              </w:rPr>
              <w:t>Smaller reporting company</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0"/>
        </w:trPr>
        <w:tc>
          <w:tcPr>
            <w:tcW w:w="2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920" w:type="dxa"/>
            <w:vAlign w:val="bottom"/>
          </w:tcPr>
          <w:p>
            <w:pPr>
              <w:ind w:left="940"/>
              <w:spacing w:after="0"/>
              <w:rPr>
                <w:sz w:val="20"/>
                <w:szCs w:val="20"/>
                <w:color w:val="auto"/>
              </w:rPr>
            </w:pPr>
            <w:r>
              <w:rPr>
                <w:rFonts w:ascii="Arial" w:cs="Arial" w:eastAsia="Arial" w:hAnsi="Arial"/>
                <w:sz w:val="14"/>
                <w:szCs w:val="14"/>
                <w:color w:val="auto"/>
              </w:rPr>
              <w:t>Emerging growth company</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8" w:lineRule="exact"/>
        <w:rPr>
          <w:sz w:val="24"/>
          <w:szCs w:val="24"/>
          <w:color w:val="auto"/>
        </w:rPr>
      </w:pPr>
    </w:p>
    <w:p>
      <w:pPr>
        <w:ind w:right="140" w:firstLine="36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14605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980" w:type="dxa"/>
            <w:vAlign w:val="bottom"/>
            <w:tcBorders>
              <w:top w:val="single" w:sz="8" w:color="auto"/>
            </w:tcBorders>
          </w:tcPr>
          <w:p>
            <w:pPr>
              <w:spacing w:after="0"/>
              <w:rPr>
                <w:sz w:val="21"/>
                <w:szCs w:val="21"/>
                <w:color w:val="auto"/>
              </w:rPr>
            </w:pPr>
          </w:p>
        </w:tc>
        <w:tc>
          <w:tcPr>
            <w:tcW w:w="322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86"/>
              </w:rPr>
              <w:t>Proposed</w:t>
            </w:r>
          </w:p>
        </w:tc>
        <w:tc>
          <w:tcPr>
            <w:tcW w:w="1380" w:type="dxa"/>
            <w:vAlign w:val="bottom"/>
            <w:tcBorders>
              <w:top w:val="single" w:sz="8" w:color="auto"/>
              <w:right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Proposed Maximum</w:t>
            </w:r>
          </w:p>
        </w:tc>
        <w:tc>
          <w:tcPr>
            <w:tcW w:w="1320" w:type="dxa"/>
            <w:vAlign w:val="bottom"/>
            <w:tcBorders>
              <w:top w:val="single" w:sz="8" w:color="auto"/>
            </w:tcBorders>
          </w:tcPr>
          <w:p>
            <w:pPr>
              <w:spacing w:after="0"/>
              <w:rPr>
                <w:sz w:val="21"/>
                <w:szCs w:val="21"/>
                <w:color w:val="auto"/>
              </w:rPr>
            </w:pPr>
          </w:p>
        </w:tc>
      </w:tr>
      <w:tr>
        <w:trPr>
          <w:trHeight w:val="146"/>
        </w:trPr>
        <w:tc>
          <w:tcPr>
            <w:tcW w:w="980" w:type="dxa"/>
            <w:vAlign w:val="bottom"/>
          </w:tcPr>
          <w:p>
            <w:pPr>
              <w:spacing w:after="0"/>
              <w:rPr>
                <w:sz w:val="12"/>
                <w:szCs w:val="12"/>
                <w:color w:val="auto"/>
              </w:rPr>
            </w:pPr>
          </w:p>
        </w:tc>
        <w:tc>
          <w:tcPr>
            <w:tcW w:w="3220" w:type="dxa"/>
            <w:vAlign w:val="bottom"/>
            <w:tcBorders>
              <w:right w:val="single" w:sz="8" w:color="auto"/>
            </w:tcBorders>
          </w:tcPr>
          <w:p>
            <w:pPr>
              <w:jc w:val="center"/>
              <w:ind w:right="1032"/>
              <w:spacing w:after="0" w:line="147" w:lineRule="exact"/>
              <w:rPr>
                <w:sz w:val="20"/>
                <w:szCs w:val="20"/>
                <w:color w:val="auto"/>
              </w:rPr>
            </w:pPr>
            <w:r>
              <w:rPr>
                <w:rFonts w:ascii="Arial" w:cs="Arial" w:eastAsia="Arial" w:hAnsi="Arial"/>
                <w:sz w:val="14"/>
                <w:szCs w:val="14"/>
                <w:b w:val="1"/>
                <w:bCs w:val="1"/>
                <w:color w:val="auto"/>
                <w:w w:val="90"/>
              </w:rPr>
              <w:t>Title of Each Class of</w:t>
            </w:r>
          </w:p>
        </w:tc>
        <w:tc>
          <w:tcPr>
            <w:tcW w:w="1420" w:type="dxa"/>
            <w:vAlign w:val="bottom"/>
            <w:tcBorders>
              <w:right w:val="single" w:sz="8" w:color="auto"/>
            </w:tcBorders>
          </w:tcPr>
          <w:p>
            <w:pPr>
              <w:jc w:val="right"/>
              <w:ind w:right="270"/>
              <w:spacing w:after="0" w:line="147" w:lineRule="exact"/>
              <w:rPr>
                <w:sz w:val="20"/>
                <w:szCs w:val="20"/>
                <w:color w:val="auto"/>
              </w:rPr>
            </w:pPr>
            <w:r>
              <w:rPr>
                <w:rFonts w:ascii="Arial" w:cs="Arial" w:eastAsia="Arial" w:hAnsi="Arial"/>
                <w:sz w:val="14"/>
                <w:szCs w:val="14"/>
                <w:b w:val="1"/>
                <w:bCs w:val="1"/>
                <w:color w:val="auto"/>
              </w:rPr>
              <w:t>Amount to be</w:t>
            </w:r>
          </w:p>
        </w:tc>
        <w:tc>
          <w:tcPr>
            <w:tcW w:w="14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5"/>
              </w:rPr>
              <w:t>Maximum</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Aggregate Offering</w:t>
            </w: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Amount of</w:t>
            </w:r>
          </w:p>
        </w:tc>
      </w:tr>
      <w:tr>
        <w:trPr>
          <w:trHeight w:val="224"/>
        </w:trPr>
        <w:tc>
          <w:tcPr>
            <w:tcW w:w="98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ind w:right="1012"/>
              <w:spacing w:after="0"/>
              <w:rPr>
                <w:sz w:val="20"/>
                <w:szCs w:val="20"/>
                <w:color w:val="auto"/>
              </w:rPr>
            </w:pPr>
            <w:r>
              <w:rPr>
                <w:rFonts w:ascii="Arial" w:cs="Arial" w:eastAsia="Arial" w:hAnsi="Arial"/>
                <w:sz w:val="14"/>
                <w:szCs w:val="14"/>
                <w:b w:val="1"/>
                <w:bCs w:val="1"/>
                <w:color w:val="auto"/>
                <w:w w:val="87"/>
              </w:rPr>
              <w:t>Securities to be Registered</w:t>
            </w:r>
          </w:p>
        </w:tc>
        <w:tc>
          <w:tcPr>
            <w:tcW w:w="1420" w:type="dxa"/>
            <w:vAlign w:val="bottom"/>
            <w:tcBorders>
              <w:bottom w:val="single" w:sz="8" w:color="auto"/>
              <w:right w:val="single" w:sz="8" w:color="auto"/>
            </w:tcBorders>
          </w:tcPr>
          <w:p>
            <w:pPr>
              <w:jc w:val="right"/>
              <w:ind w:right="270"/>
              <w:spacing w:after="0" w:line="224" w:lineRule="exact"/>
              <w:rPr>
                <w:sz w:val="20"/>
                <w:szCs w:val="20"/>
                <w:color w:val="auto"/>
              </w:rPr>
            </w:pPr>
            <w:r>
              <w:rPr>
                <w:rFonts w:ascii="Arial" w:cs="Arial" w:eastAsia="Arial" w:hAnsi="Arial"/>
                <w:sz w:val="14"/>
                <w:szCs w:val="14"/>
                <w:b w:val="1"/>
                <w:bCs w:val="1"/>
                <w:color w:val="auto"/>
              </w:rPr>
              <w:t>Registered</w:t>
            </w:r>
            <w:r>
              <w:rPr>
                <w:rFonts w:ascii="Arial" w:cs="Arial" w:eastAsia="Arial" w:hAnsi="Arial"/>
                <w:sz w:val="23"/>
                <w:szCs w:val="23"/>
                <w:b w:val="1"/>
                <w:bCs w:val="1"/>
                <w:color w:val="auto"/>
                <w:vertAlign w:val="superscript"/>
              </w:rPr>
              <w:t>(1)</w:t>
            </w:r>
          </w:p>
        </w:tc>
        <w:tc>
          <w:tcPr>
            <w:tcW w:w="1400" w:type="dxa"/>
            <w:vAlign w:val="bottom"/>
            <w:tcBorders>
              <w:bottom w:val="single" w:sz="8" w:color="auto"/>
              <w:right w:val="single" w:sz="8" w:color="auto"/>
            </w:tcBorders>
          </w:tcPr>
          <w:p>
            <w:pPr>
              <w:jc w:val="center"/>
              <w:spacing w:after="0" w:line="224" w:lineRule="exact"/>
              <w:rPr>
                <w:sz w:val="20"/>
                <w:szCs w:val="20"/>
                <w:color w:val="auto"/>
              </w:rPr>
            </w:pPr>
            <w:r>
              <w:rPr>
                <w:rFonts w:ascii="Arial" w:cs="Arial" w:eastAsia="Arial" w:hAnsi="Arial"/>
                <w:sz w:val="14"/>
                <w:szCs w:val="14"/>
                <w:b w:val="1"/>
                <w:bCs w:val="1"/>
                <w:color w:val="auto"/>
                <w:w w:val="89"/>
              </w:rPr>
              <w:t>Offering Price</w:t>
            </w:r>
            <w:r>
              <w:rPr>
                <w:rFonts w:ascii="Arial" w:cs="Arial" w:eastAsia="Arial" w:hAnsi="Arial"/>
                <w:sz w:val="23"/>
                <w:szCs w:val="23"/>
                <w:b w:val="1"/>
                <w:bCs w:val="1"/>
                <w:color w:val="auto"/>
                <w:w w:val="89"/>
                <w:vertAlign w:val="superscript"/>
              </w:rPr>
              <w:t>(2)</w:t>
            </w:r>
          </w:p>
        </w:tc>
        <w:tc>
          <w:tcPr>
            <w:tcW w:w="1380" w:type="dxa"/>
            <w:vAlign w:val="bottom"/>
            <w:tcBorders>
              <w:bottom w:val="single" w:sz="8" w:color="auto"/>
              <w:right w:val="single" w:sz="8" w:color="auto"/>
            </w:tcBorders>
          </w:tcPr>
          <w:p>
            <w:pPr>
              <w:jc w:val="center"/>
              <w:spacing w:after="0" w:line="224" w:lineRule="exact"/>
              <w:rPr>
                <w:sz w:val="20"/>
                <w:szCs w:val="20"/>
                <w:color w:val="auto"/>
              </w:rPr>
            </w:pPr>
            <w:r>
              <w:rPr>
                <w:rFonts w:ascii="Arial" w:cs="Arial" w:eastAsia="Arial" w:hAnsi="Arial"/>
                <w:sz w:val="25"/>
                <w:szCs w:val="25"/>
                <w:b w:val="1"/>
                <w:bCs w:val="1"/>
                <w:color w:val="auto"/>
                <w:w w:val="85"/>
                <w:vertAlign w:val="subscript"/>
              </w:rPr>
              <w:t>Price</w:t>
            </w:r>
            <w:r>
              <w:rPr>
                <w:rFonts w:ascii="Arial" w:cs="Arial" w:eastAsia="Arial" w:hAnsi="Arial"/>
                <w:sz w:val="11"/>
                <w:szCs w:val="11"/>
                <w:b w:val="1"/>
                <w:bCs w:val="1"/>
                <w:color w:val="auto"/>
                <w:w w:val="85"/>
              </w:rPr>
              <w:t>(1)(2)</w:t>
            </w:r>
          </w:p>
        </w:tc>
        <w:tc>
          <w:tcPr>
            <w:tcW w:w="132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23"/>
                <w:szCs w:val="23"/>
                <w:b w:val="1"/>
                <w:bCs w:val="1"/>
                <w:color w:val="auto"/>
                <w:w w:val="87"/>
                <w:vertAlign w:val="superscript"/>
              </w:rPr>
              <w:t>(3)</w:t>
            </w:r>
          </w:p>
        </w:tc>
      </w:tr>
      <w:tr>
        <w:trPr>
          <w:trHeight w:val="211"/>
        </w:trPr>
        <w:tc>
          <w:tcPr>
            <w:tcW w:w="42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Common Stock, $0.01 par value per share</w:t>
            </w: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right"/>
              <w:ind w:right="814"/>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30"/>
              <w:spacing w:after="0"/>
              <w:rPr>
                <w:sz w:val="20"/>
                <w:szCs w:val="20"/>
                <w:color w:val="auto"/>
              </w:rPr>
            </w:pPr>
            <w:r>
              <w:rPr>
                <w:rFonts w:ascii="Arial" w:cs="Arial" w:eastAsia="Arial" w:hAnsi="Arial"/>
                <w:sz w:val="14"/>
                <w:szCs w:val="14"/>
                <w:color w:val="auto"/>
              </w:rPr>
              <w:t>$</w:t>
            </w:r>
          </w:p>
        </w:tc>
      </w:tr>
      <w:tr>
        <w:trPr>
          <w:trHeight w:val="39"/>
        </w:trPr>
        <w:tc>
          <w:tcPr>
            <w:tcW w:w="980" w:type="dxa"/>
            <w:vAlign w:val="bottom"/>
            <w:tcBorders>
              <w:bottom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48"/>
        </w:trPr>
        <w:tc>
          <w:tcPr>
            <w:tcW w:w="980" w:type="dxa"/>
            <w:vAlign w:val="bottom"/>
            <w:tcBorders>
              <w:bottom w:val="single" w:sz="8" w:color="auto"/>
            </w:tcBorders>
          </w:tcPr>
          <w:p>
            <w:pPr>
              <w:spacing w:after="0"/>
              <w:rPr>
                <w:sz w:val="4"/>
                <w:szCs w:val="4"/>
                <w:color w:val="auto"/>
              </w:rPr>
            </w:pPr>
          </w:p>
        </w:tc>
        <w:tc>
          <w:tcPr>
            <w:tcW w:w="7420" w:type="dxa"/>
            <w:vAlign w:val="bottom"/>
            <w:tcBorders>
              <w:bottom w:val="single" w:sz="8" w:color="auto"/>
            </w:tcBorders>
            <w:gridSpan w:val="4"/>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0"/>
        </w:trPr>
        <w:tc>
          <w:tcPr>
            <w:tcW w:w="980" w:type="dxa"/>
            <w:vAlign w:val="bottom"/>
          </w:tcPr>
          <w:p>
            <w:pPr>
              <w:spacing w:after="0"/>
              <w:rPr>
                <w:sz w:val="20"/>
                <w:szCs w:val="20"/>
                <w:color w:val="auto"/>
              </w:rPr>
            </w:pPr>
            <w:r>
              <w:rPr>
                <w:rFonts w:ascii="Arial" w:cs="Arial" w:eastAsia="Arial" w:hAnsi="Arial"/>
                <w:sz w:val="13"/>
                <w:szCs w:val="13"/>
                <w:color w:val="auto"/>
              </w:rPr>
              <w:t>(1)   Includes</w:t>
            </w:r>
          </w:p>
        </w:tc>
        <w:tc>
          <w:tcPr>
            <w:tcW w:w="7420" w:type="dxa"/>
            <w:vAlign w:val="bottom"/>
            <w:gridSpan w:val="4"/>
          </w:tcPr>
          <w:p>
            <w:pPr>
              <w:jc w:val="right"/>
              <w:ind w:right="1214"/>
              <w:spacing w:after="0"/>
              <w:rPr>
                <w:sz w:val="20"/>
                <w:szCs w:val="20"/>
                <w:color w:val="auto"/>
              </w:rPr>
            </w:pPr>
            <w:r>
              <w:rPr>
                <w:rFonts w:ascii="Arial" w:cs="Arial" w:eastAsia="Arial" w:hAnsi="Arial"/>
                <w:sz w:val="13"/>
                <w:szCs w:val="13"/>
                <w:color w:val="auto"/>
                <w:w w:val="91"/>
              </w:rPr>
              <w:t>shares of common stock that the underwriters have the option to purchase. See “Underwriting (Conflicts of Interest).”</w:t>
            </w:r>
          </w:p>
        </w:tc>
        <w:tc>
          <w:tcPr>
            <w:tcW w:w="1320" w:type="dxa"/>
            <w:vAlign w:val="bottom"/>
          </w:tcPr>
          <w:p>
            <w:pPr>
              <w:spacing w:after="0"/>
              <w:rPr>
                <w:sz w:val="15"/>
                <w:szCs w:val="15"/>
                <w:color w:val="auto"/>
              </w:rPr>
            </w:pPr>
          </w:p>
        </w:tc>
      </w:tr>
    </w:tbl>
    <w:p>
      <w:pPr>
        <w:spacing w:after="0" w:line="1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determining the amount of the registration fee in accordance with Rule 457(c) under the Securities Act of 1933, as amended. The proposed maximum</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8100" w:type="dxa"/>
            <w:vAlign w:val="bottom"/>
          </w:tcPr>
          <w:p>
            <w:pPr>
              <w:ind w:left="100"/>
              <w:spacing w:after="0"/>
              <w:rPr>
                <w:sz w:val="20"/>
                <w:szCs w:val="20"/>
                <w:color w:val="auto"/>
              </w:rPr>
            </w:pPr>
            <w:r>
              <w:rPr>
                <w:rFonts w:ascii="Arial" w:cs="Arial" w:eastAsia="Arial" w:hAnsi="Arial"/>
                <w:sz w:val="13"/>
                <w:szCs w:val="13"/>
                <w:color w:val="auto"/>
                <w:w w:val="89"/>
              </w:rPr>
              <w:t>offering price per share and proposed maximum aggregate offering price are based on the average high and low prices of the registrant’s common stock on</w:t>
            </w:r>
          </w:p>
        </w:tc>
        <w:tc>
          <w:tcPr>
            <w:tcW w:w="1260" w:type="dxa"/>
            <w:vAlign w:val="bottom"/>
          </w:tcPr>
          <w:p>
            <w:pPr>
              <w:ind w:left="200"/>
              <w:spacing w:after="0"/>
              <w:rPr>
                <w:sz w:val="20"/>
                <w:szCs w:val="20"/>
                <w:color w:val="auto"/>
              </w:rPr>
            </w:pPr>
            <w:r>
              <w:rPr>
                <w:rFonts w:ascii="Arial" w:cs="Arial" w:eastAsia="Arial" w:hAnsi="Arial"/>
                <w:sz w:val="13"/>
                <w:szCs w:val="13"/>
                <w:color w:val="auto"/>
                <w:w w:val="84"/>
              </w:rPr>
              <w:t>, 2021 as reported on</w:t>
            </w:r>
          </w:p>
        </w:tc>
      </w:tr>
      <w:tr>
        <w:trPr>
          <w:trHeight w:val="160"/>
        </w:trPr>
        <w:tc>
          <w:tcPr>
            <w:tcW w:w="26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3"/>
                <w:szCs w:val="13"/>
                <w:color w:val="auto"/>
              </w:rPr>
              <w:t>the NASDAQ Global Select Market.</w:t>
            </w:r>
          </w:p>
        </w:tc>
        <w:tc>
          <w:tcPr>
            <w:tcW w:w="1260" w:type="dxa"/>
            <w:vAlign w:val="bottom"/>
          </w:tcPr>
          <w:p>
            <w:pPr>
              <w:spacing w:after="0"/>
              <w:rPr>
                <w:sz w:val="13"/>
                <w:szCs w:val="13"/>
                <w:color w:val="auto"/>
              </w:rPr>
            </w:pPr>
          </w:p>
        </w:tc>
      </w:tr>
      <w:tr>
        <w:trPr>
          <w:trHeight w:val="162"/>
        </w:trPr>
        <w:tc>
          <w:tcPr>
            <w:tcW w:w="260" w:type="dxa"/>
            <w:vAlign w:val="bottom"/>
          </w:tcPr>
          <w:p>
            <w:pPr>
              <w:jc w:val="right"/>
              <w:ind w:right="37"/>
              <w:spacing w:after="0"/>
              <w:rPr>
                <w:sz w:val="20"/>
                <w:szCs w:val="20"/>
                <w:color w:val="auto"/>
              </w:rPr>
            </w:pPr>
            <w:r>
              <w:rPr>
                <w:rFonts w:ascii="Arial" w:cs="Arial" w:eastAsia="Arial" w:hAnsi="Arial"/>
                <w:sz w:val="13"/>
                <w:szCs w:val="13"/>
                <w:color w:val="auto"/>
                <w:w w:val="87"/>
              </w:rPr>
              <w:t>(3)</w:t>
            </w:r>
          </w:p>
        </w:tc>
        <w:tc>
          <w:tcPr>
            <w:tcW w:w="8100" w:type="dxa"/>
            <w:vAlign w:val="bottom"/>
          </w:tcPr>
          <w:p>
            <w:pPr>
              <w:ind w:left="100"/>
              <w:spacing w:after="0"/>
              <w:rPr>
                <w:sz w:val="20"/>
                <w:szCs w:val="20"/>
                <w:color w:val="auto"/>
              </w:rPr>
            </w:pPr>
            <w:r>
              <w:rPr>
                <w:rFonts w:ascii="Arial" w:cs="Arial" w:eastAsia="Arial" w:hAnsi="Arial"/>
                <w:sz w:val="13"/>
                <w:szCs w:val="13"/>
                <w:color w:val="auto"/>
              </w:rPr>
              <w:t>To be paid in connection with the initial filing of the registration statement.</w:t>
            </w:r>
          </w:p>
        </w:tc>
        <w:tc>
          <w:tcPr>
            <w:tcW w:w="12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27305</wp:posOffset>
            </wp:positionV>
            <wp:extent cx="1097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57" w:lineRule="exact"/>
        <w:rPr>
          <w:sz w:val="24"/>
          <w:szCs w:val="24"/>
          <w:color w:val="auto"/>
        </w:rPr>
      </w:pPr>
    </w:p>
    <w:p>
      <w:pPr>
        <w:ind w:right="60" w:firstLine="36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325120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128270</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187960</wp:posOffset>
            </wp:positionV>
            <wp:extent cx="61722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840" w:right="1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1" w:lineRule="exact"/>
        <w:rPr>
          <w:sz w:val="20"/>
          <w:szCs w:val="20"/>
          <w:color w:val="auto"/>
        </w:rPr>
      </w:pPr>
    </w:p>
    <w:p>
      <w:pPr>
        <w:ind w:left="760" w:right="439"/>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181" w:lineRule="exact"/>
        <w:rPr>
          <w:sz w:val="20"/>
          <w:szCs w:val="20"/>
          <w:color w:val="auto"/>
        </w:rPr>
      </w:pPr>
    </w:p>
    <w:tbl>
      <w:tblPr>
        <w:tblLayout w:type="fixed"/>
        <w:tblInd w:w="326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FC0014"/>
                <w:w w:val="99"/>
              </w:rPr>
              <w:t>Subject to completion, dated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FC0014"/>
              </w:rPr>
              <w:t>, 2021</w:t>
            </w:r>
          </w:p>
        </w:tc>
      </w:tr>
    </w:tbl>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Preliminary Prospectus</w:t>
      </w:r>
    </w:p>
    <w:p>
      <w:pPr>
        <w:spacing w:after="0" w:line="355" w:lineRule="exact"/>
        <w:rPr>
          <w:sz w:val="20"/>
          <w:szCs w:val="20"/>
          <w:color w:val="auto"/>
        </w:rPr>
      </w:pPr>
    </w:p>
    <w:p>
      <w:pPr>
        <w:ind w:left="504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174625</wp:posOffset>
            </wp:positionV>
            <wp:extent cx="166306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80"/>
        <w:spacing w:after="0"/>
        <w:rPr>
          <w:sz w:val="20"/>
          <w:szCs w:val="20"/>
          <w:color w:val="auto"/>
        </w:rPr>
      </w:pPr>
      <w:r>
        <w:rPr>
          <w:rFonts w:ascii="Arial" w:cs="Arial" w:eastAsia="Arial" w:hAnsi="Arial"/>
          <w:sz w:val="27"/>
          <w:szCs w:val="27"/>
          <w:b w:val="1"/>
          <w:bCs w:val="1"/>
          <w:color w:val="auto"/>
        </w:rPr>
        <w:t>Academy Sports and Outdoors, Inc.</w:t>
      </w:r>
    </w:p>
    <w:p>
      <w:pPr>
        <w:spacing w:after="0" w:line="311" w:lineRule="exact"/>
        <w:rPr>
          <w:sz w:val="20"/>
          <w:szCs w:val="20"/>
          <w:color w:val="auto"/>
        </w:rPr>
      </w:pPr>
    </w:p>
    <w:p>
      <w:pPr>
        <w:jc w:val="center"/>
        <w:ind w:right="-340"/>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172085</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8" w:lineRule="exact"/>
        <w:rPr>
          <w:sz w:val="20"/>
          <w:szCs w:val="20"/>
          <w:color w:val="auto"/>
        </w:rPr>
      </w:pPr>
    </w:p>
    <w:p>
      <w:pPr>
        <w:ind w:left="760" w:right="559" w:firstLine="360"/>
        <w:spacing w:after="0" w:line="263" w:lineRule="auto"/>
        <w:rPr>
          <w:sz w:val="20"/>
          <w:szCs w:val="20"/>
          <w:color w:val="auto"/>
        </w:rPr>
      </w:pPr>
      <w:r>
        <w:rPr>
          <w:rFonts w:ascii="Arial" w:cs="Arial" w:eastAsia="Arial" w:hAnsi="Arial"/>
          <w:sz w:val="18"/>
          <w:szCs w:val="18"/>
          <w:color w:val="auto"/>
        </w:rPr>
        <w:t>The selling stockholders named in this prospectus are offering shares of common stock of Academy Sports and Outdoors, Inc. We will not receive any proceeds from the sale of our common stock by the selling stockholders.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Our common stock is listed on the Nasdaq Global Select Market, or Nasdaq, under the symbol “ASO.” On</w:t>
      </w:r>
    </w:p>
    <w:p>
      <w:pPr>
        <w:spacing w:after="0" w:line="46" w:lineRule="exact"/>
        <w:rPr>
          <w:sz w:val="20"/>
          <w:szCs w:val="20"/>
          <w:color w:val="auto"/>
        </w:rPr>
      </w:pPr>
    </w:p>
    <w:p>
      <w:pPr>
        <w:ind w:left="1300"/>
        <w:spacing w:after="0"/>
        <w:tabs>
          <w:tab w:leader="none" w:pos="7940" w:val="left"/>
        </w:tabs>
        <w:rPr>
          <w:sz w:val="20"/>
          <w:szCs w:val="20"/>
          <w:color w:val="auto"/>
        </w:rPr>
      </w:pPr>
      <w:r>
        <w:rPr>
          <w:rFonts w:ascii="Arial" w:cs="Arial" w:eastAsia="Arial" w:hAnsi="Arial"/>
          <w:sz w:val="18"/>
          <w:szCs w:val="18"/>
          <w:color w:val="auto"/>
        </w:rPr>
        <w:t>, 2021, the closing sales price of our common stock as reported on the Nasdaq was $</w:t>
      </w:r>
      <w:r>
        <w:rPr>
          <w:sz w:val="20"/>
          <w:szCs w:val="20"/>
          <w:color w:val="auto"/>
        </w:rPr>
        <w:tab/>
      </w:r>
      <w:r>
        <w:rPr>
          <w:rFonts w:ascii="Arial" w:cs="Arial" w:eastAsia="Arial" w:hAnsi="Arial"/>
          <w:sz w:val="15"/>
          <w:szCs w:val="15"/>
          <w:color w:val="auto"/>
        </w:rPr>
        <w:t>per share.</w:t>
      </w:r>
    </w:p>
    <w:p>
      <w:pPr>
        <w:spacing w:after="0" w:line="211" w:lineRule="exact"/>
        <w:rPr>
          <w:sz w:val="20"/>
          <w:szCs w:val="20"/>
          <w:color w:val="auto"/>
        </w:rPr>
      </w:pPr>
    </w:p>
    <w:p>
      <w:pPr>
        <w:jc w:val="right"/>
        <w:ind w:right="419"/>
        <w:spacing w:after="0"/>
        <w:tabs>
          <w:tab w:leader="none" w:pos="3660" w:val="left"/>
        </w:tabs>
        <w:rPr>
          <w:sz w:val="20"/>
          <w:szCs w:val="20"/>
          <w:color w:val="auto"/>
        </w:rPr>
      </w:pPr>
      <w:r>
        <w:rPr>
          <w:rFonts w:ascii="Arial" w:cs="Arial" w:eastAsia="Arial" w:hAnsi="Arial"/>
          <w:sz w:val="18"/>
          <w:szCs w:val="18"/>
          <w:color w:val="auto"/>
        </w:rPr>
        <w:t>To the extent that the underwriters sell more than</w:t>
      </w:r>
      <w:r>
        <w:rPr>
          <w:sz w:val="20"/>
          <w:szCs w:val="20"/>
          <w:color w:val="auto"/>
        </w:rPr>
        <w:tab/>
      </w:r>
      <w:r>
        <w:rPr>
          <w:rFonts w:ascii="Arial" w:cs="Arial" w:eastAsia="Arial" w:hAnsi="Arial"/>
          <w:sz w:val="16"/>
          <w:szCs w:val="16"/>
          <w:color w:val="auto"/>
        </w:rPr>
        <w:t>shares of our common stock, the underwriters have</w:t>
      </w:r>
    </w:p>
    <w:p>
      <w:pPr>
        <w:spacing w:after="0" w:line="23" w:lineRule="exact"/>
        <w:rPr>
          <w:sz w:val="20"/>
          <w:szCs w:val="20"/>
          <w:color w:val="auto"/>
        </w:rPr>
      </w:pPr>
    </w:p>
    <w:p>
      <w:pPr>
        <w:ind w:left="760"/>
        <w:spacing w:after="0"/>
        <w:tabs>
          <w:tab w:leader="none" w:pos="4360" w:val="left"/>
        </w:tabs>
        <w:rPr>
          <w:sz w:val="20"/>
          <w:szCs w:val="20"/>
          <w:color w:val="auto"/>
        </w:rPr>
      </w:pPr>
      <w:r>
        <w:rPr>
          <w:rFonts w:ascii="Arial" w:cs="Arial" w:eastAsia="Arial" w:hAnsi="Arial"/>
          <w:sz w:val="18"/>
          <w:szCs w:val="18"/>
          <w:color w:val="auto"/>
        </w:rPr>
        <w:t>the option to purchase up to an additional</w:t>
      </w:r>
      <w:r>
        <w:rPr>
          <w:sz w:val="20"/>
          <w:szCs w:val="20"/>
          <w:color w:val="auto"/>
        </w:rPr>
        <w:tab/>
      </w:r>
      <w:r>
        <w:rPr>
          <w:rFonts w:ascii="Arial" w:cs="Arial" w:eastAsia="Arial" w:hAnsi="Arial"/>
          <w:sz w:val="16"/>
          <w:szCs w:val="16"/>
          <w:color w:val="auto"/>
        </w:rPr>
        <w:t>shares from the selling stockholders at the public offering price,</w:t>
      </w:r>
    </w:p>
    <w:p>
      <w:pPr>
        <w:spacing w:after="0" w:line="9" w:lineRule="exact"/>
        <w:rPr>
          <w:sz w:val="20"/>
          <w:szCs w:val="20"/>
          <w:color w:val="auto"/>
        </w:rPr>
      </w:pPr>
    </w:p>
    <w:p>
      <w:pPr>
        <w:ind w:left="760" w:right="599"/>
        <w:spacing w:after="0" w:line="255" w:lineRule="auto"/>
        <w:rPr>
          <w:sz w:val="20"/>
          <w:szCs w:val="20"/>
          <w:color w:val="auto"/>
        </w:rPr>
      </w:pPr>
      <w:r>
        <w:rPr>
          <w:rFonts w:ascii="Arial" w:cs="Arial" w:eastAsia="Arial" w:hAnsi="Arial"/>
          <w:sz w:val="18"/>
          <w:szCs w:val="18"/>
          <w:color w:val="auto"/>
        </w:rPr>
        <w:t>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186" w:lineRule="exact"/>
        <w:rPr>
          <w:sz w:val="20"/>
          <w:szCs w:val="20"/>
          <w:color w:val="auto"/>
        </w:rPr>
      </w:pPr>
    </w:p>
    <w:p>
      <w:pPr>
        <w:ind w:left="760" w:right="51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risks. See “Risk Factors” beginning on page </w:t>
      </w:r>
      <w:hyperlink w:anchor="page26">
        <w:r>
          <w:rPr>
            <w:rFonts w:ascii="Arial" w:cs="Arial" w:eastAsia="Arial" w:hAnsi="Arial"/>
            <w:sz w:val="18"/>
            <w:szCs w:val="18"/>
            <w:b w:val="1"/>
            <w:bCs w:val="1"/>
            <w:u w:val="single" w:color="auto"/>
            <w:color w:val="0000EE"/>
          </w:rPr>
          <w:t>19</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to read about factors you should consider before buying shares of our common stock.</w:t>
      </w:r>
    </w:p>
    <w:p>
      <w:pPr>
        <w:spacing w:after="0" w:line="162" w:lineRule="exact"/>
        <w:rPr>
          <w:sz w:val="20"/>
          <w:szCs w:val="20"/>
          <w:color w:val="auto"/>
        </w:rPr>
      </w:pPr>
    </w:p>
    <w:p>
      <w:pPr>
        <w:ind w:left="760"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Underwriting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5"/>
        </w:trPr>
        <w:tc>
          <w:tcPr>
            <w:tcW w:w="50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Price to Public</w:t>
            </w:r>
          </w:p>
        </w:tc>
        <w:tc>
          <w:tcPr>
            <w:tcW w:w="12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Discounts and</w:t>
            </w:r>
          </w:p>
        </w:tc>
        <w:tc>
          <w:tcPr>
            <w:tcW w:w="80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the Selling</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00" w:type="dxa"/>
            <w:vAlign w:val="bottom"/>
            <w:gridSpan w:val="2"/>
          </w:tcPr>
          <w:p>
            <w:pPr>
              <w:jc w:val="center"/>
              <w:ind w:right="240"/>
              <w:spacing w:after="0" w:line="242" w:lineRule="exact"/>
              <w:rPr>
                <w:sz w:val="20"/>
                <w:szCs w:val="20"/>
                <w:color w:val="auto"/>
              </w:rPr>
            </w:pPr>
            <w:r>
              <w:rPr>
                <w:rFonts w:ascii="Arial" w:cs="Arial" w:eastAsia="Arial" w:hAnsi="Arial"/>
                <w:sz w:val="14"/>
                <w:szCs w:val="14"/>
                <w:b w:val="1"/>
                <w:bCs w:val="1"/>
                <w:color w:val="auto"/>
                <w:w w:val="86"/>
              </w:rPr>
              <w:t>Commissions</w:t>
            </w:r>
            <w:r>
              <w:rPr>
                <w:rFonts w:ascii="Arial" w:cs="Arial" w:eastAsia="Arial" w:hAnsi="Arial"/>
                <w:sz w:val="23"/>
                <w:szCs w:val="23"/>
                <w:b w:val="1"/>
                <w:bCs w:val="1"/>
                <w:color w:val="auto"/>
                <w:w w:val="86"/>
                <w:vertAlign w:val="superscript"/>
              </w:rPr>
              <w:t>(1)</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11"/>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92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6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-393700</wp:posOffset>
            </wp:positionV>
            <wp:extent cx="154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-393700</wp:posOffset>
            </wp:positionV>
            <wp:extent cx="154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-393700</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188595</wp:posOffset>
            </wp:positionV>
            <wp:extent cx="822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1120" w:hanging="360"/>
        <w:spacing w:after="0"/>
        <w:tabs>
          <w:tab w:leader="none" w:pos="1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35" w:lineRule="exact"/>
        <w:rPr>
          <w:sz w:val="20"/>
          <w:szCs w:val="20"/>
          <w:color w:val="auto"/>
        </w:rPr>
      </w:pPr>
    </w:p>
    <w:tbl>
      <w:tblPr>
        <w:tblLayout w:type="fixed"/>
        <w:tblInd w:w="228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on or about</w:t>
            </w:r>
          </w:p>
        </w:tc>
        <w:tc>
          <w:tcPr>
            <w:tcW w:w="8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40"/>
        <w:spacing w:after="0"/>
        <w:rPr>
          <w:sz w:val="20"/>
          <w:szCs w:val="20"/>
          <w:color w:val="auto"/>
        </w:rPr>
      </w:pPr>
      <w:r>
        <w:rPr>
          <w:rFonts w:ascii="Arial" w:cs="Arial" w:eastAsia="Arial" w:hAnsi="Arial"/>
          <w:sz w:val="32"/>
          <w:szCs w:val="32"/>
          <w:b w:val="1"/>
          <w:bCs w:val="1"/>
          <w:color w:val="auto"/>
        </w:rPr>
        <w:t>KKR</w:t>
      </w:r>
    </w:p>
    <w:p>
      <w:pPr>
        <w:sectPr>
          <w:pgSz w:w="11900" w:h="16838" w:orient="portrait"/>
          <w:cols w:equalWidth="0" w:num="1">
            <w:col w:w="9379"/>
          </w:cols>
          <w:pgMar w:left="1080" w:top="265" w:right="1440" w:bottom="7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180"/>
        <w:spacing w:after="0"/>
        <w:tabs>
          <w:tab w:leader="none" w:pos="604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794"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3"/>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1"/>
        </w:trPr>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120" w:type="dxa"/>
            <w:vAlign w:val="bottom"/>
            <w:gridSpan w:val="2"/>
            <w:shd w:val="clear" w:color="auto" w:fill="CCEEFF"/>
          </w:tcPr>
          <w:p>
            <w:pPr>
              <w:jc w:val="right"/>
              <w:ind w:right="2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Trademarks, Tradenames, Service Marks and Copyrights</w:t>
              </w:r>
            </w:hyperlink>
          </w:p>
        </w:tc>
        <w:tc>
          <w:tcPr>
            <w:tcW w:w="120" w:type="dxa"/>
            <w:vAlign w:val="bottom"/>
            <w:gridSpan w:val="2"/>
          </w:tcPr>
          <w:p>
            <w:pPr>
              <w:jc w:val="right"/>
              <w:ind w:right="2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Basis of Presentation</w:t>
              </w:r>
            </w:hyperlink>
          </w:p>
        </w:tc>
        <w:tc>
          <w:tcPr>
            <w:tcW w:w="120" w:type="dxa"/>
            <w:vAlign w:val="bottom"/>
            <w:gridSpan w:val="2"/>
            <w:shd w:val="clear" w:color="auto" w:fill="CCEEFF"/>
          </w:tcPr>
          <w:p>
            <w:pPr>
              <w:jc w:val="right"/>
              <w:ind w:right="20"/>
              <w:spacing w:after="0"/>
              <w:rPr>
                <w:rFonts w:ascii="Arial" w:cs="Arial" w:eastAsia="Arial" w:hAnsi="Arial"/>
                <w:sz w:val="17"/>
                <w:szCs w:val="17"/>
                <w:color w:val="0000EE"/>
                <w:w w:val="70"/>
              </w:rPr>
            </w:pPr>
            <w:hyperlink w:anchor="page5">
              <w:r>
                <w:rPr>
                  <w:rFonts w:ascii="Arial" w:cs="Arial" w:eastAsia="Arial" w:hAnsi="Arial"/>
                  <w:sz w:val="17"/>
                  <w:szCs w:val="17"/>
                  <w:color w:val="0000EE"/>
                  <w:w w:val="70"/>
                </w:rPr>
                <w:t>iii</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Non-GAAP Financial Measures</w:t>
              </w:r>
            </w:hyperlink>
          </w:p>
        </w:tc>
        <w:tc>
          <w:tcPr>
            <w:tcW w:w="120" w:type="dxa"/>
            <w:vAlign w:val="bottom"/>
            <w:gridSpan w:val="2"/>
          </w:tcPr>
          <w:p>
            <w:pPr>
              <w:jc w:val="right"/>
              <w:ind w:right="20"/>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v</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100" w:type="dxa"/>
            <w:vAlign w:val="bottom"/>
            <w:shd w:val="clear" w:color="auto" w:fill="CCEEFF"/>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26">
              <w:r>
                <w:rPr>
                  <w:rFonts w:ascii="Arial" w:cs="Arial" w:eastAsia="Arial" w:hAnsi="Arial"/>
                  <w:sz w:val="10"/>
                  <w:szCs w:val="10"/>
                  <w:color w:val="0000EE"/>
                  <w:w w:val="71"/>
                </w:rPr>
                <w:t>19</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Forward-Looking Statements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2">
              <w:r>
                <w:rPr>
                  <w:rFonts w:ascii="Arial" w:cs="Arial" w:eastAsia="Arial" w:hAnsi="Arial"/>
                  <w:sz w:val="10"/>
                  <w:szCs w:val="10"/>
                  <w:color w:val="0000EE"/>
                  <w:w w:val="71"/>
                </w:rPr>
                <w:t>25</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27</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Dividend Policy</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28</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Selling Stockholders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6">
              <w:r>
                <w:rPr>
                  <w:rFonts w:ascii="Arial" w:cs="Arial" w:eastAsia="Arial" w:hAnsi="Arial"/>
                  <w:sz w:val="10"/>
                  <w:szCs w:val="10"/>
                  <w:color w:val="0000EE"/>
                  <w:w w:val="71"/>
                </w:rPr>
                <w:t>29</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Description of Capital Stock</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30</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Shares Eligible for Future Sale</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4">
              <w:r>
                <w:rPr>
                  <w:rFonts w:ascii="Arial" w:cs="Arial" w:eastAsia="Arial" w:hAnsi="Arial"/>
                  <w:sz w:val="10"/>
                  <w:szCs w:val="10"/>
                  <w:color w:val="0000EE"/>
                  <w:w w:val="71"/>
                </w:rPr>
                <w:t>37</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Material U.S. Federal Income and Estate Tax Consequences to Non-U.S. Holders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46">
              <w:r>
                <w:rPr>
                  <w:rFonts w:ascii="Arial" w:cs="Arial" w:eastAsia="Arial" w:hAnsi="Arial"/>
                  <w:sz w:val="10"/>
                  <w:szCs w:val="10"/>
                  <w:color w:val="0000EE"/>
                  <w:w w:val="71"/>
                </w:rPr>
                <w:t>39</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Underwriting (Conflicts of Interest)</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42</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47</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47</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8"/>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47</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980" w:type="dxa"/>
            <w:vAlign w:val="bottom"/>
            <w:gridSpan w:val="9"/>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Incorporation by Reference</w:t>
              </w:r>
            </w:hyperlink>
          </w:p>
        </w:tc>
        <w:tc>
          <w:tcPr>
            <w:tcW w:w="6320" w:type="dxa"/>
            <w:vAlign w:val="bottom"/>
            <w:gridSpan w:val="9"/>
          </w:tcPr>
          <w:p>
            <w:pPr>
              <w:spacing w:after="0"/>
              <w:rPr>
                <w:sz w:val="19"/>
                <w:szCs w:val="19"/>
                <w:color w:val="auto"/>
              </w:rPr>
            </w:pPr>
          </w:p>
        </w:tc>
        <w:tc>
          <w:tcPr>
            <w:tcW w:w="120" w:type="dxa"/>
            <w:vAlign w:val="bottom"/>
            <w:gridSpan w:val="2"/>
          </w:tcPr>
          <w:p>
            <w:pPr>
              <w:jc w:val="right"/>
              <w:ind w:right="20"/>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47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205740</wp:posOffset>
            </wp:positionV>
            <wp:extent cx="10972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79" w:firstLine="360"/>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or in any free writing prospectus we may authorize to be delivered or made available to you. None of us, the selling stockholders or the underwriters have authorized anyone to provide you with different information. The information contained, or incorporated by reference, in this prospectus or any free writing prospectus prepared by us or on our behalf is accurate only as of their respective dates, regardless of the time of delivery of this prospectus, or any free writing prospectus, as the case may be, or any sale of shares of our common stock.</w:t>
      </w:r>
    </w:p>
    <w:p>
      <w:pPr>
        <w:spacing w:after="0" w:line="70" w:lineRule="exact"/>
        <w:rPr>
          <w:sz w:val="20"/>
          <w:szCs w:val="20"/>
          <w:color w:val="auto"/>
        </w:rPr>
      </w:pPr>
    </w:p>
    <w:p>
      <w:pPr>
        <w:ind w:left="660" w:right="299" w:firstLine="360"/>
        <w:spacing w:after="0" w:line="254" w:lineRule="auto"/>
        <w:rPr>
          <w:sz w:val="20"/>
          <w:szCs w:val="20"/>
          <w:color w:val="auto"/>
        </w:rPr>
      </w:pPr>
      <w:r>
        <w:rPr>
          <w:rFonts w:ascii="Arial" w:cs="Arial" w:eastAsia="Arial" w:hAnsi="Arial"/>
          <w:sz w:val="18"/>
          <w:szCs w:val="18"/>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660" w:right="299" w:firstLine="360"/>
        <w:spacing w:after="0" w:line="285" w:lineRule="auto"/>
        <w:rPr>
          <w:sz w:val="20"/>
          <w:szCs w:val="20"/>
          <w:color w:val="auto"/>
        </w:rPr>
      </w:pPr>
      <w:r>
        <w:rPr>
          <w:rFonts w:ascii="Arial" w:cs="Arial" w:eastAsia="Arial" w:hAnsi="Arial"/>
          <w:sz w:val="16"/>
          <w:szCs w:val="16"/>
          <w:color w:val="auto"/>
        </w:rPr>
        <w:t>Within this prospectus and the documents incorporated by reference herein,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or incorporated by reference,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in this prospectus and “Risk Factors” in our Annual Report (as defined herein) incorporated by reference in this prospectus.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200" w:lineRule="exact"/>
        <w:rPr>
          <w:sz w:val="20"/>
          <w:szCs w:val="20"/>
          <w:color w:val="auto"/>
        </w:rPr>
      </w:pPr>
    </w:p>
    <w:p>
      <w:pPr>
        <w:spacing w:after="0" w:line="34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TRADEMARKS, TRADENAMES, SERVICE MARKS AND COPYRIGHTS</w:t>
      </w:r>
    </w:p>
    <w:p>
      <w:pPr>
        <w:spacing w:after="0" w:line="121" w:lineRule="exact"/>
        <w:rPr>
          <w:sz w:val="20"/>
          <w:szCs w:val="20"/>
          <w:color w:val="auto"/>
        </w:rPr>
      </w:pPr>
    </w:p>
    <w:p>
      <w:pPr>
        <w:ind w:left="660" w:right="319" w:firstLine="360"/>
        <w:spacing w:after="0" w:line="287" w:lineRule="auto"/>
        <w:rPr>
          <w:sz w:val="20"/>
          <w:szCs w:val="20"/>
          <w:color w:val="auto"/>
        </w:rPr>
      </w:pPr>
      <w:r>
        <w:rPr>
          <w:rFonts w:ascii="Arial" w:cs="Arial" w:eastAsia="Arial" w:hAnsi="Arial"/>
          <w:sz w:val="16"/>
          <w:szCs w:val="16"/>
          <w:color w:val="auto"/>
        </w:rPr>
        <w:t>We own and license a number of registered and common law trademarks and pending applications for trademark registrations in the United States, primarily through our subsidiaries, including, for example: Academy Sports + Outdoors®, Magellan Outdoors®, BCG®, O’rageous® and Outdoor Gourmet®. Unless otherwise indicated, all trademarks appearing in this prospectus are proprietary to us, our affiliates and/or licensors. This prospectus and the documents incorporated by reference herein also contain trademarks, tradenames, service marks and copyrights of other companies, which are the property of their respective owners. Solely for convenience, certain trademarks, tradenames, service marks and copyrights referred to in this prospectus (or in documents incorporated by reference herein) may appear without the ©, ® and ™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6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BASIS OF PRESENTATION</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117" w:lineRule="exact"/>
        <w:rPr>
          <w:sz w:val="20"/>
          <w:szCs w:val="20"/>
          <w:color w:val="auto"/>
        </w:rPr>
      </w:pPr>
    </w:p>
    <w:p>
      <w:pPr>
        <w:ind w:left="1360" w:right="339" w:hanging="348"/>
        <w:spacing w:after="0" w:line="263"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“2015 Term Loan Facility” means our senior secured term loans facility due July 2, 2022, which was repaid in full on November 6, 2020 with the net proceeds from the 2027 Notes and the Term Loan Facility, together with cash on hand;</w:t>
      </w:r>
    </w:p>
    <w:p>
      <w:pPr>
        <w:spacing w:after="0" w:line="75" w:lineRule="exact"/>
        <w:rPr>
          <w:rFonts w:ascii="Arial" w:cs="Arial" w:eastAsia="Arial" w:hAnsi="Arial"/>
          <w:sz w:val="18"/>
          <w:szCs w:val="18"/>
          <w:color w:val="auto"/>
        </w:rPr>
      </w:pPr>
    </w:p>
    <w:p>
      <w:pPr>
        <w:ind w:left="1360" w:right="479" w:hanging="348"/>
        <w:spacing w:after="0" w:line="342" w:lineRule="auto"/>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“2027 Notes” means our 6.00% senior secured notes due November 15, 2027,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360" w:right="479" w:hanging="348"/>
        <w:spacing w:after="0" w:line="342" w:lineRule="auto"/>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“ABL Facility” means our senior secured asset-based revolving credit facility,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360" w:right="559" w:hanging="348"/>
        <w:spacing w:after="0" w:line="275" w:lineRule="auto"/>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w:t>
      </w:r>
    </w:p>
    <w:p>
      <w:pPr>
        <w:spacing w:after="0" w:line="68" w:lineRule="exact"/>
        <w:rPr>
          <w:rFonts w:ascii="Arial" w:cs="Arial" w:eastAsia="Arial" w:hAnsi="Arial"/>
          <w:sz w:val="17"/>
          <w:szCs w:val="17"/>
          <w:color w:val="auto"/>
        </w:rPr>
      </w:pPr>
    </w:p>
    <w:p>
      <w:pPr>
        <w:ind w:left="1360" w:hanging="348"/>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“Adviser” means Kohlberg Kravis Roberts &amp; Co. L.P.;</w:t>
      </w:r>
    </w:p>
    <w:p>
      <w:pPr>
        <w:spacing w:after="0" w:line="117" w:lineRule="exact"/>
        <w:rPr>
          <w:rFonts w:ascii="Arial" w:cs="Arial" w:eastAsia="Arial" w:hAnsi="Arial"/>
          <w:sz w:val="18"/>
          <w:szCs w:val="18"/>
          <w:color w:val="auto"/>
        </w:rPr>
      </w:pPr>
    </w:p>
    <w:p>
      <w:pPr>
        <w:ind w:left="1360" w:right="339" w:hanging="348"/>
        <w:spacing w:after="0" w:line="277"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January 30, 2021, filed on April 7, 2021;</w:t>
      </w:r>
    </w:p>
    <w:p>
      <w:pPr>
        <w:spacing w:after="0" w:line="62" w:lineRule="exact"/>
        <w:rPr>
          <w:rFonts w:ascii="Arial" w:cs="Arial" w:eastAsia="Arial" w:hAnsi="Arial"/>
          <w:sz w:val="18"/>
          <w:szCs w:val="18"/>
          <w:color w:val="auto"/>
        </w:rPr>
      </w:pPr>
    </w:p>
    <w:p>
      <w:pPr>
        <w:ind w:left="1360" w:right="459" w:hanging="348"/>
        <w:spacing w:after="0" w:line="277"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order value” means in-store and e-commerce merchandise sales divided by the number of sales transactions, which indicates the average amount of a sales receipt;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“BOPIS” means our buy-online-pickup-in-store program;</w:t>
      </w:r>
    </w:p>
    <w:p>
      <w:pPr>
        <w:spacing w:after="0" w:line="117" w:lineRule="exact"/>
        <w:rPr>
          <w:rFonts w:ascii="Arial" w:cs="Arial" w:eastAsia="Arial" w:hAnsi="Arial"/>
          <w:sz w:val="18"/>
          <w:szCs w:val="18"/>
          <w:color w:val="auto"/>
        </w:rPr>
      </w:pPr>
    </w:p>
    <w:p>
      <w:pPr>
        <w:ind w:left="1360" w:right="419" w:hanging="348"/>
        <w:spacing w:after="0" w:line="291" w:lineRule="auto"/>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in our Annual Report incorporated by reference herein. There may be variations in the way in which some of our competitors and other retailers calculate comparable sales. As a result, data included, or incorporated by reference, in this prospectus regarding our comparable sales may not be comparable to similar data made available by other retailers;</w:t>
      </w:r>
    </w:p>
    <w:p>
      <w:pPr>
        <w:spacing w:after="0" w:line="58" w:lineRule="exact"/>
        <w:rPr>
          <w:rFonts w:ascii="Arial" w:cs="Arial" w:eastAsia="Arial" w:hAnsi="Arial"/>
          <w:sz w:val="16"/>
          <w:szCs w:val="16"/>
          <w:color w:val="auto"/>
        </w:rPr>
      </w:pPr>
    </w:p>
    <w:p>
      <w:pPr>
        <w:ind w:left="1360" w:right="479" w:hanging="348"/>
        <w:spacing w:after="0" w:line="259"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78" w:lineRule="exact"/>
        <w:rPr>
          <w:rFonts w:ascii="Arial" w:cs="Arial" w:eastAsia="Arial" w:hAnsi="Arial"/>
          <w:sz w:val="18"/>
          <w:szCs w:val="18"/>
          <w:color w:val="auto"/>
        </w:rPr>
      </w:pPr>
    </w:p>
    <w:p>
      <w:pPr>
        <w:ind w:left="1360" w:right="339" w:hanging="348"/>
        <w:spacing w:after="0" w:line="272" w:lineRule="auto"/>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2020 is the second highest;</w:t>
      </w:r>
    </w:p>
    <w:p>
      <w:pPr>
        <w:spacing w:after="0" w:line="69" w:lineRule="exact"/>
        <w:rPr>
          <w:rFonts w:ascii="Arial" w:cs="Arial" w:eastAsia="Arial" w:hAnsi="Arial"/>
          <w:sz w:val="17"/>
          <w:szCs w:val="17"/>
          <w:color w:val="auto"/>
        </w:rPr>
      </w:pPr>
    </w:p>
    <w:p>
      <w:pPr>
        <w:ind w:left="1360" w:right="579" w:hanging="348"/>
        <w:spacing w:after="0" w:line="277"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“Gochman Investors” means, collectively, certain investors who are family descendants of our founder, Max Gochman;</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“IPO” means the initial public offering of our common stock, which closed on October 6, 2020;</w:t>
      </w:r>
    </w:p>
    <w:p>
      <w:pPr>
        <w:spacing w:after="0" w:line="117" w:lineRule="exact"/>
        <w:rPr>
          <w:rFonts w:ascii="Arial" w:cs="Arial" w:eastAsia="Arial" w:hAnsi="Arial"/>
          <w:sz w:val="18"/>
          <w:szCs w:val="18"/>
          <w:color w:val="auto"/>
        </w:rPr>
      </w:pPr>
    </w:p>
    <w:p>
      <w:pPr>
        <w:ind w:left="1360" w:right="359" w:hanging="348"/>
        <w:spacing w:after="0" w:line="277"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means, collectively, investment funds and other entities affiliated with Kohlberg Kravis Roberts &amp; Co. L.P.;</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1360" w:hanging="348"/>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“KKR Stockholders” means, collectively, investment entities owned by KKR;</w:t>
      </w:r>
    </w:p>
    <w:p>
      <w:pPr>
        <w:spacing w:after="0" w:line="117" w:lineRule="exact"/>
        <w:rPr>
          <w:rFonts w:ascii="Arial" w:cs="Arial" w:eastAsia="Arial" w:hAnsi="Arial"/>
          <w:sz w:val="18"/>
          <w:szCs w:val="18"/>
          <w:color w:val="auto"/>
        </w:rPr>
      </w:pPr>
    </w:p>
    <w:p>
      <w:pPr>
        <w:ind w:left="1360" w:right="339" w:hanging="348"/>
        <w:spacing w:after="0" w:line="273" w:lineRule="auto"/>
        <w:tabs>
          <w:tab w:leader="none" w:pos="1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69" w:lineRule="exact"/>
        <w:rPr>
          <w:rFonts w:ascii="Arial" w:cs="Arial" w:eastAsia="Arial" w:hAnsi="Arial"/>
          <w:sz w:val="17"/>
          <w:szCs w:val="17"/>
          <w:color w:val="auto"/>
        </w:rPr>
      </w:pPr>
    </w:p>
    <w:p>
      <w:pPr>
        <w:ind w:left="1360" w:hanging="348"/>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four years;</w:t>
      </w:r>
    </w:p>
    <w:p>
      <w:pPr>
        <w:spacing w:after="0" w:line="117" w:lineRule="exact"/>
        <w:rPr>
          <w:rFonts w:ascii="Arial" w:cs="Arial" w:eastAsia="Arial" w:hAnsi="Arial"/>
          <w:sz w:val="18"/>
          <w:szCs w:val="18"/>
          <w:color w:val="auto"/>
        </w:rPr>
      </w:pPr>
    </w:p>
    <w:p>
      <w:pPr>
        <w:ind w:left="1360" w:right="619" w:hanging="348"/>
        <w:spacing w:after="0" w:line="277"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sales transactions” means total quantity of sales transactions generated, whether in-store or online;</w:t>
      </w:r>
    </w:p>
    <w:p>
      <w:pPr>
        <w:spacing w:after="0" w:line="62" w:lineRule="exact"/>
        <w:rPr>
          <w:rFonts w:ascii="Arial" w:cs="Arial" w:eastAsia="Arial" w:hAnsi="Arial"/>
          <w:sz w:val="18"/>
          <w:szCs w:val="18"/>
          <w:color w:val="auto"/>
        </w:rPr>
      </w:pPr>
    </w:p>
    <w:p>
      <w:pPr>
        <w:ind w:left="1360" w:right="399" w:hanging="348"/>
        <w:spacing w:after="0" w:line="277"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“owned brands” means our private label brands, which include both our own brands, as well as brands we license under exclusive license contracts;</w:t>
      </w:r>
    </w:p>
    <w:p>
      <w:pPr>
        <w:spacing w:after="0" w:line="62" w:lineRule="exact"/>
        <w:rPr>
          <w:rFonts w:ascii="Arial" w:cs="Arial" w:eastAsia="Arial" w:hAnsi="Arial"/>
          <w:sz w:val="18"/>
          <w:szCs w:val="18"/>
          <w:color w:val="auto"/>
        </w:rPr>
      </w:pPr>
    </w:p>
    <w:p>
      <w:pPr>
        <w:ind w:left="1360" w:right="999" w:hanging="348"/>
        <w:spacing w:after="0" w:line="277"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“Proxy Statement” means our Proxy Statement on Schedule 14A for our 2021 Annual Meeting of Stockholders filed on April 23, 2021; and</w:t>
      </w:r>
    </w:p>
    <w:p>
      <w:pPr>
        <w:spacing w:after="0" w:line="62" w:lineRule="exact"/>
        <w:rPr>
          <w:rFonts w:ascii="Arial" w:cs="Arial" w:eastAsia="Arial" w:hAnsi="Arial"/>
          <w:sz w:val="18"/>
          <w:szCs w:val="18"/>
          <w:color w:val="auto"/>
        </w:rPr>
      </w:pPr>
    </w:p>
    <w:p>
      <w:pPr>
        <w:ind w:left="1360" w:right="319" w:hanging="348"/>
        <w:spacing w:after="0" w:line="308" w:lineRule="auto"/>
        <w:tabs>
          <w:tab w:leader="none" w:pos="1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“Term Loan Facility” means our senior secured term loan facility, as described under Note 4 to our audited consolidated financial statements in our Annual Report incorporated by reference herein.</w:t>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Presentation of Financial Information</w:t>
      </w:r>
    </w:p>
    <w:p>
      <w:pPr>
        <w:spacing w:after="0" w:line="117" w:lineRule="exact"/>
        <w:rPr>
          <w:sz w:val="20"/>
          <w:szCs w:val="20"/>
          <w:color w:val="auto"/>
        </w:rPr>
      </w:pPr>
    </w:p>
    <w:p>
      <w:pPr>
        <w:ind w:left="660" w:right="799" w:firstLine="360"/>
        <w:spacing w:after="0" w:line="342" w:lineRule="auto"/>
        <w:rPr>
          <w:sz w:val="20"/>
          <w:szCs w:val="20"/>
          <w:color w:val="auto"/>
        </w:rPr>
      </w:pPr>
      <w:r>
        <w:rPr>
          <w:rFonts w:ascii="Arial" w:cs="Arial" w:eastAsia="Arial" w:hAnsi="Arial"/>
          <w:sz w:val="16"/>
          <w:szCs w:val="16"/>
          <w:color w:val="auto"/>
        </w:rPr>
        <w:t>Academy Sports and Outdoors, Inc. conducts its operations through its subsidiaries, including its indirect subsidiary, Academy, Ltd., an operating company which is doing business as “Academy Sports + Outdoors.”</w:t>
      </w:r>
    </w:p>
    <w:p>
      <w:pPr>
        <w:spacing w:after="0" w:line="16" w:lineRule="exact"/>
        <w:rPr>
          <w:sz w:val="20"/>
          <w:szCs w:val="20"/>
          <w:color w:val="auto"/>
        </w:rPr>
      </w:pPr>
    </w:p>
    <w:p>
      <w:pPr>
        <w:ind w:left="660" w:right="399" w:firstLine="360"/>
        <w:spacing w:after="0" w:line="273"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“2017,” “2018,” “2019,” “2020” and “2021” relate to our fiscal years ended February 3, 2018, February 2, 2019, February 1, 2020, January 30, 2021 and January 29, 2022, respectively, unless the context requires otherwise.</w:t>
      </w:r>
    </w:p>
    <w:p>
      <w:pPr>
        <w:spacing w:after="0" w:line="70" w:lineRule="exact"/>
        <w:rPr>
          <w:sz w:val="20"/>
          <w:szCs w:val="20"/>
          <w:color w:val="auto"/>
        </w:rPr>
      </w:pPr>
    </w:p>
    <w:p>
      <w:pPr>
        <w:ind w:left="660" w:right="379" w:firstLine="360"/>
        <w:spacing w:after="0" w:line="263" w:lineRule="auto"/>
        <w:rPr>
          <w:sz w:val="20"/>
          <w:szCs w:val="20"/>
          <w:color w:val="auto"/>
        </w:rPr>
      </w:pPr>
      <w:r>
        <w:rPr>
          <w:rFonts w:ascii="Arial" w:cs="Arial" w:eastAsia="Arial" w:hAnsi="Arial"/>
          <w:sz w:val="18"/>
          <w:szCs w:val="18"/>
          <w:color w:val="auto"/>
        </w:rPr>
        <w:t>Numerical figures included, or incorporated by reference, in this prospectus have been subject to rounding adjustments. Accordingly, numerical figures shown as totals in various tables may not be arithmetic aggregations of the figures that precede them.</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660" w:right="379" w:firstLine="360"/>
        <w:spacing w:after="0" w:line="275" w:lineRule="auto"/>
        <w:rPr>
          <w:sz w:val="20"/>
          <w:szCs w:val="20"/>
          <w:color w:val="auto"/>
        </w:rPr>
      </w:pPr>
      <w:r>
        <w:rPr>
          <w:rFonts w:ascii="Arial" w:cs="Arial" w:eastAsia="Arial" w:hAnsi="Arial"/>
          <w:sz w:val="17"/>
          <w:szCs w:val="17"/>
          <w:color w:val="auto"/>
        </w:rPr>
        <w:t>This prospectus and the documents incorporated by reference herein contain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and “Adjusted Free Cash Flow.”</w:t>
      </w:r>
    </w:p>
    <w:p>
      <w:pPr>
        <w:spacing w:after="0" w:line="68" w:lineRule="exact"/>
        <w:rPr>
          <w:sz w:val="20"/>
          <w:szCs w:val="20"/>
          <w:color w:val="auto"/>
        </w:rPr>
      </w:pPr>
    </w:p>
    <w:p>
      <w:pPr>
        <w:ind w:left="660" w:right="359" w:firstLine="360"/>
        <w:spacing w:after="0" w:line="287" w:lineRule="auto"/>
        <w:rPr>
          <w:sz w:val="20"/>
          <w:szCs w:val="20"/>
          <w:color w:val="auto"/>
        </w:rPr>
      </w:pPr>
      <w:r>
        <w:rPr>
          <w:rFonts w:ascii="Arial" w:cs="Arial" w:eastAsia="Arial" w:hAnsi="Arial"/>
          <w:sz w:val="16"/>
          <w:szCs w:val="16"/>
          <w:color w:val="auto"/>
        </w:rPr>
        <w:t>Adjusted EBITDA, Adjusted Net Income and Adjusted Free Cash Flow have been presented in this prospectus and the documents incorporated by reference herein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60" w:lineRule="exact"/>
        <w:rPr>
          <w:sz w:val="20"/>
          <w:szCs w:val="20"/>
          <w:color w:val="auto"/>
        </w:rPr>
      </w:pPr>
    </w:p>
    <w:p>
      <w:pPr>
        <w:ind w:left="660" w:right="339" w:firstLine="360"/>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 Summary Historical Consolidated Financial and Other Data.”</w:t>
      </w:r>
    </w:p>
    <w:p>
      <w:pPr>
        <w:spacing w:after="0" w:line="17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573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7573645"/>
                    </a:xfrm>
                    <a:prstGeom prst="rect">
                      <a:avLst/>
                    </a:prstGeom>
                    <a:noFill/>
                  </pic:spPr>
                </pic:pic>
              </a:graphicData>
            </a:graphic>
          </wp:anchor>
        </w:drawing>
      </w:r>
    </w:p>
    <w:p>
      <w:pPr>
        <w:spacing w:after="0" w:line="288"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680" w:right="359" w:firstLine="360"/>
        <w:spacing w:after="0" w:line="289"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or incorporated by reference herein from our filings with the SEC listed under “Incorporation by Reference.” This summary does not contain all of the information that you should consider before deciding to invest in our common stock. You should carefully read this entire prospectus and the information incorporated by reference in this prospectus, including any free writing prospectus prepared by us or on our behalf, including the sections entitled “Risk Factors” and “Forward-Looking Statements” included elsewhere in this prospectus and “Risk Factors,” “Management’s Discussion and Analysis of Financial Condition and Results of Operations” and our audited consolidated financial statements and related notes thereto in our Annual Report incorporated by reference herein, before making an investment decision. This summary contains forward-looking statements that involve risks and uncertainties.</w:t>
      </w:r>
    </w:p>
    <w:p>
      <w:pPr>
        <w:spacing w:after="0" w:line="3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680" w:right="299" w:firstLine="360"/>
        <w:spacing w:after="0" w:line="293" w:lineRule="auto"/>
        <w:rPr>
          <w:sz w:val="20"/>
          <w:szCs w:val="20"/>
          <w:color w:val="auto"/>
        </w:rPr>
      </w:pPr>
      <w:r>
        <w:rPr>
          <w:rFonts w:ascii="Arial" w:cs="Arial" w:eastAsia="Arial" w:hAnsi="Arial"/>
          <w:sz w:val="16"/>
          <w:szCs w:val="16"/>
          <w:color w:val="auto"/>
        </w:rPr>
        <w:t>Academy Sports + Outdoors is one of the leading full-line sporting goods and outdoor recreation retailers in the United States. We estimate that we served 30 million unique customers and completed approximately 80 million transactions in 2020 across our seamless omnichannel platform and highly productive stores, resulting in net sales of $5.7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17" w:lineRule="exact"/>
        <w:rPr>
          <w:sz w:val="20"/>
          <w:szCs w:val="20"/>
          <w:color w:val="auto"/>
        </w:rPr>
      </w:pPr>
    </w:p>
    <w:p>
      <w:pPr>
        <w:ind w:left="1380" w:hanging="350"/>
        <w:spacing w:after="0"/>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Value-based assortment that enables our customers to participate and have fun, no matter their budget.</w:t>
      </w:r>
    </w:p>
    <w:p>
      <w:pPr>
        <w:spacing w:after="0" w:line="140" w:lineRule="exact"/>
        <w:rPr>
          <w:rFonts w:ascii="Arial" w:cs="Arial" w:eastAsia="Arial" w:hAnsi="Arial"/>
          <w:sz w:val="16"/>
          <w:szCs w:val="16"/>
          <w:color w:val="auto"/>
        </w:rPr>
      </w:pPr>
    </w:p>
    <w:p>
      <w:pPr>
        <w:ind w:left="1380" w:hanging="35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17" w:lineRule="exact"/>
        <w:rPr>
          <w:rFonts w:ascii="Arial" w:cs="Arial" w:eastAsia="Arial" w:hAnsi="Arial"/>
          <w:sz w:val="18"/>
          <w:szCs w:val="18"/>
          <w:color w:val="auto"/>
        </w:rPr>
      </w:pPr>
    </w:p>
    <w:p>
      <w:pPr>
        <w:ind w:left="1380" w:right="739" w:hanging="350"/>
        <w:spacing w:after="0" w:line="277"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Emerging, rapidly growing and profitable omnichannel strategy that leverages our strong BOPIS and shipping fulfillment capabilities.</w:t>
      </w:r>
    </w:p>
    <w:p>
      <w:pPr>
        <w:spacing w:after="0" w:line="62" w:lineRule="exact"/>
        <w:rPr>
          <w:rFonts w:ascii="Arial" w:cs="Arial" w:eastAsia="Arial" w:hAnsi="Arial"/>
          <w:sz w:val="18"/>
          <w:szCs w:val="18"/>
          <w:color w:val="auto"/>
        </w:rPr>
      </w:pPr>
    </w:p>
    <w:p>
      <w:pPr>
        <w:ind w:left="1380" w:hanging="35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17" w:lineRule="exact"/>
        <w:rPr>
          <w:rFonts w:ascii="Arial" w:cs="Arial" w:eastAsia="Arial" w:hAnsi="Arial"/>
          <w:sz w:val="18"/>
          <w:szCs w:val="18"/>
          <w:color w:val="auto"/>
        </w:rPr>
      </w:pPr>
    </w:p>
    <w:p>
      <w:pPr>
        <w:ind w:left="1380" w:right="999" w:hanging="350"/>
        <w:spacing w:after="0" w:line="277"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(“MSAs”).</w:t>
      </w:r>
    </w:p>
    <w:p>
      <w:pPr>
        <w:spacing w:after="0" w:line="62" w:lineRule="exact"/>
        <w:rPr>
          <w:rFonts w:ascii="Arial" w:cs="Arial" w:eastAsia="Arial" w:hAnsi="Arial"/>
          <w:sz w:val="18"/>
          <w:szCs w:val="18"/>
          <w:color w:val="auto"/>
        </w:rPr>
      </w:pPr>
    </w:p>
    <w:p>
      <w:pPr>
        <w:ind w:left="1380" w:hanging="35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117" w:lineRule="exact"/>
        <w:rPr>
          <w:sz w:val="20"/>
          <w:szCs w:val="20"/>
          <w:color w:val="auto"/>
        </w:rPr>
      </w:pPr>
    </w:p>
    <w:p>
      <w:pPr>
        <w:ind w:left="680" w:right="339" w:firstLine="360"/>
        <w:spacing w:after="0" w:line="293" w:lineRule="auto"/>
        <w:rPr>
          <w:sz w:val="20"/>
          <w:szCs w:val="20"/>
          <w:color w:val="auto"/>
        </w:rPr>
      </w:pPr>
      <w:r>
        <w:rPr>
          <w:rFonts w:ascii="Arial" w:cs="Arial" w:eastAsia="Arial" w:hAnsi="Arial"/>
          <w:sz w:val="16"/>
          <w:szCs w:val="16"/>
          <w:color w:val="auto"/>
        </w:rPr>
        <w:t>Originally founded in 1938 as a family business in Texas, we have grown to 259 stores across 16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35%, 25%, 22% and 18% of our 2020 net sales, respectively) through both leading national brands and a portfolio of 19 owned brands, which go well beyond traditional sporting goods and apparel offerings.</w:t>
      </w:r>
    </w:p>
    <w:p>
      <w:pPr>
        <w:spacing w:after="0" w:line="56" w:lineRule="exact"/>
        <w:rPr>
          <w:sz w:val="20"/>
          <w:szCs w:val="20"/>
          <w:color w:val="auto"/>
        </w:rPr>
      </w:pPr>
    </w:p>
    <w:p>
      <w:pPr>
        <w:ind w:left="680" w:right="319" w:firstLine="360"/>
        <w:spacing w:after="0" w:line="288" w:lineRule="auto"/>
        <w:rPr>
          <w:sz w:val="20"/>
          <w:szCs w:val="20"/>
          <w:color w:val="auto"/>
        </w:rPr>
      </w:pPr>
      <w:r>
        <w:rPr>
          <w:rFonts w:ascii="Arial" w:cs="Arial" w:eastAsia="Arial" w:hAnsi="Arial"/>
          <w:sz w:val="16"/>
          <w:szCs w:val="16"/>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22,000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200" w:lineRule="exact"/>
        <w:rPr>
          <w:sz w:val="20"/>
          <w:szCs w:val="20"/>
          <w:color w:val="auto"/>
        </w:rPr>
      </w:pPr>
    </w:p>
    <w:p>
      <w:pPr>
        <w:spacing w:after="0" w:line="21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92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92" w:lineRule="exact"/>
        <w:rPr>
          <w:sz w:val="20"/>
          <w:szCs w:val="20"/>
          <w:color w:val="auto"/>
        </w:rPr>
      </w:pPr>
    </w:p>
    <w:p>
      <w:pPr>
        <w:ind w:left="680" w:right="379" w:firstLine="360"/>
        <w:spacing w:after="0" w:line="286" w:lineRule="auto"/>
        <w:rPr>
          <w:sz w:val="20"/>
          <w:szCs w:val="20"/>
          <w:color w:val="auto"/>
        </w:rPr>
      </w:pPr>
      <w:r>
        <w:rPr>
          <w:rFonts w:ascii="Arial" w:cs="Arial" w:eastAsia="Arial" w:hAnsi="Arial"/>
          <w:sz w:val="17"/>
          <w:szCs w:val="17"/>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57" w:lineRule="exact"/>
        <w:rPr>
          <w:sz w:val="20"/>
          <w:szCs w:val="20"/>
          <w:color w:val="auto"/>
        </w:rPr>
      </w:pPr>
    </w:p>
    <w:p>
      <w:pPr>
        <w:ind w:left="680" w:right="379" w:firstLine="360"/>
        <w:spacing w:after="0" w:line="271" w:lineRule="auto"/>
        <w:rPr>
          <w:sz w:val="20"/>
          <w:szCs w:val="20"/>
          <w:color w:val="auto"/>
        </w:rPr>
      </w:pPr>
      <w:r>
        <w:rPr>
          <w:rFonts w:ascii="Arial" w:cs="Arial" w:eastAsia="Arial" w:hAnsi="Arial"/>
          <w:sz w:val="17"/>
          <w:szCs w:val="17"/>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70" w:lineRule="exact"/>
        <w:rPr>
          <w:sz w:val="20"/>
          <w:szCs w:val="20"/>
          <w:color w:val="auto"/>
        </w:rPr>
      </w:pPr>
    </w:p>
    <w:p>
      <w:pPr>
        <w:ind w:left="680" w:right="299" w:firstLine="360"/>
        <w:spacing w:after="0" w:line="287" w:lineRule="auto"/>
        <w:rPr>
          <w:sz w:val="20"/>
          <w:szCs w:val="20"/>
          <w:color w:val="auto"/>
        </w:rPr>
      </w:pPr>
      <w:r>
        <w:rPr>
          <w:rFonts w:ascii="Arial" w:cs="Arial" w:eastAsia="Arial" w:hAnsi="Arial"/>
          <w:sz w:val="16"/>
          <w:szCs w:val="16"/>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 Nearly 20% of our 2020 sales were from our owned brands, such as Magellan Outdoors and BCG, which offer a distinct offering to our customers and approximately 56% of our customers purchased an owned brand item from us in 2020. Our merchandising creates a balanced sales mix throughout the year with no single season accounting for more than 28% of our annual sales.</w:t>
      </w:r>
    </w:p>
    <w:p>
      <w:pPr>
        <w:spacing w:after="0" w:line="6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stores deliver industry-leading unit sales and profitability, including 2020 net sales per store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$22.0 million, average total sales per square foot of $311, and average EBITDA per store of $2.3 million. Our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customers love the Academy store shopping experience because they are able to easily find, learn about, feel, try on</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and walk out with their favorite items. Our one-stop, convenient store layout, together with our highly trained team</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members offering value-added customer services, drive strong and consistent store foot traffic and transaction</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volume, with our average customers visiting our stores two to three times per year and our best customers visiting</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stores nine times per year. The majority of our stores are located in high-traffic shopping centers, while none of</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stores are located in, or anchored to, malls.</w:t>
      </w:r>
    </w:p>
    <w:p>
      <w:pPr>
        <w:spacing w:after="0" w:line="103" w:lineRule="exact"/>
        <w:rPr>
          <w:sz w:val="20"/>
          <w:szCs w:val="20"/>
          <w:color w:val="auto"/>
        </w:rPr>
      </w:pPr>
    </w:p>
    <w:p>
      <w:pPr>
        <w:ind w:left="680" w:right="299" w:firstLine="360"/>
        <w:spacing w:after="0" w:line="270" w:lineRule="auto"/>
        <w:rPr>
          <w:sz w:val="20"/>
          <w:szCs w:val="20"/>
          <w:color w:val="auto"/>
        </w:rPr>
      </w:pPr>
      <w:r>
        <w:rPr>
          <w:rFonts w:ascii="Arial" w:cs="Arial" w:eastAsia="Arial" w:hAnsi="Arial"/>
          <w:sz w:val="17"/>
          <w:szCs w:val="17"/>
          <w:color w:val="auto"/>
        </w:rPr>
        <w:t>Our emerging, profitable e-commerce platform that leverages our strong BOPIS and shipping fulfillment capabilities has achieved year-over-year sales growth of 138% and 8% during 2020 and 2019, respectively. Our e-commerce sales represented 10.4% and 5.1% of our merchandise sales in 2020 and 2019, respectively. We are deepening our customer relationships, further integrating our e-commerce platform with our stores and driving operating efficiencies by developing our omnichannel capabilities. Our BOPIS program, launched in 2019,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39% of our e-commerce sales during 2020 coming from new households.</w:t>
      </w:r>
    </w:p>
    <w:p>
      <w:pPr>
        <w:spacing w:after="0" w:line="73" w:lineRule="exact"/>
        <w:rPr>
          <w:sz w:val="20"/>
          <w:szCs w:val="20"/>
          <w:color w:val="auto"/>
        </w:rPr>
      </w:pPr>
    </w:p>
    <w:p>
      <w:pPr>
        <w:ind w:left="680" w:right="379" w:firstLine="360"/>
        <w:spacing w:after="0" w:line="255"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8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We finished 2020 with approximately $5.7 billion in sales, $308.8 million of net income and $607.0 million in</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Adjusted EBITDA. Although comparable sales were negative for 2017, 2018 and 2019, we have seen six</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consecutive quarters of positive comparable sales and Adjusted EBITDA growth. We earned net income of</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$308.8 million, $120.0 million and $21.4 million during 2020, 2019 and 2018, respectively. See “—Summary</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Historical Consolidated Financial and Other Data” for definitions of Adjusted EBITDA and Adjusted Free Cash</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Flow and reconciliations of Adjusted EBITDA to net income and Adjusted Free Cash Flow to net cash provided by</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operating activities.</w:t>
      </w:r>
    </w:p>
    <w:p>
      <w:pPr>
        <w:sectPr>
          <w:pgSz w:w="11900" w:h="16838" w:orient="portrait"/>
          <w:cols w:equalWidth="0" w:num="1">
            <w:col w:w="9379"/>
          </w:cols>
          <w:pgMar w:left="1080" w:top="265"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162560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993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pacing w:after="0" w:line="28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jc w:val="both"/>
        <w:ind w:left="680" w:right="599" w:firstLine="360"/>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six consecutive quarters ended January 30, 2021, and created a foundation for our future growth. These key initiatives include:</w:t>
      </w:r>
    </w:p>
    <w:p>
      <w:pPr>
        <w:spacing w:after="0" w:line="76" w:lineRule="exact"/>
        <w:rPr>
          <w:sz w:val="20"/>
          <w:szCs w:val="20"/>
          <w:color w:val="auto"/>
        </w:rPr>
      </w:pPr>
    </w:p>
    <w:p>
      <w:pPr>
        <w:ind w:left="1380" w:right="319" w:hanging="350"/>
        <w:spacing w:after="0" w:line="271"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leadership team </w:t>
      </w:r>
      <w:r>
        <w:rPr>
          <w:rFonts w:ascii="Arial" w:cs="Arial" w:eastAsia="Arial" w:hAnsi="Arial"/>
          <w:sz w:val="17"/>
          <w:szCs w:val="17"/>
          <w:color w:val="auto"/>
        </w:rPr>
        <w:t>– Our leadership team comprises nine highly experienced and proven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seven of whom joined Academy since 2017, led by our Chief Executive Officer and including our Chief Financial Officer, Chief Merchandising Officer, EVP of Retail Operations, SVP of Logistics and Supply Chain,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70" w:lineRule="exact"/>
        <w:rPr>
          <w:rFonts w:ascii="Arial" w:cs="Arial" w:eastAsia="Arial" w:hAnsi="Arial"/>
          <w:sz w:val="17"/>
          <w:szCs w:val="17"/>
          <w:color w:val="auto"/>
        </w:rPr>
      </w:pPr>
    </w:p>
    <w:p>
      <w:pPr>
        <w:ind w:left="1380" w:right="299" w:hanging="350"/>
        <w:spacing w:after="0" w:line="257"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in our omnichannel capabilities from 2017</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2019, we launched several new omnichannel initiatives in 2019, including our BOPIS program, ship-to-store program and new website design, content and functionality. While still early in our omnichannel strategy, we have built a profitable omnichannel business that is poised for continued growth and improvement of capabilities.</w:t>
      </w:r>
    </w:p>
    <w:p>
      <w:pPr>
        <w:spacing w:after="0" w:line="79" w:lineRule="exact"/>
        <w:rPr>
          <w:rFonts w:ascii="Arial" w:cs="Arial" w:eastAsia="Arial" w:hAnsi="Arial"/>
          <w:sz w:val="18"/>
          <w:szCs w:val="18"/>
          <w:color w:val="auto"/>
        </w:rPr>
      </w:pPr>
    </w:p>
    <w:p>
      <w:pPr>
        <w:ind w:left="1380" w:right="519" w:hanging="350"/>
        <w:spacing w:after="0" w:line="263"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offerings. This initiative resulted in an improved customer shopping experience and increased sales.</w:t>
      </w:r>
    </w:p>
    <w:p>
      <w:pPr>
        <w:spacing w:after="0" w:line="75" w:lineRule="exact"/>
        <w:rPr>
          <w:rFonts w:ascii="Arial" w:cs="Arial" w:eastAsia="Arial" w:hAnsi="Arial"/>
          <w:sz w:val="18"/>
          <w:szCs w:val="18"/>
          <w:color w:val="auto"/>
        </w:rPr>
      </w:pPr>
    </w:p>
    <w:p>
      <w:pPr>
        <w:ind w:left="1380" w:right="379" w:hanging="350"/>
        <w:spacing w:after="0" w:line="259"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and continuing into 2020, we improved and focused our assortments in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categories, such as team sports, fishing and 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Arial" w:cs="Arial" w:eastAsia="Arial" w:hAnsi="Arial"/>
          <w:sz w:val="18"/>
          <w:szCs w:val="18"/>
          <w:color w:val="auto"/>
        </w:rPr>
      </w:pPr>
    </w:p>
    <w:p>
      <w:pPr>
        <w:ind w:left="1380" w:right="339" w:hanging="350"/>
        <w:spacing w:after="0" w:line="263"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Enhance store optimization </w:t>
      </w:r>
      <w:r>
        <w:rPr>
          <w:rFonts w:ascii="Arial" w:cs="Arial" w:eastAsia="Arial" w:hAnsi="Arial"/>
          <w:sz w:val="18"/>
          <w:szCs w:val="18"/>
          <w:color w:val="auto"/>
        </w:rPr>
        <w:t>– We leverage technology to enable our store team members to better manage,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prioritize and reduce tasks to give them more time to engage in customer service, thereby increasing our productivity and sales conversion.</w:t>
      </w:r>
    </w:p>
    <w:p>
      <w:pPr>
        <w:spacing w:after="0" w:line="75" w:lineRule="exact"/>
        <w:rPr>
          <w:rFonts w:ascii="Arial" w:cs="Arial" w:eastAsia="Arial" w:hAnsi="Arial"/>
          <w:sz w:val="18"/>
          <w:szCs w:val="18"/>
          <w:color w:val="auto"/>
        </w:rPr>
      </w:pPr>
    </w:p>
    <w:p>
      <w:pPr>
        <w:jc w:val="both"/>
        <w:ind w:left="1380" w:right="339" w:hanging="350"/>
        <w:spacing w:after="0" w:line="286"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Digital marketing program </w:t>
      </w:r>
      <w:r>
        <w:rPr>
          <w:rFonts w:ascii="Arial" w:cs="Arial" w:eastAsia="Arial" w:hAnsi="Arial"/>
          <w:sz w:val="17"/>
          <w:szCs w:val="17"/>
          <w:color w:val="auto"/>
        </w:rPr>
        <w:t>– During the last two years, we shifted our primary marketing focus from print</w:t>
      </w:r>
      <w:r>
        <w:rPr>
          <w:rFonts w:ascii="Arial" w:cs="Arial" w:eastAsia="Arial" w:hAnsi="Arial"/>
          <w:sz w:val="17"/>
          <w:szCs w:val="17"/>
          <w:i w:val="1"/>
          <w:iCs w:val="1"/>
          <w:color w:val="auto"/>
        </w:rPr>
        <w:t xml:space="preserve"> </w:t>
      </w:r>
      <w:r>
        <w:rPr>
          <w:rFonts w:ascii="Arial" w:cs="Arial" w:eastAsia="Arial" w:hAnsi="Arial"/>
          <w:sz w:val="17"/>
          <w:szCs w:val="17"/>
          <w:color w:val="auto"/>
        </w:rPr>
        <w:t>to digital marketing. Our improved website also supports our stores with digital marketing and our BOPIS program. Each of these initiatives has given us a closer connection with our customers.</w:t>
      </w:r>
    </w:p>
    <w:p>
      <w:pPr>
        <w:spacing w:after="0" w:line="57" w:lineRule="exact"/>
        <w:rPr>
          <w:rFonts w:ascii="Arial" w:cs="Arial" w:eastAsia="Arial" w:hAnsi="Arial"/>
          <w:sz w:val="17"/>
          <w:szCs w:val="17"/>
          <w:color w:val="auto"/>
        </w:rPr>
      </w:pPr>
    </w:p>
    <w:p>
      <w:pPr>
        <w:ind w:left="1380" w:right="579" w:hanging="350"/>
        <w:spacing w:after="0" w:line="259"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approximately 4.5% of 2020 net sales. Academy Credit Card represents a significant opportunity to build customer loyalty, as our Academy Credit Card customers both spend more per trip and visit our stores more often.</w:t>
      </w:r>
    </w:p>
    <w:p>
      <w:pPr>
        <w:spacing w:after="0" w:line="78" w:lineRule="exact"/>
        <w:rPr>
          <w:rFonts w:ascii="Arial" w:cs="Arial" w:eastAsia="Arial" w:hAnsi="Arial"/>
          <w:sz w:val="18"/>
          <w:szCs w:val="18"/>
          <w:color w:val="auto"/>
        </w:rPr>
      </w:pPr>
    </w:p>
    <w:p>
      <w:pPr>
        <w:ind w:left="1380" w:right="419" w:hanging="350"/>
        <w:spacing w:after="0" w:line="275" w:lineRule="auto"/>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Programmatic inventory management </w:t>
      </w:r>
      <w:r>
        <w:rPr>
          <w:rFonts w:ascii="Arial" w:cs="Arial" w:eastAsia="Arial" w:hAnsi="Arial"/>
          <w:sz w:val="17"/>
          <w:szCs w:val="17"/>
          <w:color w:val="auto"/>
        </w:rPr>
        <w:t>– We implemented a new disciplined price markdown strategy that</w:t>
      </w:r>
      <w:r>
        <w:rPr>
          <w:rFonts w:ascii="Arial" w:cs="Arial" w:eastAsia="Arial" w:hAnsi="Arial"/>
          <w:sz w:val="17"/>
          <w:szCs w:val="17"/>
          <w:i w:val="1"/>
          <w:iCs w:val="1"/>
          <w:color w:val="auto"/>
        </w:rPr>
        <w:t xml:space="preserve"> </w:t>
      </w:r>
      <w:r>
        <w:rPr>
          <w:rFonts w:ascii="Arial" w:cs="Arial" w:eastAsia="Arial" w:hAnsi="Arial"/>
          <w:sz w:val="17"/>
          <w:szCs w:val="17"/>
          <w:color w:val="auto"/>
        </w:rPr>
        <w:t>has improved our margins 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2.84x in 2019 to 3.89x in 2020.</w:t>
      </w:r>
    </w:p>
    <w:p>
      <w:pPr>
        <w:spacing w:after="0" w:line="68" w:lineRule="exact"/>
        <w:rPr>
          <w:rFonts w:ascii="Arial" w:cs="Arial" w:eastAsia="Arial" w:hAnsi="Arial"/>
          <w:sz w:val="17"/>
          <w:szCs w:val="17"/>
          <w:color w:val="auto"/>
        </w:rPr>
      </w:pPr>
    </w:p>
    <w:p>
      <w:pPr>
        <w:ind w:left="1380" w:right="319" w:hanging="350"/>
        <w:spacing w:after="0" w:line="293"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Develop small box format </w:t>
      </w:r>
      <w:r>
        <w:rPr>
          <w:rFonts w:ascii="Arial" w:cs="Arial" w:eastAsia="Arial" w:hAnsi="Arial"/>
          <w:sz w:val="16"/>
          <w:szCs w:val="16"/>
          <w:color w:val="auto"/>
        </w:rPr>
        <w:t>– We opened our first small format store (approximately 40,000 square feet) in</w:t>
      </w:r>
      <w:r>
        <w:rPr>
          <w:rFonts w:ascii="Arial" w:cs="Arial" w:eastAsia="Arial" w:hAnsi="Arial"/>
          <w:sz w:val="16"/>
          <w:szCs w:val="16"/>
          <w:i w:val="1"/>
          <w:iCs w:val="1"/>
          <w:color w:val="auto"/>
        </w:rPr>
        <w:t xml:space="preserve"> </w:t>
      </w:r>
      <w:r>
        <w:rPr>
          <w:rFonts w:ascii="Arial" w:cs="Arial" w:eastAsia="Arial" w:hAnsi="Arial"/>
          <w:sz w:val="16"/>
          <w:szCs w:val="16"/>
          <w:color w:val="auto"/>
        </w:rPr>
        <w:t>Dallas, Texas in 2019. We believe this new smaller format store allows us to open new stores in urban and less dense areas. During 2020, this smaller format store experienced approximately 28% higher sales per square foot and 37% higher inventory turns than the average of all Academy stores, the latter of which had $311 sales per square foot and 3.89x inventory turns. We evaluate performance inclusive of store sales, as well as BOPIS sales and other fulfilled sales from the location.</w:t>
      </w:r>
    </w:p>
    <w:p>
      <w:pPr>
        <w:spacing w:after="0" w:line="56" w:lineRule="exact"/>
        <w:rPr>
          <w:sz w:val="20"/>
          <w:szCs w:val="20"/>
          <w:color w:val="auto"/>
        </w:rPr>
      </w:pPr>
    </w:p>
    <w:p>
      <w:pPr>
        <w:ind w:left="680" w:right="299" w:firstLine="360"/>
        <w:spacing w:after="0" w:line="275" w:lineRule="auto"/>
        <w:rPr>
          <w:sz w:val="20"/>
          <w:szCs w:val="20"/>
          <w:color w:val="auto"/>
        </w:rPr>
      </w:pPr>
      <w:r>
        <w:rPr>
          <w:rFonts w:ascii="Arial" w:cs="Arial" w:eastAsia="Arial" w:hAnsi="Arial"/>
          <w:sz w:val="17"/>
          <w:szCs w:val="17"/>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49% of Americans expect to be doing more outdoor recreational activities in the future in order to facilitate social distancing. We expect that this will continue throughout the duration of the pandemic and will</w:t>
      </w:r>
    </w:p>
    <w:p>
      <w:pPr>
        <w:sectPr>
          <w:pgSz w:w="11900" w:h="16838" w:orient="portrait"/>
          <w:cols w:equalWidth="0" w:num="1">
            <w:col w:w="9379"/>
          </w:cols>
          <w:pgMar w:left="1080" w:top="265"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162560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676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7676515"/>
                    </a:xfrm>
                    <a:prstGeom prst="rect">
                      <a:avLst/>
                    </a:prstGeom>
                    <a:noFill/>
                  </pic:spPr>
                </pic:pic>
              </a:graphicData>
            </a:graphic>
          </wp:anchor>
        </w:drawing>
      </w:r>
    </w:p>
    <w:p>
      <w:pPr>
        <w:spacing w:after="0" w:line="292" w:lineRule="exact"/>
        <w:rPr>
          <w:sz w:val="20"/>
          <w:szCs w:val="20"/>
          <w:color w:val="auto"/>
        </w:rPr>
      </w:pPr>
    </w:p>
    <w:p>
      <w:pPr>
        <w:ind w:left="680" w:right="299"/>
        <w:spacing w:after="0" w:line="269" w:lineRule="auto"/>
        <w:rPr>
          <w:sz w:val="20"/>
          <w:szCs w:val="20"/>
          <w:color w:val="auto"/>
        </w:rPr>
      </w:pPr>
      <w:r>
        <w:rPr>
          <w:rFonts w:ascii="Arial" w:cs="Arial" w:eastAsia="Arial" w:hAnsi="Arial"/>
          <w:sz w:val="17"/>
          <w:szCs w:val="17"/>
          <w:color w:val="auto"/>
        </w:rPr>
        <w:t>result in a long-term increase to our customer base. The industry has seen unprecedented increases in participation across several categories which we consider to be some of our “power categories.” This includes camping/hiking/kayaking, fitness, running and team sports, which saw participation increases of 9%, 4%, 3% and 2%, respectively, from 2015 to 2019.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2020 is attributable to the increase in e-commerce sales due to the COVID-19 pandemic as compared to the impact of the business improvements described above.</w:t>
      </w: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680" w:right="379" w:firstLine="360"/>
        <w:spacing w:after="0" w:line="275" w:lineRule="auto"/>
        <w:rPr>
          <w:sz w:val="20"/>
          <w:szCs w:val="20"/>
          <w:color w:val="auto"/>
        </w:rPr>
      </w:pPr>
      <w:r>
        <w:rPr>
          <w:rFonts w:ascii="Arial" w:cs="Arial" w:eastAsia="Arial" w:hAnsi="Arial"/>
          <w:sz w:val="17"/>
          <w:szCs w:val="17"/>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6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retail sporting goods and outdoor recreation retail industry comprises six principal categories of retailers:</w:t>
      </w:r>
    </w:p>
    <w:p>
      <w:pPr>
        <w:spacing w:after="0" w:line="140" w:lineRule="exact"/>
        <w:rPr>
          <w:sz w:val="20"/>
          <w:szCs w:val="20"/>
          <w:color w:val="auto"/>
        </w:rPr>
      </w:pPr>
    </w:p>
    <w:p>
      <w:pPr>
        <w:ind w:left="1380" w:hanging="35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Mass general merchants</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Large format sporting goods stores</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Traditional sporting goods stores</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Specialty outdoor retailers</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Specialty footwear retailers</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Catalogue &amp; Internet retailers</w:t>
      </w:r>
    </w:p>
    <w:p>
      <w:pPr>
        <w:spacing w:after="0" w:line="117" w:lineRule="exact"/>
        <w:rPr>
          <w:sz w:val="20"/>
          <w:szCs w:val="20"/>
          <w:color w:val="auto"/>
        </w:rPr>
      </w:pPr>
    </w:p>
    <w:p>
      <w:pPr>
        <w:ind w:left="680" w:right="379" w:firstLine="360"/>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62" w:lineRule="exact"/>
        <w:rPr>
          <w:sz w:val="20"/>
          <w:szCs w:val="20"/>
          <w:color w:val="auto"/>
        </w:rPr>
      </w:pPr>
    </w:p>
    <w:p>
      <w:pPr>
        <w:ind w:left="680" w:right="319" w:firstLine="360"/>
        <w:spacing w:after="0" w:line="268"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74" w:lineRule="exact"/>
        <w:rPr>
          <w:sz w:val="20"/>
          <w:szCs w:val="20"/>
          <w:color w:val="auto"/>
        </w:rPr>
      </w:pPr>
    </w:p>
    <w:p>
      <w:pPr>
        <w:ind w:left="680" w:right="339" w:firstLine="360"/>
        <w:spacing w:after="0" w:line="255" w:lineRule="auto"/>
        <w:rPr>
          <w:sz w:val="20"/>
          <w:szCs w:val="20"/>
          <w:color w:val="auto"/>
        </w:rPr>
      </w:pPr>
      <w:r>
        <w:rPr>
          <w:rFonts w:ascii="Arial" w:cs="Arial" w:eastAsia="Arial" w:hAnsi="Arial"/>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2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00" w:right="2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907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7907655"/>
                    </a:xfrm>
                    <a:prstGeom prst="rect">
                      <a:avLst/>
                    </a:prstGeom>
                    <a:noFill/>
                  </pic:spPr>
                </pic:pic>
              </a:graphicData>
            </a:graphic>
          </wp:anchor>
        </w:drawing>
      </w:r>
    </w:p>
    <w:p>
      <w:pPr>
        <w:spacing w:after="0" w:line="28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are the second largest full-line sporting goods and outdoor recreation retailer in the United States, with</w:t>
      </w:r>
    </w:p>
    <w:p>
      <w:pPr>
        <w:spacing w:after="0" w:line="35" w:lineRule="exact"/>
        <w:rPr>
          <w:sz w:val="20"/>
          <w:szCs w:val="20"/>
          <w:color w:val="auto"/>
        </w:rPr>
      </w:pPr>
    </w:p>
    <w:p>
      <w:pPr>
        <w:ind w:left="680" w:right="359"/>
        <w:spacing w:after="0" w:line="253" w:lineRule="auto"/>
        <w:rPr>
          <w:sz w:val="20"/>
          <w:szCs w:val="20"/>
          <w:color w:val="auto"/>
        </w:rPr>
      </w:pPr>
      <w:r>
        <w:rPr>
          <w:rFonts w:ascii="Arial" w:cs="Arial" w:eastAsia="Arial" w:hAnsi="Arial"/>
          <w:sz w:val="18"/>
          <w:szCs w:val="18"/>
          <w:color w:val="auto"/>
        </w:rPr>
        <w:t>2020 net sales of $5.7 billion. We believe our stores are well positioned geographically, with a strong and growing presence in six of the top 10 fastest-growing MSAs, including Dallas, Houston, Atlanta, Austin, Charlotte and San Antonio. As of January 30, 2021, 29% of our stores are in four of the top five fastest-growing MSAs. This deep penetration of our established markets results in high customer awareness of, and loyalty to, the Academy name and frequent visits to our conveniently located stores.</w:t>
      </w:r>
    </w:p>
    <w:p>
      <w:pPr>
        <w:spacing w:after="0" w:line="83" w:lineRule="exact"/>
        <w:rPr>
          <w:sz w:val="20"/>
          <w:szCs w:val="20"/>
          <w:color w:val="auto"/>
        </w:rPr>
      </w:pPr>
    </w:p>
    <w:p>
      <w:pPr>
        <w:ind w:left="680" w:right="299" w:firstLine="360"/>
        <w:spacing w:after="0" w:line="259" w:lineRule="auto"/>
        <w:rPr>
          <w:sz w:val="20"/>
          <w:szCs w:val="20"/>
          <w:color w:val="auto"/>
        </w:rPr>
      </w:pPr>
      <w:r>
        <w:rPr>
          <w:rFonts w:ascii="Arial" w:cs="Arial" w:eastAsia="Arial" w:hAnsi="Arial"/>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680" w:right="279" w:firstLine="360"/>
        <w:spacing w:after="0" w:line="285" w:lineRule="auto"/>
        <w:rPr>
          <w:sz w:val="20"/>
          <w:szCs w:val="20"/>
          <w:color w:val="auto"/>
        </w:rPr>
      </w:pPr>
      <w:r>
        <w:rPr>
          <w:rFonts w:ascii="Arial" w:cs="Arial" w:eastAsia="Arial" w:hAnsi="Arial"/>
          <w:sz w:val="16"/>
          <w:szCs w:val="16"/>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680" w:right="359" w:firstLine="360"/>
        <w:spacing w:after="0" w:line="293" w:lineRule="auto"/>
        <w:rPr>
          <w:sz w:val="20"/>
          <w:szCs w:val="20"/>
          <w:color w:val="auto"/>
        </w:rPr>
      </w:pPr>
      <w:r>
        <w:rPr>
          <w:rFonts w:ascii="Arial" w:cs="Arial" w:eastAsia="Arial" w:hAnsi="Arial"/>
          <w:sz w:val="16"/>
          <w:szCs w:val="16"/>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2020 merchandise sales was comprised of national brand products, with the remainder coming from exclusive products in our portfolio of 19 owned brands. We have minimal product overlap with direct-to-consumer brands and competitors. No single brand we carry accounted for more than 10% of our 2020 sales.</w:t>
      </w:r>
    </w:p>
    <w:p>
      <w:pPr>
        <w:spacing w:after="0" w:line="56" w:lineRule="exact"/>
        <w:rPr>
          <w:sz w:val="20"/>
          <w:szCs w:val="20"/>
          <w:color w:val="auto"/>
        </w:rPr>
      </w:pPr>
    </w:p>
    <w:p>
      <w:pPr>
        <w:ind w:left="680" w:right="319" w:firstLine="360"/>
        <w:spacing w:after="0" w:line="271" w:lineRule="auto"/>
        <w:rPr>
          <w:sz w:val="20"/>
          <w:szCs w:val="20"/>
          <w:color w:val="auto"/>
        </w:rPr>
      </w:pPr>
      <w:r>
        <w:rPr>
          <w:rFonts w:ascii="Arial" w:cs="Arial" w:eastAsia="Arial" w:hAnsi="Arial"/>
          <w:sz w:val="17"/>
          <w:szCs w:val="17"/>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70" w:lineRule="exact"/>
        <w:rPr>
          <w:sz w:val="20"/>
          <w:szCs w:val="20"/>
          <w:color w:val="auto"/>
        </w:rPr>
      </w:pPr>
    </w:p>
    <w:p>
      <w:pPr>
        <w:ind w:left="680" w:right="659" w:firstLine="360"/>
        <w:spacing w:after="0" w:line="342" w:lineRule="auto"/>
        <w:rPr>
          <w:sz w:val="20"/>
          <w:szCs w:val="20"/>
          <w:color w:val="auto"/>
        </w:rPr>
      </w:pPr>
      <w:r>
        <w:rPr>
          <w:rFonts w:ascii="Arial" w:cs="Arial" w:eastAsia="Arial" w:hAnsi="Arial"/>
          <w:sz w:val="16"/>
          <w:szCs w:val="16"/>
          <w:color w:val="auto"/>
        </w:rPr>
        <w:t>Our owned brand portfolio consists of 19 brands, including Magellan Outdoors, BCG, Academy Sports + Outdoors and Outdoor Gourmet. Our owned brand strategy focuses on in-filling categories and price points that</w:t>
      </w:r>
    </w:p>
    <w:p>
      <w:pPr>
        <w:sectPr>
          <w:pgSz w:w="11900" w:h="16838" w:orient="portrait"/>
          <w:cols w:equalWidth="0" w:num="1">
            <w:col w:w="9379"/>
          </w:cols>
          <w:pgMar w:left="1080" w:top="265" w:right="1440" w:bottom="1440" w:gutter="0" w:footer="0" w:header="0"/>
        </w:sectPr>
      </w:pPr>
    </w:p>
    <w:p>
      <w:pPr>
        <w:spacing w:after="0" w:line="353"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162560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847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7847965"/>
                    </a:xfrm>
                    <a:prstGeom prst="rect">
                      <a:avLst/>
                    </a:prstGeom>
                    <a:noFill/>
                  </pic:spPr>
                </pic:pic>
              </a:graphicData>
            </a:graphic>
          </wp:anchor>
        </w:drawing>
      </w:r>
    </w:p>
    <w:p>
      <w:pPr>
        <w:spacing w:after="0" w:line="292" w:lineRule="exact"/>
        <w:rPr>
          <w:sz w:val="20"/>
          <w:szCs w:val="20"/>
          <w:color w:val="auto"/>
        </w:rPr>
      </w:pPr>
    </w:p>
    <w:p>
      <w:pPr>
        <w:ind w:left="680" w:right="319"/>
        <w:spacing w:after="0" w:line="271" w:lineRule="auto"/>
        <w:rPr>
          <w:sz w:val="20"/>
          <w:szCs w:val="20"/>
          <w:color w:val="auto"/>
        </w:rPr>
      </w:pPr>
      <w:r>
        <w:rPr>
          <w:rFonts w:ascii="Arial" w:cs="Arial" w:eastAsia="Arial" w:hAnsi="Arial"/>
          <w:sz w:val="17"/>
          <w:szCs w:val="17"/>
          <w:color w:val="auto"/>
        </w:rPr>
        <w:t>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9.1% and 4.0% in 2020, respectively. Additionally, our owned brands generate strong brand equity and drive significant customer loyalty, as several of our exclusive products, such as the Academy-logo folding chair and folding wagon, are top-selling items. Approximately 56% of our customers purchased an owned brand item from us in 2020. Whether it is seeing a row of Academy-branded chairs at a softball game, or individuals wearing Magellan Outdoors shirts around town, our owned brands are worn and used throughout our footprint.</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680" w:right="319" w:firstLine="360"/>
        <w:spacing w:after="0" w:line="286"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66" w:lineRule="exact"/>
        <w:rPr>
          <w:sz w:val="20"/>
          <w:szCs w:val="20"/>
          <w:color w:val="auto"/>
        </w:rPr>
      </w:pPr>
    </w:p>
    <w:p>
      <w:pPr>
        <w:ind w:left="680" w:right="339" w:firstLine="360"/>
        <w:spacing w:after="0" w:line="286"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–passionate local experts who are specially recruited and trained for category-specific positions.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ind w:left="680" w:right="499" w:firstLine="360"/>
        <w:spacing w:after="0" w:line="30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2020, we estimate we served 30 million unique customers and we completed approximately 80 million transactions, resulting in strong household penetration in our core markets.</w:t>
      </w:r>
    </w:p>
    <w:p>
      <w:pPr>
        <w:spacing w:after="0" w:line="49" w:lineRule="exact"/>
        <w:rPr>
          <w:sz w:val="20"/>
          <w:szCs w:val="20"/>
          <w:color w:val="auto"/>
        </w:rPr>
      </w:pPr>
    </w:p>
    <w:p>
      <w:pPr>
        <w:ind w:left="680" w:right="399" w:firstLine="360"/>
        <w:spacing w:after="0" w:line="273" w:lineRule="auto"/>
        <w:rPr>
          <w:sz w:val="20"/>
          <w:szCs w:val="20"/>
          <w:color w:val="auto"/>
        </w:rPr>
      </w:pPr>
      <w:r>
        <w:rPr>
          <w:rFonts w:ascii="Arial" w:cs="Arial" w:eastAsia="Arial" w:hAnsi="Arial"/>
          <w:sz w:val="17"/>
          <w:szCs w:val="17"/>
          <w:color w:val="auto"/>
        </w:rPr>
        <w:t>Our customers love shopping at Academy. Our average customer visits our stores anywhere from two to three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During 2020, we estimate we have gained approximately five million new customers.</w:t>
      </w:r>
    </w:p>
    <w:p>
      <w:pPr>
        <w:spacing w:after="0" w:line="70" w:lineRule="exact"/>
        <w:rPr>
          <w:sz w:val="20"/>
          <w:szCs w:val="20"/>
          <w:color w:val="auto"/>
        </w:rPr>
      </w:pPr>
    </w:p>
    <w:p>
      <w:pPr>
        <w:ind w:left="680" w:right="319" w:firstLine="360"/>
        <w:spacing w:after="0" w:line="308" w:lineRule="auto"/>
        <w:rPr>
          <w:sz w:val="20"/>
          <w:szCs w:val="20"/>
          <w:color w:val="auto"/>
        </w:rPr>
      </w:pPr>
      <w:r>
        <w:rPr>
          <w:rFonts w:ascii="Arial" w:cs="Arial" w:eastAsia="Arial" w:hAnsi="Arial"/>
          <w:sz w:val="17"/>
          <w:szCs w:val="17"/>
          <w:color w:val="auto"/>
        </w:rPr>
        <w:t>While we serve all customers, our core customers are young active families who are driven to have a life full of different sports and outdoors recreation activities. For these customers, fun is forever at their fingertips,</w:t>
      </w:r>
    </w:p>
    <w:p>
      <w:pPr>
        <w:sectPr>
          <w:pgSz w:w="11900" w:h="16838" w:orient="portrait"/>
          <w:cols w:equalWidth="0" w:num="1">
            <w:col w:w="9379"/>
          </w:cols>
          <w:pgMar w:left="1080" w:top="265" w:right="1440" w:bottom="1440" w:gutter="0" w:footer="0" w:header="0"/>
        </w:sectPr>
      </w:pPr>
    </w:p>
    <w:p>
      <w:pPr>
        <w:spacing w:after="0" w:line="389"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162560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00" w:right="2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8199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pacing w:after="0" w:line="292" w:lineRule="exact"/>
        <w:rPr>
          <w:sz w:val="20"/>
          <w:szCs w:val="20"/>
          <w:color w:val="auto"/>
        </w:rPr>
      </w:pPr>
    </w:p>
    <w:p>
      <w:pPr>
        <w:ind w:left="680" w:right="439"/>
        <w:spacing w:after="0" w:line="257" w:lineRule="auto"/>
        <w:rPr>
          <w:sz w:val="20"/>
          <w:szCs w:val="20"/>
          <w:color w:val="auto"/>
        </w:rPr>
      </w:pPr>
      <w:r>
        <w:rPr>
          <w:rFonts w:ascii="Arial" w:cs="Arial" w:eastAsia="Arial" w:hAnsi="Arial"/>
          <w:sz w:val="18"/>
          <w:szCs w:val="18"/>
          <w:color w:val="auto"/>
        </w:rPr>
        <w:t>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80" w:lineRule="exact"/>
        <w:rPr>
          <w:sz w:val="20"/>
          <w:szCs w:val="20"/>
          <w:color w:val="auto"/>
        </w:rPr>
      </w:pPr>
    </w:p>
    <w:p>
      <w:pPr>
        <w:ind w:left="680" w:right="459" w:firstLine="360"/>
        <w:spacing w:after="0" w:line="271"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680" w:right="299" w:firstLine="360"/>
        <w:spacing w:after="0" w:line="269" w:lineRule="auto"/>
        <w:rPr>
          <w:sz w:val="20"/>
          <w:szCs w:val="20"/>
          <w:color w:val="auto"/>
        </w:rPr>
      </w:pPr>
      <w:r>
        <w:rPr>
          <w:rFonts w:ascii="Arial" w:cs="Arial" w:eastAsia="Arial" w:hAnsi="Arial"/>
          <w:sz w:val="17"/>
          <w:szCs w:val="17"/>
          <w:color w:val="auto"/>
        </w:rPr>
        <w:t>Our company is led by a highly 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over 20 years of retail experience. Seven out of the nine members of our senior management team, including our Chairman, President and Chief Executive Officer, Ken C. Hicks, were hired after early 2017 to lead the development and execution of our strategic growth and initiatives in merchandising, e-commerce and omnichannel, stores, information technology and finance. Together, our senior management has delivered strong results, with six consecutive quarters of positive comparable sales as of the fiscal year ended January 30, 2021, Adjusted EBITDA growth to $607.0 million in 2020, or 88% growth, compared to 2019, and Adjusted Free Cash Flow growth to $978.5 million in 2020 from $196.9 million in 2019.</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680" w:right="279" w:firstLine="360"/>
        <w:spacing w:after="0" w:line="272" w:lineRule="auto"/>
        <w:rPr>
          <w:sz w:val="20"/>
          <w:szCs w:val="20"/>
          <w:color w:val="auto"/>
        </w:rPr>
      </w:pPr>
      <w:r>
        <w:rPr>
          <w:rFonts w:ascii="Arial" w:cs="Arial" w:eastAsia="Arial" w:hAnsi="Arial"/>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69" w:lineRule="exact"/>
        <w:rPr>
          <w:sz w:val="20"/>
          <w:szCs w:val="20"/>
          <w:color w:val="auto"/>
        </w:rPr>
      </w:pPr>
    </w:p>
    <w:p>
      <w:pPr>
        <w:ind w:left="680" w:right="439" w:firstLine="360"/>
        <w:spacing w:after="0" w:line="255" w:lineRule="auto"/>
        <w:rPr>
          <w:sz w:val="20"/>
          <w:szCs w:val="20"/>
          <w:color w:val="auto"/>
        </w:rPr>
      </w:pPr>
      <w:r>
        <w:rPr>
          <w:rFonts w:ascii="Arial" w:cs="Arial" w:eastAsia="Arial" w:hAnsi="Arial"/>
          <w:sz w:val="18"/>
          <w:szCs w:val="18"/>
          <w:color w:val="auto"/>
        </w:rPr>
        <w:t>We have consistently demonstrated steady revenue growth, expanded profit margins and disciplined capital expenditures. We generated $5.7 billion in net sales, $308.8 million in net income and $607.0 million in Adjusted EBITDA in 2020. In 2020, we also generated $1,011.6 million of net cash provided by operating activities and $978.5 million in Adjusted Free Cash Flow, while limiting net capital expenditures to $41.3 million. We have reduced our net leverage ratio to 0.7x as of end of 2020 compared to 4.1x and 5.2x as of the end of 2019 and 2018, respectively.</w:t>
      </w:r>
    </w:p>
    <w:p>
      <w:pPr>
        <w:spacing w:after="0" w:line="84" w:lineRule="exact"/>
        <w:rPr>
          <w:sz w:val="20"/>
          <w:szCs w:val="20"/>
          <w:color w:val="auto"/>
        </w:rPr>
      </w:pPr>
    </w:p>
    <w:p>
      <w:pPr>
        <w:ind w:left="680" w:right="399" w:firstLine="360"/>
        <w:spacing w:after="0" w:line="259"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222 mature stores (stores opened longer than four years) were profitable on a four-wall basis during the fiscal year ended January 30, 2021 and our new stores have average payback periods of four to five years.</w:t>
      </w:r>
    </w:p>
    <w:p>
      <w:pPr>
        <w:spacing w:after="0" w:line="26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are focused on the following four growth drivers:</w:t>
      </w:r>
    </w:p>
    <w:p>
      <w:pPr>
        <w:spacing w:after="0" w:line="30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jc w:val="both"/>
        <w:ind w:left="680" w:right="379" w:firstLine="360"/>
        <w:spacing w:after="0" w:line="286" w:lineRule="auto"/>
        <w:rPr>
          <w:sz w:val="20"/>
          <w:szCs w:val="20"/>
          <w:color w:val="auto"/>
        </w:rPr>
      </w:pPr>
      <w:r>
        <w:rPr>
          <w:rFonts w:ascii="Arial" w:cs="Arial" w:eastAsia="Arial" w:hAnsi="Arial"/>
          <w:sz w:val="17"/>
          <w:szCs w:val="17"/>
          <w:color w:val="auto"/>
        </w:rPr>
        <w:t>Our e-commerce sales represented 10.4% and 5.1% of our merchandise sales for 2020 and 2019, respectively. E-commerce sales compared to the same quarter of the prior year increased 406% in the first quarter of 2020, 210% in the second quarter of 2020, 96% in the third quarter of 2020 and 61% in the</w:t>
      </w:r>
    </w:p>
    <w:p>
      <w:pPr>
        <w:sectPr>
          <w:pgSz w:w="11900" w:h="16838" w:orient="portrait"/>
          <w:cols w:equalWidth="0" w:num="1">
            <w:col w:w="9379"/>
          </w:cols>
          <w:pgMar w:left="1080" w:top="265" w:right="1440" w:bottom="1440" w:gutter="0" w:footer="0" w:header="0"/>
        </w:sectPr>
      </w:pPr>
    </w:p>
    <w:p>
      <w:pPr>
        <w:spacing w:after="0" w:line="395"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162560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470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3405" cy="7470775"/>
                    </a:xfrm>
                    <a:prstGeom prst="rect">
                      <a:avLst/>
                    </a:prstGeom>
                    <a:noFill/>
                  </pic:spPr>
                </pic:pic>
              </a:graphicData>
            </a:graphic>
          </wp:anchor>
        </w:drawing>
      </w:r>
    </w:p>
    <w:p>
      <w:pPr>
        <w:spacing w:after="0" w:line="292" w:lineRule="exact"/>
        <w:rPr>
          <w:sz w:val="20"/>
          <w:szCs w:val="20"/>
          <w:color w:val="auto"/>
        </w:rPr>
      </w:pPr>
    </w:p>
    <w:p>
      <w:pPr>
        <w:ind w:left="680" w:right="459"/>
        <w:spacing w:after="0" w:line="273" w:lineRule="auto"/>
        <w:rPr>
          <w:sz w:val="20"/>
          <w:szCs w:val="20"/>
          <w:color w:val="auto"/>
        </w:rPr>
      </w:pPr>
      <w:r>
        <w:rPr>
          <w:rFonts w:ascii="Arial" w:cs="Arial" w:eastAsia="Arial" w:hAnsi="Arial"/>
          <w:sz w:val="17"/>
          <w:szCs w:val="17"/>
          <w:color w:val="auto"/>
        </w:rPr>
        <w:t>fourth quarter of 2020. Our goal is to increase our omnichannel penetration quickly and significantly. To meet this goal, since 2011, we have invested $230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70" w:lineRule="exact"/>
        <w:rPr>
          <w:sz w:val="20"/>
          <w:szCs w:val="20"/>
          <w:color w:val="auto"/>
        </w:rPr>
      </w:pPr>
    </w:p>
    <w:p>
      <w:pPr>
        <w:ind w:left="680" w:right="379" w:firstLine="360"/>
        <w:spacing w:after="0" w:line="269"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2020, our omnichannel customers spent 50% more than our store-only customers and 316% more than our online only customers. Since we launched our BOPIS program in 2019, we have seen significant e-commerce penetration that generates higher average order value and incremental in-store purchases. BOPIS orders accounted for 51% of all e-commerce sales during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third quarter of 2020, which will continue to give our customers more options on how to shop Academy.</w:t>
      </w:r>
    </w:p>
    <w:p>
      <w:pPr>
        <w:spacing w:after="0" w:line="77" w:lineRule="exact"/>
        <w:rPr>
          <w:sz w:val="20"/>
          <w:szCs w:val="20"/>
          <w:color w:val="auto"/>
        </w:rPr>
      </w:pPr>
    </w:p>
    <w:p>
      <w:pPr>
        <w:ind w:left="680" w:right="299" w:firstLine="360"/>
        <w:spacing w:after="0" w:line="290" w:lineRule="auto"/>
        <w:rPr>
          <w:sz w:val="20"/>
          <w:szCs w:val="20"/>
          <w:color w:val="auto"/>
        </w:rPr>
      </w:pPr>
      <w:r>
        <w:rPr>
          <w:rFonts w:ascii="Arial" w:cs="Arial" w:eastAsia="Arial" w:hAnsi="Arial"/>
          <w:sz w:val="16"/>
          <w:szCs w:val="16"/>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2020, we reached approximately 6.3 million unique households in 47 states through ship-to-home orders made through our website. In 2020, 14%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31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680" w:right="339" w:firstLine="360"/>
        <w:spacing w:after="0" w:line="279" w:lineRule="auto"/>
        <w:rPr>
          <w:sz w:val="20"/>
          <w:szCs w:val="20"/>
          <w:color w:val="auto"/>
        </w:rPr>
      </w:pPr>
      <w:r>
        <w:rPr>
          <w:rFonts w:ascii="Arial" w:cs="Arial" w:eastAsia="Arial" w:hAnsi="Arial"/>
          <w:sz w:val="17"/>
          <w:szCs w:val="17"/>
          <w:color w:val="auto"/>
        </w:rPr>
        <w:t>We believe we have a significant opportunity to continue to expand our customer base. Better understanding our customers’ buying trends allows us to better target and cater to our customers. Our robust customer database has 40 million unique customers, and we continue to grow this through increased penetration of e-commerce sales and through the success of our Academy Credit Card program.</w:t>
      </w:r>
    </w:p>
    <w:p>
      <w:pPr>
        <w:spacing w:after="0" w:line="63" w:lineRule="exact"/>
        <w:rPr>
          <w:sz w:val="20"/>
          <w:szCs w:val="20"/>
          <w:color w:val="auto"/>
        </w:rPr>
      </w:pPr>
    </w:p>
    <w:p>
      <w:pPr>
        <w:ind w:left="680" w:right="619" w:firstLine="360"/>
        <w:spacing w:after="0" w:line="286" w:lineRule="auto"/>
        <w:rPr>
          <w:sz w:val="20"/>
          <w:szCs w:val="20"/>
          <w:color w:val="auto"/>
        </w:rPr>
      </w:pPr>
      <w:r>
        <w:rPr>
          <w:rFonts w:ascii="Arial" w:cs="Arial" w:eastAsia="Arial" w:hAnsi="Arial"/>
          <w:sz w:val="16"/>
          <w:szCs w:val="16"/>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w:t>
      </w:r>
    </w:p>
    <w:p>
      <w:pPr>
        <w:spacing w:after="0" w:line="1" w:lineRule="exact"/>
        <w:rPr>
          <w:sz w:val="20"/>
          <w:szCs w:val="20"/>
          <w:color w:val="auto"/>
        </w:rPr>
      </w:pPr>
    </w:p>
    <w:p>
      <w:pPr>
        <w:ind w:left="680" w:right="559"/>
        <w:spacing w:after="0" w:line="302" w:lineRule="auto"/>
        <w:rPr>
          <w:sz w:val="20"/>
          <w:szCs w:val="20"/>
          <w:color w:val="auto"/>
        </w:rPr>
      </w:pPr>
      <w:r>
        <w:rPr>
          <w:rFonts w:ascii="Arial" w:cs="Arial" w:eastAsia="Arial" w:hAnsi="Arial"/>
          <w:sz w:val="16"/>
          <w:szCs w:val="16"/>
          <w:color w:val="auto"/>
        </w:rPr>
        <w:t>40 million customers in our database, there is ample opportunity to increase our communication directly with our customers via one-on-one marketing. We are also leveraging the information from our approximately 80 million annual transactions in 2020 to make more informed, localized decisions on promotion, marketing and inventory.</w:t>
      </w:r>
    </w:p>
    <w:p>
      <w:pPr>
        <w:spacing w:after="0" w:line="47" w:lineRule="exact"/>
        <w:rPr>
          <w:sz w:val="20"/>
          <w:szCs w:val="20"/>
          <w:color w:val="auto"/>
        </w:rPr>
      </w:pPr>
    </w:p>
    <w:p>
      <w:pPr>
        <w:ind w:left="680" w:right="359" w:firstLine="360"/>
        <w:spacing w:after="0" w:line="289" w:lineRule="auto"/>
        <w:rPr>
          <w:sz w:val="20"/>
          <w:szCs w:val="20"/>
          <w:color w:val="auto"/>
        </w:rPr>
      </w:pPr>
      <w:r>
        <w:rPr>
          <w:rFonts w:ascii="Arial" w:cs="Arial" w:eastAsia="Arial" w:hAnsi="Arial"/>
          <w:sz w:val="16"/>
          <w:szCs w:val="16"/>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4.5% of our net sales in 2020. We believe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58" w:lineRule="exact"/>
        <w:rPr>
          <w:sz w:val="20"/>
          <w:szCs w:val="20"/>
          <w:color w:val="auto"/>
        </w:rPr>
      </w:pPr>
    </w:p>
    <w:p>
      <w:pPr>
        <w:ind w:left="680" w:right="499" w:firstLine="360"/>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40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890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7890510"/>
                    </a:xfrm>
                    <a:prstGeom prst="rect">
                      <a:avLst/>
                    </a:prstGeom>
                    <a:noFill/>
                  </pic:spPr>
                </pic:pic>
              </a:graphicData>
            </a:graphic>
          </wp:anchor>
        </w:drawing>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ind w:left="680" w:right="359" w:firstLine="360"/>
        <w:spacing w:after="0" w:line="259"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79" w:lineRule="exact"/>
        <w:rPr>
          <w:sz w:val="20"/>
          <w:szCs w:val="20"/>
          <w:color w:val="auto"/>
        </w:rPr>
      </w:pPr>
    </w:p>
    <w:p>
      <w:pPr>
        <w:ind w:left="680" w:right="339" w:firstLine="360"/>
        <w:spacing w:after="0" w:line="271" w:lineRule="auto"/>
        <w:rPr>
          <w:sz w:val="20"/>
          <w:szCs w:val="20"/>
          <w:color w:val="auto"/>
        </w:rPr>
      </w:pPr>
      <w:r>
        <w:rPr>
          <w:rFonts w:ascii="Arial" w:cs="Arial" w:eastAsia="Arial" w:hAnsi="Arial"/>
          <w:sz w:val="17"/>
          <w:szCs w:val="17"/>
          <w:color w:val="auto"/>
        </w:rPr>
        <w:t>Much of our margin expansion from 2019 to 2020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2.84x in 2019 to 3.89x in 2020, and has helped us to identify and exit certain product categories, such as luggage and toys.</w:t>
      </w:r>
    </w:p>
    <w:p>
      <w:pPr>
        <w:spacing w:after="0" w:line="70" w:lineRule="exact"/>
        <w:rPr>
          <w:sz w:val="20"/>
          <w:szCs w:val="20"/>
          <w:color w:val="auto"/>
        </w:rPr>
      </w:pPr>
    </w:p>
    <w:p>
      <w:pPr>
        <w:ind w:left="680" w:right="359" w:firstLine="360"/>
        <w:spacing w:after="0" w:line="259"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79" w:lineRule="exact"/>
        <w:rPr>
          <w:sz w:val="20"/>
          <w:szCs w:val="20"/>
          <w:color w:val="auto"/>
        </w:rPr>
      </w:pPr>
    </w:p>
    <w:p>
      <w:pPr>
        <w:ind w:left="680" w:right="319" w:firstLine="360"/>
        <w:spacing w:after="0" w:line="290" w:lineRule="auto"/>
        <w:rPr>
          <w:sz w:val="20"/>
          <w:szCs w:val="20"/>
          <w:color w:val="auto"/>
        </w:rPr>
      </w:pPr>
      <w:r>
        <w:rPr>
          <w:rFonts w:ascii="Arial" w:cs="Arial" w:eastAsia="Arial" w:hAnsi="Arial"/>
          <w:sz w:val="16"/>
          <w:szCs w:val="16"/>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of 2020 as a result of a shift in consumer preferences due to the COVID-19 pandemic and the related increased popularity in our isolated recreation, outdoor and leisure activity products, which are generally lower margin goods.</w:t>
      </w:r>
    </w:p>
    <w:p>
      <w:pPr>
        <w:spacing w:after="0" w:line="57" w:lineRule="exact"/>
        <w:rPr>
          <w:sz w:val="20"/>
          <w:szCs w:val="20"/>
          <w:color w:val="auto"/>
        </w:rPr>
      </w:pPr>
    </w:p>
    <w:p>
      <w:pPr>
        <w:ind w:left="680" w:right="459" w:firstLine="360"/>
        <w:spacing w:after="0" w:line="311" w:lineRule="auto"/>
        <w:rPr>
          <w:sz w:val="20"/>
          <w:szCs w:val="20"/>
          <w:color w:val="auto"/>
        </w:rPr>
      </w:pPr>
      <w:r>
        <w:rPr>
          <w:rFonts w:ascii="Arial" w:cs="Arial" w:eastAsia="Arial" w:hAnsi="Arial"/>
          <w:sz w:val="16"/>
          <w:szCs w:val="16"/>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680" w:right="319" w:firstLine="360"/>
        <w:spacing w:after="0" w:line="273" w:lineRule="auto"/>
        <w:rPr>
          <w:sz w:val="20"/>
          <w:szCs w:val="20"/>
          <w:color w:val="auto"/>
        </w:rPr>
      </w:pPr>
      <w:r>
        <w:rPr>
          <w:rFonts w:ascii="Arial" w:cs="Arial" w:eastAsia="Arial" w:hAnsi="Arial"/>
          <w:sz w:val="17"/>
          <w:szCs w:val="17"/>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January 30, 2021, we had 222 mature stores, and all but one were profitable on a four-wall basis. We expect to open eight to 10 new stores per year starting in 2022, which is similar to our growth rates from 2018 to 2019.</w:t>
      </w:r>
    </w:p>
    <w:p>
      <w:pPr>
        <w:spacing w:after="0" w:line="29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680" w:right="339" w:firstLine="360"/>
        <w:spacing w:after="0" w:line="257"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32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680" w:right="299" w:firstLine="360"/>
        <w:spacing w:after="0" w:line="259"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ectPr>
          <w:pgSz w:w="11900" w:h="16838" w:orient="portrait"/>
          <w:cols w:equalWidth="0" w:num="1">
            <w:col w:w="9379"/>
          </w:cols>
          <w:pgMar w:left="1080" w:top="265"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162560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800" w:right="1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8328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8328025"/>
                    </a:xfrm>
                    <a:prstGeom prst="rect">
                      <a:avLst/>
                    </a:prstGeom>
                    <a:noFill/>
                  </pic:spPr>
                </pic:pic>
              </a:graphicData>
            </a:graphic>
          </wp:anchor>
        </w:drawing>
      </w:r>
    </w:p>
    <w:p>
      <w:pPr>
        <w:spacing w:after="0" w:line="29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680" w:right="499" w:firstLine="360"/>
        <w:spacing w:after="0" w:line="259" w:lineRule="auto"/>
        <w:rPr>
          <w:sz w:val="20"/>
          <w:szCs w:val="20"/>
          <w:color w:val="auto"/>
        </w:rPr>
      </w:pPr>
      <w:r>
        <w:rPr>
          <w:rFonts w:ascii="Arial" w:cs="Arial" w:eastAsia="Arial" w:hAnsi="Arial"/>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right="379" w:firstLine="360"/>
        <w:spacing w:after="0" w:line="286" w:lineRule="auto"/>
        <w:rPr>
          <w:sz w:val="20"/>
          <w:szCs w:val="20"/>
          <w:color w:val="auto"/>
        </w:rPr>
      </w:pPr>
      <w:r>
        <w:rPr>
          <w:rFonts w:ascii="Arial" w:cs="Arial" w:eastAsia="Arial" w:hAnsi="Arial"/>
          <w:sz w:val="17"/>
          <w:szCs w:val="17"/>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57" w:lineRule="exact"/>
        <w:rPr>
          <w:sz w:val="20"/>
          <w:szCs w:val="20"/>
          <w:color w:val="auto"/>
        </w:rPr>
      </w:pPr>
    </w:p>
    <w:p>
      <w:pPr>
        <w:ind w:left="680" w:right="379" w:firstLine="360"/>
        <w:spacing w:after="0" w:line="259"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Preliminary, Unaudited Estimates for the First Quarter of 2021</w:t>
      </w:r>
    </w:p>
    <w:p>
      <w:pPr>
        <w:spacing w:after="0" w:line="117" w:lineRule="exact"/>
        <w:rPr>
          <w:sz w:val="20"/>
          <w:szCs w:val="20"/>
          <w:color w:val="auto"/>
        </w:rPr>
      </w:pPr>
    </w:p>
    <w:p>
      <w:pPr>
        <w:ind w:left="1020"/>
        <w:spacing w:after="0"/>
        <w:tabs>
          <w:tab w:leader="none" w:pos="5940" w:val="left"/>
        </w:tabs>
        <w:rPr>
          <w:sz w:val="20"/>
          <w:szCs w:val="20"/>
          <w:color w:val="auto"/>
        </w:rPr>
      </w:pPr>
      <w:r>
        <w:rPr>
          <w:rFonts w:ascii="Arial" w:cs="Arial" w:eastAsia="Arial" w:hAnsi="Arial"/>
          <w:sz w:val="18"/>
          <w:szCs w:val="18"/>
          <w:color w:val="auto"/>
        </w:rPr>
        <w:t>We estimate that our comparable sales increased approximately</w:t>
      </w:r>
      <w:r>
        <w:rPr>
          <w:sz w:val="20"/>
          <w:szCs w:val="20"/>
          <w:color w:val="auto"/>
        </w:rPr>
        <w:tab/>
      </w:r>
      <w:r>
        <w:rPr>
          <w:rFonts w:ascii="Arial" w:cs="Arial" w:eastAsia="Arial" w:hAnsi="Arial"/>
          <w:sz w:val="16"/>
          <w:szCs w:val="16"/>
          <w:color w:val="auto"/>
        </w:rPr>
        <w:t>% during the thirteen-week period ended</w:t>
      </w:r>
    </w:p>
    <w:p>
      <w:pPr>
        <w:spacing w:after="0" w:line="23" w:lineRule="exact"/>
        <w:rPr>
          <w:sz w:val="20"/>
          <w:szCs w:val="20"/>
          <w:color w:val="auto"/>
        </w:rPr>
      </w:pPr>
    </w:p>
    <w:p>
      <w:pPr>
        <w:ind w:left="680"/>
        <w:spacing w:after="0"/>
        <w:tabs>
          <w:tab w:leader="none" w:pos="8460" w:val="left"/>
        </w:tabs>
        <w:rPr>
          <w:sz w:val="20"/>
          <w:szCs w:val="20"/>
          <w:color w:val="auto"/>
        </w:rPr>
      </w:pPr>
      <w:r>
        <w:rPr>
          <w:rFonts w:ascii="Arial" w:cs="Arial" w:eastAsia="Arial" w:hAnsi="Arial"/>
          <w:sz w:val="18"/>
          <w:szCs w:val="18"/>
          <w:color w:val="auto"/>
        </w:rPr>
        <w:t>May 1, 2021 (the “first quarter of 2021”). This comparable sales increase was driven primarily by</w:t>
      </w:r>
      <w:r>
        <w:rPr>
          <w:sz w:val="20"/>
          <w:szCs w:val="20"/>
          <w:color w:val="auto"/>
        </w:rPr>
        <w:tab/>
      </w:r>
      <w:r>
        <w:rPr>
          <w:rFonts w:ascii="Arial" w:cs="Arial" w:eastAsia="Arial" w:hAnsi="Arial"/>
          <w:sz w:val="16"/>
          <w:szCs w:val="16"/>
          <w:color w:val="auto"/>
        </w:rPr>
        <w:t>. As of</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May 1, 2021, we operated 259 retail locations in 16 states.</w:t>
      </w:r>
    </w:p>
    <w:p>
      <w:pPr>
        <w:spacing w:after="0" w:line="103" w:lineRule="exact"/>
        <w:rPr>
          <w:sz w:val="20"/>
          <w:szCs w:val="20"/>
          <w:color w:val="auto"/>
        </w:rPr>
      </w:pPr>
    </w:p>
    <w:p>
      <w:pPr>
        <w:ind w:left="680" w:right="459" w:firstLine="360"/>
        <w:spacing w:after="0" w:line="342" w:lineRule="auto"/>
        <w:rPr>
          <w:sz w:val="20"/>
          <w:szCs w:val="20"/>
          <w:color w:val="auto"/>
        </w:rPr>
      </w:pPr>
      <w:r>
        <w:rPr>
          <w:rFonts w:ascii="Arial" w:cs="Arial" w:eastAsia="Arial" w:hAnsi="Arial"/>
          <w:sz w:val="16"/>
          <w:szCs w:val="16"/>
          <w:color w:val="auto"/>
        </w:rPr>
        <w:t>This preliminary financial information is for the first quarter of 2021. The unaudited, estimated results for the first quarter of 2021 are preliminary, based upon our estimates and currently available information, and are</w:t>
      </w:r>
    </w:p>
    <w:p>
      <w:pPr>
        <w:sectPr>
          <w:pgSz w:w="11900" w:h="16838" w:orient="portrait"/>
          <w:cols w:equalWidth="0" w:num="1">
            <w:col w:w="9379"/>
          </w:cols>
          <w:pgMar w:left="1080" w:top="265" w:right="1440" w:bottom="1440" w:gutter="0" w:footer="0" w:header="0"/>
        </w:sectPr>
      </w:pPr>
    </w:p>
    <w:p>
      <w:pPr>
        <w:spacing w:after="0" w:line="367"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8105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92" w:lineRule="exact"/>
        <w:rPr>
          <w:sz w:val="20"/>
          <w:szCs w:val="20"/>
          <w:color w:val="auto"/>
        </w:rPr>
      </w:pPr>
    </w:p>
    <w:p>
      <w:pPr>
        <w:ind w:left="680" w:right="299"/>
        <w:spacing w:after="0" w:line="269" w:lineRule="auto"/>
        <w:rPr>
          <w:sz w:val="20"/>
          <w:szCs w:val="20"/>
          <w:color w:val="auto"/>
        </w:rPr>
      </w:pPr>
      <w:r>
        <w:rPr>
          <w:rFonts w:ascii="Arial" w:cs="Arial" w:eastAsia="Arial" w:hAnsi="Arial"/>
          <w:sz w:val="17"/>
          <w:szCs w:val="17"/>
          <w:color w:val="auto"/>
        </w:rPr>
        <w:t>subject to revision based upon, among other things, quarter-end closing procedures and/or adjustments, the completion of our interim consolidated financial statements and other operational procedures. This preliminary financial information should not be viewed as a substitute for full interim financial statements prepared in accordance with GAAP and reviewed by our auditors. These preliminary results are not necessarily indicative of the results to be achieved for the first quarter of 2021 or any future period. Our actual results may be materially different from our estimates, which should not be regarded as a representation by us, our management, the selling stockholders or the underwriters as to our actual results for the first quarter of 2021. You should not place undue reliance on these estimates. This preliminary financial data has been prepared by, and is the responsibility of, our management. Deloitte &amp; Touche LLP has not audited, reviewed, compiled or performed any procedures with respect to the accompanying preliminary financial data. Accordingly, Deloitte &amp; Touche LLP does not express an opinion or any other form of assurance with respect thereto.</w:t>
      </w:r>
    </w:p>
    <w:p>
      <w:pPr>
        <w:spacing w:after="0" w:line="3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Cessation of Controlled Company Status</w:t>
      </w:r>
    </w:p>
    <w:p>
      <w:pPr>
        <w:spacing w:after="0" w:line="117" w:lineRule="exact"/>
        <w:rPr>
          <w:sz w:val="20"/>
          <w:szCs w:val="20"/>
          <w:color w:val="auto"/>
        </w:rPr>
      </w:pPr>
    </w:p>
    <w:p>
      <w:pPr>
        <w:ind w:left="680" w:right="379" w:firstLine="360"/>
        <w:spacing w:after="0" w:line="269" w:lineRule="auto"/>
        <w:rPr>
          <w:sz w:val="20"/>
          <w:szCs w:val="20"/>
          <w:color w:val="auto"/>
        </w:rPr>
      </w:pPr>
      <w:r>
        <w:rPr>
          <w:rFonts w:ascii="Arial" w:cs="Arial" w:eastAsia="Arial" w:hAnsi="Arial"/>
          <w:sz w:val="17"/>
          <w:szCs w:val="17"/>
          <w:color w:val="auto"/>
        </w:rPr>
        <w:t>On April 12, 2021, certain of our stockholders completed a sale (the “April 2021 Sale”) of 9,000,000 shares of our common stock pursuant to Rule 144 under the Securities Act of 1933, as amended (the “Securities Act”). 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 from the date of the April 2021 Sale. See “Risk Factors—Risks Related to this Offering and Ownership of Our Common Stock—As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32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680" w:right="299" w:firstLine="360"/>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included elsewhere in this prospectus and “Risk Factors” in our Annual Report incorporated by reference herein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4" w:lineRule="exact"/>
        <w:rPr>
          <w:sz w:val="20"/>
          <w:szCs w:val="20"/>
          <w:color w:val="auto"/>
        </w:rPr>
      </w:pPr>
    </w:p>
    <w:p>
      <w:pPr>
        <w:ind w:left="1380" w:hanging="350"/>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380" w:right="359" w:hanging="350"/>
        <w:spacing w:after="0" w:line="308" w:lineRule="auto"/>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380" w:hanging="350"/>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380" w:right="399" w:hanging="350"/>
        <w:spacing w:after="0" w:line="277"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380" w:hanging="350"/>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380" w:right="359" w:hanging="350"/>
        <w:spacing w:after="0" w:line="277"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380" w:right="739" w:hanging="350"/>
        <w:spacing w:after="0" w:line="277"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380" w:hanging="350"/>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disruptions in our supply chain and losses of merchandise purchasing incentives;</w:t>
      </w:r>
    </w:p>
    <w:p>
      <w:pPr>
        <w:spacing w:after="0" w:line="128" w:lineRule="exact"/>
        <w:rPr>
          <w:rFonts w:ascii="Arial" w:cs="Arial" w:eastAsia="Arial" w:hAnsi="Arial"/>
          <w:sz w:val="17"/>
          <w:szCs w:val="17"/>
          <w:color w:val="auto"/>
        </w:rPr>
      </w:pPr>
    </w:p>
    <w:p>
      <w:pPr>
        <w:ind w:left="1380" w:hanging="350"/>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380" w:hanging="350"/>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indebtedness;</w:t>
      </w:r>
    </w:p>
    <w:p>
      <w:pPr>
        <w:sectPr>
          <w:pgSz w:w="11900" w:h="16838" w:orient="portrait"/>
          <w:cols w:equalWidth="0" w:num="1">
            <w:col w:w="9379"/>
          </w:cols>
          <w:pgMar w:left="1080" w:top="265"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149225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860" w:right="1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2464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3405" cy="2464435"/>
                    </a:xfrm>
                    <a:prstGeom prst="rect">
                      <a:avLst/>
                    </a:prstGeom>
                    <a:noFill/>
                  </pic:spPr>
                </pic:pic>
              </a:graphicData>
            </a:graphic>
          </wp:anchor>
        </w:drawing>
      </w:r>
    </w:p>
    <w:p>
      <w:pPr>
        <w:spacing w:after="0" w:line="292" w:lineRule="exact"/>
        <w:rPr>
          <w:sz w:val="20"/>
          <w:szCs w:val="20"/>
          <w:color w:val="auto"/>
        </w:rPr>
      </w:pPr>
    </w:p>
    <w:p>
      <w:pPr>
        <w:ind w:left="1380" w:right="439" w:hanging="350"/>
        <w:spacing w:after="0" w:line="263"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qualification for exemptions from certain corporate governance requirements during the one-year transition period after our loss of “controlled company” status within the meaning of Nasdaq listing rules upon completion of the April 2021 Sale; and</w:t>
      </w:r>
    </w:p>
    <w:p>
      <w:pPr>
        <w:spacing w:after="0" w:line="75" w:lineRule="exact"/>
        <w:rPr>
          <w:rFonts w:ascii="Arial" w:cs="Arial" w:eastAsia="Arial" w:hAnsi="Arial"/>
          <w:sz w:val="18"/>
          <w:szCs w:val="18"/>
          <w:color w:val="auto"/>
        </w:rPr>
      </w:pPr>
    </w:p>
    <w:p>
      <w:pPr>
        <w:ind w:left="1380" w:right="499" w:hanging="350"/>
        <w:spacing w:after="0" w:line="277"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KKR Stockholders having the ability to exert substantial influence over us and their interests conflicting with ours or yours in the future.</w:t>
      </w:r>
    </w:p>
    <w:p>
      <w:pPr>
        <w:spacing w:after="0" w:line="31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680" w:right="1279" w:firstLine="360"/>
        <w:spacing w:after="0" w:line="277" w:lineRule="auto"/>
        <w:rPr>
          <w:sz w:val="20"/>
          <w:szCs w:val="20"/>
          <w:color w:val="auto"/>
        </w:rPr>
      </w:pPr>
      <w:r>
        <w:rPr>
          <w:rFonts w:ascii="Arial" w:cs="Arial" w:eastAsia="Arial" w:hAnsi="Arial"/>
          <w:sz w:val="18"/>
          <w:szCs w:val="18"/>
          <w:color w:val="auto"/>
        </w:rPr>
        <w:t>Our common stock began trading on Nasdaq under the symbol “ASO” on October 2, 2020 and we consummated the IPO on October 6, 2020.</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principal offices are located at 1800 North Mason Road, Katy, Texas 77449. Our telephone number is</w:t>
      </w:r>
    </w:p>
    <w:p>
      <w:pPr>
        <w:spacing w:after="0" w:line="46" w:lineRule="exact"/>
        <w:rPr>
          <w:sz w:val="20"/>
          <w:szCs w:val="20"/>
          <w:color w:val="auto"/>
        </w:rPr>
      </w:pPr>
    </w:p>
    <w:p>
      <w:pPr>
        <w:jc w:val="both"/>
        <w:ind w:left="680" w:right="439" w:hanging="10"/>
        <w:spacing w:after="0" w:line="255" w:lineRule="auto"/>
        <w:tabs>
          <w:tab w:leader="none" w:pos="11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646-5200. We maintain a website at academy.com. The reference to our website is intended to be an inactive textual reference only. </w:t>
      </w:r>
      <w:r>
        <w:rPr>
          <w:rFonts w:ascii="Arial" w:cs="Arial" w:eastAsia="Arial" w:hAnsi="Arial"/>
          <w:sz w:val="18"/>
          <w:szCs w:val="18"/>
          <w:b w:val="1"/>
          <w:bCs w:val="1"/>
          <w:color w:val="auto"/>
        </w:rPr>
        <w:t>The information contained on, or that can be accessed through, our website is not part</w:t>
      </w:r>
      <w:r>
        <w:rPr>
          <w:rFonts w:ascii="Arial" w:cs="Arial" w:eastAsia="Arial" w:hAnsi="Arial"/>
          <w:sz w:val="18"/>
          <w:szCs w:val="18"/>
          <w:color w:val="auto"/>
        </w:rPr>
        <w:t xml:space="preserve"> </w:t>
      </w:r>
      <w:r>
        <w:rPr>
          <w:rFonts w:ascii="Arial" w:cs="Arial" w:eastAsia="Arial" w:hAnsi="Arial"/>
          <w:sz w:val="18"/>
          <w:szCs w:val="18"/>
          <w:b w:val="1"/>
          <w:bCs w:val="1"/>
          <w:color w:val="auto"/>
        </w:rPr>
        <w:t>of this prospectus.</w:t>
      </w:r>
    </w:p>
    <w:p>
      <w:pPr>
        <w:spacing w:after="0" w:line="200" w:lineRule="exact"/>
        <w:rPr>
          <w:sz w:val="20"/>
          <w:szCs w:val="20"/>
          <w:color w:val="auto"/>
        </w:rPr>
      </w:pPr>
    </w:p>
    <w:p>
      <w:pPr>
        <w:spacing w:after="0" w:line="21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19" w:name="page20"/>
    <w:bookmarkEnd w:id="19"/>
    <w:p>
      <w:pPr>
        <w:spacing w:after="0" w:line="209" w:lineRule="auto"/>
        <w:framePr w:w="3020" w:h="160" w:wrap="auto" w:vAnchor="page" w:hAnchor="page" w:x="6040" w:y="3503"/>
        <w:rPr>
          <w:rFonts w:ascii="Arial" w:cs="Arial" w:eastAsia="Arial" w:hAnsi="Arial"/>
          <w:sz w:val="16"/>
          <w:szCs w:val="16"/>
          <w:color w:val="auto"/>
        </w:rPr>
      </w:pPr>
      <w:r>
        <w:rPr>
          <w:rFonts w:ascii="Arial" w:cs="Arial" w:eastAsia="Arial" w:hAnsi="Arial"/>
          <w:sz w:val="16"/>
          <w:szCs w:val="16"/>
          <w:color w:val="auto"/>
        </w:rPr>
        <w:t>93,800,559 shares (as of April 12, 2021).</w:t>
      </w:r>
    </w:p>
    <w:p>
      <w:pPr>
        <w:spacing w:after="0" w:line="272" w:lineRule="auto"/>
        <w:framePr w:w="4140" w:h="1672" w:wrap="auto" w:vAnchor="page" w:hAnchor="page" w:x="6040" w:y="3854"/>
        <w:rPr>
          <w:rFonts w:ascii="Arial" w:cs="Arial" w:eastAsia="Arial" w:hAnsi="Arial"/>
          <w:sz w:val="16"/>
          <w:szCs w:val="16"/>
          <w:color w:val="auto"/>
        </w:rPr>
      </w:pPr>
      <w:r>
        <w:rPr>
          <w:rFonts w:ascii="Arial" w:cs="Arial" w:eastAsia="Arial" w:hAnsi="Arial"/>
          <w:sz w:val="16"/>
          <w:szCs w:val="16"/>
          <w:color w:val="auto"/>
        </w:rPr>
        <w:t>We will not receive any proceeds from the sale of shares being sold in this offering including from any exercise by the underwriters of their option to purchase additional shares. The selling stockholders will receive all of the net proceeds and bear all commissions and discounts, if any, from the sale of our common stock pursuant to this prospectus. See “Use of Proceeds” and “Principal and Selling Stockholders.”</w:t>
      </w:r>
    </w:p>
    <w:p>
      <w:pPr>
        <w:spacing w:after="0" w:line="275" w:lineRule="auto"/>
        <w:framePr w:w="4120" w:h="2536" w:wrap="auto" w:vAnchor="page" w:hAnchor="page" w:x="6040" w:y="5690"/>
        <w:rPr>
          <w:rFonts w:ascii="Arial" w:cs="Arial" w:eastAsia="Arial" w:hAnsi="Arial"/>
          <w:sz w:val="16"/>
          <w:szCs w:val="16"/>
          <w:color w:val="auto"/>
        </w:rPr>
      </w:pPr>
      <w:r>
        <w:rPr>
          <w:rFonts w:ascii="Arial" w:cs="Arial" w:eastAsia="Arial" w:hAnsi="Arial"/>
          <w:sz w:val="16"/>
          <w:szCs w:val="16"/>
          <w:color w:val="auto"/>
        </w:rPr>
        <w:t>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w:t>
      </w:r>
    </w:p>
    <w:p>
      <w:pPr>
        <w:spacing w:after="0" w:line="279" w:lineRule="auto"/>
        <w:framePr w:w="4160" w:h="3616" w:wrap="auto" w:vAnchor="page" w:hAnchor="page" w:x="6040" w:y="8431"/>
        <w:rPr>
          <w:rFonts w:ascii="Arial" w:cs="Arial" w:eastAsia="Arial" w:hAnsi="Arial"/>
          <w:sz w:val="16"/>
          <w:szCs w:val="16"/>
          <w:color w:val="auto"/>
        </w:rPr>
      </w:pPr>
      <w:r>
        <w:rPr>
          <w:rFonts w:ascii="Arial" w:cs="Arial" w:eastAsia="Arial" w:hAnsi="Arial"/>
          <w:sz w:val="16"/>
          <w:szCs w:val="16"/>
          <w:color w:val="auto"/>
        </w:rPr>
        <w:t>The KKR Stockholders beneficially own in excess of 10% of our issued and outstanding common stock and will be selling stockholders in this offering and, as such, will receive in excess of 5% of the net proceeds of the offering. Because KKR Capital Markets LLC, an affiliate of the KKR Stockholders, is an underwriter in this offering, KKR Capital Markets LLC is deemed to have a “conflict of interest” under Rule 5121, or Rule 5121, of the Financial Industry Regulatory Authority, Inc., or FINRA. Accordingly, this offering is being made in compliance with the requirements of Rule 5121. Pursuant to that rule, the appointment of a “qualified independent underwriter” is not required in connection with this offering, because a bona fide public market exists in the shares, as that term is defined in Rule 5121. See “Principal and Selling Stockholders” and “Underwriting (Conflicts of Interest).”</w:t>
      </w:r>
    </w:p>
    <w:p>
      <w:pPr>
        <w:spacing w:after="0" w:line="263" w:lineRule="auto"/>
        <w:framePr w:w="3780" w:h="808" w:wrap="auto" w:vAnchor="page" w:hAnchor="page" w:x="6040" w:y="12251"/>
        <w:rPr>
          <w:rFonts w:ascii="Arial" w:cs="Arial" w:eastAsia="Arial" w:hAnsi="Arial"/>
          <w:sz w:val="16"/>
          <w:szCs w:val="16"/>
          <w:color w:val="auto"/>
        </w:rPr>
      </w:pPr>
      <w:r>
        <w:rPr>
          <w:rFonts w:ascii="Arial" w:cs="Arial" w:eastAsia="Arial" w:hAnsi="Arial"/>
          <w:sz w:val="16"/>
          <w:szCs w:val="16"/>
          <w:color w:val="auto"/>
        </w:rPr>
        <w:t>We have no current plans to pay dividends on our common stock. Any decision to declare and pay dividends in the future will be made at the sole discretion of our board of directors and will depend</w:t>
      </w:r>
    </w:p>
    <w:p>
      <w:pPr>
        <w:spacing w:after="0" w:line="245" w:lineRule="auto"/>
        <w:framePr w:w="4140" w:h="376" w:wrap="auto" w:vAnchor="page" w:hAnchor="page" w:x="6040" w:y="2234"/>
        <w:rPr>
          <w:rFonts w:ascii="Arial" w:cs="Arial" w:eastAsia="Arial" w:hAnsi="Arial"/>
          <w:sz w:val="16"/>
          <w:szCs w:val="16"/>
          <w:color w:val="auto"/>
        </w:rPr>
      </w:pPr>
      <w:r>
        <w:rPr>
          <w:rFonts w:ascii="Arial" w:cs="Arial" w:eastAsia="Arial" w:hAnsi="Arial"/>
          <w:sz w:val="16"/>
          <w:szCs w:val="16"/>
          <w:color w:val="auto"/>
        </w:rPr>
        <w:t>The selling stockholders have granted the underwriters a 30-day option from the date of this prospectus to</w:t>
      </w:r>
    </w:p>
    <w:p>
      <w:pPr>
        <w:spacing w:after="0" w:line="242" w:lineRule="auto"/>
        <w:framePr w:w="3580" w:h="592" w:wrap="auto" w:vAnchor="page" w:hAnchor="page" w:x="6040" w:y="2666"/>
        <w:rPr>
          <w:rFonts w:ascii="Arial" w:cs="Arial" w:eastAsia="Arial" w:hAnsi="Arial"/>
          <w:sz w:val="17"/>
          <w:szCs w:val="17"/>
          <w:color w:val="auto"/>
        </w:rPr>
      </w:pPr>
      <w:r>
        <w:rPr>
          <w:rFonts w:ascii="Arial" w:cs="Arial" w:eastAsia="Arial" w:hAnsi="Arial"/>
          <w:sz w:val="17"/>
          <w:szCs w:val="17"/>
          <w:color w:val="auto"/>
        </w:rPr>
        <w:t>purchase up to additional shares of our common stock at the public offering price, less underwriting discounts and commissions.</w:t>
      </w:r>
    </w:p>
    <w:p>
      <w:pPr>
        <w:spacing w:after="0" w:line="223" w:lineRule="auto"/>
        <w:framePr w:w="580" w:h="160" w:wrap="auto" w:vAnchor="page" w:hAnchor="page" w:x="6560" w:y="1694"/>
        <w:rPr>
          <w:rFonts w:ascii="Arial" w:cs="Arial" w:eastAsia="Arial" w:hAnsi="Arial"/>
          <w:sz w:val="15"/>
          <w:szCs w:val="15"/>
          <w:color w:val="auto"/>
        </w:rPr>
      </w:pPr>
      <w:r>
        <w:rPr>
          <w:rFonts w:ascii="Arial" w:cs="Arial" w:eastAsia="Arial" w:hAnsi="Arial"/>
          <w:sz w:val="15"/>
          <w:szCs w:val="15"/>
          <w:color w:val="auto"/>
        </w:rPr>
        <w:t>shares.</w:t>
      </w: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rFonts w:ascii="Arial" w:cs="Arial" w:eastAsia="Arial" w:hAnsi="Arial"/>
          <w:sz w:val="15"/>
          <w:szCs w:val="15"/>
          <w:color w:val="auto"/>
        </w:rPr>
      </w:pPr>
    </w:p>
    <w:p>
      <w:pPr>
        <w:jc w:val="center"/>
        <w:ind w:left="19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856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88" w:lineRule="exact"/>
        <w:rPr>
          <w:rFonts w:ascii="Arial" w:cs="Arial" w:eastAsia="Arial" w:hAnsi="Arial"/>
          <w:sz w:val="15"/>
          <w:szCs w:val="15"/>
          <w:color w:val="auto"/>
        </w:rPr>
      </w:pPr>
    </w:p>
    <w:p>
      <w:pPr>
        <w:ind w:left="4380"/>
        <w:spacing w:after="0"/>
        <w:rPr>
          <w:sz w:val="20"/>
          <w:szCs w:val="20"/>
          <w:color w:val="auto"/>
        </w:rPr>
      </w:pPr>
      <w:r>
        <w:rPr>
          <w:rFonts w:ascii="Arial" w:cs="Arial" w:eastAsia="Arial" w:hAnsi="Arial"/>
          <w:sz w:val="18"/>
          <w:szCs w:val="18"/>
          <w:b w:val="1"/>
          <w:bCs w:val="1"/>
          <w:color w:val="auto"/>
        </w:rPr>
        <w:t>The Offering</w:t>
      </w:r>
    </w:p>
    <w:p>
      <w:pPr>
        <w:spacing w:after="0" w:line="117" w:lineRule="exact"/>
        <w:rPr>
          <w:rFonts w:ascii="Arial" w:cs="Arial" w:eastAsia="Arial" w:hAnsi="Arial"/>
          <w:sz w:val="15"/>
          <w:szCs w:val="15"/>
          <w:color w:val="auto"/>
        </w:rPr>
      </w:pPr>
    </w:p>
    <w:p>
      <w:pPr>
        <w:ind w:left="680"/>
        <w:spacing w:after="0"/>
        <w:rPr>
          <w:sz w:val="20"/>
          <w:szCs w:val="20"/>
          <w:color w:val="auto"/>
        </w:rPr>
      </w:pPr>
      <w:r>
        <w:rPr>
          <w:rFonts w:ascii="Arial" w:cs="Arial" w:eastAsia="Arial" w:hAnsi="Arial"/>
          <w:sz w:val="18"/>
          <w:szCs w:val="18"/>
          <w:b w:val="1"/>
          <w:bCs w:val="1"/>
          <w:color w:val="auto"/>
        </w:rPr>
        <w:t>Common stock offered by the selling stockholders</w:t>
      </w:r>
    </w:p>
    <w:p>
      <w:pPr>
        <w:spacing w:after="0" w:line="144" w:lineRule="exact"/>
        <w:rPr>
          <w:rFonts w:ascii="Arial" w:cs="Arial" w:eastAsia="Arial" w:hAnsi="Arial"/>
          <w:sz w:val="15"/>
          <w:szCs w:val="15"/>
          <w:color w:val="auto"/>
        </w:rPr>
      </w:pPr>
    </w:p>
    <w:p>
      <w:pPr>
        <w:ind w:left="840" w:right="4979" w:hanging="179"/>
        <w:spacing w:after="0" w:line="282" w:lineRule="auto"/>
        <w:rPr>
          <w:sz w:val="20"/>
          <w:szCs w:val="20"/>
          <w:color w:val="auto"/>
        </w:rPr>
      </w:pPr>
      <w:r>
        <w:rPr>
          <w:rFonts w:ascii="Arial" w:cs="Arial" w:eastAsia="Arial" w:hAnsi="Arial"/>
          <w:sz w:val="18"/>
          <w:szCs w:val="18"/>
          <w:b w:val="1"/>
          <w:bCs w:val="1"/>
          <w:color w:val="auto"/>
        </w:rPr>
        <w:t>Option to purchase additional shares of common stock</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8" w:lineRule="exact"/>
        <w:rPr>
          <w:rFonts w:ascii="Arial" w:cs="Arial" w:eastAsia="Arial" w:hAnsi="Arial"/>
          <w:sz w:val="15"/>
          <w:szCs w:val="15"/>
          <w:color w:val="auto"/>
        </w:rPr>
      </w:pPr>
    </w:p>
    <w:p>
      <w:pPr>
        <w:ind w:left="680"/>
        <w:spacing w:after="0"/>
        <w:rPr>
          <w:sz w:val="20"/>
          <w:szCs w:val="20"/>
          <w:color w:val="auto"/>
        </w:rPr>
      </w:pPr>
      <w:r>
        <w:rPr>
          <w:rFonts w:ascii="Arial" w:cs="Arial" w:eastAsia="Arial" w:hAnsi="Arial"/>
          <w:sz w:val="18"/>
          <w:szCs w:val="18"/>
          <w:b w:val="1"/>
          <w:bCs w:val="1"/>
          <w:color w:val="auto"/>
        </w:rPr>
        <w:t>Common stock outstanding</w:t>
      </w:r>
    </w:p>
    <w:p>
      <w:pPr>
        <w:spacing w:after="0" w:line="185" w:lineRule="exact"/>
        <w:rPr>
          <w:rFonts w:ascii="Arial" w:cs="Arial" w:eastAsia="Arial" w:hAnsi="Arial"/>
          <w:sz w:val="15"/>
          <w:szCs w:val="15"/>
          <w:color w:val="auto"/>
        </w:rPr>
      </w:pPr>
    </w:p>
    <w:p>
      <w:pPr>
        <w:ind w:left="6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70" w:lineRule="exact"/>
        <w:rPr>
          <w:rFonts w:ascii="Arial" w:cs="Arial" w:eastAsia="Arial" w:hAnsi="Arial"/>
          <w:sz w:val="15"/>
          <w:szCs w:val="15"/>
          <w:color w:val="auto"/>
        </w:rPr>
      </w:pPr>
    </w:p>
    <w:p>
      <w:pPr>
        <w:ind w:left="680"/>
        <w:spacing w:after="0"/>
        <w:rPr>
          <w:sz w:val="20"/>
          <w:szCs w:val="20"/>
          <w:color w:val="auto"/>
        </w:rPr>
      </w:pPr>
      <w:r>
        <w:rPr>
          <w:rFonts w:ascii="Arial" w:cs="Arial" w:eastAsia="Arial" w:hAnsi="Arial"/>
          <w:sz w:val="18"/>
          <w:szCs w:val="18"/>
          <w:b w:val="1"/>
          <w:bCs w:val="1"/>
          <w:color w:val="auto"/>
        </w:rPr>
        <w:t>Conflicts of Interest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4" w:lineRule="exact"/>
        <w:rPr>
          <w:rFonts w:ascii="Arial" w:cs="Arial" w:eastAsia="Arial" w:hAnsi="Arial"/>
          <w:sz w:val="15"/>
          <w:szCs w:val="15"/>
          <w:color w:val="auto"/>
        </w:rPr>
      </w:pPr>
    </w:p>
    <w:p>
      <w:pPr>
        <w:ind w:left="680"/>
        <w:spacing w:after="0"/>
        <w:rPr>
          <w:sz w:val="20"/>
          <w:szCs w:val="20"/>
          <w:color w:val="auto"/>
        </w:rPr>
      </w:pPr>
      <w:r>
        <w:rPr>
          <w:rFonts w:ascii="Arial" w:cs="Arial" w:eastAsia="Arial" w:hAnsi="Arial"/>
          <w:sz w:val="18"/>
          <w:szCs w:val="18"/>
          <w:b w:val="1"/>
          <w:bCs w:val="1"/>
          <w:color w:val="auto"/>
        </w:rPr>
        <w:t>Dividend policy</w:t>
      </w:r>
    </w:p>
    <w:p>
      <w:pPr>
        <w:sectPr>
          <w:pgSz w:w="11900" w:h="16838" w:orient="portrait"/>
          <w:cols w:equalWidth="0" w:num="1">
            <w:col w:w="9379"/>
          </w:cols>
          <w:pgMar w:left="1080" w:top="265" w:right="1440" w:bottom="1440" w:gutter="0" w:footer="0" w:header="0"/>
        </w:sect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07" w:lineRule="exact"/>
        <w:rPr>
          <w:rFonts w:ascii="Arial" w:cs="Arial" w:eastAsia="Arial" w:hAnsi="Arial"/>
          <w:sz w:val="15"/>
          <w:szCs w:val="15"/>
          <w:color w:val="auto"/>
        </w:rPr>
      </w:pPr>
    </w:p>
    <w:p>
      <w:pPr>
        <w:jc w:val="center"/>
        <w:ind w:right="-360"/>
        <w:spacing w:after="0"/>
        <w:rPr>
          <w:sz w:val="20"/>
          <w:szCs w:val="20"/>
          <w:color w:val="auto"/>
        </w:rPr>
      </w:pPr>
      <w:r>
        <w:rPr>
          <w:rFonts w:ascii="Arial" w:cs="Arial" w:eastAsia="Arial" w:hAnsi="Arial"/>
          <w:sz w:val="16"/>
          <w:szCs w:val="16"/>
          <w:color w:val="auto"/>
        </w:rPr>
        <w:t>13</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9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7444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3405" cy="7444740"/>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40" w:right="300" w:hanging="179"/>
        <w:spacing w:after="0" w:line="312" w:lineRule="auto"/>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379"/>
        <w:spacing w:after="0" w:line="273" w:lineRule="auto"/>
        <w:rPr>
          <w:sz w:val="20"/>
          <w:szCs w:val="20"/>
          <w:color w:val="auto"/>
        </w:rPr>
      </w:pPr>
      <w:r>
        <w:rPr>
          <w:rFonts w:ascii="Arial" w:cs="Arial" w:eastAsia="Arial" w:hAnsi="Arial"/>
          <w:sz w:val="17"/>
          <w:szCs w:val="17"/>
          <w:color w:val="auto"/>
        </w:rPr>
        <w:t>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pacing w:after="0" w:line="97" w:lineRule="exact"/>
        <w:rPr>
          <w:sz w:val="20"/>
          <w:szCs w:val="20"/>
          <w:color w:val="auto"/>
        </w:rPr>
      </w:pPr>
    </w:p>
    <w:p>
      <w:pPr>
        <w:ind w:right="319"/>
        <w:spacing w:after="0" w:line="259" w:lineRule="auto"/>
        <w:rPr>
          <w:sz w:val="20"/>
          <w:szCs w:val="20"/>
          <w:color w:val="auto"/>
        </w:rPr>
      </w:pPr>
      <w:r>
        <w:rPr>
          <w:rFonts w:ascii="Arial" w:cs="Arial" w:eastAsia="Arial" w:hAnsi="Arial"/>
          <w:sz w:val="18"/>
          <w:szCs w:val="18"/>
          <w:color w:val="auto"/>
        </w:rPr>
        <w:t>Investing in shares of our common stock involves a high degree of risk. See “Risk Factors” for a discussion of factors you should carefully consider before investing in shares of our common stock.</w:t>
      </w:r>
    </w:p>
    <w:p>
      <w:pPr>
        <w:spacing w:after="0" w:line="295" w:lineRule="exact"/>
        <w:rPr>
          <w:sz w:val="20"/>
          <w:szCs w:val="20"/>
          <w:color w:val="auto"/>
        </w:rPr>
      </w:pPr>
    </w:p>
    <w:p>
      <w:pPr>
        <w:ind w:right="299"/>
        <w:spacing w:after="0" w:line="269" w:lineRule="auto"/>
        <w:rPr>
          <w:sz w:val="20"/>
          <w:szCs w:val="20"/>
          <w:color w:val="auto"/>
        </w:rPr>
      </w:pPr>
      <w:r>
        <w:rPr>
          <w:rFonts w:ascii="Arial" w:cs="Arial" w:eastAsia="Arial" w:hAnsi="Arial"/>
          <w:sz w:val="17"/>
          <w:szCs w:val="17"/>
          <w:color w:val="auto"/>
        </w:rPr>
        <w:t>For a discussion of certain U.S. federal income and estate tax consequences that may be relevant to non-U.S. stockholders, see “Material U.S. Federal Income and Estate Tax Consequences to Non-U.S. Holders.”</w:t>
      </w:r>
    </w:p>
    <w:p>
      <w:pPr>
        <w:spacing w:after="0" w:line="2" w:lineRule="exact"/>
        <w:rPr>
          <w:sz w:val="20"/>
          <w:szCs w:val="20"/>
          <w:color w:val="auto"/>
        </w:rPr>
      </w:pPr>
    </w:p>
    <w:p>
      <w:pPr>
        <w:sectPr>
          <w:pgSz w:w="11900" w:h="16838" w:orient="portrait"/>
          <w:cols w:equalWidth="0" w:num="2">
            <w:col w:w="4280" w:space="720"/>
            <w:col w:w="4379"/>
          </w:cols>
          <w:pgMar w:left="1080" w:top="265" w:right="1440" w:bottom="1440" w:gutter="0" w:footer="0" w:header="0"/>
          <w:type w:val="continuous"/>
        </w:sectPr>
      </w:pPr>
    </w:p>
    <w:p>
      <w:pPr>
        <w:ind w:left="680"/>
        <w:spacing w:after="0"/>
        <w:tabs>
          <w:tab w:leader="none" w:pos="498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26"/>
          <w:szCs w:val="26"/>
          <w:color w:val="auto"/>
          <w:vertAlign w:val="subscript"/>
        </w:rPr>
        <w:t>“ASO.”</w:t>
      </w:r>
    </w:p>
    <w:p>
      <w:pPr>
        <w:spacing w:after="0" w:line="200" w:lineRule="exact"/>
        <w:rPr>
          <w:sz w:val="20"/>
          <w:szCs w:val="20"/>
          <w:color w:val="auto"/>
        </w:rPr>
      </w:pPr>
    </w:p>
    <w:p>
      <w:pPr>
        <w:ind w:left="680" w:right="279" w:firstLine="360"/>
        <w:spacing w:after="0" w:line="268" w:lineRule="auto"/>
        <w:rPr>
          <w:sz w:val="20"/>
          <w:szCs w:val="20"/>
          <w:color w:val="auto"/>
        </w:rPr>
      </w:pPr>
      <w:r>
        <w:rPr>
          <w:rFonts w:ascii="Arial" w:cs="Arial" w:eastAsia="Arial" w:hAnsi="Arial"/>
          <w:sz w:val="17"/>
          <w:szCs w:val="17"/>
          <w:color w:val="auto"/>
        </w:rPr>
        <w:t>The completion of this offering will result in a Change of Control (as defined under the New Academy Holding Company, LLC 2011 Unit Incentive Plan, or the 2011 Equity Plan) that will cause all equity awards granted under the 2011 Equity Plan (other than performance-based awards granted in 2018) to vest in full, permitting the holders of such awards to sell the underlying shares of our common stock they receive upon exercise of any options or settlement of any restricted stock units that will vest as a result of such Change of Control, and all performance-based awards granted in 2018 under the 2011 Equity Plan to be forfeited due to the Company’s failure to meet certain performance targets prior to such Change of Control. In addition, as result of such vesting events, we will owe certain cash payments to the holders of vesting equity awards granted under the 2011 Equity Plan that were outstanding as of the date of the distribution made by us to our members of record as of August 25, 2020 (see “Distribution” in Note 9 to our audited consolidated financial statements in our Annual Report incorporated by reference herein). We anticipate that, as a result of such vesting events, during the second quarter of 2021, we will recognize (i) non-cash expenses related to equity-based compensation of $26.4 million, (ii) cash expenses related to taxes on equity-based compensation of $13.7 million and (iii) cash payments related to equity-based compensation distributions of $8.2 million.</w:t>
      </w:r>
    </w:p>
    <w:p>
      <w:pPr>
        <w:spacing w:after="0" w:line="7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Unless we indicate otherwise or the context otherwise requires, this prospectus reflects and assumes no exercise</w:t>
      </w:r>
    </w:p>
    <w:p>
      <w:pPr>
        <w:spacing w:after="0" w:line="46" w:lineRule="exact"/>
        <w:rPr>
          <w:sz w:val="20"/>
          <w:szCs w:val="20"/>
          <w:color w:val="auto"/>
        </w:rPr>
      </w:pPr>
    </w:p>
    <w:p>
      <w:pPr>
        <w:ind w:left="680"/>
        <w:spacing w:after="0"/>
        <w:tabs>
          <w:tab w:leader="none" w:pos="4220" w:val="left"/>
        </w:tabs>
        <w:rPr>
          <w:sz w:val="20"/>
          <w:szCs w:val="20"/>
          <w:color w:val="auto"/>
        </w:rPr>
      </w:pPr>
      <w:r>
        <w:rPr>
          <w:rFonts w:ascii="Arial" w:cs="Arial" w:eastAsia="Arial" w:hAnsi="Arial"/>
          <w:sz w:val="18"/>
          <w:szCs w:val="18"/>
          <w:color w:val="auto"/>
        </w:rPr>
        <w:t>of the underwriters’ option to purchase</w:t>
      </w:r>
      <w:r>
        <w:rPr>
          <w:sz w:val="20"/>
          <w:szCs w:val="20"/>
          <w:color w:val="auto"/>
        </w:rPr>
        <w:tab/>
      </w:r>
      <w:r>
        <w:rPr>
          <w:rFonts w:ascii="Arial" w:cs="Arial" w:eastAsia="Arial" w:hAnsi="Arial"/>
          <w:sz w:val="16"/>
          <w:szCs w:val="16"/>
          <w:color w:val="auto"/>
        </w:rPr>
        <w:t>additional shares of our common stock.</w:t>
      </w:r>
    </w:p>
    <w:p>
      <w:pPr>
        <w:spacing w:after="0" w:line="103" w:lineRule="exact"/>
        <w:rPr>
          <w:sz w:val="20"/>
          <w:szCs w:val="20"/>
          <w:color w:val="auto"/>
        </w:rPr>
      </w:pPr>
    </w:p>
    <w:p>
      <w:pPr>
        <w:ind w:left="680" w:right="919" w:firstLine="360"/>
        <w:spacing w:after="0" w:line="342" w:lineRule="auto"/>
        <w:rPr>
          <w:sz w:val="20"/>
          <w:szCs w:val="20"/>
          <w:color w:val="auto"/>
        </w:rPr>
      </w:pPr>
      <w:r>
        <w:rPr>
          <w:rFonts w:ascii="Arial" w:cs="Arial" w:eastAsia="Arial" w:hAnsi="Arial"/>
          <w:sz w:val="16"/>
          <w:szCs w:val="16"/>
          <w:color w:val="auto"/>
        </w:rPr>
        <w:t>The number of shares of common stock to be outstanding after giving effect to this offering is based on 93,800,559 shares of our common stock outstanding as of April 12, 2021 and excludes as of such date:</w:t>
      </w:r>
    </w:p>
    <w:p>
      <w:pPr>
        <w:spacing w:after="0" w:line="16" w:lineRule="exact"/>
        <w:rPr>
          <w:sz w:val="20"/>
          <w:szCs w:val="20"/>
          <w:color w:val="auto"/>
        </w:rPr>
      </w:pPr>
    </w:p>
    <w:p>
      <w:pPr>
        <w:ind w:left="1380" w:right="339" w:hanging="350"/>
        <w:spacing w:after="0" w:line="259"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6,139,680 shares of common stock issuable upon exercise of outstanding options, all of which would be vested with a weighted-average exercise price of $14.08 per share, and 1,251,529 shares of common stock issuable upon settlement of outstanding restricted stock units, all of which would be vested, in each case, granted under the 2011 Equity Plan;</w:t>
      </w:r>
    </w:p>
    <w:p>
      <w:pPr>
        <w:spacing w:after="0" w:line="78" w:lineRule="exact"/>
        <w:rPr>
          <w:rFonts w:ascii="Arial" w:cs="Arial" w:eastAsia="Arial" w:hAnsi="Arial"/>
          <w:sz w:val="18"/>
          <w:szCs w:val="18"/>
          <w:color w:val="auto"/>
        </w:rPr>
      </w:pPr>
    </w:p>
    <w:p>
      <w:pPr>
        <w:ind w:left="1380" w:right="319" w:hanging="350"/>
        <w:spacing w:after="0" w:line="275" w:lineRule="auto"/>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1,058,374 shares of common stock issuable upon exercise of outstanding options, 5,989 of which would be vested, with a weighted-average exercise price of $26.99 and 1,052,385 of which would not be vested, with a weighted-average exercise price of $24.85 per share, and 381,091 shares of common stock issuable upon settlement of outstanding restricted stock units, none of which would be vested, in each case, granted under our 2020 Omnibus Incentive Plan, or the 2020 Equity Plan;</w:t>
      </w:r>
    </w:p>
    <w:p>
      <w:pPr>
        <w:spacing w:after="0" w:line="68" w:lineRule="exact"/>
        <w:rPr>
          <w:rFonts w:ascii="Arial" w:cs="Arial" w:eastAsia="Arial" w:hAnsi="Arial"/>
          <w:sz w:val="17"/>
          <w:szCs w:val="17"/>
          <w:color w:val="auto"/>
        </w:rPr>
      </w:pPr>
    </w:p>
    <w:p>
      <w:pPr>
        <w:ind w:left="1380" w:hanging="350"/>
        <w:spacing w:after="0"/>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3,706,456 shares of common stock reserved for future issuance or grant, under the 2020 Equity Plan; and</w:t>
      </w:r>
    </w:p>
    <w:p>
      <w:pPr>
        <w:spacing w:after="0" w:line="140" w:lineRule="exact"/>
        <w:rPr>
          <w:rFonts w:ascii="Arial" w:cs="Arial" w:eastAsia="Arial" w:hAnsi="Arial"/>
          <w:sz w:val="16"/>
          <w:szCs w:val="16"/>
          <w:color w:val="auto"/>
        </w:rPr>
      </w:pPr>
    </w:p>
    <w:p>
      <w:pPr>
        <w:ind w:left="1380" w:right="379" w:hanging="350"/>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2,000,000 shares of common stock reserved for future issuance under our 2020 Employee Stock Purchase Plan, or the ESPP.</w:t>
      </w:r>
    </w:p>
    <w:p>
      <w:pPr>
        <w:spacing w:after="0" w:line="40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90138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3405" cy="9013825"/>
                    </a:xfrm>
                    <a:prstGeom prst="rect">
                      <a:avLst/>
                    </a:prstGeom>
                    <a:noFill/>
                  </pic:spPr>
                </pic:pic>
              </a:graphicData>
            </a:graphic>
          </wp:anchor>
        </w:drawing>
      </w:r>
    </w:p>
    <w:p>
      <w:pPr>
        <w:spacing w:after="0" w:line="28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680" w:right="399" w:firstLine="360"/>
        <w:spacing w:after="0" w:line="254" w:lineRule="auto"/>
        <w:rPr>
          <w:sz w:val="20"/>
          <w:szCs w:val="20"/>
          <w:color w:val="auto"/>
        </w:rPr>
      </w:pPr>
      <w:r>
        <w:rPr>
          <w:rFonts w:ascii="Arial" w:cs="Arial" w:eastAsia="Arial" w:hAnsi="Arial"/>
          <w:sz w:val="18"/>
          <w:szCs w:val="18"/>
          <w:color w:val="auto"/>
        </w:rPr>
        <w:t>Set forth below is our summary historical consolidated financial and other data as of the dates and for the periods indicated. The summary historical financial data as of January 30, 2021 and February 1, 2020 and for 2020, 2019 and 2018 has been derived from our audited consolidated financial statements and related notes thereto incorporated by reference in this prospectus. The summary historical financial data as of February 2, 2019 has been derived from our consolidated financial statements and related notes thereto not included or incorporated by reference in this prospectus. The results of operations for any period are not necessarily indicative of our future financial condition or results of operations.</w:t>
      </w:r>
    </w:p>
    <w:p>
      <w:pPr>
        <w:spacing w:after="0" w:line="87" w:lineRule="exact"/>
        <w:rPr>
          <w:sz w:val="20"/>
          <w:szCs w:val="20"/>
          <w:color w:val="auto"/>
        </w:rPr>
      </w:pPr>
    </w:p>
    <w:p>
      <w:pPr>
        <w:ind w:left="680" w:right="479" w:firstLine="360"/>
        <w:spacing w:after="0" w:line="279" w:lineRule="auto"/>
        <w:rPr>
          <w:sz w:val="20"/>
          <w:szCs w:val="20"/>
          <w:color w:val="auto"/>
        </w:rPr>
      </w:pPr>
      <w:r>
        <w:rPr>
          <w:rFonts w:ascii="Arial" w:cs="Arial" w:eastAsia="Arial" w:hAnsi="Arial"/>
          <w:sz w:val="17"/>
          <w:szCs w:val="17"/>
          <w:color w:val="auto"/>
        </w:rPr>
        <w:t>You should read the following summary financial and other data below together with the information under “Capitalization” in this prospectus, as well as the sections entitled “Selected Financial Data,” “Management’s Discussion and Analysis of Financial Condition and Results of Operations” and our audited consolidated financial statements and related notes in our Annual Report incorporated by reference herein.</w:t>
      </w:r>
    </w:p>
    <w:p>
      <w:pPr>
        <w:spacing w:after="0" w:line="12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6"/>
          </w:tcPr>
          <w:p>
            <w:pPr>
              <w:jc w:val="center"/>
              <w:ind w:right="55"/>
              <w:spacing w:after="0"/>
              <w:rPr>
                <w:sz w:val="20"/>
                <w:szCs w:val="20"/>
                <w:color w:val="auto"/>
              </w:rPr>
            </w:pPr>
            <w:r>
              <w:rPr>
                <w:rFonts w:ascii="Arial" w:cs="Arial" w:eastAsia="Arial" w:hAnsi="Arial"/>
                <w:sz w:val="14"/>
                <w:szCs w:val="14"/>
                <w:b w:val="1"/>
                <w:bCs w:val="1"/>
                <w:color w:val="auto"/>
                <w:w w:val="91"/>
              </w:rPr>
              <w:t>Fiscal Year Ended</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gridSpan w:val="3"/>
          </w:tcPr>
          <w:p>
            <w:pPr>
              <w:spacing w:after="0"/>
              <w:rPr>
                <w:sz w:val="20"/>
                <w:szCs w:val="20"/>
                <w:color w:val="auto"/>
              </w:rPr>
            </w:pPr>
            <w:r>
              <w:rPr>
                <w:rFonts w:ascii="Arial" w:cs="Arial" w:eastAsia="Arial" w:hAnsi="Arial"/>
                <w:sz w:val="14"/>
                <w:szCs w:val="14"/>
                <w:color w:val="auto"/>
              </w:rPr>
              <w:t>52 weeks</w:t>
            </w:r>
          </w:p>
        </w:tc>
        <w:tc>
          <w:tcPr>
            <w:tcW w:w="100" w:type="dxa"/>
            <w:vAlign w:val="bottom"/>
          </w:tcPr>
          <w:p>
            <w:pPr>
              <w:spacing w:after="0"/>
              <w:rPr>
                <w:sz w:val="15"/>
                <w:szCs w:val="15"/>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color w:val="auto"/>
              </w:rPr>
              <w:t>52 weeks</w:t>
            </w:r>
          </w:p>
        </w:tc>
        <w:tc>
          <w:tcPr>
            <w:tcW w:w="860" w:type="dxa"/>
            <w:vAlign w:val="bottom"/>
            <w:gridSpan w:val="3"/>
          </w:tcPr>
          <w:p>
            <w:pPr>
              <w:spacing w:after="0"/>
              <w:rPr>
                <w:sz w:val="20"/>
                <w:szCs w:val="20"/>
                <w:color w:val="auto"/>
              </w:rPr>
            </w:pPr>
            <w:r>
              <w:rPr>
                <w:rFonts w:ascii="Arial" w:cs="Arial" w:eastAsia="Arial" w:hAnsi="Arial"/>
                <w:sz w:val="14"/>
                <w:szCs w:val="14"/>
                <w:color w:val="auto"/>
              </w:rPr>
              <w:t>52 weeks</w:t>
            </w: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$5,689,233</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$4,829,897</w:t>
            </w:r>
          </w:p>
        </w:tc>
        <w:tc>
          <w:tcPr>
            <w:tcW w:w="120" w:type="dxa"/>
            <w:vAlign w:val="bottom"/>
          </w:tcPr>
          <w:p>
            <w:pPr>
              <w:spacing w:after="0"/>
              <w:rPr>
                <w:sz w:val="23"/>
                <w:szCs w:val="23"/>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$4,783,893</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goods sold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3,955,188</w:t>
            </w:r>
          </w:p>
        </w:tc>
        <w:tc>
          <w:tcPr>
            <w:tcW w:w="6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3,398,743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3,415,941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1,734,045</w:t>
            </w:r>
          </w:p>
        </w:tc>
        <w:tc>
          <w:tcPr>
            <w:tcW w:w="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1,431,154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1,367,952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1,313,647</w:t>
            </w:r>
          </w:p>
        </w:tc>
        <w:tc>
          <w:tcPr>
            <w:tcW w:w="6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1,251,733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1,239,002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420,398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179,421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128,950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108,652</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ind w:left="20"/>
              <w:spacing w:after="0" w:line="324" w:lineRule="exact"/>
              <w:rPr>
                <w:sz w:val="20"/>
                <w:szCs w:val="20"/>
                <w:color w:val="auto"/>
              </w:rPr>
            </w:pPr>
            <w:r>
              <w:rPr>
                <w:rFonts w:ascii="Arial" w:cs="Arial" w:eastAsia="Arial" w:hAnsi="Arial"/>
                <w:sz w:val="18"/>
                <w:szCs w:val="18"/>
                <w:color w:val="auto"/>
              </w:rPr>
              <w:t>Gain on early retirement of debt, net</w:t>
            </w:r>
            <w:r>
              <w:rPr>
                <w:rFonts w:ascii="Arial" w:cs="Arial" w:eastAsia="Arial" w:hAnsi="Arial"/>
                <w:sz w:val="29"/>
                <w:szCs w:val="29"/>
                <w:color w:val="auto"/>
                <w:vertAlign w:val="superscript"/>
              </w:rPr>
              <w:t>(1)</w:t>
            </w: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(42,265)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339,120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122,860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308,764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120,043</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21,442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6"/>
          </w:tcPr>
          <w:p>
            <w:pPr>
              <w:jc w:val="center"/>
              <w:ind w:right="55"/>
              <w:spacing w:after="0"/>
              <w:rPr>
                <w:sz w:val="20"/>
                <w:szCs w:val="20"/>
                <w:color w:val="auto"/>
              </w:rPr>
            </w:pPr>
            <w:r>
              <w:rPr>
                <w:rFonts w:ascii="Arial" w:cs="Arial" w:eastAsia="Arial" w:hAnsi="Arial"/>
                <w:sz w:val="14"/>
                <w:szCs w:val="14"/>
                <w:b w:val="1"/>
                <w:bCs w:val="1"/>
                <w:color w:val="auto"/>
                <w:w w:val="91"/>
              </w:rPr>
              <w:t>Fiscal Year Ended</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558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80" w:type="dxa"/>
            <w:vAlign w:val="bottom"/>
          </w:tcPr>
          <w:p>
            <w:pPr>
              <w:ind w:left="20"/>
              <w:spacing w:after="0"/>
              <w:rPr>
                <w:sz w:val="20"/>
                <w:szCs w:val="20"/>
                <w:color w:val="auto"/>
              </w:rPr>
            </w:pPr>
            <w:r>
              <w:rPr>
                <w:rFonts w:ascii="Arial" w:cs="Arial" w:eastAsia="Arial" w:hAnsi="Arial"/>
                <w:sz w:val="14"/>
                <w:szCs w:val="14"/>
                <w:color w:val="auto"/>
              </w:rPr>
              <w:t>(In thousands, except store data and per share data)</w:t>
            </w:r>
          </w:p>
        </w:tc>
        <w:tc>
          <w:tcPr>
            <w:tcW w:w="880" w:type="dxa"/>
            <w:vAlign w:val="bottom"/>
            <w:gridSpan w:val="3"/>
          </w:tcPr>
          <w:p>
            <w:pPr>
              <w:spacing w:after="0"/>
              <w:rPr>
                <w:sz w:val="20"/>
                <w:szCs w:val="20"/>
                <w:color w:val="auto"/>
              </w:rPr>
            </w:pPr>
            <w:r>
              <w:rPr>
                <w:rFonts w:ascii="Arial" w:cs="Arial" w:eastAsia="Arial" w:hAnsi="Arial"/>
                <w:sz w:val="14"/>
                <w:szCs w:val="14"/>
                <w:color w:val="auto"/>
              </w:rPr>
              <w:t>52 weeks</w:t>
            </w:r>
          </w:p>
        </w:tc>
        <w:tc>
          <w:tcPr>
            <w:tcW w:w="100" w:type="dxa"/>
            <w:vAlign w:val="bottom"/>
          </w:tcPr>
          <w:p>
            <w:pPr>
              <w:spacing w:after="0"/>
              <w:rPr>
                <w:sz w:val="15"/>
                <w:szCs w:val="15"/>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color w:val="auto"/>
              </w:rPr>
              <w:t>52 weeks</w:t>
            </w:r>
          </w:p>
        </w:tc>
        <w:tc>
          <w:tcPr>
            <w:tcW w:w="860" w:type="dxa"/>
            <w:vAlign w:val="bottom"/>
            <w:gridSpan w:val="3"/>
          </w:tcPr>
          <w:p>
            <w:pPr>
              <w:spacing w:after="0"/>
              <w:rPr>
                <w:sz w:val="20"/>
                <w:szCs w:val="20"/>
                <w:color w:val="auto"/>
              </w:rPr>
            </w:pPr>
            <w:r>
              <w:rPr>
                <w:rFonts w:ascii="Arial" w:cs="Arial" w:eastAsia="Arial" w:hAnsi="Arial"/>
                <w:sz w:val="14"/>
                <w:szCs w:val="14"/>
                <w:color w:val="auto"/>
              </w:rPr>
              <w:t>52 weeks</w:t>
            </w:r>
          </w:p>
        </w:tc>
        <w:tc>
          <w:tcPr>
            <w:tcW w:w="0" w:type="dxa"/>
            <w:vAlign w:val="bottom"/>
          </w:tcPr>
          <w:p>
            <w:pPr>
              <w:spacing w:after="0"/>
              <w:rPr>
                <w:sz w:val="1"/>
                <w:szCs w:val="1"/>
                <w:color w:val="auto"/>
              </w:rPr>
            </w:pPr>
          </w:p>
        </w:tc>
      </w:tr>
      <w:tr>
        <w:trPr>
          <w:trHeight w:val="52"/>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(end of period):</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377,604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149,385</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75,691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inventories,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990,034</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1,099,749</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1,134,156</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ind w:left="20"/>
              <w:spacing w:after="0" w:line="324"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(2)</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247,927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538,795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582,789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4,384,482</w:t>
            </w:r>
          </w:p>
        </w:tc>
        <w:tc>
          <w:tcPr>
            <w:tcW w:w="6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3,238,957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Total debt, net of deferred loan costs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785,489</w:t>
            </w:r>
          </w:p>
        </w:tc>
        <w:tc>
          <w:tcPr>
            <w:tcW w:w="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1,462,658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1,625,060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1,111,983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988,219</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857,039</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6"/>
              </w:rPr>
              <w:t>$1,011,597</w:t>
            </w:r>
          </w:p>
        </w:tc>
        <w:tc>
          <w:tcPr>
            <w:tcW w:w="60" w:type="dxa"/>
            <w:vAlign w:val="bottom"/>
          </w:tcPr>
          <w:p>
            <w:pPr>
              <w:spacing w:after="0"/>
              <w:rPr>
                <w:sz w:val="23"/>
                <w:szCs w:val="23"/>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263,669</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198,481</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(66,783)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(99,027)</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(750,234)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(123,192)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(54,808)</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107,905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79"/>
          </w:cols>
          <w:pgMar w:left="1080" w:top="265" w:right="1440" w:bottom="723" w:gutter="0" w:footer="0" w:header="0"/>
        </w:sectPr>
      </w:pPr>
    </w:p>
    <w:p>
      <w:pPr>
        <w:spacing w:after="0" w:line="24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723"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00" w:right="2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8027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Fiscal Year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February 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4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(In thousands, except store data and per share data)</w:t>
            </w:r>
          </w:p>
        </w:tc>
        <w:tc>
          <w:tcPr>
            <w:tcW w:w="900" w:type="dxa"/>
            <w:vAlign w:val="bottom"/>
          </w:tcPr>
          <w:p>
            <w:pPr>
              <w:spacing w:after="0"/>
              <w:rPr>
                <w:sz w:val="20"/>
                <w:szCs w:val="20"/>
                <w:color w:val="auto"/>
              </w:rPr>
            </w:pPr>
            <w:r>
              <w:rPr>
                <w:rFonts w:ascii="Arial" w:cs="Arial" w:eastAsia="Arial" w:hAnsi="Arial"/>
                <w:sz w:val="14"/>
                <w:szCs w:val="14"/>
                <w:color w:val="auto"/>
              </w:rPr>
              <w:t>52 weeks</w:t>
            </w:r>
          </w:p>
        </w:tc>
        <w:tc>
          <w:tcPr>
            <w:tcW w:w="1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52 weeks</w:t>
            </w:r>
          </w:p>
        </w:tc>
        <w:tc>
          <w:tcPr>
            <w:tcW w:w="940" w:type="dxa"/>
            <w:vAlign w:val="bottom"/>
          </w:tcPr>
          <w:p>
            <w:pPr>
              <w:spacing w:after="0"/>
              <w:rPr>
                <w:sz w:val="20"/>
                <w:szCs w:val="20"/>
                <w:color w:val="auto"/>
              </w:rPr>
            </w:pPr>
            <w:r>
              <w:rPr>
                <w:rFonts w:ascii="Arial" w:cs="Arial" w:eastAsia="Arial" w:hAnsi="Arial"/>
                <w:sz w:val="14"/>
                <w:szCs w:val="14"/>
                <w:color w:val="auto"/>
              </w:rPr>
              <w:t>52 weeks</w:t>
            </w:r>
          </w:p>
        </w:tc>
        <w:tc>
          <w:tcPr>
            <w:tcW w:w="0" w:type="dxa"/>
            <w:vAlign w:val="bottom"/>
          </w:tcPr>
          <w:p>
            <w:pPr>
              <w:spacing w:after="0"/>
              <w:rPr>
                <w:sz w:val="1"/>
                <w:szCs w:val="1"/>
                <w:color w:val="auto"/>
              </w:rPr>
            </w:pPr>
          </w:p>
        </w:tc>
      </w:tr>
      <w:tr>
        <w:trPr>
          <w:trHeight w:val="53"/>
        </w:trPr>
        <w:tc>
          <w:tcPr>
            <w:tcW w:w="5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5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Store Data (unaudited):</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30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sales increase (decrease)</w:t>
            </w:r>
          </w:p>
        </w:tc>
        <w:tc>
          <w:tcPr>
            <w:tcW w:w="1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4400" w:type="dxa"/>
            <w:vAlign w:val="bottom"/>
          </w:tcPr>
          <w:p>
            <w:pPr>
              <w:ind w:left="20"/>
              <w:spacing w:after="0"/>
              <w:rPr>
                <w:sz w:val="20"/>
                <w:szCs w:val="20"/>
                <w:color w:val="auto"/>
              </w:rPr>
            </w:pPr>
            <w:r>
              <w:rPr>
                <w:rFonts w:ascii="Arial" w:cs="Arial" w:eastAsia="Arial" w:hAnsi="Arial"/>
                <w:sz w:val="18"/>
                <w:szCs w:val="18"/>
                <w:color w:val="auto"/>
              </w:rPr>
              <w:t>Number of stores at end of period</w:t>
            </w:r>
          </w:p>
        </w:tc>
        <w:tc>
          <w:tcPr>
            <w:tcW w:w="1280" w:type="dxa"/>
            <w:vAlign w:val="bottom"/>
          </w:tcPr>
          <w:p>
            <w:pPr>
              <w:spacing w:after="0"/>
              <w:rPr>
                <w:sz w:val="23"/>
                <w:szCs w:val="23"/>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3"/>
                <w:szCs w:val="23"/>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253</w:t>
            </w:r>
          </w:p>
        </w:tc>
      </w:tr>
      <w:tr>
        <w:trPr>
          <w:trHeight w:val="54"/>
        </w:trPr>
        <w:tc>
          <w:tcPr>
            <w:tcW w:w="4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square feet at end of period (in millions)</w:t>
            </w:r>
          </w:p>
        </w:tc>
        <w:tc>
          <w:tcPr>
            <w:tcW w:w="1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17.9</w:t>
            </w:r>
          </w:p>
        </w:tc>
      </w:tr>
      <w:tr>
        <w:trPr>
          <w:trHeight w:val="324"/>
        </w:trPr>
        <w:tc>
          <w:tcPr>
            <w:tcW w:w="4400" w:type="dxa"/>
            <w:vAlign w:val="bottom"/>
          </w:tcPr>
          <w:p>
            <w:pPr>
              <w:ind w:left="20"/>
              <w:spacing w:after="0" w:line="324" w:lineRule="exact"/>
              <w:rPr>
                <w:sz w:val="20"/>
                <w:szCs w:val="20"/>
                <w:color w:val="auto"/>
              </w:rPr>
            </w:pPr>
            <w:r>
              <w:rPr>
                <w:rFonts w:ascii="Arial" w:cs="Arial" w:eastAsia="Arial" w:hAnsi="Arial"/>
                <w:sz w:val="18"/>
                <w:szCs w:val="18"/>
                <w:color w:val="auto"/>
              </w:rPr>
              <w:t>Net sales per square foot</w:t>
            </w:r>
            <w:r>
              <w:rPr>
                <w:rFonts w:ascii="Arial" w:cs="Arial" w:eastAsia="Arial" w:hAnsi="Arial"/>
                <w:sz w:val="29"/>
                <w:szCs w:val="29"/>
                <w:color w:val="auto"/>
                <w:vertAlign w:val="superscript"/>
              </w:rPr>
              <w:t>(3)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267</w:t>
            </w:r>
          </w:p>
        </w:tc>
      </w:tr>
      <w:tr>
        <w:trPr>
          <w:trHeight w:val="324"/>
        </w:trPr>
        <w:tc>
          <w:tcPr>
            <w:tcW w:w="4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7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 (unaudited):</w:t>
            </w: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54"/>
        </w:trPr>
        <w:tc>
          <w:tcPr>
            <w:tcW w:w="4400" w:type="dxa"/>
            <w:vAlign w:val="bottom"/>
          </w:tcPr>
          <w:p>
            <w:pPr>
              <w:spacing w:after="0"/>
              <w:rPr>
                <w:sz w:val="4"/>
                <w:szCs w:val="4"/>
                <w:color w:val="auto"/>
              </w:rPr>
            </w:pPr>
          </w:p>
        </w:tc>
        <w:tc>
          <w:tcPr>
            <w:tcW w:w="198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r>
      <w:tr>
        <w:trPr>
          <w:trHeight w:val="324"/>
        </w:trPr>
        <w:tc>
          <w:tcPr>
            <w:tcW w:w="440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(4)</w:t>
            </w:r>
          </w:p>
        </w:tc>
        <w:tc>
          <w:tcPr>
            <w:tcW w:w="1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$607,023</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$322,814</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$300,259</w:t>
            </w:r>
          </w:p>
        </w:tc>
      </w:tr>
      <w:tr>
        <w:trPr>
          <w:trHeight w:val="324"/>
        </w:trPr>
        <w:tc>
          <w:tcPr>
            <w:tcW w:w="4400" w:type="dxa"/>
            <w:vAlign w:val="bottom"/>
          </w:tcPr>
          <w:p>
            <w:pPr>
              <w:ind w:left="20"/>
              <w:spacing w:after="0" w:line="324"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9"/>
                <w:szCs w:val="29"/>
                <w:color w:val="auto"/>
                <w:vertAlign w:val="superscript"/>
              </w:rPr>
              <w:t>(4)</w:t>
            </w:r>
          </w:p>
        </w:tc>
        <w:tc>
          <w:tcPr>
            <w:tcW w:w="1980" w:type="dxa"/>
            <w:vAlign w:val="bottom"/>
            <w:gridSpan w:val="2"/>
          </w:tcPr>
          <w:p>
            <w:pPr>
              <w:jc w:val="right"/>
              <w:ind w:right="170"/>
              <w:spacing w:after="0"/>
              <w:rPr>
                <w:sz w:val="20"/>
                <w:szCs w:val="20"/>
                <w:color w:val="auto"/>
              </w:rPr>
            </w:pPr>
            <w:r>
              <w:rPr>
                <w:rFonts w:ascii="Arial" w:cs="Arial" w:eastAsia="Arial" w:hAnsi="Arial"/>
                <w:sz w:val="18"/>
                <w:szCs w:val="18"/>
                <w:color w:val="auto"/>
              </w:rPr>
              <w:t>384,536</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101,469</w:t>
            </w:r>
          </w:p>
        </w:tc>
        <w:tc>
          <w:tcPr>
            <w:tcW w:w="240" w:type="dxa"/>
            <w:vAlign w:val="bottom"/>
          </w:tcPr>
          <w:p>
            <w:pPr>
              <w:spacing w:after="0"/>
              <w:rPr>
                <w:sz w:val="24"/>
                <w:szCs w:val="24"/>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4"/>
              </w:rPr>
              <w:t>55,405</w:t>
            </w:r>
          </w:p>
        </w:tc>
      </w:tr>
      <w:tr>
        <w:trPr>
          <w:trHeight w:val="324"/>
        </w:trPr>
        <w:tc>
          <w:tcPr>
            <w:tcW w:w="440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9"/>
                <w:szCs w:val="29"/>
                <w:color w:val="auto"/>
                <w:vertAlign w:val="superscript"/>
              </w:rPr>
              <w:t>(4)</w:t>
            </w:r>
          </w:p>
        </w:tc>
        <w:tc>
          <w:tcPr>
            <w:tcW w:w="1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978,453</w:t>
            </w: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196,886</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4"/>
              </w:rPr>
              <w:t>99,454</w:t>
            </w:r>
          </w:p>
        </w:tc>
      </w:tr>
    </w:tbl>
    <w:p>
      <w:pPr>
        <w:spacing w:after="0" w:line="346" w:lineRule="exact"/>
        <w:rPr>
          <w:sz w:val="20"/>
          <w:szCs w:val="20"/>
          <w:color w:val="auto"/>
        </w:rPr>
      </w:pPr>
    </w:p>
    <w:p>
      <w:pPr>
        <w:ind w:left="1020" w:right="379" w:hanging="350"/>
        <w:spacing w:after="0" w:line="247" w:lineRule="auto"/>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first half 2020 and in 2019,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connection with the Refinancing Transaction, we repaid in full outstanding borrowings under our 2015 Term Loan Facility, in the amount of $1,431.4 million and recognized a non-cash loss on early retirement of debt of $4.2 million from the write-off of deferred loan costs and expenses related to the original issuance discount associated with our 2015 Term Loan Facility.</w:t>
      </w:r>
    </w:p>
    <w:p>
      <w:pPr>
        <w:spacing w:after="0" w:line="16" w:lineRule="exact"/>
        <w:rPr>
          <w:rFonts w:ascii="Arial" w:cs="Arial" w:eastAsia="Arial" w:hAnsi="Arial"/>
          <w:sz w:val="13"/>
          <w:szCs w:val="13"/>
          <w:color w:val="auto"/>
        </w:rPr>
      </w:pPr>
    </w:p>
    <w:p>
      <w:pPr>
        <w:ind w:left="1020" w:right="499" w:hanging="350"/>
        <w:spacing w:after="0" w:line="248" w:lineRule="auto"/>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w:t>
      </w:r>
    </w:p>
    <w:p>
      <w:pPr>
        <w:ind w:left="1020"/>
        <w:spacing w:after="0"/>
        <w:rPr>
          <w:rFonts w:ascii="Arial" w:cs="Arial" w:eastAsia="Arial" w:hAnsi="Arial"/>
          <w:sz w:val="13"/>
          <w:szCs w:val="13"/>
          <w:color w:val="auto"/>
        </w:rPr>
      </w:pPr>
      <w:r>
        <w:rPr>
          <w:rFonts w:ascii="Arial" w:cs="Arial" w:eastAsia="Arial" w:hAnsi="Arial"/>
          <w:sz w:val="14"/>
          <w:szCs w:val="14"/>
          <w:color w:val="auto"/>
        </w:rPr>
        <w:t>$1.2 billion between current lease liabilities and long-term lease liabilities included on the balance sheet as of February 3, 2019.</w:t>
      </w:r>
    </w:p>
    <w:p>
      <w:pPr>
        <w:spacing w:after="0" w:line="29" w:lineRule="exact"/>
        <w:rPr>
          <w:rFonts w:ascii="Arial" w:cs="Arial" w:eastAsia="Arial" w:hAnsi="Arial"/>
          <w:sz w:val="13"/>
          <w:szCs w:val="13"/>
          <w:color w:val="auto"/>
        </w:rPr>
      </w:pPr>
    </w:p>
    <w:p>
      <w:pPr>
        <w:ind w:left="1020" w:right="599" w:hanging="350"/>
        <w:spacing w:after="0" w:line="253" w:lineRule="auto"/>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spacing w:after="0" w:line="11" w:lineRule="exact"/>
        <w:rPr>
          <w:rFonts w:ascii="Arial" w:cs="Arial" w:eastAsia="Arial" w:hAnsi="Arial"/>
          <w:sz w:val="14"/>
          <w:szCs w:val="14"/>
          <w:color w:val="auto"/>
        </w:rPr>
      </w:pPr>
    </w:p>
    <w:p>
      <w:pPr>
        <w:ind w:left="1020" w:right="319" w:hanging="350"/>
        <w:spacing w:after="0" w:line="225" w:lineRule="auto"/>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Adjusted EBITDA as net income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to Adjusted EBITDA in the applicable table below. We define Adjusted Net Income as net income,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describe these adjustments reconciling net income to Adjusted Net Income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27" w:lineRule="exact"/>
        <w:rPr>
          <w:rFonts w:ascii="Arial" w:cs="Arial" w:eastAsia="Arial" w:hAnsi="Arial"/>
          <w:sz w:val="14"/>
          <w:szCs w:val="14"/>
          <w:color w:val="auto"/>
        </w:rPr>
      </w:pPr>
    </w:p>
    <w:p>
      <w:pPr>
        <w:ind w:left="1020" w:right="279"/>
        <w:spacing w:after="0" w:line="244" w:lineRule="auto"/>
        <w:rPr>
          <w:rFonts w:ascii="Arial" w:cs="Arial" w:eastAsia="Arial" w:hAnsi="Arial"/>
          <w:sz w:val="14"/>
          <w:szCs w:val="14"/>
          <w:color w:val="auto"/>
        </w:rPr>
      </w:pPr>
      <w:r>
        <w:rPr>
          <w:rFonts w:ascii="Arial" w:cs="Arial" w:eastAsia="Arial" w:hAnsi="Arial"/>
          <w:sz w:val="13"/>
          <w:szCs w:val="13"/>
          <w:color w:val="auto"/>
        </w:rPr>
        <w:t>Adjusted EBITDA, Adjusted Net Income and Adjusted Free Cash Flow have been presented in this prospectus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9" w:lineRule="exact"/>
        <w:rPr>
          <w:rFonts w:ascii="Arial" w:cs="Arial" w:eastAsia="Arial" w:hAnsi="Arial"/>
          <w:sz w:val="14"/>
          <w:szCs w:val="14"/>
          <w:color w:val="auto"/>
        </w:rPr>
      </w:pPr>
    </w:p>
    <w:p>
      <w:pPr>
        <w:ind w:left="1020" w:right="319"/>
        <w:spacing w:after="0" w:line="243" w:lineRule="auto"/>
        <w:rPr>
          <w:rFonts w:ascii="Arial" w:cs="Arial" w:eastAsia="Arial" w:hAnsi="Arial"/>
          <w:sz w:val="14"/>
          <w:szCs w:val="14"/>
          <w:color w:val="auto"/>
        </w:rPr>
      </w:pPr>
      <w:r>
        <w:rPr>
          <w:rFonts w:ascii="Arial" w:cs="Arial" w:eastAsia="Arial" w:hAnsi="Arial"/>
          <w:sz w:val="13"/>
          <w:szCs w:val="13"/>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should not be construed to imply that our future results will be unaffected by unusual or non-recurring items. In evaluating Adjusted EBITDA, Adjusted Net Income and Adjusted Free Cash Flow, you should be aware that in the future we may incur expenses that are the same as or similar to some of the adjustments in this presentation. Our presentation of Adjusted EBITDA, Adjusted Net Income and Adjusted Free Cash Flow should not be construed to imply that our future results will be unaffected by any such adjustments. Management compensates for these limitations by primarily relying on our GAAP results in addition to using Adjusted EBITDA, Adjusted Net Income and Adjusted Free Cash Flow supplementally.</w:t>
      </w:r>
    </w:p>
    <w:p>
      <w:pPr>
        <w:sectPr>
          <w:pgSz w:w="11900" w:h="16838" w:orient="portrait"/>
          <w:cols w:equalWidth="0" w:num="1">
            <w:col w:w="9379"/>
          </w:cols>
          <w:pgMar w:left="1080" w:top="265"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00" w:right="2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-25400</wp:posOffset>
            </wp:positionV>
            <wp:extent cx="5653405" cy="8773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3405" cy="8773795"/>
                    </a:xfrm>
                    <a:prstGeom prst="rect">
                      <a:avLst/>
                    </a:prstGeom>
                    <a:noFill/>
                  </pic:spPr>
                </pic:pic>
              </a:graphicData>
            </a:graphic>
          </wp:anchor>
        </w:drawing>
      </w:r>
    </w:p>
    <w:p>
      <w:pPr>
        <w:spacing w:after="0" w:line="261" w:lineRule="exact"/>
        <w:rPr>
          <w:sz w:val="20"/>
          <w:szCs w:val="20"/>
          <w:color w:val="auto"/>
        </w:rPr>
      </w:pPr>
    </w:p>
    <w:p>
      <w:pPr>
        <w:ind w:left="1020" w:right="419"/>
        <w:spacing w:after="0" w:line="281" w:lineRule="auto"/>
        <w:rPr>
          <w:sz w:val="20"/>
          <w:szCs w:val="20"/>
          <w:color w:val="auto"/>
        </w:rPr>
      </w:pPr>
      <w:r>
        <w:rPr>
          <w:rFonts w:ascii="Arial" w:cs="Arial" w:eastAsia="Arial" w:hAnsi="Arial"/>
          <w:sz w:val="13"/>
          <w:szCs w:val="13"/>
          <w:color w:val="auto"/>
        </w:rPr>
        <w:t>Our Adjusted EBITDA, Adjusted Net Income and Adjusted Free Cash Flow measures have limitations as analytical tools, and you should not consider them in isolation, or as a substitute for analysis of our results as reported under GAAP. Some of these limitations are:</w:t>
      </w:r>
    </w:p>
    <w:p>
      <w:pPr>
        <w:spacing w:after="0" w:line="1" w:lineRule="exact"/>
        <w:rPr>
          <w:sz w:val="20"/>
          <w:szCs w:val="20"/>
          <w:color w:val="auto"/>
        </w:rPr>
      </w:pPr>
    </w:p>
    <w:p>
      <w:pPr>
        <w:ind w:left="1380" w:hanging="350"/>
        <w:spacing w:after="0"/>
        <w:tabs>
          <w:tab w:leader="none" w:pos="1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Adjusted EBITDA and Adjusted Net Income do not reflect costs or cash outlays for capital expenditures or contractual commitments;</w:t>
      </w:r>
    </w:p>
    <w:p>
      <w:pPr>
        <w:spacing w:after="0" w:line="53" w:lineRule="exact"/>
        <w:rPr>
          <w:rFonts w:ascii="Arial" w:cs="Arial" w:eastAsia="Arial" w:hAnsi="Arial"/>
          <w:sz w:val="13"/>
          <w:szCs w:val="13"/>
          <w:color w:val="auto"/>
        </w:rPr>
      </w:pPr>
    </w:p>
    <w:p>
      <w:pPr>
        <w:ind w:left="1380" w:hanging="350"/>
        <w:spacing w:after="0"/>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changes in, or cash requirements for, our working capital needs;</w:t>
      </w:r>
    </w:p>
    <w:p>
      <w:pPr>
        <w:spacing w:after="0" w:line="41" w:lineRule="exact"/>
        <w:rPr>
          <w:rFonts w:ascii="Arial" w:cs="Arial" w:eastAsia="Arial" w:hAnsi="Arial"/>
          <w:sz w:val="14"/>
          <w:szCs w:val="14"/>
          <w:color w:val="auto"/>
        </w:rPr>
      </w:pPr>
    </w:p>
    <w:p>
      <w:pPr>
        <w:ind w:left="1380" w:right="299" w:hanging="350"/>
        <w:spacing w:after="0" w:line="305" w:lineRule="auto"/>
        <w:tabs>
          <w:tab w:leader="none" w:pos="13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ind w:left="1380" w:hanging="350"/>
        <w:spacing w:after="0"/>
        <w:tabs>
          <w:tab w:leader="none" w:pos="1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Adjusted EBITDA does not reflect period to period changes in taxes, income tax expense or the cash necessary to pay income taxes;</w:t>
      </w:r>
    </w:p>
    <w:p>
      <w:pPr>
        <w:spacing w:after="0" w:line="53" w:lineRule="exact"/>
        <w:rPr>
          <w:rFonts w:ascii="Arial" w:cs="Arial" w:eastAsia="Arial" w:hAnsi="Arial"/>
          <w:sz w:val="13"/>
          <w:szCs w:val="13"/>
          <w:color w:val="auto"/>
        </w:rPr>
      </w:pPr>
    </w:p>
    <w:p>
      <w:pPr>
        <w:ind w:left="1380" w:right="399" w:hanging="350"/>
        <w:spacing w:after="0" w:line="253" w:lineRule="auto"/>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the impact of earnings or charges resulting from matters we consider not to be indicative of our ongoing operations;</w:t>
      </w:r>
    </w:p>
    <w:p>
      <w:pPr>
        <w:spacing w:after="0" w:line="11" w:lineRule="exact"/>
        <w:rPr>
          <w:rFonts w:ascii="Arial" w:cs="Arial" w:eastAsia="Arial" w:hAnsi="Arial"/>
          <w:sz w:val="14"/>
          <w:szCs w:val="14"/>
          <w:color w:val="auto"/>
        </w:rPr>
      </w:pPr>
    </w:p>
    <w:p>
      <w:pPr>
        <w:ind w:left="1380" w:right="399" w:hanging="350"/>
        <w:spacing w:after="0" w:line="238" w:lineRule="auto"/>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20" w:lineRule="exact"/>
        <w:rPr>
          <w:rFonts w:ascii="Arial" w:cs="Arial" w:eastAsia="Arial" w:hAnsi="Arial"/>
          <w:sz w:val="14"/>
          <w:szCs w:val="14"/>
          <w:color w:val="auto"/>
        </w:rPr>
      </w:pPr>
    </w:p>
    <w:p>
      <w:pPr>
        <w:ind w:left="1380" w:right="759" w:hanging="350"/>
        <w:spacing w:after="0" w:line="253" w:lineRule="auto"/>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companies in our industry may calculate these measures differently than we do, limiting their usefulness as comparative measures.</w:t>
      </w:r>
    </w:p>
    <w:p>
      <w:pPr>
        <w:spacing w:after="0" w:line="70" w:lineRule="exact"/>
        <w:rPr>
          <w:sz w:val="20"/>
          <w:szCs w:val="20"/>
          <w:color w:val="auto"/>
        </w:rPr>
      </w:pPr>
    </w:p>
    <w:p>
      <w:pPr>
        <w:ind w:left="680" w:right="419"/>
        <w:spacing w:after="0" w:line="342" w:lineRule="auto"/>
        <w:rPr>
          <w:sz w:val="20"/>
          <w:szCs w:val="20"/>
          <w:color w:val="auto"/>
        </w:rPr>
      </w:pPr>
      <w:r>
        <w:rPr>
          <w:rFonts w:ascii="Arial" w:cs="Arial" w:eastAsia="Arial" w:hAnsi="Arial"/>
          <w:sz w:val="16"/>
          <w:szCs w:val="16"/>
          <w:color w:val="auto"/>
        </w:rPr>
        <w:t>Because of these limitations, Adjusted EBITDA, Adjusted Net Income and Adjusted Free Cash Flow should not be considered as measures of discretionary cash available to invest in business growth or to reduce indebtedness.</w:t>
      </w:r>
    </w:p>
    <w:p>
      <w:pPr>
        <w:spacing w:after="0" w:line="16" w:lineRule="exact"/>
        <w:rPr>
          <w:sz w:val="20"/>
          <w:szCs w:val="20"/>
          <w:color w:val="auto"/>
        </w:rPr>
      </w:pPr>
    </w:p>
    <w:p>
      <w:pPr>
        <w:ind w:left="680" w:right="399" w:firstLine="360"/>
        <w:spacing w:after="0" w:line="277" w:lineRule="auto"/>
        <w:rPr>
          <w:sz w:val="20"/>
          <w:szCs w:val="20"/>
          <w:color w:val="auto"/>
        </w:rPr>
      </w:pPr>
      <w:r>
        <w:rPr>
          <w:rFonts w:ascii="Arial" w:cs="Arial" w:eastAsia="Arial" w:hAnsi="Arial"/>
          <w:sz w:val="18"/>
          <w:szCs w:val="18"/>
          <w:color w:val="auto"/>
        </w:rPr>
        <w:t>The following tables provide reconciliations of net income to Adjusted EBITDA and Adjusted Net Income for the periods presented:</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8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January 30,</w:t>
            </w:r>
          </w:p>
        </w:tc>
        <w:tc>
          <w:tcPr>
            <w:tcW w:w="2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February 1,</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February 2,</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8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$308,764</w:t>
            </w: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$ 21,442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jc w:val="right"/>
              <w:spacing w:after="0"/>
              <w:rPr>
                <w:sz w:val="20"/>
                <w:szCs w:val="20"/>
                <w:color w:val="auto"/>
              </w:rPr>
            </w:pPr>
            <w:r>
              <w:rPr>
                <w:rFonts w:ascii="Arial" w:cs="Arial" w:eastAsia="Arial" w:hAnsi="Arial"/>
                <w:sz w:val="18"/>
                <w:szCs w:val="18"/>
                <w:color w:val="auto"/>
              </w:rPr>
              <w:t>86,514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101,307</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108,652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105,481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117,254</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134,190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right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260" w:type="dxa"/>
            <w:vAlign w:val="bottom"/>
            <w:tcBorders>
              <w:right w:val="single" w:sz="8" w:color="CCEEFF"/>
            </w:tcBorders>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0"/>
              <w:spacing w:after="0" w:line="270"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40" w:type="dxa"/>
            <w:vAlign w:val="bottom"/>
          </w:tcPr>
          <w:p>
            <w:pPr>
              <w:jc w:val="right"/>
              <w:spacing w:after="0"/>
              <w:rPr>
                <w:sz w:val="20"/>
                <w:szCs w:val="20"/>
                <w:color w:val="auto"/>
              </w:rPr>
            </w:pPr>
            <w:r>
              <w:rPr>
                <w:rFonts w:ascii="Arial" w:cs="Arial" w:eastAsia="Arial" w:hAnsi="Arial"/>
                <w:sz w:val="18"/>
                <w:szCs w:val="18"/>
                <w:color w:val="auto"/>
              </w:rPr>
              <w:t>14,793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3,636</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Borders>
              <w:right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260" w:type="dxa"/>
            <w:vAlign w:val="bottom"/>
            <w:tcBorders>
              <w:right w:val="single" w:sz="8" w:color="CCEEFF"/>
            </w:tcBorders>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740" w:type="dxa"/>
            <w:vAlign w:val="bottom"/>
          </w:tcPr>
          <w:p>
            <w:pPr>
              <w:jc w:val="right"/>
              <w:spacing w:after="0"/>
              <w:rPr>
                <w:sz w:val="20"/>
                <w:szCs w:val="20"/>
                <w:color w:val="auto"/>
              </w:rPr>
            </w:pPr>
            <w:r>
              <w:rPr>
                <w:rFonts w:ascii="Arial" w:cs="Arial" w:eastAsia="Arial" w:hAnsi="Arial"/>
                <w:sz w:val="18"/>
                <w:szCs w:val="18"/>
                <w:color w:val="auto"/>
              </w:rPr>
              <w:t>(3,582)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(42,265)</w:t>
            </w:r>
          </w:p>
        </w:tc>
        <w:tc>
          <w:tcPr>
            <w:tcW w:w="26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right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60" w:type="dxa"/>
            <w:vAlign w:val="bottom"/>
            <w:tcBorders>
              <w:right w:val="single" w:sz="8" w:color="CCEEFF"/>
            </w:tcBorders>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0"/>
              <w:spacing w:after="0" w:line="270"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40" w:type="dxa"/>
            <w:vAlign w:val="bottom"/>
          </w:tcPr>
          <w:p>
            <w:pPr>
              <w:jc w:val="right"/>
              <w:spacing w:after="0"/>
              <w:rPr>
                <w:sz w:val="20"/>
                <w:szCs w:val="20"/>
                <w:color w:val="auto"/>
              </w:rPr>
            </w:pPr>
            <w:r>
              <w:rPr>
                <w:rFonts w:ascii="Arial" w:cs="Arial" w:eastAsia="Arial" w:hAnsi="Arial"/>
                <w:sz w:val="18"/>
                <w:szCs w:val="18"/>
                <w:color w:val="auto"/>
              </w:rPr>
              <w:t>17,632</w:t>
            </w:r>
          </w:p>
        </w:tc>
        <w:tc>
          <w:tcPr>
            <w:tcW w:w="220" w:type="dxa"/>
            <w:vAlign w:val="bottom"/>
          </w:tcPr>
          <w:p>
            <w:pPr>
              <w:spacing w:after="0"/>
              <w:rPr>
                <w:sz w:val="23"/>
                <w:szCs w:val="2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8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Inventory write-down adjustments associated with strategic merchandising</w:t>
            </w:r>
          </w:p>
        </w:tc>
        <w:tc>
          <w:tcPr>
            <w:tcW w:w="7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820" w:type="dxa"/>
            <w:vAlign w:val="bottom"/>
            <w:tcBorders>
              <w:right w:val="single" w:sz="8" w:color="CCEEFF"/>
            </w:tcBorders>
            <w:shd w:val="clear" w:color="auto" w:fill="CCEEFF"/>
          </w:tcPr>
          <w:p>
            <w:pPr>
              <w:ind w:left="180"/>
              <w:spacing w:after="0" w:line="267" w:lineRule="exact"/>
              <w:rPr>
                <w:sz w:val="20"/>
                <w:szCs w:val="20"/>
                <w:color w:val="auto"/>
              </w:rPr>
            </w:pPr>
            <w:r>
              <w:rPr>
                <w:rFonts w:ascii="Arial" w:cs="Arial" w:eastAsia="Arial" w:hAnsi="Arial"/>
                <w:sz w:val="18"/>
                <w:szCs w:val="18"/>
                <w:color w:val="auto"/>
              </w:rPr>
              <w:t>initiative</w:t>
            </w:r>
            <w:r>
              <w:rPr>
                <w:rFonts w:ascii="Arial" w:cs="Arial" w:eastAsia="Arial" w:hAnsi="Arial"/>
                <w:sz w:val="29"/>
                <w:szCs w:val="29"/>
                <w:color w:val="auto"/>
                <w:vertAlign w:val="superscript"/>
              </w:rPr>
              <w:t>(f)</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3"/>
                <w:szCs w:val="23"/>
                <w:color w:val="auto"/>
              </w:rPr>
            </w:pPr>
          </w:p>
        </w:tc>
        <w:tc>
          <w:tcPr>
            <w:tcW w:w="10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(g)</w:t>
            </w:r>
          </w:p>
        </w:tc>
        <w:tc>
          <w:tcPr>
            <w:tcW w:w="740" w:type="dxa"/>
            <w:vAlign w:val="bottom"/>
          </w:tcPr>
          <w:p>
            <w:pPr>
              <w:jc w:val="right"/>
              <w:spacing w:after="0"/>
              <w:rPr>
                <w:sz w:val="20"/>
                <w:szCs w:val="20"/>
                <w:color w:val="auto"/>
              </w:rPr>
            </w:pPr>
            <w:r>
              <w:rPr>
                <w:rFonts w:ascii="Arial" w:cs="Arial" w:eastAsia="Arial" w:hAnsi="Arial"/>
                <w:sz w:val="18"/>
                <w:szCs w:val="18"/>
                <w:color w:val="auto"/>
              </w:rPr>
              <w:t>8,592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7,111</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8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607,023</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322,814</w:t>
            </w:r>
          </w:p>
        </w:tc>
        <w:tc>
          <w:tcPr>
            <w:tcW w:w="26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300,259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820" w:type="dxa"/>
            <w:vAlign w:val="bottom"/>
            <w:tcBorders>
              <w:top w:val="single" w:sz="8" w:color="CCEEFF"/>
              <w:right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auto"/>
            </w:tcBorders>
            <w:shd w:val="clear" w:color="auto" w:fill="000000"/>
          </w:tcPr>
          <w:p>
            <w:pPr>
              <w:spacing w:after="0"/>
              <w:rPr>
                <w:sz w:val="2"/>
                <w:szCs w:val="2"/>
                <w:color w:val="auto"/>
              </w:rPr>
            </w:pPr>
          </w:p>
        </w:tc>
        <w:tc>
          <w:tcPr>
            <w:tcW w:w="260" w:type="dxa"/>
            <w:vAlign w:val="bottom"/>
            <w:tcBorders>
              <w:top w:val="single" w:sz="8" w:color="CCEEFF"/>
              <w:right w:val="single" w:sz="8" w:color="auto"/>
            </w:tcBorders>
            <w:shd w:val="clear" w:color="auto" w:fill="CCEEFF"/>
          </w:tcPr>
          <w:p>
            <w:pPr>
              <w:spacing w:after="0"/>
              <w:rPr>
                <w:sz w:val="2"/>
                <w:szCs w:val="2"/>
                <w:color w:val="auto"/>
              </w:rPr>
            </w:pPr>
          </w:p>
        </w:tc>
        <w:tc>
          <w:tcPr>
            <w:tcW w:w="640" w:type="dxa"/>
            <w:vAlign w:val="bottom"/>
            <w:tcBorders>
              <w:top w:val="single" w:sz="8" w:color="auto"/>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9"/>
        </w:trPr>
        <w:tc>
          <w:tcPr>
            <w:tcW w:w="5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8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January 30,</w:t>
            </w:r>
          </w:p>
        </w:tc>
        <w:tc>
          <w:tcPr>
            <w:tcW w:w="2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February 1,</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February 2,</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8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data)</w:t>
            </w: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$308,764</w:t>
            </w: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$21,442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0"/>
              <w:spacing w:after="0" w:line="270"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3,601</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Borders>
              <w:right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260" w:type="dxa"/>
            <w:vAlign w:val="bottom"/>
            <w:tcBorders>
              <w:right w:val="single" w:sz="8" w:color="CCEEFF"/>
            </w:tcBorders>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0"/>
              <w:spacing w:after="0" w:line="27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40" w:type="dxa"/>
            <w:vAlign w:val="bottom"/>
          </w:tcPr>
          <w:p>
            <w:pPr>
              <w:jc w:val="right"/>
              <w:spacing w:after="0"/>
              <w:rPr>
                <w:sz w:val="20"/>
                <w:szCs w:val="20"/>
                <w:color w:val="auto"/>
              </w:rPr>
            </w:pPr>
            <w:r>
              <w:rPr>
                <w:rFonts w:ascii="Arial" w:cs="Arial" w:eastAsia="Arial" w:hAnsi="Arial"/>
                <w:sz w:val="18"/>
                <w:szCs w:val="18"/>
                <w:color w:val="auto"/>
              </w:rPr>
              <w:t>31,617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0"/>
              <w:spacing w:after="0" w:line="270"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40" w:type="dxa"/>
            <w:vAlign w:val="bottom"/>
          </w:tcPr>
          <w:p>
            <w:pPr>
              <w:jc w:val="right"/>
              <w:spacing w:after="0"/>
              <w:rPr>
                <w:sz w:val="20"/>
                <w:szCs w:val="20"/>
                <w:color w:val="auto"/>
              </w:rPr>
            </w:pPr>
            <w:r>
              <w:rPr>
                <w:rFonts w:ascii="Arial" w:cs="Arial" w:eastAsia="Arial" w:hAnsi="Arial"/>
                <w:sz w:val="18"/>
                <w:szCs w:val="18"/>
                <w:color w:val="auto"/>
              </w:rPr>
              <w:t>6,571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1,429</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Borders>
              <w:right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220" w:type="dxa"/>
            <w:vAlign w:val="bottom"/>
            <w:tcBorders>
              <w:right w:val="single" w:sz="8" w:color="CCEEFF"/>
            </w:tcBorders>
            <w:shd w:val="clear" w:color="auto" w:fill="CCEEFF"/>
          </w:tcPr>
          <w:p>
            <w:pPr>
              <w:spacing w:after="0"/>
              <w:rPr>
                <w:sz w:val="23"/>
                <w:szCs w:val="23"/>
                <w:color w:val="auto"/>
              </w:rPr>
            </w:pPr>
          </w:p>
        </w:tc>
        <w:tc>
          <w:tcPr>
            <w:tcW w:w="10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8"/>
                <w:szCs w:val="18"/>
                <w:color w:val="auto"/>
                <w:w w:val="97"/>
              </w:rPr>
              <w:t>Inventory write-down adjustments associated with strategic merchandising</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820" w:type="dxa"/>
            <w:vAlign w:val="bottom"/>
          </w:tcPr>
          <w:p>
            <w:pPr>
              <w:ind w:left="180"/>
              <w:spacing w:after="0" w:line="267" w:lineRule="exact"/>
              <w:rPr>
                <w:sz w:val="20"/>
                <w:szCs w:val="20"/>
                <w:color w:val="auto"/>
              </w:rPr>
            </w:pPr>
            <w:r>
              <w:rPr>
                <w:rFonts w:ascii="Arial" w:cs="Arial" w:eastAsia="Arial" w:hAnsi="Arial"/>
                <w:sz w:val="18"/>
                <w:szCs w:val="18"/>
                <w:color w:val="auto"/>
              </w:rPr>
              <w:t>initiative</w:t>
            </w:r>
            <w:r>
              <w:rPr>
                <w:rFonts w:ascii="Arial" w:cs="Arial" w:eastAsia="Arial" w:hAnsi="Arial"/>
                <w:sz w:val="29"/>
                <w:szCs w:val="29"/>
                <w:color w:val="auto"/>
                <w:vertAlign w:val="superscript"/>
              </w:rPr>
              <w:t>(f)</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18,225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20" w:type="dxa"/>
            <w:vAlign w:val="bottom"/>
            <w:tcBorders>
              <w:right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(g)</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60" w:type="dxa"/>
            <w:vAlign w:val="bottom"/>
            <w:tcBorders>
              <w:right w:val="single" w:sz="8" w:color="CCEEFF"/>
            </w:tcBorders>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line="243" w:lineRule="exact"/>
              <w:rPr>
                <w:sz w:val="20"/>
                <w:szCs w:val="20"/>
                <w:color w:val="auto"/>
              </w:rPr>
            </w:pPr>
            <w:r>
              <w:rPr>
                <w:rFonts w:ascii="Arial" w:cs="Arial" w:eastAsia="Arial" w:hAnsi="Arial"/>
                <w:sz w:val="17"/>
                <w:szCs w:val="17"/>
                <w:color w:val="auto"/>
              </w:rPr>
              <w:t>Tax effects of these adjustments</w:t>
            </w:r>
            <w:r>
              <w:rPr>
                <w:rFonts w:ascii="Arial" w:cs="Arial" w:eastAsia="Arial" w:hAnsi="Arial"/>
                <w:sz w:val="28"/>
                <w:szCs w:val="28"/>
                <w:color w:val="auto"/>
                <w:vertAlign w:val="superscript"/>
              </w:rPr>
              <w:t>(h)</w:t>
            </w: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8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384,536</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101,469</w:t>
            </w:r>
          </w:p>
        </w:tc>
        <w:tc>
          <w:tcPr>
            <w:tcW w:w="260" w:type="dxa"/>
            <w:vAlign w:val="bottom"/>
            <w:tcBorders>
              <w:right w:val="single" w:sz="8" w:color="CCEEFF"/>
            </w:tcBorders>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55,405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820" w:type="dxa"/>
            <w:vAlign w:val="bottom"/>
            <w:tcBorders>
              <w:top w:val="single" w:sz="8" w:color="CCEEFF"/>
              <w:right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1020" w:hanging="350"/>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outside consulting fees associated with our strategic cost savings and business optimization initiatives.</w:t>
      </w:r>
    </w:p>
    <w:p>
      <w:pPr>
        <w:sectPr>
          <w:pgSz w:w="11900" w:h="16838" w:orient="portrait"/>
          <w:cols w:equalWidth="0" w:num="1">
            <w:col w:w="9379"/>
          </w:cols>
          <w:pgMar w:left="1080" w:top="265" w:right="1440" w:bottom="1101"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101" w:gutter="0" w:footer="0" w:header="0"/>
          <w:type w:val="continuous"/>
        </w:sectPr>
      </w:pPr>
    </w:p>
    <w:bookmarkStart w:id="24" w:name="page25"/>
    <w:bookmarkEnd w:id="24"/>
    <w:p>
      <w:pPr>
        <w:ind w:left="6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13335</wp:posOffset>
            </wp:positionV>
            <wp:extent cx="5653405" cy="387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3405" cy="3878580"/>
                    </a:xfrm>
                    <a:prstGeom prst="rect">
                      <a:avLst/>
                    </a:prstGeom>
                    <a:noFill/>
                  </pic:spPr>
                </pic:pic>
              </a:graphicData>
            </a:graphic>
          </wp:anchor>
        </w:drawing>
      </w:r>
    </w:p>
    <w:p>
      <w:pPr>
        <w:spacing w:after="0" w:line="323" w:lineRule="exact"/>
        <w:rPr>
          <w:sz w:val="20"/>
          <w:szCs w:val="20"/>
          <w:color w:val="auto"/>
        </w:rPr>
      </w:pPr>
    </w:p>
    <w:p>
      <w:pPr>
        <w:ind w:left="1660" w:right="1340" w:hanging="350"/>
        <w:spacing w:after="0" w:line="253" w:lineRule="auto"/>
        <w:tabs>
          <w:tab w:leader="none" w:pos="1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our contractual payments under our Monitoring Agreement. See Note 13 to our audited consolidated financial statements in our Annual Report incorporated by reference herein.</w:t>
      </w:r>
    </w:p>
    <w:p>
      <w:pPr>
        <w:spacing w:after="0" w:line="11" w:lineRule="exact"/>
        <w:rPr>
          <w:rFonts w:ascii="Arial" w:cs="Arial" w:eastAsia="Arial" w:hAnsi="Arial"/>
          <w:sz w:val="14"/>
          <w:szCs w:val="14"/>
          <w:color w:val="auto"/>
        </w:rPr>
      </w:pPr>
    </w:p>
    <w:p>
      <w:pPr>
        <w:ind w:left="1660" w:right="1420" w:hanging="350"/>
        <w:spacing w:after="0" w:line="253" w:lineRule="auto"/>
        <w:tabs>
          <w:tab w:leader="none" w:pos="1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1" w:lineRule="exact"/>
        <w:rPr>
          <w:rFonts w:ascii="Arial" w:cs="Arial" w:eastAsia="Arial" w:hAnsi="Arial"/>
          <w:sz w:val="14"/>
          <w:szCs w:val="14"/>
          <w:color w:val="auto"/>
        </w:rPr>
      </w:pPr>
    </w:p>
    <w:p>
      <w:pPr>
        <w:ind w:left="1660" w:hanging="350"/>
        <w:spacing w:after="0"/>
        <w:tabs>
          <w:tab w:leader="none" w:pos="1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severance costs associated with executive leadership changes and enterprise-wide organizational changes.</w:t>
      </w:r>
    </w:p>
    <w:p>
      <w:pPr>
        <w:spacing w:after="0" w:line="41" w:lineRule="exact"/>
        <w:rPr>
          <w:rFonts w:ascii="Arial" w:cs="Arial" w:eastAsia="Arial" w:hAnsi="Arial"/>
          <w:sz w:val="14"/>
          <w:szCs w:val="14"/>
          <w:color w:val="auto"/>
        </w:rPr>
      </w:pPr>
    </w:p>
    <w:p>
      <w:pPr>
        <w:ind w:left="1660" w:right="1440" w:hanging="350"/>
        <w:spacing w:after="0" w:line="255" w:lineRule="auto"/>
        <w:tabs>
          <w:tab w:leader="none" w:pos="1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12" w:lineRule="exact"/>
        <w:rPr>
          <w:rFonts w:ascii="Arial" w:cs="Arial" w:eastAsia="Arial" w:hAnsi="Arial"/>
          <w:sz w:val="13"/>
          <w:szCs w:val="13"/>
          <w:color w:val="auto"/>
        </w:rPr>
      </w:pPr>
    </w:p>
    <w:p>
      <w:pPr>
        <w:ind w:left="1660" w:right="1920" w:hanging="350"/>
        <w:spacing w:after="0" w:line="253" w:lineRule="auto"/>
        <w:tabs>
          <w:tab w:leader="none" w:pos="1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inventory write-down adjustments in connection with our new merchandising strategy adopted as part of our strategic transformation, including exiting certain categories of products.</w:t>
      </w:r>
    </w:p>
    <w:p>
      <w:pPr>
        <w:spacing w:after="0" w:line="11" w:lineRule="exact"/>
        <w:rPr>
          <w:rFonts w:ascii="Arial" w:cs="Arial" w:eastAsia="Arial" w:hAnsi="Arial"/>
          <w:sz w:val="14"/>
          <w:szCs w:val="14"/>
          <w:color w:val="auto"/>
        </w:rPr>
      </w:pPr>
    </w:p>
    <w:p>
      <w:pPr>
        <w:ind w:left="1660" w:right="1420" w:hanging="350"/>
        <w:spacing w:after="0" w:line="231" w:lineRule="auto"/>
        <w:tabs>
          <w:tab w:leader="none" w:pos="1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EBITDA and Adjusted Net Income, as applicable) amounts that management believes are not representative of our operating performance, including investment income,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spacing w:after="0" w:line="21" w:lineRule="exact"/>
        <w:rPr>
          <w:rFonts w:ascii="Arial" w:cs="Arial" w:eastAsia="Arial" w:hAnsi="Arial"/>
          <w:sz w:val="14"/>
          <w:szCs w:val="14"/>
          <w:color w:val="auto"/>
        </w:rPr>
      </w:pPr>
    </w:p>
    <w:p>
      <w:pPr>
        <w:ind w:left="1660" w:hanging="350"/>
        <w:spacing w:after="0"/>
        <w:tabs>
          <w:tab w:leader="none" w:pos="1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made to arrive at Adjusted Net Income at our historical tax rate.</w:t>
      </w:r>
    </w:p>
    <w:p>
      <w:pPr>
        <w:spacing w:after="0" w:line="100" w:lineRule="exact"/>
        <w:rPr>
          <w:sz w:val="20"/>
          <w:szCs w:val="20"/>
          <w:color w:val="auto"/>
        </w:rPr>
      </w:pPr>
    </w:p>
    <w:p>
      <w:pPr>
        <w:ind w:left="1320" w:right="1300" w:firstLine="360"/>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January 30,</w:t>
            </w:r>
          </w:p>
        </w:tc>
        <w:tc>
          <w:tcPr>
            <w:tcW w:w="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February 1,</w:t>
            </w:r>
          </w:p>
        </w:tc>
        <w:tc>
          <w:tcPr>
            <w:tcW w:w="20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97"/>
              </w:rPr>
              <w:t>February 2,</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$1,011,597</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$263,669</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$198,481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(66,783)</w:t>
            </w:r>
          </w:p>
        </w:tc>
        <w:tc>
          <w:tcPr>
            <w:tcW w:w="16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(99,027)</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Free Cash Flow</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978,453</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196,886</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$ 99,454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top w:val="single" w:sz="8" w:color="CCEEFF"/>
              <w:bottom w:val="single" w:sz="8" w:color="auto"/>
            </w:tcBorders>
          </w:tcPr>
          <w:p>
            <w:pPr>
              <w:spacing w:after="0"/>
              <w:rPr>
                <w:sz w:val="18"/>
                <w:szCs w:val="18"/>
                <w:color w:val="auto"/>
              </w:rPr>
            </w:pPr>
          </w:p>
        </w:tc>
        <w:tc>
          <w:tcPr>
            <w:tcW w:w="21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60" w:type="dxa"/>
            <w:vAlign w:val="bottom"/>
          </w:tcPr>
          <w:p>
            <w:pPr>
              <w:jc w:val="right"/>
              <w:ind w:right="131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660" w:right="319" w:firstLine="36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and the information contained in our Annual Report, including under “Risk Factors,” together with the other information contained or incorporated by reference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660" w:right="359"/>
        <w:spacing w:after="0" w:line="301" w:lineRule="auto"/>
        <w:rPr>
          <w:sz w:val="20"/>
          <w:szCs w:val="20"/>
          <w:color w:val="auto"/>
        </w:rPr>
      </w:pPr>
      <w:r>
        <w:rPr>
          <w:rFonts w:ascii="Arial" w:cs="Arial" w:eastAsia="Arial" w:hAnsi="Arial"/>
          <w:sz w:val="16"/>
          <w:szCs w:val="16"/>
          <w:b w:val="1"/>
          <w:bCs w:val="1"/>
          <w:i w:val="1"/>
          <w:iCs w:val="1"/>
          <w:color w:val="auto"/>
        </w:rPr>
        <w:t>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49" w:lineRule="exact"/>
        <w:rPr>
          <w:sz w:val="20"/>
          <w:szCs w:val="20"/>
          <w:color w:val="auto"/>
        </w:rPr>
      </w:pPr>
    </w:p>
    <w:p>
      <w:pPr>
        <w:ind w:left="660" w:right="339" w:firstLine="360"/>
        <w:spacing w:after="0" w:line="279" w:lineRule="auto"/>
        <w:rPr>
          <w:sz w:val="20"/>
          <w:szCs w:val="20"/>
          <w:color w:val="auto"/>
        </w:rPr>
      </w:pPr>
      <w:r>
        <w:rPr>
          <w:rFonts w:ascii="Arial" w:cs="Arial" w:eastAsia="Arial" w:hAnsi="Arial"/>
          <w:sz w:val="17"/>
          <w:szCs w:val="17"/>
          <w:color w:val="auto"/>
        </w:rPr>
        <w:t>After completion of the April 2021 Sale, KKR Stockholders ceased to control a majority of the voting power of our common stock. As a result, we are no longer a “controlled company” within the meaning of the corporate governance standards of Nasdaq and we will be required to comply with certain corporate governance requirements within one year or less of the completion of the April 2021 Sale, including the requirements that:</w:t>
      </w:r>
    </w:p>
    <w:p>
      <w:pPr>
        <w:spacing w:after="0" w:line="63" w:lineRule="exact"/>
        <w:rPr>
          <w:sz w:val="20"/>
          <w:szCs w:val="20"/>
          <w:color w:val="auto"/>
        </w:rPr>
      </w:pPr>
    </w:p>
    <w:p>
      <w:pPr>
        <w:ind w:left="1360" w:right="399" w:hanging="348"/>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listing rules of Nasdaq;</w:t>
      </w:r>
    </w:p>
    <w:p>
      <w:pPr>
        <w:spacing w:after="0" w:line="62" w:lineRule="exact"/>
        <w:rPr>
          <w:rFonts w:ascii="Arial" w:cs="Arial" w:eastAsia="Arial" w:hAnsi="Arial"/>
          <w:sz w:val="18"/>
          <w:szCs w:val="18"/>
          <w:color w:val="auto"/>
        </w:rPr>
      </w:pPr>
    </w:p>
    <w:p>
      <w:pPr>
        <w:ind w:left="1360" w:right="1339" w:hanging="348"/>
        <w:spacing w:after="0" w:line="308" w:lineRule="auto"/>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director nominees be selected, or recommended for our board of directors’ selection by a nominating/governance committee comprised solely of independent directors; and</w:t>
      </w:r>
    </w:p>
    <w:p>
      <w:pPr>
        <w:spacing w:after="0" w:line="38" w:lineRule="exact"/>
        <w:rPr>
          <w:rFonts w:ascii="Arial" w:cs="Arial" w:eastAsia="Arial" w:hAnsi="Arial"/>
          <w:sz w:val="17"/>
          <w:szCs w:val="17"/>
          <w:color w:val="auto"/>
        </w:rPr>
      </w:pPr>
    </w:p>
    <w:p>
      <w:pPr>
        <w:ind w:left="1360" w:right="519" w:hanging="348"/>
        <w:spacing w:after="0" w:line="342" w:lineRule="auto"/>
        <w:tabs>
          <w:tab w:leader="none" w:pos="1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compensation of our executive officers be determined, or recommended to our board of directors for determination, by a compensation committee comprised solely of independent directors.</w:t>
      </w:r>
    </w:p>
    <w:p>
      <w:pPr>
        <w:spacing w:after="0" w:line="16" w:lineRule="exact"/>
        <w:rPr>
          <w:sz w:val="20"/>
          <w:szCs w:val="20"/>
          <w:color w:val="auto"/>
        </w:rPr>
      </w:pPr>
    </w:p>
    <w:p>
      <w:pPr>
        <w:ind w:left="660" w:right="319" w:firstLine="360"/>
        <w:spacing w:after="0" w:line="301" w:lineRule="auto"/>
        <w:rPr>
          <w:sz w:val="20"/>
          <w:szCs w:val="20"/>
          <w:color w:val="auto"/>
        </w:rPr>
      </w:pPr>
      <w:r>
        <w:rPr>
          <w:rFonts w:ascii="Arial" w:cs="Arial" w:eastAsia="Arial" w:hAnsi="Arial"/>
          <w:sz w:val="16"/>
          <w:szCs w:val="16"/>
          <w:color w:val="auto"/>
        </w:rPr>
        <w:t>Currently, we do not have a majority of independent directors and our compensation committee and nominating and governance committee do not consist entirely of independent directors. Accordingly, until we satisfy these requirements during this one-year transition period, you will not have the same protections afforded to stockholders of companies that are subject to all of the corporate governance requirements of Nasdaq.</w:t>
      </w:r>
    </w:p>
    <w:p>
      <w:pPr>
        <w:spacing w:after="0" w:line="157" w:lineRule="exact"/>
        <w:rPr>
          <w:sz w:val="20"/>
          <w:szCs w:val="20"/>
          <w:color w:val="auto"/>
        </w:rPr>
      </w:pPr>
    </w:p>
    <w:p>
      <w:pPr>
        <w:ind w:left="660" w:right="699"/>
        <w:spacing w:after="0" w:line="277" w:lineRule="auto"/>
        <w:rPr>
          <w:sz w:val="20"/>
          <w:szCs w:val="20"/>
          <w:color w:val="auto"/>
        </w:rPr>
      </w:pPr>
      <w:r>
        <w:rPr>
          <w:rFonts w:ascii="Arial" w:cs="Arial" w:eastAsia="Arial" w:hAnsi="Arial"/>
          <w:sz w:val="18"/>
          <w:szCs w:val="18"/>
          <w:b w:val="1"/>
          <w:bCs w:val="1"/>
          <w:i w:val="1"/>
          <w:iCs w:val="1"/>
          <w:color w:val="auto"/>
        </w:rPr>
        <w:t>KKR Stockholders have the ability to exert substantial influence over us and their interests may conflict with yours in the future.</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Immediately following this offering, KKR Stockholders will collectively beneficially own approximately</w:t>
      </w:r>
    </w:p>
    <w:p>
      <w:pPr>
        <w:spacing w:after="0" w:line="23" w:lineRule="exact"/>
        <w:rPr>
          <w:sz w:val="20"/>
          <w:szCs w:val="20"/>
          <w:color w:val="auto"/>
        </w:rPr>
      </w:pPr>
    </w:p>
    <w:p>
      <w:pPr>
        <w:ind w:left="660" w:right="319"/>
        <w:spacing w:after="0" w:line="284" w:lineRule="auto"/>
        <w:rPr>
          <w:sz w:val="20"/>
          <w:szCs w:val="20"/>
          <w:color w:val="auto"/>
        </w:rPr>
      </w:pPr>
      <w:r>
        <w:rPr>
          <w:rFonts w:ascii="Arial" w:cs="Arial" w:eastAsia="Arial" w:hAnsi="Arial"/>
          <w:sz w:val="16"/>
          <w:szCs w:val="16"/>
          <w:color w:val="auto"/>
        </w:rPr>
        <w:t>% of the voting power of our common stock (or approximately % if the underwriters exercise in full their option to purchase additional shares). As a result, KKR Stockholders will be able to exert substantial influence on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nominate individuals to our board of directors under the stockholders agreement. See the section entitled “Transactions with Related Persons” in our Proxy Statement, which section is incorporated by reference herein. The interests of KKR Stockholders may not coincide with the interests of other holders of our common stock.</w:t>
      </w:r>
    </w:p>
    <w:p>
      <w:pPr>
        <w:spacing w:after="0" w:line="66" w:lineRule="exact"/>
        <w:rPr>
          <w:sz w:val="20"/>
          <w:szCs w:val="20"/>
          <w:color w:val="auto"/>
        </w:rPr>
      </w:pPr>
    </w:p>
    <w:p>
      <w:pPr>
        <w:ind w:left="660" w:right="419" w:firstLine="360"/>
        <w:spacing w:after="0" w:line="301" w:lineRule="auto"/>
        <w:rPr>
          <w:sz w:val="20"/>
          <w:szCs w:val="20"/>
          <w:color w:val="auto"/>
        </w:rPr>
      </w:pPr>
      <w:r>
        <w:rPr>
          <w:rFonts w:ascii="Arial" w:cs="Arial" w:eastAsia="Arial" w:hAnsi="Arial"/>
          <w:sz w:val="16"/>
          <w:szCs w:val="16"/>
          <w:color w:val="auto"/>
        </w:rPr>
        <w:t>In the ordinary course of their business activities, KKR Stockholders and their affiliates may engage in activities where their interests conflict with our interests or those of our stockholders. Our amended and restated certificate of incorporation provides that any of KKR Stockholders, any of their affiliates or any director who is not employed by us (including any non-employee director who serves as one of our officers in both his or her</w:t>
      </w:r>
    </w:p>
    <w:p>
      <w:pPr>
        <w:sectPr>
          <w:pgSz w:w="11900" w:h="16838" w:orient="portrait"/>
          <w:cols w:equalWidth="0" w:num="1">
            <w:col w:w="9379"/>
          </w:cols>
          <w:pgMar w:left="1080" w:top="265" w:right="1440" w:bottom="1440" w:gutter="0" w:footer="0" w:header="0"/>
        </w:sectPr>
      </w:pPr>
    </w:p>
    <w:p>
      <w:pPr>
        <w:spacing w:after="0" w:line="157"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299"/>
        <w:spacing w:after="0" w:line="273" w:lineRule="auto"/>
        <w:rPr>
          <w:sz w:val="20"/>
          <w:szCs w:val="20"/>
          <w:color w:val="auto"/>
        </w:rPr>
      </w:pPr>
      <w:r>
        <w:rPr>
          <w:rFonts w:ascii="Arial" w:cs="Arial" w:eastAsia="Arial" w:hAnsi="Arial"/>
          <w:sz w:val="17"/>
          <w:szCs w:val="17"/>
          <w:color w:val="auto"/>
        </w:rPr>
        <w:t>director and officer capacities) or his or her affiliates do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70" w:lineRule="exact"/>
        <w:rPr>
          <w:sz w:val="20"/>
          <w:szCs w:val="20"/>
          <w:color w:val="auto"/>
        </w:rPr>
      </w:pPr>
    </w:p>
    <w:p>
      <w:pPr>
        <w:ind w:left="660" w:right="479" w:firstLine="360"/>
        <w:spacing w:after="0" w:line="257" w:lineRule="auto"/>
        <w:rPr>
          <w:sz w:val="20"/>
          <w:szCs w:val="20"/>
          <w:color w:val="auto"/>
        </w:rPr>
      </w:pPr>
      <w:r>
        <w:rPr>
          <w:rFonts w:ascii="Arial" w:cs="Arial" w:eastAsia="Arial" w:hAnsi="Arial"/>
          <w:sz w:val="18"/>
          <w:szCs w:val="18"/>
          <w:color w:val="auto"/>
        </w:rPr>
        <w:t>In addition, KKR Stockholders and their affiliates will be able to significantly influence the outcome of all matters requiring stockholder approval, including the election of our board of directors and potential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188"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76" w:lineRule="exact"/>
        <w:rPr>
          <w:sz w:val="20"/>
          <w:szCs w:val="20"/>
          <w:color w:val="auto"/>
        </w:rPr>
      </w:pPr>
    </w:p>
    <w:p>
      <w:pPr>
        <w:jc w:val="both"/>
        <w:ind w:left="660" w:right="419" w:firstLine="360"/>
        <w:spacing w:after="0" w:line="263"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76" w:lineRule="exact"/>
        <w:rPr>
          <w:sz w:val="20"/>
          <w:szCs w:val="20"/>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1360" w:right="1079" w:hanging="348"/>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28" w:lineRule="exact"/>
        <w:rPr>
          <w:rFonts w:ascii="Arial" w:cs="Arial" w:eastAsia="Arial" w:hAnsi="Arial"/>
          <w:sz w:val="17"/>
          <w:szCs w:val="17"/>
          <w:color w:val="auto"/>
        </w:rPr>
      </w:pPr>
    </w:p>
    <w:p>
      <w:pPr>
        <w:ind w:left="1360" w:right="999" w:hanging="348"/>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1360" w:right="659" w:hanging="348"/>
        <w:spacing w:after="0" w:line="263"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general economic or market conditions or trends in our industry or the economy as a whole;</w:t>
      </w:r>
    </w:p>
    <w:p>
      <w:pPr>
        <w:spacing w:after="0" w:line="140" w:lineRule="exact"/>
        <w:rPr>
          <w:rFonts w:ascii="Arial" w:cs="Arial" w:eastAsia="Arial" w:hAnsi="Arial"/>
          <w:sz w:val="16"/>
          <w:szCs w:val="16"/>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1360" w:right="479" w:hanging="348"/>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1360" w:right="399" w:hanging="348"/>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62" w:lineRule="exact"/>
        <w:rPr>
          <w:rFonts w:ascii="Arial" w:cs="Arial" w:eastAsia="Arial" w:hAnsi="Arial"/>
          <w:sz w:val="18"/>
          <w:szCs w:val="18"/>
          <w:color w:val="auto"/>
        </w:rPr>
      </w:pPr>
    </w:p>
    <w:p>
      <w:pPr>
        <w:ind w:left="1360" w:right="439" w:hanging="348"/>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1360" w:right="679" w:hanging="348"/>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1360" w:right="679" w:hanging="348"/>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ectPr>
          <w:pgSz w:w="11900" w:h="16838" w:orient="portrait"/>
          <w:cols w:equalWidth="0" w:num="1">
            <w:col w:w="9379"/>
          </w:cols>
          <w:pgMar w:left="1080" w:top="265" w:right="1440" w:bottom="1440" w:gutter="0" w:footer="0" w:header="0"/>
        </w:sectPr>
      </w:pP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149225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1360" w:hanging="348"/>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1360" w:right="639" w:hanging="348"/>
        <w:spacing w:after="0" w:line="263" w:lineRule="auto"/>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76" w:lineRule="exact"/>
        <w:rPr>
          <w:sz w:val="20"/>
          <w:szCs w:val="20"/>
          <w:color w:val="auto"/>
        </w:rPr>
      </w:pPr>
    </w:p>
    <w:p>
      <w:pPr>
        <w:ind w:left="660" w:right="319" w:firstLine="360"/>
        <w:spacing w:after="0" w:line="30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9" w:lineRule="exact"/>
        <w:rPr>
          <w:sz w:val="20"/>
          <w:szCs w:val="20"/>
          <w:color w:val="auto"/>
        </w:rPr>
      </w:pPr>
    </w:p>
    <w:p>
      <w:pPr>
        <w:ind w:left="660" w:right="439" w:firstLine="360"/>
        <w:spacing w:after="0" w:line="30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319" w:lineRule="exact"/>
        <w:rPr>
          <w:sz w:val="20"/>
          <w:szCs w:val="20"/>
          <w:color w:val="auto"/>
        </w:rPr>
      </w:pPr>
    </w:p>
    <w:p>
      <w:pPr>
        <w:ind w:left="660" w:right="619"/>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incentive plans, acquisitions or otherwise.</w:t>
      </w:r>
    </w:p>
    <w:p>
      <w:pPr>
        <w:spacing w:after="0" w:line="62" w:lineRule="exact"/>
        <w:rPr>
          <w:sz w:val="20"/>
          <w:szCs w:val="20"/>
          <w:color w:val="auto"/>
        </w:rPr>
      </w:pPr>
    </w:p>
    <w:p>
      <w:pPr>
        <w:ind w:left="660" w:right="359" w:firstLine="360"/>
        <w:spacing w:after="0" w:line="287" w:lineRule="auto"/>
        <w:rPr>
          <w:sz w:val="20"/>
          <w:szCs w:val="20"/>
          <w:color w:val="auto"/>
        </w:rPr>
      </w:pPr>
      <w:r>
        <w:rPr>
          <w:rFonts w:ascii="Arial" w:cs="Arial" w:eastAsia="Arial" w:hAnsi="Arial"/>
          <w:sz w:val="16"/>
          <w:szCs w:val="16"/>
          <w:color w:val="auto"/>
        </w:rPr>
        <w:t>After this offering, we will have approximately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our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64" w:lineRule="exact"/>
        <w:rPr>
          <w:sz w:val="20"/>
          <w:szCs w:val="20"/>
          <w:color w:val="auto"/>
        </w:rPr>
      </w:pPr>
    </w:p>
    <w:p>
      <w:pPr>
        <w:ind w:left="660" w:right="359" w:firstLine="360"/>
        <w:spacing w:after="0" w:line="286" w:lineRule="auto"/>
        <w:rPr>
          <w:sz w:val="20"/>
          <w:szCs w:val="20"/>
          <w:color w:val="auto"/>
        </w:rPr>
      </w:pPr>
      <w:r>
        <w:rPr>
          <w:rFonts w:ascii="Arial" w:cs="Arial" w:eastAsia="Arial" w:hAnsi="Arial"/>
          <w:sz w:val="16"/>
          <w:szCs w:val="16"/>
          <w:color w:val="auto"/>
        </w:rPr>
        <w:t>In addition, the completion of this offering will result in a Change of Control (as defined under the 2011 Equity Plan) that will cause all equity awards granted under the 2011 Equity Plan (other than performance-based awards granted in 2018) to vest in full, permitting the holders of such awards to sell the underlying shares of our common stock they receive upon exercise of any options or settlement of any restricted stock units that will vest as a result of such Change of Control, and all performance-based awards granted in 2018 under the 2011 Equity Plan to be forfeited due to the Company’s failure to meet certain performance targets prior to such Change of Control. In addition, as result of such vesting events, we will owe certain cash payments to the holders of vesting equity awards granted under the 2011 Equity Plan that were outstanding as of the date of the distribution made by us to our members of record as of August 25, 2020 (see “Distribution” in Note 9 to our audited consolidated financial statements in our Annual Report incorporated by reference herein). We anticipate that, as a result of such vesting events, during the second quarter of 2021, we will recognize (i) non-cash expenses related to equity-based compensation of $26.4 million, (ii) cash expenses related to taxes on equity-based compensation of $13.7 million and (iii) cash payments related to equity-based compensation distributions of $8.2 million.</w:t>
      </w:r>
    </w:p>
    <w:p>
      <w:pPr>
        <w:spacing w:after="0" w:line="322" w:lineRule="exact"/>
        <w:rPr>
          <w:sz w:val="20"/>
          <w:szCs w:val="20"/>
          <w:color w:val="auto"/>
        </w:rPr>
      </w:pPr>
    </w:p>
    <w:p>
      <w:pPr>
        <w:ind w:left="660" w:right="539"/>
        <w:spacing w:after="0" w:line="342"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6" w:lineRule="exact"/>
        <w:rPr>
          <w:sz w:val="20"/>
          <w:szCs w:val="20"/>
          <w:color w:val="auto"/>
        </w:rPr>
      </w:pPr>
    </w:p>
    <w:p>
      <w:pPr>
        <w:ind w:left="660" w:right="319" w:firstLine="360"/>
        <w:spacing w:after="0" w:line="296"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w:t>
      </w:r>
    </w:p>
    <w:p>
      <w:pPr>
        <w:spacing w:after="0" w:line="16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479"/>
        <w:spacing w:after="0" w:line="259" w:lineRule="auto"/>
        <w:rPr>
          <w:sz w:val="20"/>
          <w:szCs w:val="20"/>
          <w:color w:val="auto"/>
        </w:rPr>
      </w:pPr>
      <w:r>
        <w:rPr>
          <w:rFonts w:ascii="Arial" w:cs="Arial" w:eastAsia="Arial" w:hAnsi="Arial"/>
          <w:sz w:val="18"/>
          <w:szCs w:val="18"/>
          <w:color w:val="auto"/>
        </w:rPr>
        <w:t>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187" w:lineRule="exact"/>
        <w:rPr>
          <w:sz w:val="20"/>
          <w:szCs w:val="20"/>
          <w:color w:val="auto"/>
        </w:rPr>
      </w:pPr>
    </w:p>
    <w:p>
      <w:pPr>
        <w:ind w:left="660" w:right="659"/>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ind w:left="660" w:right="359" w:firstLine="360"/>
        <w:spacing w:after="0" w:line="291" w:lineRule="auto"/>
        <w:rPr>
          <w:sz w:val="20"/>
          <w:szCs w:val="20"/>
          <w:color w:val="auto"/>
        </w:rPr>
      </w:pPr>
      <w:r>
        <w:rPr>
          <w:rFonts w:ascii="Arial" w:cs="Arial" w:eastAsia="Arial" w:hAnsi="Arial"/>
          <w:sz w:val="16"/>
          <w:szCs w:val="16"/>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166" w:lineRule="exact"/>
        <w:rPr>
          <w:sz w:val="20"/>
          <w:szCs w:val="20"/>
          <w:color w:val="auto"/>
        </w:rPr>
      </w:pPr>
    </w:p>
    <w:p>
      <w:pPr>
        <w:ind w:left="660" w:right="479"/>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2" w:lineRule="exact"/>
        <w:rPr>
          <w:sz w:val="20"/>
          <w:szCs w:val="20"/>
          <w:color w:val="auto"/>
        </w:rPr>
      </w:pPr>
    </w:p>
    <w:p>
      <w:pPr>
        <w:ind w:left="660" w:right="339" w:firstLine="360"/>
        <w:spacing w:after="0" w:line="279"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63" w:lineRule="exact"/>
        <w:rPr>
          <w:sz w:val="20"/>
          <w:szCs w:val="20"/>
          <w:color w:val="auto"/>
        </w:rPr>
      </w:pPr>
    </w:p>
    <w:p>
      <w:pPr>
        <w:ind w:left="660" w:right="379" w:firstLine="360"/>
        <w:spacing w:after="0" w:line="271" w:lineRule="auto"/>
        <w:rPr>
          <w:sz w:val="20"/>
          <w:szCs w:val="20"/>
          <w:color w:val="auto"/>
        </w:rPr>
      </w:pPr>
      <w:r>
        <w:rPr>
          <w:rFonts w:ascii="Arial" w:cs="Arial" w:eastAsia="Arial" w:hAnsi="Arial"/>
          <w:sz w:val="17"/>
          <w:szCs w:val="17"/>
          <w:color w:val="auto"/>
        </w:rPr>
        <w:t>Upon the completion of this offering, we will have a total of shares of our common stock outstanding. Of the outstanding shares, the shares sold in the IPO, the secondary offering we completed in February 2021 (the “February 2021 Secondary Offering”) and this offering (or shares if the underwriters exercise in full</w:t>
      </w:r>
    </w:p>
    <w:p>
      <w:pPr>
        <w:ind w:left="660" w:right="399"/>
        <w:spacing w:after="0" w:line="295" w:lineRule="auto"/>
        <w:rPr>
          <w:sz w:val="20"/>
          <w:szCs w:val="20"/>
          <w:color w:val="auto"/>
        </w:rPr>
      </w:pPr>
      <w:r>
        <w:rPr>
          <w:rFonts w:ascii="Arial" w:cs="Arial" w:eastAsia="Arial" w:hAnsi="Arial"/>
          <w:sz w:val="16"/>
          <w:szCs w:val="16"/>
          <w:color w:val="auto"/>
        </w:rPr>
        <w:t>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stockholders), may be sold only in compliance with the limitations described in “Shares Eligible for Future Sale.”</w:t>
      </w:r>
    </w:p>
    <w:p>
      <w:pPr>
        <w:spacing w:after="0" w:line="53" w:lineRule="exact"/>
        <w:rPr>
          <w:sz w:val="20"/>
          <w:szCs w:val="20"/>
          <w:color w:val="auto"/>
        </w:rPr>
      </w:pPr>
    </w:p>
    <w:p>
      <w:pPr>
        <w:ind w:left="660" w:right="319" w:firstLine="360"/>
        <w:spacing w:after="0" w:line="269" w:lineRule="auto"/>
        <w:rPr>
          <w:sz w:val="20"/>
          <w:szCs w:val="20"/>
          <w:color w:val="auto"/>
        </w:rPr>
      </w:pPr>
      <w:r>
        <w:rPr>
          <w:rFonts w:ascii="Arial" w:cs="Arial" w:eastAsia="Arial" w:hAnsi="Arial"/>
          <w:sz w:val="17"/>
          <w:szCs w:val="17"/>
          <w:color w:val="auto"/>
        </w:rPr>
        <w:t>The remaining outstanding shares of common stock held by our existing stockholders after this offering (or approximately shares if the underwriters exercise in full their option to purchase additional shares), representing approximately % of the total outstanding shares of our common stock following this offering (or approximately % if the underwriters exercise in full their option to purchase additional shares), will be</w:t>
      </w:r>
    </w:p>
    <w:p>
      <w:pPr>
        <w:spacing w:after="0" w:line="2" w:lineRule="exact"/>
        <w:rPr>
          <w:sz w:val="20"/>
          <w:szCs w:val="20"/>
          <w:color w:val="auto"/>
        </w:rPr>
      </w:pPr>
    </w:p>
    <w:p>
      <w:pPr>
        <w:ind w:left="660" w:right="319"/>
        <w:spacing w:after="0" w:line="277" w:lineRule="auto"/>
        <w:rPr>
          <w:sz w:val="20"/>
          <w:szCs w:val="20"/>
          <w:color w:val="auto"/>
        </w:rPr>
      </w:pPr>
      <w:r>
        <w:rPr>
          <w:rFonts w:ascii="Arial" w:cs="Arial" w:eastAsia="Arial" w:hAnsi="Arial"/>
          <w:sz w:val="17"/>
          <w:szCs w:val="17"/>
          <w:color w:val="auto"/>
        </w:rPr>
        <w:t>“restricted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65" w:lineRule="exact"/>
        <w:rPr>
          <w:sz w:val="20"/>
          <w:szCs w:val="20"/>
          <w:color w:val="auto"/>
        </w:rPr>
      </w:pPr>
    </w:p>
    <w:p>
      <w:pPr>
        <w:ind w:left="660" w:right="539" w:firstLine="360"/>
        <w:spacing w:after="0" w:line="291" w:lineRule="auto"/>
        <w:rPr>
          <w:sz w:val="20"/>
          <w:szCs w:val="20"/>
          <w:color w:val="auto"/>
        </w:rPr>
      </w:pPr>
      <w:r>
        <w:rPr>
          <w:rFonts w:ascii="Arial" w:cs="Arial" w:eastAsia="Arial" w:hAnsi="Arial"/>
          <w:sz w:val="16"/>
          <w:szCs w:val="16"/>
          <w:color w:val="auto"/>
        </w:rPr>
        <w:t>We, our executive officers, directors and the selling stockholders will sign lock-up agreements with the underwriters that will, subject to certain customary exceptions, restrict the sale of the shares of our common stock</w:t>
      </w:r>
    </w:p>
    <w:p>
      <w:pPr>
        <w:ind w:left="660" w:right="339"/>
        <w:spacing w:after="0" w:line="253" w:lineRule="auto"/>
        <w:rPr>
          <w:sz w:val="20"/>
          <w:szCs w:val="20"/>
          <w:color w:val="auto"/>
        </w:rPr>
      </w:pPr>
      <w:r>
        <w:rPr>
          <w:rFonts w:ascii="Arial" w:cs="Arial" w:eastAsia="Arial" w:hAnsi="Arial"/>
          <w:sz w:val="18"/>
          <w:szCs w:val="18"/>
          <w:color w:val="auto"/>
        </w:rPr>
        <w:t>and certain other securities held by them for days following the date of this prospectus. and may, in their sole discretion and at any time without notice, release all or any portion of the shares or securities subject to any such lock-up agreements. See “Underwriting (Conflicts of Interest)” for a description of these lock-up agreements.</w:t>
      </w:r>
    </w:p>
    <w:p>
      <w:pPr>
        <w:spacing w:after="0" w:line="85" w:lineRule="exact"/>
        <w:rPr>
          <w:sz w:val="20"/>
          <w:szCs w:val="20"/>
          <w:color w:val="auto"/>
        </w:rPr>
      </w:pPr>
    </w:p>
    <w:p>
      <w:pPr>
        <w:ind w:left="660" w:right="319" w:firstLine="360"/>
        <w:spacing w:after="0" w:line="273"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stockholders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70" w:lineRule="exact"/>
        <w:rPr>
          <w:sz w:val="20"/>
          <w:szCs w:val="20"/>
          <w:color w:val="auto"/>
        </w:rPr>
      </w:pPr>
    </w:p>
    <w:p>
      <w:pPr>
        <w:ind w:left="660" w:right="659" w:firstLine="360"/>
        <w:spacing w:after="0" w:line="342" w:lineRule="auto"/>
        <w:rPr>
          <w:sz w:val="20"/>
          <w:szCs w:val="20"/>
          <w:color w:val="auto"/>
        </w:rPr>
      </w:pPr>
      <w:r>
        <w:rPr>
          <w:rFonts w:ascii="Arial" w:cs="Arial" w:eastAsia="Arial" w:hAnsi="Arial"/>
          <w:sz w:val="16"/>
          <w:szCs w:val="16"/>
          <w:color w:val="auto"/>
        </w:rPr>
        <w:t>In addition, pursuant to a registration rights agreement, KKR Stockholders and the Gochman Investors will each have the right, subject to certain conditions, to require us to register the sale of their shares of our common</w:t>
      </w:r>
    </w:p>
    <w:p>
      <w:pPr>
        <w:spacing w:after="0" w:line="12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379"/>
        <w:spacing w:after="0" w:line="284" w:lineRule="auto"/>
        <w:rPr>
          <w:sz w:val="20"/>
          <w:szCs w:val="20"/>
          <w:color w:val="auto"/>
        </w:rPr>
      </w:pPr>
      <w:r>
        <w:rPr>
          <w:rFonts w:ascii="Arial" w:cs="Arial" w:eastAsia="Arial" w:hAnsi="Arial"/>
          <w:sz w:val="16"/>
          <w:szCs w:val="16"/>
          <w:color w:val="auto"/>
        </w:rPr>
        <w:t>stock under the Securities Act. See the section entitled “Transactions with Related Persons—Certain Related Person Transactions—Registration Rights Agreement” in our Proxy Statement, which section is incorporated by reference herein. By exercising their registration rights and selling a large number of shares, KKR Stockholders and/or the Gochman Investors could cause the prevailing market price of our common stock to decline. Certain of our existing stockholders have “piggyback” registration rights with respect to future registered offerings of our common stock. Following completion of this offering, the shares covered by registration rights would represent approximately</w:t>
      </w:r>
    </w:p>
    <w:p>
      <w:pPr>
        <w:spacing w:after="0" w:line="4"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 of our total common stock outstanding (or approximately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85" w:lineRule="exact"/>
        <w:rPr>
          <w:sz w:val="20"/>
          <w:szCs w:val="20"/>
          <w:color w:val="auto"/>
        </w:rPr>
      </w:pPr>
    </w:p>
    <w:p>
      <w:pPr>
        <w:ind w:left="660" w:right="499" w:firstLine="360"/>
        <w:spacing w:after="0" w:line="29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statements are available for sale in the open market. The initial registration statement on Form S-8 covered 15,983,311 shares of our common stock.</w:t>
      </w:r>
    </w:p>
    <w:p>
      <w:pPr>
        <w:spacing w:after="0" w:line="53" w:lineRule="exact"/>
        <w:rPr>
          <w:sz w:val="20"/>
          <w:szCs w:val="20"/>
          <w:color w:val="auto"/>
        </w:rPr>
      </w:pPr>
    </w:p>
    <w:p>
      <w:pPr>
        <w:ind w:left="660" w:right="319" w:firstLine="360"/>
        <w:spacing w:after="0" w:line="279"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171" w:lineRule="exact"/>
        <w:rPr>
          <w:sz w:val="20"/>
          <w:szCs w:val="20"/>
          <w:color w:val="auto"/>
        </w:rPr>
      </w:pPr>
    </w:p>
    <w:p>
      <w:pPr>
        <w:ind w:left="660" w:right="3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ind w:left="660" w:right="379" w:firstLine="360"/>
        <w:spacing w:after="0" w:line="25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29" w:lineRule="exact"/>
        <w:rPr>
          <w:sz w:val="20"/>
          <w:szCs w:val="20"/>
          <w:color w:val="auto"/>
        </w:rPr>
      </w:pPr>
    </w:p>
    <w:p>
      <w:pPr>
        <w:ind w:left="660" w:right="439" w:firstLine="360"/>
        <w:spacing w:after="0" w:line="30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1360" w:right="359" w:hanging="348"/>
        <w:spacing w:after="0" w:line="277"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1360" w:right="719" w:hanging="348"/>
        <w:spacing w:after="0" w:line="277"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 without stockholder approval;</w:t>
      </w:r>
    </w:p>
    <w:p>
      <w:pPr>
        <w:spacing w:after="0" w:line="62" w:lineRule="exact"/>
        <w:rPr>
          <w:rFonts w:ascii="Arial" w:cs="Arial" w:eastAsia="Arial" w:hAnsi="Arial"/>
          <w:sz w:val="18"/>
          <w:szCs w:val="18"/>
          <w:color w:val="auto"/>
        </w:rPr>
      </w:pPr>
    </w:p>
    <w:p>
      <w:pPr>
        <w:ind w:left="1360" w:right="439" w:hanging="348"/>
        <w:spacing w:after="0" w:line="277"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1360" w:right="339" w:hanging="348"/>
        <w:spacing w:after="0" w:line="244"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1" w:lineRule="exact"/>
        <w:rPr>
          <w:rFonts w:ascii="Arial" w:cs="Arial" w:eastAsia="Arial" w:hAnsi="Arial"/>
          <w:sz w:val="18"/>
          <w:szCs w:val="18"/>
          <w:color w:val="auto"/>
        </w:rPr>
      </w:pPr>
    </w:p>
    <w:p>
      <w:pPr>
        <w:ind w:left="1360" w:right="319" w:hanging="348"/>
        <w:spacing w:after="0" w:line="245"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ectPr>
          <w:pgSz w:w="11900" w:h="16838" w:orient="portrait"/>
          <w:cols w:equalWidth="0" w:num="1">
            <w:col w:w="9379"/>
          </w:cols>
          <w:pgMar w:left="1080" w:top="265" w:right="1440" w:bottom="1440" w:gutter="0" w:footer="0" w:header="0"/>
        </w:sectPr>
      </w:pPr>
    </w:p>
    <w:p>
      <w:pPr>
        <w:spacing w:after="0" w:line="199"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319" w:firstLine="360"/>
        <w:spacing w:after="0" w:line="263"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346" w:lineRule="exact"/>
        <w:rPr>
          <w:sz w:val="20"/>
          <w:szCs w:val="20"/>
          <w:color w:val="auto"/>
        </w:rPr>
      </w:pPr>
    </w:p>
    <w:p>
      <w:pPr>
        <w:ind w:left="660" w:right="759"/>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2" w:lineRule="exact"/>
        <w:rPr>
          <w:sz w:val="20"/>
          <w:szCs w:val="20"/>
          <w:color w:val="auto"/>
        </w:rPr>
      </w:pPr>
    </w:p>
    <w:p>
      <w:pPr>
        <w:ind w:left="660" w:right="339" w:firstLine="360"/>
        <w:spacing w:after="0" w:line="291"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315" w:lineRule="exact"/>
        <w:rPr>
          <w:sz w:val="20"/>
          <w:szCs w:val="20"/>
          <w:color w:val="auto"/>
        </w:rPr>
      </w:pPr>
    </w:p>
    <w:p>
      <w:pPr>
        <w:ind w:left="660" w:right="519"/>
        <w:spacing w:after="0" w:line="29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53" w:lineRule="exact"/>
        <w:rPr>
          <w:sz w:val="20"/>
          <w:szCs w:val="20"/>
          <w:color w:val="auto"/>
        </w:rPr>
      </w:pPr>
    </w:p>
    <w:p>
      <w:pPr>
        <w:ind w:left="660" w:right="43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w:t>
      </w:r>
    </w:p>
    <w:p>
      <w:pPr>
        <w:spacing w:after="0" w:line="2" w:lineRule="exact"/>
        <w:rPr>
          <w:sz w:val="20"/>
          <w:szCs w:val="20"/>
          <w:color w:val="auto"/>
        </w:rPr>
      </w:pPr>
    </w:p>
    <w:p>
      <w:pPr>
        <w:ind w:left="660" w:right="299" w:hanging="8"/>
        <w:spacing w:after="0" w:line="267"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action asserting a claim against the Company or any director or officer of the Company arising pursuant to any provision of the Delaware General Corporation Law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be deemed to have waived our compliance with these laws, rules and regulations.</w:t>
      </w:r>
    </w:p>
    <w:p>
      <w:pPr>
        <w:spacing w:after="0" w:line="73" w:lineRule="exact"/>
        <w:rPr>
          <w:sz w:val="20"/>
          <w:szCs w:val="20"/>
          <w:color w:val="auto"/>
        </w:rPr>
      </w:pPr>
    </w:p>
    <w:p>
      <w:pPr>
        <w:ind w:left="660" w:right="319" w:firstLine="360"/>
        <w:spacing w:after="0" w:line="291"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6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660" w:right="339" w:firstLine="360"/>
        <w:spacing w:after="0" w:line="288" w:lineRule="auto"/>
        <w:rPr>
          <w:sz w:val="20"/>
          <w:szCs w:val="20"/>
          <w:color w:val="auto"/>
        </w:rPr>
      </w:pPr>
      <w:r>
        <w:rPr>
          <w:rFonts w:ascii="Arial" w:cs="Arial" w:eastAsia="Arial" w:hAnsi="Arial"/>
          <w:sz w:val="16"/>
          <w:szCs w:val="16"/>
          <w:color w:val="auto"/>
        </w:rPr>
        <w:t>This prospectus and the documents incorporated by reference herein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and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 and the documents incorporated by reference herein.</w:t>
      </w:r>
    </w:p>
    <w:p>
      <w:pPr>
        <w:spacing w:after="0" w:line="60" w:lineRule="exact"/>
        <w:rPr>
          <w:sz w:val="20"/>
          <w:szCs w:val="20"/>
          <w:color w:val="auto"/>
        </w:rPr>
      </w:pPr>
    </w:p>
    <w:p>
      <w:pPr>
        <w:ind w:left="660" w:right="359" w:firstLine="360"/>
        <w:spacing w:after="0" w:line="289" w:lineRule="auto"/>
        <w:rPr>
          <w:sz w:val="20"/>
          <w:szCs w:val="20"/>
          <w:color w:val="auto"/>
        </w:rPr>
      </w:pPr>
      <w:r>
        <w:rPr>
          <w:rFonts w:ascii="Arial" w:cs="Arial" w:eastAsia="Arial" w:hAnsi="Arial"/>
          <w:sz w:val="16"/>
          <w:szCs w:val="16"/>
          <w:color w:val="auto"/>
        </w:rPr>
        <w:t>The forward-looking statements contained, or incorporated by reference,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this prospectus and “Risk Factors” in our Annual Report incorporated by reference herein, including the following:</w:t>
      </w:r>
    </w:p>
    <w:p>
      <w:pPr>
        <w:spacing w:after="0" w:line="58" w:lineRule="exact"/>
        <w:rPr>
          <w:sz w:val="20"/>
          <w:szCs w:val="20"/>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360" w:right="379" w:hanging="348"/>
        <w:spacing w:after="0" w:line="308" w:lineRule="auto"/>
        <w:tabs>
          <w:tab w:leader="none" w:pos="1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360" w:right="419" w:hanging="348"/>
        <w:spacing w:after="0" w:line="277" w:lineRule="auto"/>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360" w:right="379" w:hanging="348"/>
        <w:spacing w:after="0" w:line="277" w:lineRule="auto"/>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360" w:right="759" w:hanging="348"/>
        <w:spacing w:after="0" w:line="277" w:lineRule="auto"/>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risks associated with disruptions in our supply chain and losses of merchandise purchasing incentives;</w:t>
      </w:r>
    </w:p>
    <w:p>
      <w:pPr>
        <w:spacing w:after="0" w:line="140" w:lineRule="exact"/>
        <w:rPr>
          <w:rFonts w:ascii="Arial" w:cs="Arial" w:eastAsia="Arial" w:hAnsi="Arial"/>
          <w:sz w:val="16"/>
          <w:szCs w:val="16"/>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117" w:lineRule="exact"/>
        <w:rPr>
          <w:rFonts w:ascii="Arial" w:cs="Arial" w:eastAsia="Arial" w:hAnsi="Arial"/>
          <w:sz w:val="18"/>
          <w:szCs w:val="18"/>
          <w:color w:val="auto"/>
        </w:rPr>
      </w:pPr>
    </w:p>
    <w:p>
      <w:pPr>
        <w:ind w:left="1360" w:right="339" w:hanging="348"/>
        <w:spacing w:after="0" w:line="277" w:lineRule="auto"/>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117" w:lineRule="exact"/>
        <w:rPr>
          <w:rFonts w:ascii="Arial" w:cs="Arial" w:eastAsia="Arial" w:hAnsi="Arial"/>
          <w:sz w:val="18"/>
          <w:szCs w:val="18"/>
          <w:color w:val="auto"/>
        </w:rPr>
      </w:pPr>
    </w:p>
    <w:p>
      <w:pPr>
        <w:ind w:left="1360" w:right="439" w:hanging="348"/>
        <w:spacing w:after="0" w:line="277" w:lineRule="auto"/>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severe weather events, catastrophic health events, natural or man-made disasters, social and political conditions or civil unrest;</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1360" w:right="919" w:hanging="348"/>
        <w:spacing w:after="0" w:line="277"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merchandise (including raw materials) costs and availability;</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offering;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ownership of our common stock.</w:t>
      </w:r>
    </w:p>
    <w:p>
      <w:pPr>
        <w:spacing w:after="0" w:line="117" w:lineRule="exact"/>
        <w:rPr>
          <w:sz w:val="20"/>
          <w:szCs w:val="20"/>
          <w:color w:val="auto"/>
        </w:rPr>
      </w:pPr>
    </w:p>
    <w:p>
      <w:pPr>
        <w:ind w:left="660" w:right="299" w:firstLine="360"/>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projected in these forward-looking statements.</w:t>
      </w:r>
    </w:p>
    <w:p>
      <w:pPr>
        <w:spacing w:after="0" w:line="79" w:lineRule="exact"/>
        <w:rPr>
          <w:sz w:val="20"/>
          <w:szCs w:val="20"/>
          <w:color w:val="auto"/>
        </w:rPr>
      </w:pPr>
    </w:p>
    <w:p>
      <w:pPr>
        <w:ind w:left="660" w:right="419" w:firstLine="360"/>
        <w:spacing w:after="0" w:line="288" w:lineRule="auto"/>
        <w:rPr>
          <w:sz w:val="20"/>
          <w:szCs w:val="20"/>
          <w:color w:val="auto"/>
        </w:rPr>
      </w:pPr>
      <w:r>
        <w:rPr>
          <w:rFonts w:ascii="Arial" w:cs="Arial" w:eastAsia="Arial" w:hAnsi="Arial"/>
          <w:sz w:val="16"/>
          <w:szCs w:val="16"/>
          <w:color w:val="auto"/>
        </w:rPr>
        <w:t>Any forward-looking statement made by us in this prospectus or the documents incorporated by reference herein speaks only as of the date of this prospectus or in the documents incorporated by reference herein, as applicable, and are expressly qualified in their entirety by the cautionary statements included, or incorporated by reference,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6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660" w:right="319" w:firstLine="360"/>
        <w:spacing w:after="0" w:line="270" w:lineRule="auto"/>
        <w:rPr>
          <w:sz w:val="20"/>
          <w:szCs w:val="20"/>
          <w:color w:val="auto"/>
        </w:rPr>
      </w:pPr>
      <w:r>
        <w:rPr>
          <w:rFonts w:ascii="Arial" w:cs="Arial" w:eastAsia="Arial" w:hAnsi="Arial"/>
          <w:sz w:val="17"/>
          <w:szCs w:val="17"/>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“Principal and Selling Stockholders.”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60" w:right="319" w:firstLine="360"/>
        <w:spacing w:after="0" w:line="285" w:lineRule="auto"/>
        <w:rPr>
          <w:sz w:val="20"/>
          <w:szCs w:val="20"/>
          <w:color w:val="auto"/>
        </w:rPr>
      </w:pPr>
      <w:r>
        <w:rPr>
          <w:rFonts w:ascii="Arial" w:cs="Arial" w:eastAsia="Arial" w:hAnsi="Arial"/>
          <w:sz w:val="16"/>
          <w:szCs w:val="16"/>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Note 4 to our audited consolidated financial statements in our Annual Report incorporated by reference herein.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6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jc w:val="both"/>
        <w:ind w:left="660" w:right="719"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the selling stockholders, the number of shares of our common stock offered hereby by the selling stockholders and information with respect to shares to be beneficially owned by the selling stockholders after completion of this offering.</w:t>
      </w:r>
    </w:p>
    <w:p>
      <w:pPr>
        <w:spacing w:after="0" w:line="79" w:lineRule="exact"/>
        <w:rPr>
          <w:sz w:val="20"/>
          <w:szCs w:val="20"/>
          <w:color w:val="auto"/>
        </w:rPr>
      </w:pPr>
    </w:p>
    <w:p>
      <w:pPr>
        <w:ind w:left="660" w:right="359" w:firstLine="360"/>
        <w:spacing w:after="0" w:line="259" w:lineRule="auto"/>
        <w:rPr>
          <w:sz w:val="20"/>
          <w:szCs w:val="20"/>
          <w:color w:val="auto"/>
        </w:rPr>
      </w:pPr>
      <w:r>
        <w:rPr>
          <w:rFonts w:ascii="Arial" w:cs="Arial" w:eastAsia="Arial" w:hAnsi="Arial"/>
          <w:sz w:val="18"/>
          <w:szCs w:val="18"/>
          <w:color w:val="auto"/>
        </w:rPr>
        <w:t>The number of shares of common stock outstanding and percentages of beneficial ownership provided in the table below are based on the beneficial ownership as of April 12, 2021 and are based on 93,800,559 shares of our common stock, par value $0.01 per share, outstanding as of April 12, 2021. As of April 12, 2021, we had 30 holders of record of our common stock.</w:t>
      </w:r>
    </w:p>
    <w:p>
      <w:pPr>
        <w:spacing w:after="0" w:line="79" w:lineRule="exact"/>
        <w:rPr>
          <w:sz w:val="20"/>
          <w:szCs w:val="20"/>
          <w:color w:val="auto"/>
        </w:rPr>
      </w:pPr>
    </w:p>
    <w:p>
      <w:pPr>
        <w:ind w:left="660" w:right="339" w:firstLine="360"/>
        <w:spacing w:after="0" w:line="311" w:lineRule="auto"/>
        <w:rPr>
          <w:sz w:val="20"/>
          <w:szCs w:val="20"/>
          <w:color w:val="auto"/>
        </w:rPr>
      </w:pPr>
      <w:r>
        <w:rPr>
          <w:rFonts w:ascii="Arial" w:cs="Arial" w:eastAsia="Arial" w:hAnsi="Arial"/>
          <w:sz w:val="16"/>
          <w:szCs w:val="16"/>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41" w:lineRule="exact"/>
        <w:rPr>
          <w:sz w:val="20"/>
          <w:szCs w:val="20"/>
          <w:color w:val="auto"/>
        </w:rPr>
      </w:pPr>
    </w:p>
    <w:p>
      <w:pPr>
        <w:ind w:left="660" w:right="599" w:firstLine="360"/>
        <w:spacing w:after="0" w:line="263"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Shares to be Sold in this Offering</w:t>
            </w:r>
          </w:p>
        </w:tc>
        <w:tc>
          <w:tcPr>
            <w:tcW w:w="2900" w:type="dxa"/>
            <w:vAlign w:val="bottom"/>
            <w:gridSpan w:val="7"/>
          </w:tcPr>
          <w:p>
            <w:pPr>
              <w:ind w:left="60"/>
              <w:spacing w:after="0"/>
              <w:rPr>
                <w:sz w:val="20"/>
                <w:szCs w:val="20"/>
                <w:color w:val="auto"/>
              </w:rPr>
            </w:pPr>
            <w:r>
              <w:rPr>
                <w:rFonts w:ascii="Arial" w:cs="Arial" w:eastAsia="Arial" w:hAnsi="Arial"/>
                <w:sz w:val="14"/>
                <w:szCs w:val="14"/>
                <w:b w:val="1"/>
                <w:bCs w:val="1"/>
                <w:color w:val="auto"/>
                <w:w w:val="94"/>
              </w:rPr>
              <w:t>Shares Beneficially Owned After the Offering</w:t>
            </w: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4"/>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Borders>
              <w:bottom w:val="single" w:sz="8" w:color="auto"/>
            </w:tcBorders>
            <w:gridSpan w:val="4"/>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Assuming No</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Assuming Full</w:t>
            </w: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Assuming No</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Assuming Full</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15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5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Offering</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Percentage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of Total</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Total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5"/>
        </w:trPr>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8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Common</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242"/>
        </w:trPr>
        <w:tc>
          <w:tcPr>
            <w:tcW w:w="1580" w:type="dxa"/>
            <w:vAlign w:val="bottom"/>
          </w:tcPr>
          <w:p>
            <w:pPr>
              <w:spacing w:after="0" w:line="242" w:lineRule="exact"/>
              <w:rPr>
                <w:sz w:val="20"/>
                <w:szCs w:val="20"/>
                <w:color w:val="auto"/>
              </w:rPr>
            </w:pPr>
            <w:r>
              <w:rPr>
                <w:rFonts w:ascii="Arial" w:cs="Arial" w:eastAsia="Arial" w:hAnsi="Arial"/>
                <w:sz w:val="14"/>
                <w:szCs w:val="14"/>
                <w:b w:val="1"/>
                <w:bCs w:val="1"/>
                <w:color w:val="auto"/>
              </w:rPr>
              <w:t>Owner</w:t>
            </w:r>
            <w:r>
              <w:rPr>
                <w:rFonts w:ascii="Arial" w:cs="Arial" w:eastAsia="Arial" w:hAnsi="Arial"/>
                <w:sz w:val="23"/>
                <w:szCs w:val="23"/>
                <w:b w:val="1"/>
                <w:bCs w:val="1"/>
                <w:color w:val="auto"/>
                <w:vertAlign w:val="superscript"/>
              </w:rPr>
              <w:t>(1)</w:t>
            </w:r>
          </w:p>
        </w:tc>
        <w:tc>
          <w:tcPr>
            <w:tcW w:w="10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1140" w:type="dxa"/>
            <w:vAlign w:val="bottom"/>
            <w:gridSpan w:val="2"/>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640" w:type="dxa"/>
            <w:vAlign w:val="bottom"/>
            <w:gridSpan w:val="2"/>
            <w:vMerge w:val="continue"/>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44"/>
        </w:trPr>
        <w:tc>
          <w:tcPr>
            <w:tcW w:w="1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Selling Stockholders: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580" w:type="dxa"/>
            <w:vAlign w:val="bottom"/>
          </w:tcPr>
          <w:p>
            <w:pPr>
              <w:ind w:left="180"/>
              <w:spacing w:after="0"/>
              <w:rPr>
                <w:sz w:val="20"/>
                <w:szCs w:val="20"/>
                <w:color w:val="auto"/>
              </w:rPr>
            </w:pPr>
            <w:r>
              <w:rPr>
                <w:rFonts w:ascii="Arial" w:cs="Arial" w:eastAsia="Arial" w:hAnsi="Arial"/>
                <w:sz w:val="14"/>
                <w:szCs w:val="14"/>
                <w:color w:val="auto"/>
              </w:rPr>
              <w:t>KKR Stockholders</w:t>
            </w:r>
            <w:r>
              <w:rPr>
                <w:rFonts w:ascii="Arial" w:cs="Arial" w:eastAsia="Arial" w:hAnsi="Arial"/>
                <w:sz w:val="23"/>
                <w:szCs w:val="23"/>
                <w:color w:val="auto"/>
                <w:vertAlign w:val="superscript"/>
              </w:rPr>
              <w:t>(2)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41,845,602</w:t>
            </w:r>
          </w:p>
        </w:tc>
        <w:tc>
          <w:tcPr>
            <w:tcW w:w="1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-398145</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-398145</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-398145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-398145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-398145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-398145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-398145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-398145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98425</wp:posOffset>
            </wp:positionV>
            <wp:extent cx="8229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4"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42" w:lineRule="exact"/>
        <w:rPr>
          <w:sz w:val="20"/>
          <w:szCs w:val="20"/>
          <w:color w:val="auto"/>
        </w:rPr>
      </w:pPr>
    </w:p>
    <w:p>
      <w:pPr>
        <w:ind w:left="1000" w:right="359" w:hanging="348"/>
        <w:spacing w:after="0" w:line="253" w:lineRule="auto"/>
        <w:tabs>
          <w:tab w:leader="none" w:pos="10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Unless otherwise indicated in the below, the address of each of the individuals named above is: c/o Academy Sports + Outdoors, Attention: General Counsel, 1800 North Mason Road, Katy, Texas 77449.</w:t>
      </w:r>
    </w:p>
    <w:p>
      <w:pPr>
        <w:spacing w:after="0" w:line="11" w:lineRule="exact"/>
        <w:rPr>
          <w:rFonts w:ascii="Arial" w:cs="Arial" w:eastAsia="Arial" w:hAnsi="Arial"/>
          <w:sz w:val="14"/>
          <w:szCs w:val="14"/>
          <w:color w:val="auto"/>
        </w:rPr>
      </w:pPr>
    </w:p>
    <w:p>
      <w:pPr>
        <w:ind w:left="1000" w:right="699" w:hanging="348"/>
        <w:spacing w:after="0" w:line="253" w:lineRule="auto"/>
        <w:tabs>
          <w:tab w:leader="none" w:pos="10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(x) KKR 2006 Allstar Blocker L.P. holds 7,543,597 shares of our common stock; (y) Allstar Co-Invest Blocker L.P. holds 14,969,509 shares of our common stock; and (z) Allstar LLC holds 19,332,496 shares of our common stock.</w:t>
      </w:r>
    </w:p>
    <w:p>
      <w:pPr>
        <w:spacing w:after="0" w:line="11" w:lineRule="exact"/>
        <w:rPr>
          <w:rFonts w:ascii="Arial" w:cs="Arial" w:eastAsia="Arial" w:hAnsi="Arial"/>
          <w:sz w:val="14"/>
          <w:szCs w:val="14"/>
          <w:color w:val="auto"/>
        </w:rPr>
      </w:pPr>
    </w:p>
    <w:p>
      <w:pPr>
        <w:ind w:left="1020" w:right="299"/>
        <w:spacing w:after="0" w:line="225" w:lineRule="auto"/>
        <w:rPr>
          <w:rFonts w:ascii="Arial" w:cs="Arial" w:eastAsia="Arial" w:hAnsi="Arial"/>
          <w:sz w:val="14"/>
          <w:szCs w:val="14"/>
          <w:color w:val="auto"/>
        </w:rPr>
      </w:pPr>
      <w:r>
        <w:rPr>
          <w:rFonts w:ascii="Arial" w:cs="Arial" w:eastAsia="Arial" w:hAnsi="Arial"/>
          <w:sz w:val="14"/>
          <w:szCs w:val="14"/>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9 West 57th Street, Suite 4200, New York, NY, 10019. The principal business address for Mr. Roberts is c/o Kohlberg Kravis Roberts &amp; Co. L.P., 2800 Sand Hill Road, Suite 200, Menlo Park, CA 94025.</w:t>
      </w:r>
    </w:p>
    <w:p>
      <w:pPr>
        <w:spacing w:after="0" w:line="1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660" w:right="739" w:firstLine="360"/>
        <w:spacing w:after="0" w:line="311"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w:t>
      </w:r>
    </w:p>
    <w:p>
      <w:pPr>
        <w:spacing w:after="0" w:line="41" w:lineRule="exact"/>
        <w:rPr>
          <w:sz w:val="20"/>
          <w:szCs w:val="20"/>
          <w:color w:val="auto"/>
        </w:rPr>
      </w:pPr>
    </w:p>
    <w:p>
      <w:pPr>
        <w:ind w:left="660" w:right="419" w:firstLine="360"/>
        <w:spacing w:after="0" w:line="263"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300 million shares of common stock, par value $0.01 per share, and 50 million shares of preferred stock.</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660" w:right="339" w:firstLine="360"/>
        <w:spacing w:after="0" w:line="229"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vote of the then outstanding shares of our common stock is required, the affirmative vote of a majority in voting power of shares present at a meeting of the holders of our common stock is required.</w:t>
      </w:r>
    </w:p>
    <w:p>
      <w:pPr>
        <w:spacing w:after="0" w:line="98" w:lineRule="exact"/>
        <w:rPr>
          <w:sz w:val="20"/>
          <w:szCs w:val="20"/>
          <w:color w:val="auto"/>
        </w:rPr>
      </w:pPr>
    </w:p>
    <w:p>
      <w:pPr>
        <w:ind w:left="660" w:right="359" w:firstLine="360"/>
        <w:spacing w:after="0" w:line="259"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79" w:lineRule="exact"/>
        <w:rPr>
          <w:sz w:val="20"/>
          <w:szCs w:val="20"/>
          <w:color w:val="auto"/>
        </w:rPr>
      </w:pPr>
    </w:p>
    <w:p>
      <w:pPr>
        <w:ind w:left="660" w:right="319" w:firstLine="360"/>
        <w:spacing w:after="0" w:line="311" w:lineRule="auto"/>
        <w:rPr>
          <w:sz w:val="20"/>
          <w:szCs w:val="20"/>
          <w:color w:val="auto"/>
        </w:rPr>
      </w:pPr>
      <w:r>
        <w:rPr>
          <w:rFonts w:ascii="Arial" w:cs="Arial" w:eastAsia="Arial" w:hAnsi="Arial"/>
          <w:sz w:val="16"/>
          <w:szCs w:val="16"/>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41" w:lineRule="exact"/>
        <w:rPr>
          <w:sz w:val="20"/>
          <w:szCs w:val="20"/>
          <w:color w:val="auto"/>
        </w:rPr>
      </w:pPr>
    </w:p>
    <w:p>
      <w:pPr>
        <w:ind w:left="660" w:right="339" w:firstLine="360"/>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660" w:right="339" w:firstLine="360"/>
        <w:spacing w:after="0" w:line="275" w:lineRule="auto"/>
        <w:rPr>
          <w:sz w:val="20"/>
          <w:szCs w:val="20"/>
          <w:color w:val="auto"/>
        </w:rPr>
      </w:pPr>
      <w:r>
        <w:rPr>
          <w:rFonts w:ascii="Arial" w:cs="Arial" w:eastAsia="Arial" w:hAnsi="Arial"/>
          <w:sz w:val="17"/>
          <w:szCs w:val="17"/>
          <w:color w:val="auto"/>
        </w:rPr>
        <w:t>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w:t>
      </w:r>
    </w:p>
    <w:p>
      <w:pPr>
        <w:spacing w:after="0" w:line="68" w:lineRule="exact"/>
        <w:rPr>
          <w:sz w:val="20"/>
          <w:szCs w:val="20"/>
          <w:color w:val="auto"/>
        </w:rPr>
      </w:pPr>
    </w:p>
    <w:p>
      <w:pPr>
        <w:ind w:left="1360" w:hanging="348"/>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1360" w:right="399" w:hanging="348"/>
        <w:spacing w:after="0" w:line="286" w:lineRule="auto"/>
        <w:tabs>
          <w:tab w:leader="none" w:pos="1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57" w:lineRule="exact"/>
        <w:rPr>
          <w:rFonts w:ascii="Arial" w:cs="Arial" w:eastAsia="Arial" w:hAnsi="Arial"/>
          <w:sz w:val="17"/>
          <w:szCs w:val="17"/>
          <w:color w:val="auto"/>
        </w:rPr>
      </w:pPr>
    </w:p>
    <w:p>
      <w:pPr>
        <w:ind w:left="1360" w:hanging="348"/>
        <w:spacing w:after="0"/>
        <w:tabs>
          <w:tab w:leader="none" w:pos="1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8" w:lineRule="exact"/>
        <w:rPr>
          <w:rFonts w:ascii="Arial" w:cs="Arial" w:eastAsia="Arial" w:hAnsi="Arial"/>
          <w:sz w:val="17"/>
          <w:szCs w:val="17"/>
          <w:color w:val="auto"/>
        </w:rPr>
      </w:pPr>
    </w:p>
    <w:p>
      <w:pPr>
        <w:ind w:left="1360" w:hanging="348"/>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and amounts of any sinking fund provided for the purchase or redemption of shares of the series;</w:t>
      </w:r>
    </w:p>
    <w:p>
      <w:pPr>
        <w:spacing w:after="0" w:line="140" w:lineRule="exact"/>
        <w:rPr>
          <w:rFonts w:ascii="Arial" w:cs="Arial" w:eastAsia="Arial" w:hAnsi="Arial"/>
          <w:sz w:val="16"/>
          <w:szCs w:val="16"/>
          <w:color w:val="auto"/>
        </w:rPr>
      </w:pPr>
    </w:p>
    <w:p>
      <w:pPr>
        <w:ind w:left="1360" w:right="839" w:hanging="348"/>
        <w:spacing w:after="0" w:line="277"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62" w:lineRule="exact"/>
        <w:rPr>
          <w:rFonts w:ascii="Arial" w:cs="Arial" w:eastAsia="Arial" w:hAnsi="Arial"/>
          <w:sz w:val="18"/>
          <w:szCs w:val="18"/>
          <w:color w:val="auto"/>
        </w:rPr>
      </w:pPr>
    </w:p>
    <w:p>
      <w:pPr>
        <w:ind w:left="1360" w:right="319" w:hanging="348"/>
        <w:spacing w:after="0" w:line="257"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8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1360" w:hanging="348"/>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660" w:right="299" w:firstLine="360"/>
        <w:spacing w:after="0" w:line="29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660" w:right="419" w:firstLine="360"/>
        <w:spacing w:after="0" w:line="27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left="660" w:right="419" w:firstLine="360"/>
        <w:spacing w:after="0" w:line="257"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84" w:lineRule="exact"/>
        <w:rPr>
          <w:sz w:val="20"/>
          <w:szCs w:val="20"/>
          <w:color w:val="auto"/>
        </w:rPr>
      </w:pPr>
    </w:p>
    <w:p>
      <w:pPr>
        <w:ind w:left="660" w:right="99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660" w:right="339" w:firstLine="360"/>
        <w:spacing w:after="0" w:line="270"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660" w:right="359" w:firstLine="360"/>
        <w:spacing w:after="0" w:line="296"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53" w:lineRule="exact"/>
        <w:rPr>
          <w:sz w:val="20"/>
          <w:szCs w:val="20"/>
          <w:color w:val="auto"/>
        </w:rPr>
      </w:pPr>
    </w:p>
    <w:p>
      <w:pPr>
        <w:ind w:left="660" w:right="339" w:firstLine="360"/>
        <w:spacing w:after="0" w:line="257"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80" w:lineRule="exact"/>
        <w:rPr>
          <w:sz w:val="20"/>
          <w:szCs w:val="20"/>
          <w:color w:val="auto"/>
        </w:rPr>
      </w:pPr>
    </w:p>
    <w:p>
      <w:pPr>
        <w:ind w:left="660" w:right="719" w:firstLine="360"/>
        <w:spacing w:after="0" w:line="342"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w:t>
      </w:r>
    </w:p>
    <w:p>
      <w:pPr>
        <w:spacing w:after="0" w:line="12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419"/>
        <w:spacing w:after="0" w:line="311" w:lineRule="auto"/>
        <w:rPr>
          <w:sz w:val="20"/>
          <w:szCs w:val="20"/>
          <w:color w:val="auto"/>
        </w:rPr>
      </w:pPr>
      <w:r>
        <w:rPr>
          <w:rFonts w:ascii="Arial" w:cs="Arial" w:eastAsia="Arial" w:hAnsi="Arial"/>
          <w:sz w:val="16"/>
          <w:szCs w:val="16"/>
          <w:color w:val="auto"/>
        </w:rPr>
        <w:t>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660" w:right="319" w:firstLine="360"/>
        <w:spacing w:after="0" w:line="254"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660" w:right="31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360" w:right="759" w:hanging="348"/>
        <w:spacing w:after="0" w:line="277"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360" w:right="359" w:hanging="348"/>
        <w:spacing w:after="0" w:line="263"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360" w:right="559" w:hanging="348"/>
        <w:spacing w:after="0" w:line="212"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96" w:lineRule="exact"/>
        <w:rPr>
          <w:sz w:val="20"/>
          <w:szCs w:val="20"/>
          <w:color w:val="auto"/>
        </w:rPr>
      </w:pPr>
    </w:p>
    <w:p>
      <w:pPr>
        <w:ind w:left="660" w:right="29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80" w:lineRule="exact"/>
        <w:rPr>
          <w:sz w:val="20"/>
          <w:szCs w:val="20"/>
          <w:color w:val="auto"/>
        </w:rPr>
      </w:pPr>
    </w:p>
    <w:p>
      <w:pPr>
        <w:ind w:left="660" w:right="419" w:firstLine="360"/>
        <w:spacing w:after="0" w:line="291"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8" w:lineRule="exact"/>
        <w:rPr>
          <w:sz w:val="20"/>
          <w:szCs w:val="20"/>
          <w:color w:val="auto"/>
        </w:rPr>
      </w:pPr>
    </w:p>
    <w:p>
      <w:pPr>
        <w:ind w:left="660" w:right="35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left="660" w:right="379" w:firstLine="360"/>
        <w:spacing w:after="0" w:line="293" w:lineRule="auto"/>
        <w:rPr>
          <w:sz w:val="20"/>
          <w:szCs w:val="20"/>
          <w:color w:val="auto"/>
        </w:rPr>
      </w:pPr>
      <w:r>
        <w:rPr>
          <w:rFonts w:ascii="Arial" w:cs="Arial" w:eastAsia="Arial" w:hAnsi="Arial"/>
          <w:sz w:val="16"/>
          <w:szCs w:val="16"/>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w:t>
      </w:r>
    </w:p>
    <w:p>
      <w:pPr>
        <w:sectPr>
          <w:pgSz w:w="11900" w:h="16838" w:orient="portrait"/>
          <w:cols w:equalWidth="0" w:num="1">
            <w:col w:w="9379"/>
          </w:cols>
          <w:pgMar w:left="1080" w:top="265" w:right="1440" w:bottom="1440" w:gutter="0" w:footer="0" w:header="0"/>
        </w:sectPr>
      </w:pPr>
    </w:p>
    <w:p>
      <w:pPr>
        <w:spacing w:after="0" w:line="164"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319"/>
        <w:spacing w:after="0" w:line="271" w:lineRule="auto"/>
        <w:rPr>
          <w:sz w:val="20"/>
          <w:szCs w:val="20"/>
          <w:color w:val="auto"/>
        </w:rPr>
      </w:pPr>
      <w:r>
        <w:rPr>
          <w:rFonts w:ascii="Arial" w:cs="Arial" w:eastAsia="Arial" w:hAnsi="Arial"/>
          <w:sz w:val="16"/>
          <w:szCs w:val="16"/>
          <w:color w:val="auto"/>
        </w:rPr>
        <w:t>power of all outstanding shares of stock entitled to vote generally in the election of directors,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KKR Stockholders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660" w:right="439" w:firstLine="360"/>
        <w:spacing w:after="0" w:line="27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660" w:right="319" w:firstLine="360"/>
        <w:spacing w:after="0" w:line="271" w:lineRule="auto"/>
        <w:rPr>
          <w:sz w:val="20"/>
          <w:szCs w:val="20"/>
          <w:color w:val="auto"/>
        </w:rPr>
      </w:pPr>
      <w:r>
        <w:rPr>
          <w:rFonts w:ascii="Arial" w:cs="Arial" w:eastAsia="Arial" w:hAnsi="Arial"/>
          <w:sz w:val="17"/>
          <w:szCs w:val="17"/>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KKR Stockholders and their affiliates are permitted to call special meetings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jc w:val="both"/>
        <w:ind w:left="660" w:right="359" w:firstLine="360"/>
        <w:spacing w:after="0" w:line="286"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w:t>
      </w:r>
    </w:p>
    <w:p>
      <w:pPr>
        <w:spacing w:after="0" w:line="1" w:lineRule="exact"/>
        <w:rPr>
          <w:sz w:val="20"/>
          <w:szCs w:val="20"/>
          <w:color w:val="auto"/>
        </w:rPr>
      </w:pPr>
    </w:p>
    <w:p>
      <w:pPr>
        <w:ind w:left="660" w:right="319"/>
        <w:spacing w:after="0" w:line="286" w:lineRule="auto"/>
        <w:rPr>
          <w:sz w:val="20"/>
          <w:szCs w:val="20"/>
          <w:color w:val="auto"/>
        </w:rPr>
      </w:pPr>
      <w:r>
        <w:rPr>
          <w:rFonts w:ascii="Arial" w:cs="Arial" w:eastAsia="Arial" w:hAnsi="Arial"/>
          <w:sz w:val="16"/>
          <w:szCs w:val="16"/>
          <w:color w:val="auto"/>
        </w:rPr>
        <w:t>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660" w:right="439" w:firstLine="360"/>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KKR Stockholders and their affiliates beneficially own, in the aggregate, less than 40% of the voting power of all outstanding shares of stock entitled to vote generally in the election of directors.</w:t>
      </w:r>
    </w:p>
    <w:p>
      <w:pPr>
        <w:spacing w:after="0" w:line="16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660" w:right="339" w:firstLine="360"/>
        <w:spacing w:after="0" w:line="27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0" w:lineRule="exact"/>
        <w:rPr>
          <w:sz w:val="20"/>
          <w:szCs w:val="20"/>
          <w:color w:val="auto"/>
        </w:rPr>
      </w:pPr>
    </w:p>
    <w:p>
      <w:pPr>
        <w:ind w:left="660" w:right="35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660" w:right="379" w:firstLine="360"/>
        <w:spacing w:after="0" w:line="229" w:lineRule="auto"/>
        <w:rPr>
          <w:sz w:val="20"/>
          <w:szCs w:val="20"/>
          <w:color w:val="auto"/>
        </w:rPr>
      </w:pPr>
      <w:r>
        <w:rPr>
          <w:rFonts w:ascii="Arial" w:cs="Arial" w:eastAsia="Arial" w:hAnsi="Arial"/>
          <w:sz w:val="18"/>
          <w:szCs w:val="18"/>
          <w:color w:val="auto"/>
        </w:rPr>
        <w:t>Our amended and restated certificate of incorporation provides that once KKR Stockholders and their affiliates beneficially own, in the aggregate,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5" w:lineRule="exact"/>
        <w:rPr>
          <w:sz w:val="20"/>
          <w:szCs w:val="20"/>
          <w:color w:val="auto"/>
        </w:rPr>
      </w:pPr>
    </w:p>
    <w:p>
      <w:pPr>
        <w:ind w:left="1360" w:right="479" w:hanging="348"/>
        <w:spacing w:after="0" w:line="239"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 for stockholders to amend our amended and restated bylaws;</w:t>
      </w:r>
    </w:p>
    <w:p>
      <w:pPr>
        <w:spacing w:after="0" w:line="95" w:lineRule="exact"/>
        <w:rPr>
          <w:rFonts w:ascii="Arial" w:cs="Arial" w:eastAsia="Arial" w:hAnsi="Arial"/>
          <w:sz w:val="18"/>
          <w:szCs w:val="18"/>
          <w:color w:val="auto"/>
        </w:rPr>
      </w:pPr>
    </w:p>
    <w:p>
      <w:pPr>
        <w:ind w:left="1360" w:hanging="348"/>
        <w:spacing w:after="0"/>
        <w:tabs>
          <w:tab w:leader="none" w:pos="1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28" w:lineRule="exact"/>
        <w:rPr>
          <w:rFonts w:ascii="Arial" w:cs="Arial" w:eastAsia="Arial" w:hAnsi="Arial"/>
          <w:sz w:val="17"/>
          <w:szCs w:val="17"/>
          <w:color w:val="auto"/>
        </w:rPr>
      </w:pPr>
    </w:p>
    <w:p>
      <w:pPr>
        <w:ind w:left="1360" w:hanging="348"/>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28" w:lineRule="exact"/>
        <w:rPr>
          <w:rFonts w:ascii="Arial" w:cs="Arial" w:eastAsia="Arial" w:hAnsi="Arial"/>
          <w:sz w:val="17"/>
          <w:szCs w:val="17"/>
          <w:color w:val="auto"/>
        </w:rPr>
      </w:pPr>
    </w:p>
    <w:p>
      <w:pPr>
        <w:ind w:left="1360" w:hanging="348"/>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1360" w:right="1319" w:hanging="348"/>
        <w:spacing w:after="0" w:line="239"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w:t>
      </w:r>
    </w:p>
    <w:p>
      <w:pPr>
        <w:spacing w:after="0" w:line="95" w:lineRule="exact"/>
        <w:rPr>
          <w:sz w:val="20"/>
          <w:szCs w:val="20"/>
          <w:color w:val="auto"/>
        </w:rPr>
      </w:pPr>
    </w:p>
    <w:p>
      <w:pPr>
        <w:ind w:left="660" w:right="39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660" w:right="499" w:firstLine="360"/>
        <w:spacing w:after="0" w:line="293" w:lineRule="auto"/>
        <w:rPr>
          <w:sz w:val="20"/>
          <w:szCs w:val="20"/>
          <w:color w:val="auto"/>
        </w:rPr>
      </w:pPr>
      <w:r>
        <w:rPr>
          <w:rFonts w:ascii="Arial" w:cs="Arial" w:eastAsia="Arial" w:hAnsi="Arial"/>
          <w:sz w:val="16"/>
          <w:szCs w:val="16"/>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w:t>
      </w:r>
    </w:p>
    <w:p>
      <w:pPr>
        <w:spacing w:after="0" w:line="16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319"/>
        <w:spacing w:after="0" w:line="259" w:lineRule="auto"/>
        <w:rPr>
          <w:sz w:val="20"/>
          <w:szCs w:val="20"/>
          <w:color w:val="auto"/>
        </w:rPr>
      </w:pPr>
      <w:r>
        <w:rPr>
          <w:rFonts w:ascii="Arial" w:cs="Arial" w:eastAsia="Arial" w:hAnsi="Arial"/>
          <w:sz w:val="18"/>
          <w:szCs w:val="18"/>
          <w:color w:val="auto"/>
        </w:rPr>
        <w:t>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660" w:right="479" w:firstLine="360"/>
        <w:spacing w:after="0" w:line="259"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left="660" w:right="3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660" w:right="41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w:t>
      </w:r>
    </w:p>
    <w:p>
      <w:pPr>
        <w:spacing w:after="0" w:line="2" w:lineRule="exact"/>
        <w:rPr>
          <w:sz w:val="20"/>
          <w:szCs w:val="20"/>
          <w:color w:val="auto"/>
        </w:rPr>
      </w:pPr>
    </w:p>
    <w:p>
      <w:pPr>
        <w:ind w:left="660" w:right="339" w:hanging="8"/>
        <w:spacing w:after="0" w:line="284" w:lineRule="auto"/>
        <w:tabs>
          <w:tab w:leader="none" w:pos="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660" w:right="319"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w:t>
      </w:r>
    </w:p>
    <w:p>
      <w:pPr>
        <w:sectPr>
          <w:pgSz w:w="11900" w:h="16838" w:orient="portrait"/>
          <w:cols w:equalWidth="0" w:num="1">
            <w:col w:w="9379"/>
          </w:cols>
          <w:pgMar w:left="1080" w:top="265" w:right="1440" w:bottom="1440" w:gutter="0" w:footer="0" w:header="0"/>
        </w:sectPr>
      </w:pPr>
    </w:p>
    <w:p>
      <w:pPr>
        <w:spacing w:after="0" w:line="174"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339"/>
        <w:spacing w:after="0" w:line="289" w:lineRule="auto"/>
        <w:rPr>
          <w:sz w:val="20"/>
          <w:szCs w:val="20"/>
          <w:color w:val="auto"/>
        </w:rPr>
      </w:pPr>
      <w:r>
        <w:rPr>
          <w:rFonts w:ascii="Arial" w:cs="Arial" w:eastAsia="Arial" w:hAnsi="Arial"/>
          <w:sz w:val="16"/>
          <w:szCs w:val="16"/>
          <w:color w:val="auto"/>
        </w:rPr>
        <w:t>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660" w:right="37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77" w:lineRule="exact"/>
        <w:rPr>
          <w:sz w:val="20"/>
          <w:szCs w:val="20"/>
          <w:color w:val="auto"/>
        </w:rPr>
      </w:pPr>
    </w:p>
    <w:p>
      <w:pPr>
        <w:ind w:left="660" w:right="319" w:firstLine="360"/>
        <w:spacing w:after="0" w:line="271" w:lineRule="auto"/>
        <w:rPr>
          <w:sz w:val="20"/>
          <w:szCs w:val="20"/>
          <w:color w:val="auto"/>
        </w:rPr>
      </w:pPr>
      <w:r>
        <w:rPr>
          <w:rFonts w:ascii="Arial" w:cs="Arial" w:eastAsia="Arial" w:hAnsi="Arial"/>
          <w:sz w:val="17"/>
          <w:szCs w:val="17"/>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70" w:lineRule="exact"/>
        <w:rPr>
          <w:sz w:val="20"/>
          <w:szCs w:val="20"/>
          <w:color w:val="auto"/>
        </w:rPr>
      </w:pPr>
    </w:p>
    <w:p>
      <w:pPr>
        <w:ind w:left="660" w:right="359" w:firstLine="360"/>
        <w:spacing w:after="0" w:line="293" w:lineRule="auto"/>
        <w:rPr>
          <w:sz w:val="20"/>
          <w:szCs w:val="20"/>
          <w:color w:val="auto"/>
        </w:rPr>
      </w:pPr>
      <w:r>
        <w:rPr>
          <w:rFonts w:ascii="Arial" w:cs="Arial" w:eastAsia="Arial" w:hAnsi="Arial"/>
          <w:sz w:val="16"/>
          <w:szCs w:val="16"/>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56" w:lineRule="exact"/>
        <w:rPr>
          <w:sz w:val="20"/>
          <w:szCs w:val="20"/>
          <w:color w:val="auto"/>
        </w:rPr>
      </w:pPr>
    </w:p>
    <w:p>
      <w:pPr>
        <w:ind w:left="660" w:right="83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660" w:right="339" w:firstLine="360"/>
        <w:spacing w:after="0" w:line="290" w:lineRule="auto"/>
        <w:rPr>
          <w:sz w:val="20"/>
          <w:szCs w:val="20"/>
          <w:color w:val="auto"/>
        </w:rPr>
      </w:pPr>
      <w:r>
        <w:rPr>
          <w:rFonts w:ascii="Arial" w:cs="Arial" w:eastAsia="Arial" w:hAnsi="Arial"/>
          <w:sz w:val="16"/>
          <w:szCs w:val="16"/>
          <w:color w:val="auto"/>
        </w:rPr>
        <w:t>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w:t>
      </w:r>
    </w:p>
    <w:p>
      <w:pPr>
        <w:spacing w:after="0" w:line="57" w:lineRule="exact"/>
        <w:rPr>
          <w:sz w:val="20"/>
          <w:szCs w:val="20"/>
          <w:color w:val="auto"/>
        </w:rPr>
      </w:pPr>
    </w:p>
    <w:p>
      <w:pPr>
        <w:ind w:left="660" w:right="439" w:firstLine="360"/>
        <w:spacing w:after="0" w:line="271" w:lineRule="auto"/>
        <w:rPr>
          <w:sz w:val="20"/>
          <w:szCs w:val="20"/>
          <w:color w:val="auto"/>
        </w:rPr>
      </w:pPr>
      <w:r>
        <w:rPr>
          <w:rFonts w:ascii="Arial" w:cs="Arial" w:eastAsia="Arial" w:hAnsi="Arial"/>
          <w:sz w:val="17"/>
          <w:szCs w:val="17"/>
          <w:color w:val="auto"/>
        </w:rPr>
        <w:t>Upon the completion of this offering, we will have a total of shares of our common stock outstanding. Of the outstanding shares, the shares sold in the IPO, the February 2021 Secondary Offering and this offering (or shares if the underwriters exercise in full their option to purchase additional shares) will be</w:t>
      </w:r>
    </w:p>
    <w:p>
      <w:pPr>
        <w:ind w:left="660" w:right="399"/>
        <w:spacing w:after="0" w:line="302" w:lineRule="auto"/>
        <w:rPr>
          <w:sz w:val="20"/>
          <w:szCs w:val="20"/>
          <w:color w:val="auto"/>
        </w:rPr>
      </w:pPr>
      <w:r>
        <w:rPr>
          <w:rFonts w:ascii="Arial" w:cs="Arial" w:eastAsia="Arial" w:hAnsi="Arial"/>
          <w:sz w:val="16"/>
          <w:szCs w:val="16"/>
          <w:color w:val="auto"/>
        </w:rPr>
        <w:t>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w:t>
      </w:r>
    </w:p>
    <w:p>
      <w:pPr>
        <w:spacing w:after="0" w:line="47" w:lineRule="exact"/>
        <w:rPr>
          <w:sz w:val="20"/>
          <w:szCs w:val="20"/>
          <w:color w:val="auto"/>
        </w:rPr>
      </w:pPr>
    </w:p>
    <w:p>
      <w:pPr>
        <w:ind w:left="660" w:right="319" w:firstLine="360"/>
        <w:spacing w:after="0" w:line="269" w:lineRule="auto"/>
        <w:rPr>
          <w:sz w:val="20"/>
          <w:szCs w:val="20"/>
          <w:color w:val="auto"/>
        </w:rPr>
      </w:pPr>
      <w:r>
        <w:rPr>
          <w:rFonts w:ascii="Arial" w:cs="Arial" w:eastAsia="Arial" w:hAnsi="Arial"/>
          <w:sz w:val="17"/>
          <w:szCs w:val="17"/>
          <w:color w:val="auto"/>
        </w:rPr>
        <w:t>The remaining outstanding shares of common stock held by our existing stockholders after this offering (or approximately shares if the underwriters exercise in full their option to purchase additional shares), representing approximately % of the total outstanding shares of our common stock following this offering (or approximately % if the underwriters exercise in full their option to purchase additional shares), will be</w:t>
      </w:r>
    </w:p>
    <w:p>
      <w:pPr>
        <w:spacing w:after="0" w:line="2" w:lineRule="exact"/>
        <w:rPr>
          <w:sz w:val="20"/>
          <w:szCs w:val="20"/>
          <w:color w:val="auto"/>
        </w:rPr>
      </w:pPr>
    </w:p>
    <w:p>
      <w:pPr>
        <w:ind w:left="660" w:right="319"/>
        <w:spacing w:after="0" w:line="255" w:lineRule="auto"/>
        <w:rPr>
          <w:sz w:val="20"/>
          <w:szCs w:val="20"/>
          <w:color w:val="auto"/>
        </w:rPr>
      </w:pPr>
      <w:r>
        <w:rPr>
          <w:rFonts w:ascii="Arial" w:cs="Arial" w:eastAsia="Arial" w:hAnsi="Arial"/>
          <w:sz w:val="18"/>
          <w:szCs w:val="18"/>
          <w:color w:val="auto"/>
        </w:rPr>
        <w:t>“restricted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660" w:right="399" w:firstLine="360"/>
        <w:spacing w:after="0" w:line="287" w:lineRule="auto"/>
        <w:rPr>
          <w:sz w:val="20"/>
          <w:szCs w:val="20"/>
          <w:color w:val="auto"/>
        </w:rPr>
      </w:pPr>
      <w:r>
        <w:rPr>
          <w:rFonts w:ascii="Arial" w:cs="Arial" w:eastAsia="Arial" w:hAnsi="Arial"/>
          <w:sz w:val="16"/>
          <w:szCs w:val="16"/>
          <w:color w:val="auto"/>
        </w:rPr>
        <w:t>In connection with this offering, we, our executive officers, directors and the selling stockholders will agree, subject to certain exceptions, not to sell, dispose of or hedge any shares of our common stock or securities convertible into or exchangeable for shares of our common stock, without, in each case, the prior written consent of</w:t>
      </w:r>
    </w:p>
    <w:p>
      <w:pPr>
        <w:spacing w:after="0" w:line="2" w:lineRule="exact"/>
        <w:rPr>
          <w:sz w:val="20"/>
          <w:szCs w:val="20"/>
          <w:color w:val="auto"/>
        </w:rPr>
      </w:pPr>
    </w:p>
    <w:p>
      <w:pPr>
        <w:ind w:left="660" w:right="699" w:firstLine="585"/>
        <w:spacing w:after="0" w:line="260" w:lineRule="auto"/>
        <w:rPr>
          <w:sz w:val="20"/>
          <w:szCs w:val="20"/>
          <w:color w:val="auto"/>
        </w:rPr>
      </w:pPr>
      <w:r>
        <w:rPr>
          <w:rFonts w:ascii="Arial" w:cs="Arial" w:eastAsia="Arial" w:hAnsi="Arial"/>
          <w:sz w:val="18"/>
          <w:szCs w:val="18"/>
          <w:color w:val="auto"/>
        </w:rPr>
        <w:t>and , for a period of days after the date of this prospectus. See “Underwriting (Conflicts of Interest).”</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60" w:right="319" w:firstLine="360"/>
        <w:spacing w:after="0" w:line="271"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left="660" w:right="319" w:firstLine="360"/>
        <w:spacing w:after="0" w:line="279"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a number of shares that does not exceed the greater of:</w:t>
      </w:r>
    </w:p>
    <w:p>
      <w:pPr>
        <w:spacing w:after="0" w:line="63" w:lineRule="exact"/>
        <w:rPr>
          <w:sz w:val="20"/>
          <w:szCs w:val="20"/>
          <w:color w:val="auto"/>
        </w:rPr>
      </w:pPr>
    </w:p>
    <w:p>
      <w:pPr>
        <w:ind w:left="1940" w:right="839" w:hanging="928"/>
        <w:spacing w:after="0" w:line="277" w:lineRule="auto"/>
        <w:tabs>
          <w:tab w:leader="none" w:pos="13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shares immediately after this offering; or</w:t>
      </w:r>
    </w:p>
    <w:p>
      <w:pPr>
        <w:spacing w:after="0" w:line="62" w:lineRule="exact"/>
        <w:rPr>
          <w:rFonts w:ascii="Arial" w:cs="Arial" w:eastAsia="Arial" w:hAnsi="Arial"/>
          <w:sz w:val="18"/>
          <w:szCs w:val="18"/>
          <w:color w:val="auto"/>
        </w:rPr>
      </w:pPr>
    </w:p>
    <w:p>
      <w:pPr>
        <w:ind w:left="1360" w:right="679" w:hanging="348"/>
        <w:spacing w:after="0" w:line="277" w:lineRule="auto"/>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62" w:lineRule="exact"/>
        <w:rPr>
          <w:sz w:val="20"/>
          <w:szCs w:val="20"/>
          <w:color w:val="auto"/>
        </w:rPr>
      </w:pPr>
    </w:p>
    <w:p>
      <w:pPr>
        <w:ind w:left="660" w:right="639" w:firstLine="360"/>
        <w:spacing w:after="0" w:line="342" w:lineRule="auto"/>
        <w:rPr>
          <w:sz w:val="20"/>
          <w:szCs w:val="20"/>
          <w:color w:val="auto"/>
        </w:rPr>
      </w:pPr>
      <w:r>
        <w:rPr>
          <w:rFonts w:ascii="Arial" w:cs="Arial" w:eastAsia="Arial" w:hAnsi="Arial"/>
          <w:sz w:val="16"/>
          <w:szCs w:val="16"/>
          <w:color w:val="auto"/>
        </w:rPr>
        <w:t>Sales under Rule 144 by our affiliates or persons selling shares on behalf of our affiliates are also subject to certain manner of sale provisions and notice requirements and to the availability of current public information</w:t>
      </w:r>
    </w:p>
    <w:p>
      <w:pPr>
        <w:spacing w:after="0" w:line="12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jc w:val="both"/>
        <w:ind w:left="660" w:right="479"/>
        <w:spacing w:after="0" w:line="263" w:lineRule="auto"/>
        <w:rPr>
          <w:sz w:val="20"/>
          <w:szCs w:val="20"/>
          <w:color w:val="auto"/>
        </w:rPr>
      </w:pPr>
      <w:r>
        <w:rPr>
          <w:rFonts w:ascii="Arial" w:cs="Arial" w:eastAsia="Arial" w:hAnsi="Arial"/>
          <w:sz w:val="18"/>
          <w:szCs w:val="18"/>
          <w:color w:val="auto"/>
        </w:rPr>
        <w:t>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76" w:lineRule="exact"/>
        <w:rPr>
          <w:sz w:val="20"/>
          <w:szCs w:val="20"/>
          <w:color w:val="auto"/>
        </w:rPr>
      </w:pPr>
    </w:p>
    <w:p>
      <w:pPr>
        <w:ind w:left="660" w:right="519" w:firstLine="360"/>
        <w:spacing w:after="0" w:line="308" w:lineRule="auto"/>
        <w:rPr>
          <w:sz w:val="20"/>
          <w:szCs w:val="20"/>
          <w:color w:val="auto"/>
        </w:rPr>
      </w:pPr>
      <w:r>
        <w:rPr>
          <w:rFonts w:ascii="Arial" w:cs="Arial" w:eastAsia="Arial" w:hAnsi="Arial"/>
          <w:sz w:val="17"/>
          <w:szCs w:val="17"/>
          <w:color w:val="auto"/>
        </w:rPr>
        <w:t>We are unable to estimate the number of shares that will be sold under Rule 144 since this will depend on the market price for our common stock, the personal circumstances of the stockholder and other factors.</w:t>
      </w:r>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660" w:right="319" w:firstLine="360"/>
        <w:spacing w:after="0" w:line="272"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 on Form S-8</w:t>
      </w:r>
    </w:p>
    <w:p>
      <w:pPr>
        <w:spacing w:after="0" w:line="121" w:lineRule="exact"/>
        <w:rPr>
          <w:sz w:val="20"/>
          <w:szCs w:val="20"/>
          <w:color w:val="auto"/>
        </w:rPr>
      </w:pPr>
    </w:p>
    <w:p>
      <w:pPr>
        <w:ind w:left="660" w:right="499" w:firstLine="360"/>
        <w:spacing w:after="0" w:line="29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660" w:right="339" w:firstLine="360"/>
        <w:spacing w:after="0" w:line="257" w:lineRule="auto"/>
        <w:rPr>
          <w:sz w:val="20"/>
          <w:szCs w:val="20"/>
          <w:color w:val="auto"/>
        </w:rPr>
      </w:pPr>
      <w:r>
        <w:rPr>
          <w:rFonts w:ascii="Arial" w:cs="Arial" w:eastAsia="Arial" w:hAnsi="Arial"/>
          <w:sz w:val="18"/>
          <w:szCs w:val="18"/>
          <w:color w:val="auto"/>
        </w:rPr>
        <w:t>For a description of rights some holders of common stock have to require us to register the shares of common stock they own, see the section entitled “Transactions with Related Persons—Certain Related Person Transactions— Registration Rights Agreement” in our Proxy Statement, which section is incorporated by reference herein. Registration of these shares under the Securities Act would result in these shares becoming freely tradable immediately upon effectiveness of such registration.</w:t>
      </w:r>
    </w:p>
    <w:p>
      <w:pPr>
        <w:spacing w:after="0" w:line="8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Following completion of this offering, the shares of our common stock covered by registration rights would</w:t>
      </w:r>
    </w:p>
    <w:p>
      <w:pPr>
        <w:spacing w:after="0" w:line="35"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represent approximately % of our outstanding common stock (or approximately %, if the underwriters exercise in full their option to purchase additional shares). These shares of common stock also may be sold under Rule 144, depending on their holding period and subject to restrictions in the case of shares held by persons deemed to be our affiliates.</w:t>
      </w:r>
    </w:p>
    <w:p>
      <w:pPr>
        <w:spacing w:after="0" w:line="19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MATERIAL U.S. FEDERAL INCOME AND ESTATE</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TAX CONSEQUENCES TO NON-U.S. HOLDERS</w:t>
      </w:r>
    </w:p>
    <w:p>
      <w:pPr>
        <w:spacing w:after="0" w:line="103" w:lineRule="exact"/>
        <w:rPr>
          <w:sz w:val="20"/>
          <w:szCs w:val="20"/>
          <w:color w:val="auto"/>
        </w:rPr>
      </w:pPr>
    </w:p>
    <w:p>
      <w:pPr>
        <w:jc w:val="both"/>
        <w:ind w:left="660" w:right="299" w:firstLine="360"/>
        <w:spacing w:after="0" w:line="286" w:lineRule="auto"/>
        <w:rPr>
          <w:sz w:val="20"/>
          <w:szCs w:val="20"/>
          <w:color w:val="auto"/>
        </w:rPr>
      </w:pPr>
      <w:r>
        <w:rPr>
          <w:rFonts w:ascii="Arial" w:cs="Arial" w:eastAsia="Arial" w:hAnsi="Arial"/>
          <w:sz w:val="17"/>
          <w:szCs w:val="17"/>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57" w:lineRule="exact"/>
        <w:rPr>
          <w:sz w:val="20"/>
          <w:szCs w:val="20"/>
          <w:color w:val="auto"/>
        </w:rPr>
      </w:pPr>
    </w:p>
    <w:p>
      <w:pPr>
        <w:ind w:left="660" w:right="879" w:firstLine="360"/>
        <w:spacing w:after="0" w:line="263"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76" w:lineRule="exact"/>
        <w:rPr>
          <w:sz w:val="20"/>
          <w:szCs w:val="20"/>
          <w:color w:val="auto"/>
        </w:rPr>
      </w:pPr>
    </w:p>
    <w:p>
      <w:pPr>
        <w:ind w:left="1360" w:hanging="348"/>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1360" w:right="399" w:hanging="348"/>
        <w:spacing w:after="0" w:line="342" w:lineRule="auto"/>
        <w:tabs>
          <w:tab w:leader="none" w:pos="1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360" w:hanging="348"/>
        <w:spacing w:after="0"/>
        <w:tabs>
          <w:tab w:leader="none" w:pos="1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ind w:left="1360" w:right="379" w:hanging="348"/>
        <w:spacing w:after="0" w:line="286" w:lineRule="auto"/>
        <w:tabs>
          <w:tab w:leader="none" w:pos="1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ind w:left="660" w:right="359" w:firstLine="360"/>
        <w:spacing w:after="0" w:line="286"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63" w:lineRule="exact"/>
        <w:rPr>
          <w:sz w:val="20"/>
          <w:szCs w:val="20"/>
          <w:color w:val="auto"/>
        </w:rPr>
      </w:pPr>
    </w:p>
    <w:p>
      <w:pPr>
        <w:ind w:left="660" w:right="499" w:firstLine="360"/>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75" w:lineRule="exact"/>
        <w:rPr>
          <w:sz w:val="20"/>
          <w:szCs w:val="20"/>
          <w:color w:val="auto"/>
        </w:rPr>
      </w:pPr>
    </w:p>
    <w:p>
      <w:pPr>
        <w:ind w:left="660" w:right="419" w:firstLine="360"/>
        <w:spacing w:after="0" w:line="261"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660" w:right="299" w:firstLine="360"/>
        <w:spacing w:after="0" w:line="269" w:lineRule="auto"/>
        <w:rPr>
          <w:sz w:val="20"/>
          <w:szCs w:val="20"/>
          <w:color w:val="auto"/>
        </w:rPr>
      </w:pPr>
      <w:r>
        <w:rPr>
          <w:rFonts w:ascii="Arial" w:cs="Arial" w:eastAsia="Arial" w:hAnsi="Arial"/>
          <w:sz w:val="17"/>
          <w:szCs w:val="17"/>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379" w:firstLine="360"/>
        <w:spacing w:after="0" w:line="289" w:lineRule="auto"/>
        <w:rPr>
          <w:sz w:val="20"/>
          <w:szCs w:val="20"/>
          <w:color w:val="auto"/>
        </w:rPr>
      </w:pPr>
      <w:r>
        <w:rPr>
          <w:rFonts w:ascii="Arial" w:cs="Arial" w:eastAsia="Arial" w:hAnsi="Arial"/>
          <w:sz w:val="16"/>
          <w:szCs w:val="16"/>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left="660" w:right="379" w:firstLine="360"/>
        <w:spacing w:after="0" w:line="291" w:lineRule="auto"/>
        <w:rPr>
          <w:sz w:val="20"/>
          <w:szCs w:val="20"/>
          <w:color w:val="auto"/>
        </w:rPr>
      </w:pPr>
      <w:r>
        <w:rPr>
          <w:rFonts w:ascii="Arial" w:cs="Arial" w:eastAsia="Arial" w:hAnsi="Arial"/>
          <w:sz w:val="16"/>
          <w:szCs w:val="16"/>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58" w:lineRule="exact"/>
        <w:rPr>
          <w:sz w:val="20"/>
          <w:szCs w:val="20"/>
          <w:color w:val="auto"/>
        </w:rPr>
      </w:pPr>
    </w:p>
    <w:p>
      <w:pPr>
        <w:ind w:left="660" w:right="439" w:firstLine="360"/>
        <w:spacing w:after="0" w:line="259" w:lineRule="auto"/>
        <w:rPr>
          <w:sz w:val="20"/>
          <w:szCs w:val="20"/>
          <w:color w:val="auto"/>
        </w:rPr>
      </w:pPr>
      <w:r>
        <w:rPr>
          <w:rFonts w:ascii="Arial" w:cs="Arial" w:eastAsia="Arial" w:hAnsi="Arial"/>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660" w:right="559" w:firstLine="360"/>
        <w:spacing w:after="0" w:line="342" w:lineRule="auto"/>
        <w:rPr>
          <w:sz w:val="20"/>
          <w:szCs w:val="20"/>
          <w:color w:val="auto"/>
        </w:rPr>
      </w:pPr>
      <w:r>
        <w:rPr>
          <w:rFonts w:ascii="Arial" w:cs="Arial" w:eastAsia="Arial" w:hAnsi="Arial"/>
          <w:sz w:val="16"/>
          <w:szCs w:val="16"/>
          <w:color w:val="auto"/>
        </w:rPr>
        <w:t>Subject to the discussion of backup withholding below, any gain realized by a non-U.S. holder on the sale or other taxable disposition of our common stock generally will not be subject to U.S. federal income tax unless:</w:t>
      </w:r>
    </w:p>
    <w:p>
      <w:pPr>
        <w:spacing w:after="0" w:line="16" w:lineRule="exact"/>
        <w:rPr>
          <w:sz w:val="20"/>
          <w:szCs w:val="20"/>
          <w:color w:val="auto"/>
        </w:rPr>
      </w:pPr>
    </w:p>
    <w:p>
      <w:pPr>
        <w:ind w:left="1360" w:right="339" w:hanging="348"/>
        <w:spacing w:after="0" w:line="263"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360" w:right="339" w:hanging="348"/>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1360" w:right="499" w:hanging="348"/>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and certain other conditions are met.</w:t>
      </w:r>
    </w:p>
    <w:p>
      <w:pPr>
        <w:spacing w:after="0" w:line="62" w:lineRule="exact"/>
        <w:rPr>
          <w:sz w:val="20"/>
          <w:szCs w:val="20"/>
          <w:color w:val="auto"/>
        </w:rPr>
      </w:pPr>
    </w:p>
    <w:p>
      <w:pPr>
        <w:ind w:left="660" w:right="339" w:firstLine="360"/>
        <w:spacing w:after="0" w:line="253"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88" w:lineRule="exact"/>
        <w:rPr>
          <w:sz w:val="20"/>
          <w:szCs w:val="20"/>
          <w:color w:val="auto"/>
        </w:rPr>
      </w:pPr>
    </w:p>
    <w:p>
      <w:pPr>
        <w:ind w:left="660" w:right="1119" w:firstLine="360"/>
        <w:spacing w:after="0" w:line="277" w:lineRule="auto"/>
        <w:rPr>
          <w:sz w:val="20"/>
          <w:szCs w:val="20"/>
          <w:color w:val="auto"/>
        </w:rPr>
      </w:pPr>
      <w:r>
        <w:rPr>
          <w:rFonts w:ascii="Arial" w:cs="Arial" w:eastAsia="Arial" w:hAnsi="Arial"/>
          <w:sz w:val="18"/>
          <w:szCs w:val="18"/>
          <w:color w:val="auto"/>
        </w:rPr>
        <w:t>We believe we are not and do not anticipate becoming a “U.S. real property holding corporation” for U.S. federal income tax purposes.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660" w:right="679" w:firstLine="360"/>
        <w:spacing w:after="0" w:line="342" w:lineRule="auto"/>
        <w:rPr>
          <w:sz w:val="20"/>
          <w:szCs w:val="20"/>
          <w:color w:val="auto"/>
        </w:rPr>
      </w:pPr>
      <w:r>
        <w:rPr>
          <w:rFonts w:ascii="Arial" w:cs="Arial" w:eastAsia="Arial" w:hAnsi="Arial"/>
          <w:sz w:val="16"/>
          <w:szCs w:val="16"/>
          <w:color w:val="auto"/>
        </w:rPr>
        <w:t>Common stock held by an individual non-U.S. holder at the time of death will be included in such holder’s gross estate for U.S. federal estate tax purposes, unless an applicable estate tax treaty provides otherwise.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center"/>
        <w:ind w:left="1240" w:right="500"/>
        <w:spacing w:after="0" w:line="342" w:lineRule="auto"/>
        <w:rPr>
          <w:sz w:val="20"/>
          <w:szCs w:val="20"/>
          <w:color w:val="auto"/>
        </w:rPr>
      </w:pPr>
      <w:r>
        <w:rPr>
          <w:rFonts w:ascii="Arial" w:cs="Arial" w:eastAsia="Arial" w:hAnsi="Arial"/>
          <w:sz w:val="16"/>
          <w:szCs w:val="16"/>
          <w:color w:val="auto"/>
        </w:rPr>
        <w:t>We must report annually to the Internal Revenue Service and to each non-U.S. holder the amount of distributions paid to such holder and the tax withheld with respect to such distributions, regardless of whether</w:t>
      </w:r>
    </w:p>
    <w:p>
      <w:pPr>
        <w:sectPr>
          <w:pgSz w:w="11900" w:h="16838" w:orient="portrait"/>
          <w:cols w:equalWidth="0" w:num="1">
            <w:col w:w="9379"/>
          </w:cols>
          <w:pgMar w:left="1080" w:top="265" w:right="1440" w:bottom="1440" w:gutter="0" w:footer="0" w:header="0"/>
        </w:sectPr>
      </w:pPr>
    </w:p>
    <w:p>
      <w:pPr>
        <w:spacing w:after="0" w:line="124"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339"/>
        <w:spacing w:after="0" w:line="263" w:lineRule="auto"/>
        <w:rPr>
          <w:sz w:val="20"/>
          <w:szCs w:val="20"/>
          <w:color w:val="auto"/>
        </w:rPr>
      </w:pPr>
      <w:r>
        <w:rPr>
          <w:rFonts w:ascii="Arial" w:cs="Arial" w:eastAsia="Arial" w:hAnsi="Arial"/>
          <w:sz w:val="18"/>
          <w:szCs w:val="18"/>
          <w:color w:val="auto"/>
        </w:rPr>
        <w:t>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76" w:lineRule="exact"/>
        <w:rPr>
          <w:sz w:val="20"/>
          <w:szCs w:val="20"/>
          <w:color w:val="auto"/>
        </w:rPr>
      </w:pPr>
    </w:p>
    <w:p>
      <w:pPr>
        <w:ind w:left="660" w:right="719" w:firstLine="360"/>
        <w:spacing w:after="0" w:line="259"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79" w:lineRule="exact"/>
        <w:rPr>
          <w:sz w:val="20"/>
          <w:szCs w:val="20"/>
          <w:color w:val="auto"/>
        </w:rPr>
      </w:pPr>
    </w:p>
    <w:p>
      <w:pPr>
        <w:ind w:left="660" w:right="359" w:firstLine="360"/>
        <w:spacing w:after="0" w:line="275"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68" w:lineRule="exact"/>
        <w:rPr>
          <w:sz w:val="20"/>
          <w:szCs w:val="20"/>
          <w:color w:val="auto"/>
        </w:rPr>
      </w:pPr>
    </w:p>
    <w:p>
      <w:pPr>
        <w:jc w:val="both"/>
        <w:ind w:left="660" w:right="339" w:firstLine="360"/>
        <w:spacing w:after="0" w:line="263"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660" w:right="339" w:firstLine="360"/>
        <w:spacing w:after="0" w:line="284" w:lineRule="auto"/>
        <w:rPr>
          <w:sz w:val="20"/>
          <w:szCs w:val="20"/>
          <w:color w:val="auto"/>
        </w:rPr>
      </w:pPr>
      <w:r>
        <w:rPr>
          <w:rFonts w:ascii="Arial" w:cs="Arial" w:eastAsia="Arial" w:hAnsi="Arial"/>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w:t>
      </w:r>
    </w:p>
    <w:p>
      <w:pPr>
        <w:spacing w:after="0" w:line="2" w:lineRule="exact"/>
        <w:rPr>
          <w:sz w:val="20"/>
          <w:szCs w:val="20"/>
          <w:color w:val="auto"/>
        </w:rPr>
      </w:pPr>
    </w:p>
    <w:p>
      <w:pPr>
        <w:ind w:left="660" w:right="459" w:hanging="8"/>
        <w:spacing w:after="0" w:line="292" w:lineRule="auto"/>
        <w:tabs>
          <w:tab w:leader="none" w:pos="9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6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00" w:type="dxa"/>
            <w:vAlign w:val="bottom"/>
          </w:tcPr>
          <w:p>
            <w:pPr>
              <w:ind w:left="2240"/>
              <w:spacing w:after="0"/>
              <w:rPr>
                <w:sz w:val="20"/>
                <w:szCs w:val="20"/>
                <w:color w:val="auto"/>
              </w:rPr>
            </w:pPr>
            <w:r>
              <w:rPr>
                <w:rFonts w:ascii="Arial" w:cs="Arial" w:eastAsia="Arial" w:hAnsi="Arial"/>
                <w:sz w:val="18"/>
                <w:szCs w:val="18"/>
                <w:b w:val="1"/>
                <w:bCs w:val="1"/>
                <w:color w:val="auto"/>
              </w:rPr>
              <w:t>UNDERWRITING (CONFLICTS OF INTEREST)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7280" w:type="dxa"/>
            <w:vAlign w:val="bottom"/>
            <w:gridSpan w:val="3"/>
          </w:tcPr>
          <w:p>
            <w:pPr>
              <w:ind w:left="360"/>
              <w:spacing w:after="0"/>
              <w:rPr>
                <w:sz w:val="20"/>
                <w:szCs w:val="20"/>
                <w:color w:val="auto"/>
              </w:rPr>
            </w:pPr>
            <w:r>
              <w:rPr>
                <w:rFonts w:ascii="Arial" w:cs="Arial" w:eastAsia="Arial" w:hAnsi="Arial"/>
                <w:sz w:val="18"/>
                <w:szCs w:val="18"/>
                <w:color w:val="auto"/>
                <w:w w:val="93"/>
              </w:rPr>
              <w:t>Under the terms and subject to the conditions contained in an underwriting agreement, dated</w:t>
            </w:r>
          </w:p>
        </w:tc>
        <w:tc>
          <w:tcPr>
            <w:tcW w:w="20" w:type="dxa"/>
            <w:vAlign w:val="bottom"/>
          </w:tcPr>
          <w:p>
            <w:pPr>
              <w:spacing w:after="0"/>
              <w:rPr>
                <w:sz w:val="24"/>
                <w:szCs w:val="24"/>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w w:val="93"/>
              </w:rPr>
              <w:t>, 2021, the</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6"/>
              </w:rPr>
              <w:t>selling stockholders have agreed to sell to the underwriters named below, for whom</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and</w:t>
            </w:r>
          </w:p>
        </w:tc>
        <w:tc>
          <w:tcPr>
            <w:tcW w:w="2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are acting</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w w:val="99"/>
              </w:rPr>
              <w:t>as representatives, the following respective numbers of shares of common stock:</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3"/>
        </w:trPr>
        <w:tc>
          <w:tcPr>
            <w:tcW w:w="6400" w:type="dxa"/>
            <w:vAlign w:val="bottom"/>
          </w:tcPr>
          <w:p>
            <w:pPr>
              <w:ind w:left="3180"/>
              <w:spacing w:after="0"/>
              <w:rPr>
                <w:sz w:val="20"/>
                <w:szCs w:val="20"/>
                <w:color w:val="auto"/>
              </w:rPr>
            </w:pPr>
            <w:r>
              <w:rPr>
                <w:rFonts w:ascii="Arial" w:cs="Arial" w:eastAsia="Arial" w:hAnsi="Arial"/>
                <w:sz w:val="14"/>
                <w:szCs w:val="14"/>
                <w:b w:val="1"/>
                <w:bCs w:val="1"/>
                <w:color w:val="auto"/>
              </w:rPr>
              <w:t>Underwriter</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Number of Shares</w:t>
            </w:r>
          </w:p>
        </w:tc>
      </w:tr>
      <w:tr>
        <w:trPr>
          <w:trHeight w:val="53"/>
        </w:trPr>
        <w:tc>
          <w:tcPr>
            <w:tcW w:w="6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KKR Capital Markets LLC</w:t>
            </w:r>
          </w:p>
        </w:tc>
        <w:tc>
          <w:tcPr>
            <w:tcW w:w="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324"/>
        </w:trPr>
        <w:tc>
          <w:tcPr>
            <w:tcW w:w="6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324"/>
        </w:trPr>
        <w:tc>
          <w:tcPr>
            <w:tcW w:w="6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r>
      <w:tr>
        <w:trPr>
          <w:trHeight w:val="61"/>
        </w:trPr>
        <w:tc>
          <w:tcPr>
            <w:tcW w:w="64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4948555</wp:posOffset>
            </wp:positionH>
            <wp:positionV relativeFrom="paragraph">
              <wp:posOffset>-1053465</wp:posOffset>
            </wp:positionV>
            <wp:extent cx="93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171" w:lineRule="exact"/>
        <w:rPr>
          <w:sz w:val="20"/>
          <w:szCs w:val="20"/>
          <w:color w:val="auto"/>
        </w:rPr>
      </w:pPr>
    </w:p>
    <w:p>
      <w:pPr>
        <w:ind w:left="660" w:right="419" w:firstLine="360"/>
        <w:spacing w:after="0" w:line="301"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underwriters’ option to purchase additional shares described below. The underwriting agreement also provides that if an underwriter defaults the purchase commitments of non-defaulting underwriters may be increased or the offering may be terminated.</w:t>
      </w:r>
    </w:p>
    <w:p>
      <w:pPr>
        <w:spacing w:after="0" w:line="49" w:lineRule="exact"/>
        <w:rPr>
          <w:sz w:val="20"/>
          <w:szCs w:val="20"/>
          <w:color w:val="auto"/>
        </w:rPr>
      </w:pPr>
    </w:p>
    <w:p>
      <w:pPr>
        <w:ind w:left="660" w:right="559" w:firstLine="360"/>
        <w:spacing w:after="0" w:line="263" w:lineRule="auto"/>
        <w:rPr>
          <w:sz w:val="20"/>
          <w:szCs w:val="20"/>
          <w:color w:val="auto"/>
        </w:rPr>
      </w:pPr>
      <w:r>
        <w:rPr>
          <w:rFonts w:ascii="Arial" w:cs="Arial" w:eastAsia="Arial" w:hAnsi="Arial"/>
          <w:sz w:val="18"/>
          <w:szCs w:val="18"/>
          <w:color w:val="auto"/>
        </w:rPr>
        <w:t>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76" w:lineRule="exact"/>
        <w:rPr>
          <w:sz w:val="20"/>
          <w:szCs w:val="20"/>
          <w:color w:val="auto"/>
        </w:rPr>
      </w:pPr>
    </w:p>
    <w:p>
      <w:pPr>
        <w:ind w:left="660" w:right="659" w:firstLine="360"/>
        <w:spacing w:after="0" w:line="308" w:lineRule="auto"/>
        <w:rPr>
          <w:sz w:val="20"/>
          <w:szCs w:val="20"/>
          <w:color w:val="auto"/>
        </w:rPr>
      </w:pPr>
      <w:r>
        <w:rPr>
          <w:rFonts w:ascii="Arial" w:cs="Arial" w:eastAsia="Arial" w:hAnsi="Arial"/>
          <w:sz w:val="17"/>
          <w:szCs w:val="17"/>
          <w:color w:val="auto"/>
        </w:rPr>
        <w:t>The underwriters have a 30-day option to purchase on a pro rata basis up to additional shares at the public offering price less the underwriting discounts and commissions from the selling stockholders.</w:t>
      </w:r>
    </w:p>
    <w:p>
      <w:pPr>
        <w:spacing w:after="0" w:line="3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underwriters propose to offer the shares of common stock initially at the public offering price on the cover</w:t>
      </w:r>
    </w:p>
    <w:p>
      <w:pPr>
        <w:spacing w:after="0" w:line="46" w:lineRule="exact"/>
        <w:rPr>
          <w:sz w:val="20"/>
          <w:szCs w:val="20"/>
          <w:color w:val="auto"/>
        </w:rPr>
      </w:pPr>
    </w:p>
    <w:p>
      <w:pPr>
        <w:ind w:left="660" w:right="639"/>
        <w:spacing w:after="0" w:line="290" w:lineRule="auto"/>
        <w:rPr>
          <w:sz w:val="20"/>
          <w:szCs w:val="20"/>
          <w:color w:val="auto"/>
        </w:rPr>
      </w:pPr>
      <w:r>
        <w:rPr>
          <w:rFonts w:ascii="Arial" w:cs="Arial" w:eastAsia="Arial" w:hAnsi="Arial"/>
          <w:sz w:val="17"/>
          <w:szCs w:val="17"/>
          <w:color w:val="auto"/>
        </w:rPr>
        <w:t>page of this prospectus and to selling group members at that price less a selling concession of up to $ per share. After the public offering, the representatives may change the public offering price and concession.</w:t>
      </w:r>
    </w:p>
    <w:p>
      <w:pPr>
        <w:spacing w:after="0" w:line="53" w:lineRule="exact"/>
        <w:rPr>
          <w:sz w:val="20"/>
          <w:szCs w:val="20"/>
          <w:color w:val="auto"/>
        </w:rPr>
      </w:pPr>
    </w:p>
    <w:p>
      <w:pPr>
        <w:ind w:left="660" w:right="459"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the selling stockholders.</w:t>
      </w: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Underwriting</w:t>
            </w: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5"/>
        </w:trPr>
        <w:tc>
          <w:tcPr>
            <w:tcW w:w="49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Price to Public</w:t>
            </w:r>
            <w:r>
              <w:rPr>
                <w:rFonts w:ascii="Arial" w:cs="Arial" w:eastAsia="Arial" w:hAnsi="Arial"/>
                <w:sz w:val="23"/>
                <w:szCs w:val="23"/>
                <w:b w:val="1"/>
                <w:bCs w:val="1"/>
                <w:color w:val="auto"/>
                <w:w w:val="87"/>
                <w:vertAlign w:val="superscript"/>
              </w:rPr>
              <w:t>(1)</w:t>
            </w:r>
          </w:p>
        </w:tc>
        <w:tc>
          <w:tcPr>
            <w:tcW w:w="180" w:type="dxa"/>
            <w:vAlign w:val="bottom"/>
            <w:vMerge w:val="restart"/>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Discounts and</w:t>
            </w:r>
          </w:p>
        </w:tc>
        <w:tc>
          <w:tcPr>
            <w:tcW w:w="18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the selling</w:t>
            </w:r>
          </w:p>
        </w:tc>
        <w:tc>
          <w:tcPr>
            <w:tcW w:w="0" w:type="dxa"/>
            <w:vAlign w:val="bottom"/>
          </w:tcPr>
          <w:p>
            <w:pPr>
              <w:spacing w:after="0"/>
              <w:rPr>
                <w:sz w:val="1"/>
                <w:szCs w:val="1"/>
                <w:color w:val="auto"/>
              </w:rPr>
            </w:pPr>
          </w:p>
        </w:tc>
      </w:tr>
      <w:tr>
        <w:trPr>
          <w:trHeight w:val="242"/>
        </w:trPr>
        <w:tc>
          <w:tcPr>
            <w:tcW w:w="496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vMerge w:val="continue"/>
          </w:tcPr>
          <w:p>
            <w:pPr>
              <w:spacing w:after="0"/>
              <w:rPr>
                <w:sz w:val="21"/>
                <w:szCs w:val="21"/>
                <w:color w:val="auto"/>
              </w:rPr>
            </w:pPr>
          </w:p>
        </w:tc>
        <w:tc>
          <w:tcPr>
            <w:tcW w:w="10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Commissions</w:t>
            </w:r>
            <w:r>
              <w:rPr>
                <w:rFonts w:ascii="Arial" w:cs="Arial" w:eastAsia="Arial" w:hAnsi="Arial"/>
                <w:sz w:val="23"/>
                <w:szCs w:val="23"/>
                <w:b w:val="1"/>
                <w:bCs w:val="1"/>
                <w:color w:val="auto"/>
                <w:w w:val="84"/>
                <w:vertAlign w:val="superscript"/>
              </w:rPr>
              <w:t>(2)</w:t>
            </w:r>
          </w:p>
        </w:tc>
        <w:tc>
          <w:tcPr>
            <w:tcW w:w="1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311"/>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1020" w:type="dxa"/>
            <w:vAlign w:val="bottom"/>
          </w:tcPr>
          <w:p>
            <w:pPr>
              <w:jc w:val="right"/>
              <w:ind w:right="84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4999990</wp:posOffset>
            </wp:positionH>
            <wp:positionV relativeFrom="paragraph">
              <wp:posOffset>-393700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-393700</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-393700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171450</wp:posOffset>
            </wp:positionV>
            <wp:extent cx="8229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5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expenses of the offering, not including the underwriting discounts and commissions for which the selling</w:t>
      </w:r>
    </w:p>
    <w:p>
      <w:pPr>
        <w:spacing w:after="0" w:line="46" w:lineRule="exact"/>
        <w:rPr>
          <w:sz w:val="20"/>
          <w:szCs w:val="20"/>
          <w:color w:val="auto"/>
        </w:rPr>
      </w:pPr>
    </w:p>
    <w:p>
      <w:pPr>
        <w:ind w:left="660"/>
        <w:spacing w:after="0"/>
        <w:tabs>
          <w:tab w:leader="none" w:pos="4420" w:val="left"/>
        </w:tabs>
        <w:rPr>
          <w:sz w:val="20"/>
          <w:szCs w:val="20"/>
          <w:color w:val="auto"/>
        </w:rPr>
      </w:pPr>
      <w:r>
        <w:rPr>
          <w:rFonts w:ascii="Arial" w:cs="Arial" w:eastAsia="Arial" w:hAnsi="Arial"/>
          <w:sz w:val="18"/>
          <w:szCs w:val="18"/>
          <w:color w:val="auto"/>
        </w:rPr>
        <w:t>stockholders are responsible, are estimated at $</w:t>
      </w:r>
      <w:r>
        <w:rPr>
          <w:sz w:val="20"/>
          <w:szCs w:val="20"/>
          <w:color w:val="auto"/>
        </w:rPr>
        <w:tab/>
      </w:r>
      <w:r>
        <w:rPr>
          <w:rFonts w:ascii="Arial" w:cs="Arial" w:eastAsia="Arial" w:hAnsi="Arial"/>
          <w:sz w:val="16"/>
          <w:szCs w:val="16"/>
          <w:color w:val="auto"/>
        </w:rPr>
        <w:t>million and are payable by us. We have also agreed to</w:t>
      </w:r>
    </w:p>
    <w:p>
      <w:pPr>
        <w:spacing w:after="0" w:line="9" w:lineRule="exact"/>
        <w:rPr>
          <w:sz w:val="20"/>
          <w:szCs w:val="20"/>
          <w:color w:val="auto"/>
        </w:rPr>
      </w:pPr>
    </w:p>
    <w:p>
      <w:pPr>
        <w:ind w:left="660" w:right="439"/>
        <w:spacing w:after="0" w:line="255" w:lineRule="auto"/>
        <w:rPr>
          <w:sz w:val="20"/>
          <w:szCs w:val="20"/>
          <w:color w:val="auto"/>
        </w:rPr>
      </w:pPr>
      <w:r>
        <w:rPr>
          <w:rFonts w:ascii="Arial" w:cs="Arial" w:eastAsia="Arial" w:hAnsi="Arial"/>
          <w:sz w:val="18"/>
          <w:szCs w:val="18"/>
          <w:color w:val="auto"/>
        </w:rPr>
        <w:t>reimburse the underwriters for up to of expenses related to the review of this offering by the Financial Industry Regulatory Authority, Inc., or FINRA. In accordance with FINRA Rule 5110, this reimbursed fee is deemed underwriting compensation for this offering.</w:t>
      </w:r>
    </w:p>
    <w:p>
      <w:pPr>
        <w:spacing w:after="0" w:line="82" w:lineRule="exact"/>
        <w:rPr>
          <w:sz w:val="20"/>
          <w:szCs w:val="20"/>
          <w:color w:val="auto"/>
        </w:rPr>
      </w:pPr>
    </w:p>
    <w:p>
      <w:pPr>
        <w:ind w:left="660" w:right="439" w:firstLine="360"/>
        <w:spacing w:after="0" w:line="286"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w:t>
      </w:r>
    </w:p>
    <w:p>
      <w:pPr>
        <w:spacing w:after="0" w:line="1" w:lineRule="exact"/>
        <w:rPr>
          <w:sz w:val="20"/>
          <w:szCs w:val="20"/>
          <w:color w:val="auto"/>
        </w:rPr>
      </w:pPr>
    </w:p>
    <w:p>
      <w:pPr>
        <w:ind w:left="660"/>
        <w:spacing w:after="0"/>
        <w:tabs>
          <w:tab w:leader="none" w:pos="3820" w:val="left"/>
          <w:tab w:leader="none" w:pos="4700" w:val="left"/>
          <w:tab w:leader="none" w:pos="6180" w:val="left"/>
        </w:tabs>
        <w:rPr>
          <w:sz w:val="20"/>
          <w:szCs w:val="20"/>
          <w:color w:val="auto"/>
        </w:rPr>
      </w:pPr>
      <w:r>
        <w:rPr>
          <w:rFonts w:ascii="Arial" w:cs="Arial" w:eastAsia="Arial" w:hAnsi="Arial"/>
          <w:sz w:val="18"/>
          <w:szCs w:val="18"/>
          <w:color w:val="auto"/>
        </w:rPr>
        <w:t>without the prior written consent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for a period of</w:t>
      </w:r>
      <w:r>
        <w:rPr>
          <w:sz w:val="20"/>
          <w:szCs w:val="20"/>
          <w:color w:val="auto"/>
        </w:rPr>
        <w:tab/>
      </w:r>
      <w:r>
        <w:rPr>
          <w:rFonts w:ascii="Arial" w:cs="Arial" w:eastAsia="Arial" w:hAnsi="Arial"/>
          <w:sz w:val="16"/>
          <w:szCs w:val="16"/>
          <w:color w:val="auto"/>
        </w:rPr>
        <w:t>days after the date of this prospectus.</w:t>
      </w:r>
    </w:p>
    <w:p>
      <w:pPr>
        <w:spacing w:after="0" w:line="103" w:lineRule="exact"/>
        <w:rPr>
          <w:sz w:val="20"/>
          <w:szCs w:val="20"/>
          <w:color w:val="auto"/>
        </w:rPr>
      </w:pPr>
    </w:p>
    <w:p>
      <w:pPr>
        <w:ind w:left="660" w:right="419" w:firstLine="360"/>
        <w:spacing w:after="0" w:line="296" w:lineRule="auto"/>
        <w:rPr>
          <w:sz w:val="20"/>
          <w:szCs w:val="20"/>
          <w:color w:val="auto"/>
        </w:rPr>
      </w:pPr>
      <w:r>
        <w:rPr>
          <w:rFonts w:ascii="Arial" w:cs="Arial" w:eastAsia="Arial" w:hAnsi="Arial"/>
          <w:sz w:val="16"/>
          <w:szCs w:val="16"/>
          <w:color w:val="auto"/>
        </w:rPr>
        <w:t>Our executive officers, directors and the selling stockholders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w:t>
      </w:r>
    </w:p>
    <w:p>
      <w:pPr>
        <w:sectPr>
          <w:pgSz w:w="11900" w:h="16838" w:orient="portrait"/>
          <w:cols w:equalWidth="0" w:num="1">
            <w:col w:w="9379"/>
          </w:cols>
          <w:pgMar w:left="1080" w:top="265" w:right="1440" w:bottom="1440" w:gutter="0" w:footer="0" w:header="0"/>
        </w:sectPr>
      </w:pPr>
    </w:p>
    <w:p>
      <w:pPr>
        <w:spacing w:after="0" w:line="16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379"/>
        <w:spacing w:after="0" w:line="291" w:lineRule="auto"/>
        <w:rPr>
          <w:sz w:val="20"/>
          <w:szCs w:val="20"/>
          <w:color w:val="auto"/>
        </w:rPr>
      </w:pPr>
      <w:r>
        <w:rPr>
          <w:rFonts w:ascii="Arial" w:cs="Arial" w:eastAsia="Arial" w:hAnsi="Arial"/>
          <w:sz w:val="16"/>
          <w:szCs w:val="16"/>
          <w:color w:val="auto"/>
        </w:rPr>
        <w:t>transactions are to be settled by delivery of our common stock or other securities, in cash or otherwise, or publicly disclose the intention to make any such offer, sale, pledge or disposition, or to enter into any such transaction, swap,</w:t>
      </w:r>
    </w:p>
    <w:p>
      <w:pPr>
        <w:ind w:left="660" w:right="379"/>
        <w:spacing w:after="0" w:line="260" w:lineRule="auto"/>
        <w:rPr>
          <w:sz w:val="20"/>
          <w:szCs w:val="20"/>
          <w:color w:val="auto"/>
        </w:rPr>
      </w:pPr>
      <w:r>
        <w:rPr>
          <w:rFonts w:ascii="Arial" w:cs="Arial" w:eastAsia="Arial" w:hAnsi="Arial"/>
          <w:sz w:val="18"/>
          <w:szCs w:val="18"/>
          <w:color w:val="auto"/>
        </w:rPr>
        <w:t>hedge or other arrangement, without, in each case, the prior written consent of and for a period of days after the date of this prospectus, subject to certain exceptions.</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117" w:lineRule="exact"/>
        <w:rPr>
          <w:sz w:val="20"/>
          <w:szCs w:val="20"/>
          <w:color w:val="auto"/>
        </w:rPr>
      </w:pPr>
    </w:p>
    <w:p>
      <w:pPr>
        <w:ind w:left="660" w:right="379" w:firstLine="360"/>
        <w:spacing w:after="0" w:line="263"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360" w:right="499" w:hanging="348"/>
        <w:spacing w:after="0" w:line="277"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1360" w:right="339" w:hanging="348"/>
        <w:spacing w:after="0" w:line="271" w:lineRule="auto"/>
        <w:tabs>
          <w:tab w:leader="none" w:pos="1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their option to purchase additional shares. In a naked short position, the number of shares involved is greater than the number of shares in their option to purchase additional shares. The underwriters may close out any covered short position by either exercising their option to purchase additional shares and/or purchasing shares in the open market.</w:t>
      </w:r>
    </w:p>
    <w:p>
      <w:pPr>
        <w:spacing w:after="0" w:line="70" w:lineRule="exact"/>
        <w:rPr>
          <w:rFonts w:ascii="Arial" w:cs="Arial" w:eastAsia="Arial" w:hAnsi="Arial"/>
          <w:sz w:val="17"/>
          <w:szCs w:val="17"/>
          <w:color w:val="auto"/>
        </w:rPr>
      </w:pPr>
    </w:p>
    <w:p>
      <w:pPr>
        <w:ind w:left="1360" w:right="399" w:hanging="348"/>
        <w:spacing w:after="0" w:line="270" w:lineRule="auto"/>
        <w:tabs>
          <w:tab w:leader="none" w:pos="1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their option. If the underwriters sell more shares than could be covered by their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72" w:lineRule="exact"/>
        <w:rPr>
          <w:rFonts w:ascii="Arial" w:cs="Arial" w:eastAsia="Arial" w:hAnsi="Arial"/>
          <w:sz w:val="17"/>
          <w:szCs w:val="17"/>
          <w:color w:val="auto"/>
        </w:rPr>
      </w:pPr>
    </w:p>
    <w:p>
      <w:pPr>
        <w:ind w:left="1360" w:right="399" w:hanging="348"/>
        <w:spacing w:after="0" w:line="263"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75" w:lineRule="exact"/>
        <w:rPr>
          <w:rFonts w:ascii="Arial" w:cs="Arial" w:eastAsia="Arial" w:hAnsi="Arial"/>
          <w:sz w:val="18"/>
          <w:szCs w:val="18"/>
          <w:color w:val="auto"/>
        </w:rPr>
      </w:pPr>
    </w:p>
    <w:p>
      <w:pPr>
        <w:ind w:left="1360" w:right="359" w:hanging="348"/>
        <w:spacing w:after="0" w:line="263"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76" w:lineRule="exact"/>
        <w:rPr>
          <w:sz w:val="20"/>
          <w:szCs w:val="20"/>
          <w:color w:val="auto"/>
        </w:rPr>
      </w:pPr>
    </w:p>
    <w:p>
      <w:pPr>
        <w:ind w:left="660" w:right="379" w:firstLine="360"/>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80" w:lineRule="exact"/>
        <w:rPr>
          <w:sz w:val="20"/>
          <w:szCs w:val="20"/>
          <w:color w:val="auto"/>
        </w:rPr>
      </w:pPr>
    </w:p>
    <w:p>
      <w:pPr>
        <w:ind w:left="660" w:right="459" w:firstLine="360"/>
        <w:spacing w:after="0" w:line="273"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70" w:lineRule="exact"/>
        <w:rPr>
          <w:sz w:val="20"/>
          <w:szCs w:val="20"/>
          <w:color w:val="auto"/>
        </w:rPr>
      </w:pPr>
    </w:p>
    <w:p>
      <w:pPr>
        <w:ind w:left="660" w:right="339" w:firstLine="360"/>
        <w:spacing w:after="0" w:line="255"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9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660" w:right="359" w:firstLine="360"/>
        <w:spacing w:after="0" w:line="253" w:lineRule="auto"/>
        <w:rPr>
          <w:sz w:val="20"/>
          <w:szCs w:val="20"/>
          <w:color w:val="auto"/>
        </w:rPr>
      </w:pPr>
      <w:r>
        <w:rPr>
          <w:rFonts w:ascii="Arial" w:cs="Arial" w:eastAsia="Arial" w:hAnsi="Arial"/>
          <w:sz w:val="18"/>
          <w:szCs w:val="18"/>
          <w:color w:val="auto"/>
        </w:rPr>
        <w:t>The KKR Stockholders beneficially own in excess of 10% of our issued and outstanding common stock and will be selling stockholders in this offering and, as such, will receive in excess of 5% of the net proceeds of this offering. Because KKR Capital Markets LLC, an affiliate of the KKR Stockholders, is an underwriter in this offering,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FINRA Rule 5121. KKR Capital Markets LLC will not confirm any sales to any account over which it exercises discretionary authority without the specific written approval of the account holder.</w:t>
      </w:r>
    </w:p>
    <w:p>
      <w:pPr>
        <w:spacing w:after="0" w:line="21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660" w:right="339" w:firstLine="360"/>
        <w:spacing w:after="0" w:line="28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660" w:right="419" w:firstLine="360"/>
        <w:spacing w:after="0" w:line="273" w:lineRule="auto"/>
        <w:rPr>
          <w:sz w:val="20"/>
          <w:szCs w:val="20"/>
          <w:color w:val="auto"/>
        </w:rPr>
      </w:pPr>
      <w:r>
        <w:rPr>
          <w:rFonts w:ascii="Arial" w:cs="Arial" w:eastAsia="Arial" w:hAnsi="Arial"/>
          <w:sz w:val="17"/>
          <w:szCs w:val="17"/>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70" w:lineRule="exact"/>
        <w:rPr>
          <w:sz w:val="20"/>
          <w:szCs w:val="20"/>
          <w:color w:val="auto"/>
        </w:rPr>
      </w:pPr>
    </w:p>
    <w:p>
      <w:pPr>
        <w:ind w:left="1360" w:hanging="34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360" w:right="499" w:hanging="348"/>
        <w:spacing w:after="0" w:line="342" w:lineRule="auto"/>
        <w:tabs>
          <w:tab w:leader="none" w:pos="1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representatives for any such offer; or</w:t>
      </w:r>
    </w:p>
    <w:p>
      <w:pPr>
        <w:spacing w:after="0" w:line="15" w:lineRule="exact"/>
        <w:rPr>
          <w:rFonts w:ascii="Arial" w:cs="Arial" w:eastAsia="Arial" w:hAnsi="Arial"/>
          <w:sz w:val="16"/>
          <w:szCs w:val="16"/>
          <w:color w:val="auto"/>
        </w:rPr>
      </w:pPr>
    </w:p>
    <w:p>
      <w:pPr>
        <w:ind w:left="1360" w:hanging="34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7" w:lineRule="exact"/>
        <w:rPr>
          <w:sz w:val="20"/>
          <w:szCs w:val="20"/>
          <w:color w:val="auto"/>
        </w:rPr>
      </w:pPr>
    </w:p>
    <w:p>
      <w:pPr>
        <w:ind w:left="660" w:right="459"/>
        <w:spacing w:after="0" w:line="263"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left="660" w:right="33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81" w:lineRule="exact"/>
        <w:rPr>
          <w:sz w:val="20"/>
          <w:szCs w:val="20"/>
          <w:color w:val="auto"/>
        </w:rPr>
      </w:pPr>
    </w:p>
    <w:p>
      <w:pPr>
        <w:ind w:left="1020" w:right="2419" w:firstLine="1762"/>
        <w:spacing w:after="0" w:line="434" w:lineRule="auto"/>
        <w:rPr>
          <w:sz w:val="20"/>
          <w:szCs w:val="20"/>
          <w:color w:val="auto"/>
        </w:rPr>
      </w:pPr>
      <w:r>
        <w:rPr>
          <w:rFonts w:ascii="Arial" w:cs="Arial" w:eastAsia="Arial" w:hAnsi="Arial"/>
          <w:sz w:val="16"/>
          <w:szCs w:val="16"/>
          <w:b w:val="1"/>
          <w:bCs w:val="1"/>
          <w:color w:val="auto"/>
        </w:rPr>
        <w:t xml:space="preserve">Notice to Prospective Investors in the United Kingdom </w:t>
      </w:r>
      <w:r>
        <w:rPr>
          <w:rFonts w:ascii="Arial" w:cs="Arial" w:eastAsia="Arial" w:hAnsi="Arial"/>
          <w:sz w:val="16"/>
          <w:szCs w:val="16"/>
          <w:color w:val="auto"/>
        </w:rPr>
        <w:t>Each of the underwriters severally represents, warrants and agrees as follows:</w:t>
      </w:r>
    </w:p>
    <w:p>
      <w:pPr>
        <w:ind w:left="1360" w:right="319" w:hanging="348"/>
        <w:spacing w:after="0" w:line="301" w:lineRule="auto"/>
        <w:tabs>
          <w:tab w:leader="none" w:pos="1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49" w:lineRule="exact"/>
        <w:rPr>
          <w:rFonts w:ascii="Arial" w:cs="Arial" w:eastAsia="Arial" w:hAnsi="Arial"/>
          <w:sz w:val="16"/>
          <w:szCs w:val="16"/>
          <w:color w:val="auto"/>
        </w:rPr>
      </w:pPr>
    </w:p>
    <w:p>
      <w:pPr>
        <w:ind w:left="1360" w:right="359" w:hanging="348"/>
        <w:spacing w:after="0" w:line="308" w:lineRule="auto"/>
        <w:tabs>
          <w:tab w:leader="none" w:pos="1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the FSMA with respect to anything done by it in relation to the securities in, from or otherwise involving the United Kingdom.</w:t>
      </w:r>
    </w:p>
    <w:p>
      <w:pPr>
        <w:spacing w:after="0" w:line="14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660" w:right="479" w:firstLine="360"/>
        <w:spacing w:after="0" w:line="255" w:lineRule="auto"/>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84" w:lineRule="exact"/>
        <w:rPr>
          <w:sz w:val="20"/>
          <w:szCs w:val="20"/>
          <w:color w:val="auto"/>
        </w:rPr>
      </w:pPr>
    </w:p>
    <w:p>
      <w:pPr>
        <w:ind w:left="660" w:right="33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660" w:right="3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660" w:right="339" w:firstLine="360"/>
        <w:spacing w:after="0" w:line="272"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660" w:right="2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69" w:lineRule="exact"/>
        <w:rPr>
          <w:sz w:val="20"/>
          <w:szCs w:val="20"/>
          <w:color w:val="auto"/>
        </w:rPr>
      </w:pPr>
    </w:p>
    <w:p>
      <w:pPr>
        <w:ind w:left="660" w:right="319" w:firstLine="360"/>
        <w:spacing w:after="0" w:line="273"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660" w:right="379" w:firstLine="360"/>
        <w:spacing w:after="0" w:line="288" w:lineRule="auto"/>
        <w:rPr>
          <w:sz w:val="20"/>
          <w:szCs w:val="20"/>
          <w:color w:val="auto"/>
        </w:rPr>
      </w:pPr>
      <w:r>
        <w:rPr>
          <w:rFonts w:ascii="Arial" w:cs="Arial" w:eastAsia="Arial" w:hAnsi="Arial"/>
          <w:sz w:val="16"/>
          <w:szCs w:val="16"/>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ectPr>
          <w:pgSz w:w="11900" w:h="16838" w:orient="portrait"/>
          <w:cols w:equalWidth="0" w:num="1">
            <w:col w:w="9379"/>
          </w:cols>
          <w:pgMar w:left="1080" w:top="265" w:right="1440" w:bottom="1440" w:gutter="0" w:footer="0" w:header="0"/>
        </w:sectPr>
      </w:pPr>
    </w:p>
    <w:p>
      <w:pPr>
        <w:spacing w:after="0" w:line="16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660" w:right="319" w:firstLine="360"/>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0" w:lineRule="exact"/>
        <w:rPr>
          <w:sz w:val="20"/>
          <w:szCs w:val="20"/>
          <w:color w:val="auto"/>
        </w:rPr>
      </w:pPr>
    </w:p>
    <w:p>
      <w:pPr>
        <w:ind w:left="1360" w:right="379" w:hanging="348"/>
        <w:spacing w:after="0" w:line="277" w:lineRule="auto"/>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SFA,</w:t>
      </w:r>
    </w:p>
    <w:p>
      <w:pPr>
        <w:spacing w:after="0" w:line="62" w:lineRule="exact"/>
        <w:rPr>
          <w:rFonts w:ascii="Arial" w:cs="Arial" w:eastAsia="Arial" w:hAnsi="Arial"/>
          <w:sz w:val="18"/>
          <w:szCs w:val="18"/>
          <w:color w:val="auto"/>
        </w:rPr>
      </w:pPr>
    </w:p>
    <w:p>
      <w:pPr>
        <w:ind w:left="1360" w:right="959" w:hanging="348"/>
        <w:spacing w:after="0" w:line="277" w:lineRule="auto"/>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Where the securities are subscribed or purchased under Section 275 of the SFA by a relevant person which is:</w:t>
      </w:r>
    </w:p>
    <w:p>
      <w:pPr>
        <w:spacing w:after="0" w:line="140" w:lineRule="exact"/>
        <w:rPr>
          <w:sz w:val="20"/>
          <w:szCs w:val="20"/>
          <w:color w:val="auto"/>
        </w:rPr>
      </w:pPr>
    </w:p>
    <w:p>
      <w:pPr>
        <w:jc w:val="both"/>
        <w:ind w:left="1360" w:right="379" w:hanging="348"/>
        <w:spacing w:after="0" w:line="263" w:lineRule="auto"/>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360" w:right="359" w:hanging="348"/>
        <w:spacing w:after="0" w:line="277" w:lineRule="auto"/>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660" w:right="4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7" w:lineRule="exact"/>
        <w:rPr>
          <w:sz w:val="20"/>
          <w:szCs w:val="20"/>
          <w:color w:val="auto"/>
        </w:rPr>
      </w:pPr>
    </w:p>
    <w:p>
      <w:pPr>
        <w:ind w:left="1360" w:right="519" w:hanging="348"/>
        <w:spacing w:after="0" w:line="308" w:lineRule="auto"/>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38" w:lineRule="exact"/>
        <w:rPr>
          <w:rFonts w:ascii="Arial" w:cs="Arial" w:eastAsia="Arial" w:hAnsi="Arial"/>
          <w:sz w:val="17"/>
          <w:szCs w:val="17"/>
          <w:color w:val="auto"/>
        </w:rPr>
      </w:pPr>
    </w:p>
    <w:p>
      <w:pPr>
        <w:ind w:left="1360" w:hanging="348"/>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360" w:right="1199" w:hanging="348"/>
        <w:spacing w:after="0" w:line="277" w:lineRule="auto"/>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660" w:right="339" w:firstLine="360"/>
        <w:spacing w:after="0" w:line="289"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58" w:lineRule="exact"/>
        <w:rPr>
          <w:sz w:val="20"/>
          <w:szCs w:val="20"/>
          <w:color w:val="auto"/>
        </w:rPr>
      </w:pPr>
    </w:p>
    <w:p>
      <w:pPr>
        <w:ind w:left="660" w:right="299" w:firstLine="360"/>
        <w:spacing w:after="0" w:line="287" w:lineRule="auto"/>
        <w:rPr>
          <w:sz w:val="20"/>
          <w:szCs w:val="20"/>
          <w:color w:val="auto"/>
        </w:rPr>
      </w:pPr>
      <w:r>
        <w:rPr>
          <w:rFonts w:ascii="Arial" w:cs="Arial" w:eastAsia="Arial" w:hAnsi="Arial"/>
          <w:sz w:val="16"/>
          <w:szCs w:val="16"/>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ectPr>
          <w:pgSz w:w="11900" w:h="16838" w:orient="portrait"/>
          <w:cols w:equalWidth="0" w:num="1">
            <w:col w:w="9379"/>
          </w:cols>
          <w:pgMar w:left="1080" w:top="265" w:right="1440" w:bottom="1440" w:gutter="0" w:footer="0" w:header="0"/>
        </w:sectPr>
      </w:pPr>
    </w:p>
    <w:p>
      <w:pPr>
        <w:spacing w:after="0" w:line="172"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660" w:right="359" w:firstLine="360"/>
        <w:spacing w:after="0" w:line="26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9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660" w:right="299" w:firstLine="360"/>
        <w:spacing w:after="0" w:line="271" w:lineRule="auto"/>
        <w:rPr>
          <w:sz w:val="20"/>
          <w:szCs w:val="20"/>
          <w:color w:val="auto"/>
        </w:rPr>
      </w:pPr>
      <w:r>
        <w:rPr>
          <w:rFonts w:ascii="Arial" w:cs="Arial" w:eastAsia="Arial" w:hAnsi="Arial"/>
          <w:sz w:val="17"/>
          <w:szCs w:val="17"/>
          <w:color w:val="auto"/>
        </w:rPr>
        <w:t>The consolidated financial statements of Academy Sports and Outdoors, Inc. and subsidiaries as of January 30, 2021 and February 1, 2020, and for each of the three fiscal years in the period ended January 30, 2021, incorporated in this prospectus by reference from the Company’s Annual Report on Form 10-K for the fiscal year ended January 30, 2021, have been audited by Deloitte &amp; Touche LLP, an independent registered public accounting firm, as stated in their report, which is incorporated herein by reference (which report expresses an unqualified opinion on the consolidated financial statements and includes an explanatory paragraph referring to a critical audit matter). Such consolidated financial statements have been so incorporated in reliance upon the report of such firm given upon their authority as experts in accounting and auditing.</w:t>
      </w:r>
    </w:p>
    <w:p>
      <w:pPr>
        <w:spacing w:after="0" w:line="93"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660" w:right="319" w:firstLine="360"/>
        <w:spacing w:after="0" w:line="270" w:lineRule="auto"/>
        <w:rPr>
          <w:sz w:val="20"/>
          <w:szCs w:val="20"/>
          <w:color w:val="auto"/>
        </w:rPr>
      </w:pPr>
      <w:r>
        <w:rPr>
          <w:rFonts w:ascii="Arial" w:cs="Arial" w:eastAsia="Arial" w:hAnsi="Arial"/>
          <w:sz w:val="17"/>
          <w:szCs w:val="17"/>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or incorporated by reference,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73" w:lineRule="exact"/>
        <w:rPr>
          <w:sz w:val="20"/>
          <w:szCs w:val="20"/>
          <w:color w:val="auto"/>
        </w:rPr>
      </w:pPr>
    </w:p>
    <w:p>
      <w:pPr>
        <w:ind w:left="660" w:right="319" w:firstLine="360"/>
        <w:spacing w:after="0" w:line="254" w:lineRule="auto"/>
        <w:rPr>
          <w:sz w:val="20"/>
          <w:szCs w:val="20"/>
          <w:color w:val="auto"/>
        </w:rPr>
      </w:pPr>
      <w:r>
        <w:rPr>
          <w:rFonts w:ascii="Arial" w:cs="Arial" w:eastAsia="Arial" w:hAnsi="Arial"/>
          <w:sz w:val="18"/>
          <w:szCs w:val="18"/>
          <w:color w:val="auto"/>
        </w:rPr>
        <w:t>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96"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660" w:right="439"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4" w:lineRule="exact"/>
        <w:rPr>
          <w:sz w:val="20"/>
          <w:szCs w:val="20"/>
          <w:color w:val="auto"/>
        </w:rPr>
      </w:pPr>
    </w:p>
    <w:p>
      <w:pPr>
        <w:ind w:left="1360" w:right="339" w:hanging="348"/>
        <w:spacing w:after="0" w:line="286" w:lineRule="auto"/>
        <w:tabs>
          <w:tab w:leader="none" w:pos="1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January 30, 2021, filed on April 7, 2021 (including information specifically incorporated by reference into such Annual Report on Form 10-K from our Proxy Statement for our 2021 Annual Meeting of Stockholders filed on April 23, 2021); and</w:t>
      </w:r>
    </w:p>
    <w:p>
      <w:pPr>
        <w:spacing w:after="0" w:line="57" w:lineRule="exact"/>
        <w:rPr>
          <w:rFonts w:ascii="Arial" w:cs="Arial" w:eastAsia="Arial" w:hAnsi="Arial"/>
          <w:sz w:val="17"/>
          <w:szCs w:val="17"/>
          <w:color w:val="auto"/>
        </w:rPr>
      </w:pPr>
    </w:p>
    <w:p>
      <w:pPr>
        <w:ind w:left="1360" w:hanging="348"/>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Current Reports on Form 8-K filed on February 1, 2021 and March 4, 2021.</w:t>
      </w:r>
    </w:p>
    <w:p>
      <w:pPr>
        <w:spacing w:after="0" w:line="117" w:lineRule="exact"/>
        <w:rPr>
          <w:sz w:val="20"/>
          <w:szCs w:val="20"/>
          <w:color w:val="auto"/>
        </w:rPr>
      </w:pPr>
    </w:p>
    <w:p>
      <w:pPr>
        <w:ind w:left="660" w:right="619" w:firstLine="360"/>
        <w:spacing w:after="0" w:line="311" w:lineRule="auto"/>
        <w:rPr>
          <w:sz w:val="20"/>
          <w:szCs w:val="20"/>
          <w:color w:val="auto"/>
        </w:rPr>
      </w:pPr>
      <w:r>
        <w:rPr>
          <w:rFonts w:ascii="Arial" w:cs="Arial" w:eastAsia="Arial" w:hAnsi="Arial"/>
          <w:sz w:val="16"/>
          <w:szCs w:val="16"/>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41" w:lineRule="exact"/>
        <w:rPr>
          <w:sz w:val="20"/>
          <w:szCs w:val="20"/>
          <w:color w:val="auto"/>
        </w:rPr>
      </w:pPr>
    </w:p>
    <w:p>
      <w:pPr>
        <w:ind w:left="660" w:right="319"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Academy Sports and Outdoors, Inc., 1800 North Mason Road, Katy, Texas 77449; Attention: Corporate Secretary (telephone: 281-646-5200).</w:t>
      </w:r>
    </w:p>
    <w:p>
      <w:pPr>
        <w:spacing w:after="0" w:line="80" w:lineRule="exact"/>
        <w:rPr>
          <w:sz w:val="20"/>
          <w:szCs w:val="20"/>
          <w:color w:val="auto"/>
        </w:rPr>
      </w:pPr>
    </w:p>
    <w:p>
      <w:pPr>
        <w:ind w:left="660" w:right="439"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ectPr>
          <w:pgSz w:w="11900" w:h="16838" w:orient="portrait"/>
          <w:cols w:equalWidth="0" w:num="1">
            <w:col w:w="9379"/>
          </w:cols>
          <w:pgMar w:left="1080" w:top="265" w:right="1440" w:bottom="1440" w:gutter="0" w:footer="0" w:header="0"/>
        </w:sectPr>
      </w:pP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140970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9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4321810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-6350</wp:posOffset>
            </wp:positionV>
            <wp:extent cx="52120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61595</wp:posOffset>
            </wp:positionV>
            <wp:extent cx="5212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4124960</wp:posOffset>
            </wp:positionV>
            <wp:extent cx="52120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4184650</wp:posOffset>
            </wp:positionV>
            <wp:extent cx="5212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3164840</wp:posOffset>
            </wp:positionV>
            <wp:extent cx="2768600" cy="685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68600" cy="685800"/>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660" w:right="399" w:firstLine="360"/>
        <w:spacing w:after="0" w:line="301" w:lineRule="auto"/>
        <w:rPr>
          <w:sz w:val="20"/>
          <w:szCs w:val="20"/>
          <w:color w:val="auto"/>
        </w:rPr>
      </w:pPr>
      <w:r>
        <w:rPr>
          <w:rFonts w:ascii="Arial" w:cs="Arial" w:eastAsia="Arial" w:hAnsi="Arial"/>
          <w:sz w:val="16"/>
          <w:szCs w:val="16"/>
          <w:color w:val="auto"/>
        </w:rPr>
        <w:t>The following table sets forth the expenses payable by the Registrant expected to be incurred in connection with the distribution of common stock being registered hereby (other than the underwriting discounts and commissions). All of such expenses are estimates, except for the Securities and Exchange Commission, or the SEC, registration fee and the Financial Industry Regulatory Authority Inc., or FINRA, filing fee.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(dollars in thousands)</w:t>
      </w:r>
    </w:p>
    <w:p>
      <w:pPr>
        <w:spacing w:after="0" w:line="78" w:lineRule="exact"/>
        <w:rPr>
          <w:sz w:val="20"/>
          <w:szCs w:val="20"/>
          <w:color w:val="auto"/>
        </w:rPr>
      </w:pPr>
    </w:p>
    <w:tbl>
      <w:tblPr>
        <w:tblLayout w:type="fixed"/>
        <w:tblInd w:w="660" w:type="dxa"/>
        <w:tblCellMar>
          <w:top w:w="0" w:type="dxa"/>
          <w:left w:w="0" w:type="dxa"/>
          <w:bottom w:w="0" w:type="dxa"/>
          <w:right w:w="0" w:type="dxa"/>
        </w:tblCellMar>
      </w:tblPr>
      <w:tr>
        <w:trPr>
          <w:trHeight w:val="318"/>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FINRA filing fee</w:t>
            </w:r>
          </w:p>
        </w:tc>
        <w:tc>
          <w:tcPr>
            <w:tcW w:w="3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54"/>
        </w:trPr>
        <w:tc>
          <w:tcPr>
            <w:tcW w:w="7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54"/>
        </w:trPr>
        <w:tc>
          <w:tcPr>
            <w:tcW w:w="7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Blue Sky fees and expenses (including legal fees)</w:t>
            </w:r>
          </w:p>
        </w:tc>
        <w:tc>
          <w:tcPr>
            <w:tcW w:w="3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54"/>
        </w:trPr>
        <w:tc>
          <w:tcPr>
            <w:tcW w:w="7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680" w:type="dxa"/>
            <w:vAlign w:val="bottom"/>
          </w:tcPr>
          <w:p>
            <w:pPr>
              <w:spacing w:after="0"/>
              <w:rPr>
                <w:sz w:val="20"/>
                <w:szCs w:val="20"/>
                <w:color w:val="auto"/>
              </w:rPr>
            </w:pPr>
            <w:r>
              <w:rPr>
                <w:rFonts w:ascii="Arial" w:cs="Arial" w:eastAsia="Arial" w:hAnsi="Arial"/>
                <w:sz w:val="18"/>
                <w:szCs w:val="18"/>
                <w:color w:val="auto"/>
              </w:rPr>
              <w:t>Miscellaneous</w:t>
            </w:r>
          </w:p>
        </w:tc>
        <w:tc>
          <w:tcPr>
            <w:tcW w:w="3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61"/>
        </w:trPr>
        <w:tc>
          <w:tcPr>
            <w:tcW w:w="7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48"/>
        </w:trPr>
        <w:tc>
          <w:tcPr>
            <w:tcW w:w="76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137160</wp:posOffset>
            </wp:positionV>
            <wp:extent cx="8229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5" w:lineRule="exact"/>
        <w:rPr>
          <w:sz w:val="20"/>
          <w:szCs w:val="20"/>
          <w:color w:val="auto"/>
        </w:rPr>
      </w:pPr>
    </w:p>
    <w:p>
      <w:pPr>
        <w:ind w:left="1000" w:hanging="348"/>
        <w:spacing w:after="0"/>
        <w:tabs>
          <w:tab w:leader="none" w:pos="1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204"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660" w:right="319" w:firstLine="360"/>
        <w:spacing w:after="0" w:line="254"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87" w:lineRule="exact"/>
        <w:rPr>
          <w:sz w:val="20"/>
          <w:szCs w:val="20"/>
          <w:color w:val="auto"/>
        </w:rPr>
      </w:pPr>
    </w:p>
    <w:p>
      <w:pPr>
        <w:ind w:left="660" w:right="319" w:firstLine="360"/>
        <w:spacing w:after="0" w:line="28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61" w:lineRule="exact"/>
        <w:rPr>
          <w:sz w:val="20"/>
          <w:szCs w:val="20"/>
          <w:color w:val="auto"/>
        </w:rPr>
      </w:pPr>
    </w:p>
    <w:p>
      <w:pPr>
        <w:ind w:left="660" w:right="339" w:firstLine="360"/>
        <w:spacing w:after="0" w:line="308"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w:t>
      </w:r>
    </w:p>
    <w:p>
      <w:pPr>
        <w:spacing w:after="0" w:line="14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40" w:right="24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9" w:lineRule="exact"/>
        <w:rPr>
          <w:sz w:val="20"/>
          <w:szCs w:val="20"/>
          <w:color w:val="auto"/>
        </w:rPr>
      </w:pPr>
    </w:p>
    <w:p>
      <w:pPr>
        <w:ind w:left="660" w:right="459"/>
        <w:spacing w:after="0" w:line="311" w:lineRule="auto"/>
        <w:rPr>
          <w:sz w:val="20"/>
          <w:szCs w:val="20"/>
          <w:color w:val="auto"/>
        </w:rPr>
      </w:pPr>
      <w:r>
        <w:rPr>
          <w:rFonts w:ascii="Arial" w:cs="Arial" w:eastAsia="Arial" w:hAnsi="Arial"/>
          <w:sz w:val="16"/>
          <w:szCs w:val="16"/>
          <w:color w:val="auto"/>
        </w:rPr>
        <w:t>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41" w:lineRule="exact"/>
        <w:rPr>
          <w:sz w:val="20"/>
          <w:szCs w:val="20"/>
          <w:color w:val="auto"/>
        </w:rPr>
      </w:pPr>
    </w:p>
    <w:p>
      <w:pPr>
        <w:ind w:left="660" w:right="499" w:firstLine="360"/>
        <w:spacing w:after="0" w:line="263"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76" w:lineRule="exact"/>
        <w:rPr>
          <w:sz w:val="20"/>
          <w:szCs w:val="20"/>
          <w:color w:val="auto"/>
        </w:rPr>
      </w:pPr>
    </w:p>
    <w:p>
      <w:pPr>
        <w:ind w:left="660" w:right="359" w:firstLine="360"/>
        <w:spacing w:after="0" w:line="275" w:lineRule="auto"/>
        <w:rPr>
          <w:sz w:val="20"/>
          <w:szCs w:val="20"/>
          <w:color w:val="auto"/>
        </w:rPr>
      </w:pPr>
      <w:r>
        <w:rPr>
          <w:rFonts w:ascii="Arial" w:cs="Arial" w:eastAsia="Arial" w:hAnsi="Arial"/>
          <w:sz w:val="17"/>
          <w:szCs w:val="17"/>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68" w:lineRule="exact"/>
        <w:rPr>
          <w:sz w:val="20"/>
          <w:szCs w:val="20"/>
          <w:color w:val="auto"/>
        </w:rPr>
      </w:pPr>
    </w:p>
    <w:p>
      <w:pPr>
        <w:ind w:left="660" w:right="35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87" w:lineRule="exact"/>
        <w:rPr>
          <w:sz w:val="20"/>
          <w:szCs w:val="20"/>
          <w:color w:val="auto"/>
        </w:rPr>
      </w:pPr>
    </w:p>
    <w:p>
      <w:pPr>
        <w:ind w:left="660" w:right="319" w:firstLine="360"/>
        <w:spacing w:after="0" w:line="255"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84" w:lineRule="exact"/>
        <w:rPr>
          <w:sz w:val="20"/>
          <w:szCs w:val="20"/>
          <w:color w:val="auto"/>
        </w:rPr>
      </w:pPr>
    </w:p>
    <w:p>
      <w:pPr>
        <w:jc w:val="both"/>
        <w:ind w:left="660" w:right="879" w:firstLine="360"/>
        <w:spacing w:after="0" w:line="263"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18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Securities</w:t>
      </w:r>
    </w:p>
    <w:p>
      <w:pPr>
        <w:spacing w:after="0" w:line="121" w:lineRule="exact"/>
        <w:rPr>
          <w:sz w:val="20"/>
          <w:szCs w:val="20"/>
          <w:color w:val="auto"/>
        </w:rPr>
      </w:pPr>
    </w:p>
    <w:p>
      <w:pPr>
        <w:ind w:left="660" w:right="339" w:firstLine="36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31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Private Placement</w:t>
      </w:r>
    </w:p>
    <w:p>
      <w:pPr>
        <w:spacing w:after="0" w:line="117" w:lineRule="exact"/>
        <w:rPr>
          <w:sz w:val="20"/>
          <w:szCs w:val="20"/>
          <w:color w:val="auto"/>
        </w:rPr>
      </w:pPr>
    </w:p>
    <w:p>
      <w:pPr>
        <w:ind w:left="660" w:right="519" w:firstLine="360"/>
        <w:spacing w:after="0" w:line="301" w:lineRule="auto"/>
        <w:rPr>
          <w:sz w:val="20"/>
          <w:szCs w:val="20"/>
          <w:color w:val="auto"/>
        </w:rPr>
      </w:pPr>
      <w:r>
        <w:rPr>
          <w:rFonts w:ascii="Arial" w:cs="Arial" w:eastAsia="Arial" w:hAnsi="Arial"/>
          <w:sz w:val="16"/>
          <w:szCs w:val="16"/>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Restricted Stock Units Grants and Vesting</w:t>
      </w:r>
    </w:p>
    <w:p>
      <w:pPr>
        <w:spacing w:after="0" w:line="117" w:lineRule="exact"/>
        <w:rPr>
          <w:sz w:val="20"/>
          <w:szCs w:val="20"/>
          <w:color w:val="auto"/>
        </w:rPr>
      </w:pPr>
    </w:p>
    <w:p>
      <w:pPr>
        <w:ind w:left="660" w:right="599" w:firstLine="360"/>
        <w:spacing w:after="0" w:line="277" w:lineRule="auto"/>
        <w:rPr>
          <w:sz w:val="20"/>
          <w:szCs w:val="20"/>
          <w:color w:val="auto"/>
        </w:rPr>
      </w:pPr>
      <w:r>
        <w:rPr>
          <w:rFonts w:ascii="Arial" w:cs="Arial" w:eastAsia="Arial" w:hAnsi="Arial"/>
          <w:sz w:val="18"/>
          <w:szCs w:val="18"/>
          <w:color w:val="auto"/>
        </w:rPr>
        <w:t>From October 1, 2020 to April 23, 2021, we issued 887,084 shares of our common stock upon settlement of certain vested restricted stock units that were granted under the 2011 Equity Plan.</w:t>
      </w:r>
    </w:p>
    <w:p>
      <w:pPr>
        <w:spacing w:after="0" w:line="62" w:lineRule="exact"/>
        <w:rPr>
          <w:sz w:val="20"/>
          <w:szCs w:val="20"/>
          <w:color w:val="auto"/>
        </w:rPr>
      </w:pPr>
    </w:p>
    <w:p>
      <w:pPr>
        <w:ind w:left="660" w:right="379" w:firstLine="360"/>
        <w:spacing w:after="0" w:line="293" w:lineRule="auto"/>
        <w:rPr>
          <w:sz w:val="20"/>
          <w:szCs w:val="20"/>
          <w:color w:val="auto"/>
        </w:rPr>
      </w:pPr>
      <w:r>
        <w:rPr>
          <w:rFonts w:ascii="Arial" w:cs="Arial" w:eastAsia="Arial" w:hAnsi="Arial"/>
          <w:sz w:val="16"/>
          <w:szCs w:val="16"/>
          <w:color w:val="auto"/>
        </w:rPr>
        <w:t>The issuances of restricted stock units and the shares of common stock issuable upon the settlement of restricted stock units described in this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17" w:lineRule="exact"/>
        <w:rPr>
          <w:sz w:val="20"/>
          <w:szCs w:val="20"/>
          <w:color w:val="auto"/>
        </w:rPr>
      </w:pPr>
    </w:p>
    <w:p>
      <w:pPr>
        <w:ind w:left="660" w:right="419" w:firstLine="360"/>
        <w:spacing w:after="0" w:line="277" w:lineRule="auto"/>
        <w:rPr>
          <w:sz w:val="20"/>
          <w:szCs w:val="20"/>
          <w:color w:val="auto"/>
        </w:rPr>
      </w:pPr>
      <w:r>
        <w:rPr>
          <w:rFonts w:ascii="Arial" w:cs="Arial" w:eastAsia="Arial" w:hAnsi="Arial"/>
          <w:sz w:val="18"/>
          <w:szCs w:val="18"/>
          <w:color w:val="auto"/>
        </w:rPr>
        <w:t>See the Exhibit Index immediately preceding the signature pages hereto, which is incorporated by reference as if fully set forth herein.</w:t>
      </w:r>
    </w:p>
    <w:p>
      <w:pPr>
        <w:spacing w:after="0" w:line="62" w:lineRule="exact"/>
        <w:rPr>
          <w:sz w:val="20"/>
          <w:szCs w:val="20"/>
          <w:color w:val="auto"/>
        </w:rPr>
      </w:pPr>
    </w:p>
    <w:p>
      <w:pPr>
        <w:ind w:left="1020" w:right="5759" w:hanging="8"/>
        <w:spacing w:after="0" w:line="465" w:lineRule="auto"/>
        <w:tabs>
          <w:tab w:leader="none" w:pos="13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4"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360" w:right="339" w:hanging="348"/>
        <w:spacing w:after="0" w:line="269" w:lineRule="auto"/>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3" w:lineRule="exact"/>
        <w:rPr>
          <w:rFonts w:ascii="Arial" w:cs="Arial" w:eastAsia="Arial" w:hAnsi="Arial"/>
          <w:sz w:val="17"/>
          <w:szCs w:val="17"/>
          <w:color w:val="auto"/>
        </w:rPr>
      </w:pPr>
    </w:p>
    <w:p>
      <w:pPr>
        <w:ind w:left="1360" w:hanging="348"/>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720" w:right="399" w:hanging="348"/>
        <w:spacing w:after="0" w:line="257" w:lineRule="auto"/>
        <w:tabs>
          <w:tab w:leader="none" w:pos="1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79" w:lineRule="exact"/>
        <w:rPr>
          <w:rFonts w:ascii="Arial" w:cs="Arial" w:eastAsia="Arial" w:hAnsi="Arial"/>
          <w:sz w:val="18"/>
          <w:szCs w:val="18"/>
          <w:color w:val="auto"/>
        </w:rPr>
      </w:pPr>
    </w:p>
    <w:p>
      <w:pPr>
        <w:ind w:left="1720" w:right="399" w:hanging="348"/>
        <w:spacing w:after="0" w:line="259" w:lineRule="auto"/>
        <w:tabs>
          <w:tab w:leader="none" w:pos="1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6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ind w:left="30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5"/>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Certificate of Incorporation of the Registrant (incorporated by reference to Exhibit</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3.1 to the 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Bylaws of the Registrant (incorporated by reference to Exhibit 3.2 to the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Amendment to the Registration Rights Agreement, dated as of October 6, 2020, by and among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Registrant, Allstar LLC and New Academy Holding Company, LLC (incorporated by reference to Exhibit</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4.1 to the 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Indenture, dated as of November 6, 2020, by and among Academy, Ltd., as issuer, the guarantors named</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therein and The Bank of New York Mellon Trust Company, N.A., as trustee and notes collateral agent</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to Exhibit 4.1 to the Registrant’s Current Report on Form 8-K filed 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6, 2020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Opinion of Simpson Thacher &amp; Bartlett LLP.</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Second Amended and Restated Credit Agreement, dated as of November 6, 2020, among Academy, Ltd.,</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as Borrower, New Academy Holding Company, LLC, as Holdings, Associated Investors L.L.C. and</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Academy Managing Co., L.L.C., as Texas Intermediate Holdcos, the several lenders from time to time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party thereto, Credit Suisse AG, Cayman Islands Branch, as the administrative agent and collateral agent</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and the several other parties named therein (incorporated by reference to Exhibit 10.1 to the Registrant’s</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on November 6, 2020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Term Loan Security Agreement, dated as of July 2, 2015, among Academy, Ltd.,</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as Borrower, each of the subsidiaries listed on the signature pages thereto, and Morgan Stanley Senior</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Funding, Inc., as collateral agent for the benefit of the secured parties (incorporated by reference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Exhibit 10.2 to the Registrant’s Registration Statement on Form S-1 filed on September 23, 2020 (File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Amended and Restated Term Loan Pledge Agreement, dated as of July 2, 2015, among New Academy</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Holding Company, LLC, as Holdings, Associated Investors L.L.C. and Academy Managing Co., L.L.C,</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as Texas Intermediate Holdcos, Academy, Ltd., as Borrower, each of the subsidiaries listed on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signature pages thereto and Morgan Stanley Senior Funding, Inc., as collateral agent for the benefit of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secured parties (incorporated by reference to Exhibit 10.3 to the Registrant’s Registration Statement 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S-1 filed on 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ABL Intercreditor Agreement, dated July 2, 2015, among JPMorgan Chase Bank, N.A., as agent for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ABL Secured Parties referred to therein, Morgan Stanley Senior Funding, Inc., as administrative agent</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and collateral agent for the Term Loan Secured Parties referred to therein, New Academy Holding</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Company, LLC, as Holdings, Associated Investors L.L.C. and Academy Managing Co., L.L.C, as Texas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Intermediate Holdcos, Academy, Ltd., as Borrower, and each of the subsidiaries of the Borrower listed on</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the signature pages thereto (incorporated by reference to Exhibit 10.4 to the Registrant’s Registration</w:t>
            </w:r>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Statement on Form S-1 filed on September 23, 2020 (File No. 333-248683)).</w:t>
            </w:r>
          </w:p>
        </w:tc>
        <w:tc>
          <w:tcPr>
            <w:tcW w:w="0" w:type="dxa"/>
            <w:vAlign w:val="bottom"/>
          </w:tcPr>
          <w:p>
            <w:pPr>
              <w:spacing w:after="0"/>
              <w:rPr>
                <w:sz w:val="1"/>
                <w:szCs w:val="1"/>
                <w:color w:val="auto"/>
              </w:rPr>
            </w:pPr>
          </w:p>
        </w:tc>
      </w:tr>
      <w:tr>
        <w:trPr>
          <w:trHeight w:val="41"/>
        </w:trPr>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-7311390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type w:val="continuous"/>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Joinder to ABL Intercreditor Agreement, dated November 6, 2020, among JPMorgan Chase Bank, N.A.,</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as agent for the ABL Secured Parties referred to therein, Credit Suisse AG, Cayman Islands Branch, as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agent for the Term Loan Secured Parties referred to therein, and The Bank of New York Mellon Trust</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Company, N.A., as collateral agent for the Additional Debt Secured Parties referred to therein</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(incorporated by reference to Exhibit 10.5 to the Registrant’s Registration Statement on Form S-1 filed 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25, 2021 (File No. 333-252390).</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Joinder to ABL Intercreditor Agreement, dated November 6, 2020, among JPMorgan Chase Bank, N.A.,</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as agent for the ABL Secured Parties referred to therein, and Credit Suisse AG, Cayman Islands Branch,</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as agent for the Term Loan Secured Parties referred to therein (incorporated by reference to Exhibit 10.6</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to the Registrant’s Registration Statement on Form S-1 filed on January 25, 2021 (File No. 333-252390).</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First Lien Intercreditor Agreement, dated November 6, 2020, among Credit Suisse AG, Cayman Islands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Branch, as First Lien Collateral Agent and Authorized Representative for the Credit Agreement Secured</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Parties referred to therein, The Bank of New York Mellon Trust Company, N.A., as Initial Additional First</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Lien Collateral Agent and Initial Additional Authorized Representative, and each of the subsidiaries of</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the Borrower listed on the signature pages thereto (incorporated by reference to Exhibit 10.7 to the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Registrant’s Registration Statement on Form S-1 filed on January 25, 2021 (File No. 333-252390).</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First Amended and Restated ABL Credit Agreement, dated July 2, 2015, among Academy, Ltd., as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Borrower, New Academy Holding Company, LLC, as Holdings, Associated Investors L.L.C. and</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Academy Managing Co., L.L.C, as Texas Intermediate Holdcos, the lending institutions from time to time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party thereto and JPMorgan Chase Bank, N.A., as the Administrative Agent, the Collateral Agent,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Letter of Credit Issuer and the Swingline Lender (incorporated by reference to Exhibit 10.5 to the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Registrant’s Registration Statement on Form S-1 filed on 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Amendment No. 1 to First Amended and Restated ABL Credit Agreement, dated as of May 22, 2018,</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among Academy, Ltd., as Borrower, New Academy Holding Company, LLC, as Holdings, Associated</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Investors L.L.C. and Academy Managing Co., L.L.C, as Texas Intermediate Holdcos, each of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Guarantors party thereto, each of the lenders party thereto and JPMorgan Chase Bank, N.A., as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Agent, the Collateral Agent, the Letter of Credit Issuer and the Swingline Lender</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(incorporated by reference to Exhibit 10.6 to the Registrant’s Registration Statement on Form S-1 filed 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Amendment No. 2 to First Amended and Restated ABL Credit Agreement, dated as of November 6, 2020,</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among Academy, Ltd., as Borrower, New Academy Holding Company, LLC, as Holdings, Associated</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Investors, L.L.C. and Academy Managing Co., L.L.C., as Texas Intermediate Holdcos, the several lenders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from time to time party thereto, JPMorgan Chase Bank, N.A., as the letter of credit issuer, administrative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agent and collateral agent (incorporated by reference to Exhibit 10.2 to the Registrant’s Current Report 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8-K filed on November 6, 2020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Amended and Restated ABL Security Agreement, dated as of July 2, 2015, among Academy, Ltd., as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Borrower, each of the subsidiaries listed on the signature pages thereto, and JPMorgan Chase Bank, N.A.,</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as collateral agent for the benefit of the secured parties (incorporated by reference to Exhibit 10.7 to the</w:t>
            </w:r>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Registrant’s Registration Statement on Form S-1 filed on September 23, 2020 (File No. 333-248683)).</w:t>
            </w:r>
          </w:p>
        </w:tc>
        <w:tc>
          <w:tcPr>
            <w:tcW w:w="0" w:type="dxa"/>
            <w:vAlign w:val="bottom"/>
          </w:tcPr>
          <w:p>
            <w:pPr>
              <w:spacing w:after="0"/>
              <w:rPr>
                <w:sz w:val="1"/>
                <w:szCs w:val="1"/>
                <w:color w:val="auto"/>
              </w:rPr>
            </w:pPr>
          </w:p>
        </w:tc>
      </w:tr>
      <w:tr>
        <w:trPr>
          <w:trHeight w:val="41"/>
        </w:trPr>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-6865620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22"/>
                <w:szCs w:val="22"/>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Amended and Restated ABL Pledge Agreement, dated July 2, 2015, among New Academy Holding</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Company, LLC, as Holdings, Associated Investors L.L.C. and Academy Managing Co., L.L.C, as Texas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Intermediate Holdcos, Academy, Ltd., as Borrower, each of the subsidiaries listed on the signature pages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thereto and JPMorgan Chase Bank, N.A., as collateral agent for the benefit of the secured parties</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(incorporated by reference to Exhibit 10.8 to the Registrant’s Registration Statement on Form S-1 filed 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Notes Security Agreement, dated as of November 6, 2020, among Academy, Ltd., as Issuer, each of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guarantors listed on the signature pages thereto, and The Bank of New York Mellon Trust Company, N.A.,</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as collateral agent for the benefit of the Secured Parties referred to therein (incorporated by reference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Exhibit 10.13 to the Registrant’s Registration Statement on Form S-1 filed on January 25, 2021 (File No.</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333-252390).</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Notes Pledge Agreement, dated as of November 6, 2020, among Academy, Ltd., as Issuer, each of the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guarantors listed on the signature pages thereto, and The Bank of New York Mellon Trust Company, N.A.,</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as collateral agent for the benefit of the Secured Parties referred to therein (incorporated by reference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Exhibit 10.14 to the Registrant’s Registration Statement on Form S-1 filed on January 25, 2021 (File No.</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333-252390).</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10.15†</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2020 Omnibus Incentive Plan (incorporated by reference to Exhibit 10.2 to the Registrant’s Quarterly</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10-Q filed on December 10, 2020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10.16†</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Form of Time-Based Option Agreement under 2020 Omnibus Incentive Plan (incorporated by reference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to Exhibit 10.10 to Amendment No. 1 to the Registrant’s Registration Statement on Form S-1 filed 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10.17†</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Form of Non-Employee Director Restricted Stock Unit Agreement under 2020 Omnibus Incentive Plan</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to Exhibit 10.11 to Amendment No. 1 to the Registrant’s Registration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S-1 filed on 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10.18†</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2020 Form of Performance-Based Restricted Stock Unit Agreement under 2020 Omnibus Incentive Plan</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to Exhibit 10.12 to Amendment No. 1 to the Registrant’s Registration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S-1 filed on 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10.19†</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2021 Form of Performance-Based Restricted Stock Unit Agreement under the 2020 Omnibus Incentive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Plan (incorporated by reference to Exhibit 10.19 to the Registrant’s Annual Report on Form 10-K for the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 ended January 30, 2021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10.20†</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2011 Unit Incentive Plan (incorporated by reference to Exhibit 10.13 to the Registrant’s Registration</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S-1 filed on 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10.21†</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Form of 2020 CEO Option Agreement under 2011 Unit Incentive Plan (incorporated by reference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Exhibit 10.14 to the Registrant’s Registration Statement on Form S-1 filed on September 23, 2020 (File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10.22†</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Form of 2020 Executive Option Agreement under 2011 Unit Incentive Plan (incorporated by reference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Exhibit 10.15 to the Registrant’s Registration Statement on Form S-1 filed on September 23, 2020 (File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10.23†</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Form of 2019 CEO Option Agreement under 2011 Unit Incentive Plan (incorporated by reference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Exhibit 10.8 to the Registrant’s Registration Statement on Form S-1 filed on September 23, 2020</w:t>
            </w:r>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(File No. 333-248683)).</w:t>
            </w:r>
          </w:p>
        </w:tc>
        <w:tc>
          <w:tcPr>
            <w:tcW w:w="0" w:type="dxa"/>
            <w:vAlign w:val="bottom"/>
          </w:tcPr>
          <w:p>
            <w:pPr>
              <w:spacing w:after="0"/>
              <w:rPr>
                <w:sz w:val="1"/>
                <w:szCs w:val="1"/>
                <w:color w:val="auto"/>
              </w:rPr>
            </w:pPr>
          </w:p>
        </w:tc>
      </w:tr>
      <w:tr>
        <w:trPr>
          <w:trHeight w:val="41"/>
        </w:trPr>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-8340090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9379"/>
          </w:cols>
          <w:pgMar w:left="1080" w:top="265" w:right="1440" w:bottom="889"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889"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60" w:right="22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580" w:type="dxa"/>
            <w:vAlign w:val="bottom"/>
            <w:vMerge w:val="restart"/>
          </w:tcPr>
          <w:p>
            <w:pPr>
              <w:ind w:left="18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3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33655</wp:posOffset>
            </wp:positionV>
            <wp:extent cx="5349240" cy="4889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49240" cy="488950"/>
                    </a:xfrm>
                    <a:prstGeom prst="rect">
                      <a:avLst/>
                    </a:prstGeom>
                    <a:noFill/>
                  </pic:spPr>
                </pic:pic>
              </a:graphicData>
            </a:graphic>
          </wp:anchor>
        </w:drawing>
      </w:r>
    </w:p>
    <w:p>
      <w:pPr>
        <w:spacing w:after="0" w:line="99" w:lineRule="exact"/>
        <w:rPr>
          <w:sz w:val="20"/>
          <w:szCs w:val="20"/>
          <w:color w:val="auto"/>
        </w:rPr>
      </w:pPr>
    </w:p>
    <w:p>
      <w:pPr>
        <w:ind w:left="1400" w:right="399" w:hanging="755"/>
        <w:spacing w:after="0" w:line="263" w:lineRule="auto"/>
        <w:tabs>
          <w:tab w:leader="none" w:pos="1380" w:val="left"/>
        </w:tabs>
        <w:rPr>
          <w:sz w:val="20"/>
          <w:szCs w:val="20"/>
          <w:color w:val="auto"/>
        </w:rPr>
      </w:pPr>
      <w:r>
        <w:rPr>
          <w:rFonts w:ascii="Arial" w:cs="Arial" w:eastAsia="Arial" w:hAnsi="Arial"/>
          <w:sz w:val="18"/>
          <w:szCs w:val="18"/>
          <w:color w:val="auto"/>
        </w:rPr>
        <w:t>10.24†</w:t>
        <w:tab/>
        <w:t>Form of 2019 Executive Option Agreement under 2011 Unit Incentive Plan (incorporated by reference to Exhibit 10.17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519" w:hanging="755"/>
        <w:spacing w:after="0" w:line="263" w:lineRule="auto"/>
        <w:tabs>
          <w:tab w:leader="none" w:pos="1380" w:val="left"/>
        </w:tabs>
        <w:rPr>
          <w:sz w:val="20"/>
          <w:szCs w:val="20"/>
          <w:color w:val="auto"/>
        </w:rPr>
      </w:pPr>
      <w:r>
        <w:rPr>
          <w:rFonts w:ascii="Arial" w:cs="Arial" w:eastAsia="Arial" w:hAnsi="Arial"/>
          <w:sz w:val="18"/>
          <w:szCs w:val="18"/>
          <w:color w:val="auto"/>
        </w:rPr>
        <w:t>10.25†</w:t>
        <w:tab/>
        <w:t>Form of 2018 CEO Option Agreement under 2011 Unit Incentive Plan (incorporated by reference to Exhibit 10.18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399" w:hanging="755"/>
        <w:spacing w:after="0" w:line="263" w:lineRule="auto"/>
        <w:tabs>
          <w:tab w:leader="none" w:pos="1380" w:val="left"/>
        </w:tabs>
        <w:rPr>
          <w:sz w:val="20"/>
          <w:szCs w:val="20"/>
          <w:color w:val="auto"/>
        </w:rPr>
      </w:pPr>
      <w:r>
        <w:rPr>
          <w:rFonts w:ascii="Arial" w:cs="Arial" w:eastAsia="Arial" w:hAnsi="Arial"/>
          <w:sz w:val="18"/>
          <w:szCs w:val="18"/>
          <w:color w:val="auto"/>
        </w:rPr>
        <w:t>10.26†</w:t>
        <w:tab/>
        <w:t>Form of 2018 Executive Option Agreement under 2011 Unit Incentive Plan (incorporated by reference to Exhibit 10.19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779" w:hanging="755"/>
        <w:spacing w:after="0" w:line="263" w:lineRule="auto"/>
        <w:tabs>
          <w:tab w:leader="none" w:pos="1380" w:val="left"/>
        </w:tabs>
        <w:rPr>
          <w:sz w:val="20"/>
          <w:szCs w:val="20"/>
          <w:color w:val="auto"/>
        </w:rPr>
      </w:pPr>
      <w:r>
        <w:rPr>
          <w:rFonts w:ascii="Arial" w:cs="Arial" w:eastAsia="Arial" w:hAnsi="Arial"/>
          <w:sz w:val="18"/>
          <w:szCs w:val="18"/>
          <w:color w:val="auto"/>
        </w:rPr>
        <w:t>10.27†</w:t>
        <w:tab/>
        <w:t>Form of 2018 Non Executive Option Agreement under 2011 Unit Incentive Plan (incorporated by reference to Exhibit 10.27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399" w:hanging="755"/>
        <w:spacing w:after="0" w:line="263" w:lineRule="auto"/>
        <w:tabs>
          <w:tab w:leader="none" w:pos="1380" w:val="left"/>
        </w:tabs>
        <w:rPr>
          <w:sz w:val="20"/>
          <w:szCs w:val="20"/>
          <w:color w:val="auto"/>
        </w:rPr>
      </w:pPr>
      <w:r>
        <w:rPr>
          <w:rFonts w:ascii="Arial" w:cs="Arial" w:eastAsia="Arial" w:hAnsi="Arial"/>
          <w:sz w:val="18"/>
          <w:szCs w:val="18"/>
          <w:color w:val="auto"/>
        </w:rPr>
        <w:t>10.28†</w:t>
        <w:tab/>
        <w:t>Form of 2017 Executive Option Agreement under 2011 Unit Incentive Plan (incorporated by reference to Exhibit 10.20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399" w:hanging="755"/>
        <w:spacing w:after="0" w:line="263" w:lineRule="auto"/>
        <w:tabs>
          <w:tab w:leader="none" w:pos="1380" w:val="left"/>
        </w:tabs>
        <w:rPr>
          <w:sz w:val="20"/>
          <w:szCs w:val="20"/>
          <w:color w:val="auto"/>
        </w:rPr>
      </w:pPr>
      <w:r>
        <w:rPr>
          <w:rFonts w:ascii="Arial" w:cs="Arial" w:eastAsia="Arial" w:hAnsi="Arial"/>
          <w:sz w:val="18"/>
          <w:szCs w:val="18"/>
          <w:color w:val="auto"/>
        </w:rPr>
        <w:t>10.29†</w:t>
        <w:tab/>
        <w:t>Form of 2016 Executive Option Agreement under 2011 Unit Incentive Plan (incorporated by reference to Exhibit 10.21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419" w:hanging="755"/>
        <w:spacing w:after="0" w:line="263" w:lineRule="auto"/>
        <w:tabs>
          <w:tab w:leader="none" w:pos="1380" w:val="left"/>
        </w:tabs>
        <w:rPr>
          <w:sz w:val="20"/>
          <w:szCs w:val="20"/>
          <w:color w:val="auto"/>
        </w:rPr>
      </w:pPr>
      <w:r>
        <w:rPr>
          <w:rFonts w:ascii="Arial" w:cs="Arial" w:eastAsia="Arial" w:hAnsi="Arial"/>
          <w:sz w:val="18"/>
          <w:szCs w:val="18"/>
          <w:color w:val="auto"/>
        </w:rPr>
        <w:t>10.30†</w:t>
        <w:tab/>
        <w:t>Form of August 2020 Restricted Unit Agreement under 2011 Unit Incentive Plan (incorporated by reference to Exhibit 10.22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400" w:right="339" w:hanging="755"/>
        <w:spacing w:after="0" w:line="263" w:lineRule="auto"/>
        <w:tabs>
          <w:tab w:leader="none" w:pos="1380" w:val="left"/>
        </w:tabs>
        <w:rPr>
          <w:sz w:val="20"/>
          <w:szCs w:val="20"/>
          <w:color w:val="auto"/>
        </w:rPr>
      </w:pPr>
      <w:r>
        <w:rPr>
          <w:rFonts w:ascii="Arial" w:cs="Arial" w:eastAsia="Arial" w:hAnsi="Arial"/>
          <w:sz w:val="18"/>
          <w:szCs w:val="18"/>
          <w:color w:val="auto"/>
        </w:rPr>
        <w:t>10.31†</w:t>
        <w:tab/>
        <w:t>Form of 2020 CEO Restricted Unit Agreement under 2011 Unit Incentive Plan (incorporated by reference to Exhibit 10.23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419" w:hanging="755"/>
        <w:spacing w:after="0" w:line="263" w:lineRule="auto"/>
        <w:tabs>
          <w:tab w:leader="none" w:pos="1380" w:val="left"/>
        </w:tabs>
        <w:rPr>
          <w:sz w:val="20"/>
          <w:szCs w:val="20"/>
          <w:color w:val="auto"/>
        </w:rPr>
      </w:pPr>
      <w:r>
        <w:rPr>
          <w:rFonts w:ascii="Arial" w:cs="Arial" w:eastAsia="Arial" w:hAnsi="Arial"/>
          <w:sz w:val="18"/>
          <w:szCs w:val="18"/>
          <w:color w:val="auto"/>
        </w:rPr>
        <w:t>10.32†</w:t>
        <w:tab/>
        <w:t>Form of 2020 Executive Restricted Unit Agreement under 2011 Unit Incentive Plan (incorporated by reference to Exhibit 10.24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419" w:hanging="755"/>
        <w:spacing w:after="0" w:line="263" w:lineRule="auto"/>
        <w:tabs>
          <w:tab w:leader="none" w:pos="1380" w:val="left"/>
        </w:tabs>
        <w:rPr>
          <w:sz w:val="20"/>
          <w:szCs w:val="20"/>
          <w:color w:val="auto"/>
        </w:rPr>
      </w:pPr>
      <w:r>
        <w:rPr>
          <w:rFonts w:ascii="Arial" w:cs="Arial" w:eastAsia="Arial" w:hAnsi="Arial"/>
          <w:sz w:val="18"/>
          <w:szCs w:val="18"/>
          <w:color w:val="auto"/>
        </w:rPr>
        <w:t>10.33†</w:t>
        <w:tab/>
        <w:t>Form of 2019 Executive Restricted Unit Agreement under 2011 Unit Incentive Plan (incorporated by reference to Exhibit 10.25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479" w:hanging="755"/>
        <w:spacing w:after="0" w:line="263" w:lineRule="auto"/>
        <w:tabs>
          <w:tab w:leader="none" w:pos="1380" w:val="left"/>
        </w:tabs>
        <w:rPr>
          <w:sz w:val="20"/>
          <w:szCs w:val="20"/>
          <w:color w:val="auto"/>
        </w:rPr>
      </w:pPr>
      <w:r>
        <w:rPr>
          <w:rFonts w:ascii="Arial" w:cs="Arial" w:eastAsia="Arial" w:hAnsi="Arial"/>
          <w:sz w:val="18"/>
          <w:szCs w:val="18"/>
          <w:color w:val="auto"/>
        </w:rPr>
        <w:t>10.34†</w:t>
        <w:tab/>
        <w:t>Form of 2018 CEO Restricted Unit Agreement under 2011 Unit Incentive Plan (as amended) (incorporated by reference to Exhibit 10.26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379" w:hanging="755"/>
        <w:spacing w:after="0" w:line="263" w:lineRule="auto"/>
        <w:tabs>
          <w:tab w:leader="none" w:pos="1380" w:val="left"/>
        </w:tabs>
        <w:rPr>
          <w:sz w:val="20"/>
          <w:szCs w:val="20"/>
          <w:color w:val="auto"/>
        </w:rPr>
      </w:pPr>
      <w:r>
        <w:rPr>
          <w:rFonts w:ascii="Arial" w:cs="Arial" w:eastAsia="Arial" w:hAnsi="Arial"/>
          <w:sz w:val="18"/>
          <w:szCs w:val="18"/>
          <w:color w:val="auto"/>
        </w:rPr>
        <w:t>10.35†</w:t>
        <w:tab/>
        <w:t>Form of Independent Non-Employee Director Restricted Unit Agreement under 2011 Unit Incentive Plan (incorporated by reference to Exhibit 10.27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202565</wp:posOffset>
            </wp:positionV>
            <wp:extent cx="5349240" cy="4629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400" w:right="419" w:hanging="755"/>
        <w:spacing w:after="0" w:line="263" w:lineRule="auto"/>
        <w:tabs>
          <w:tab w:leader="none" w:pos="1380" w:val="left"/>
        </w:tabs>
        <w:rPr>
          <w:sz w:val="20"/>
          <w:szCs w:val="20"/>
          <w:color w:val="auto"/>
        </w:rPr>
      </w:pPr>
      <w:r>
        <w:rPr>
          <w:rFonts w:ascii="Arial" w:cs="Arial" w:eastAsia="Arial" w:hAnsi="Arial"/>
          <w:sz w:val="18"/>
          <w:szCs w:val="18"/>
          <w:color w:val="auto"/>
        </w:rPr>
        <w:t>10.36†</w:t>
        <w:tab/>
        <w:t>Form of 2018 Executive Restricted Unit Agreement under 2011 Unit Incentive Plan (incorporated by reference to Exhibit 10.28 to the Registrant’s Registration Statement on Form S-1 filed on September 23, 2020 (File No. 333-248683)).</w:t>
      </w:r>
    </w:p>
    <w:p>
      <w:pPr>
        <w:sectPr>
          <w:pgSz w:w="11900" w:h="16838" w:orient="portrait"/>
          <w:cols w:equalWidth="0" w:num="1">
            <w:col w:w="9379"/>
          </w:cols>
          <w:pgMar w:left="1080" w:top="265" w:right="1440" w:bottom="943"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126365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943"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720" w:right="26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10.37†</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Ken C. Hicks Employment Agreement, dated August 2, 2018 (incorporated by reference to Exhibit 10.29</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to the Registrant’s Registration Statement on Form S-1 filed on September 23, 2020 (File No. 333-</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10.38†</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Michael P. Mullican Employment Agreement, dated January 6, 2017 and amended on December 21, 2017</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10.30 to the Registrant’s Registration Statement on Form S-1 filed</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on September 23, 2020 (File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10.39†</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Steven (Steve) P. Lawrence Employment Agreement, dated January 29, 2019 (incorporated by reference</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to Exhibit 10.31 to the Registrant’s Registration Statement on Form S-1 filed on September 23, 2020 (File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10.40†</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Samuel (Sam) J. Johnson Employment Agreement, dated April 17, 2017 (incorporated by reference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Exhibit 10.32 to the Registrant’s Registration Statement on Form S-1 filed on September 23, 2020 (File</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10.41†</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Jamey Rutherford Traywick Employment Agreement, dated October 1, 2018 (incorporated by reference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Exhibit 10.41 to the Registrant’s Annual Report on Form 10-K for the fiscal year ended January 30, 2021</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10.42†</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Form of 2020 Employee Stock Purchase Plan (incorporated by reference to Exhibit 10.34 to Amendment</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No. 1 to the Registrant’s Registration Statement on Form S-1 filed on September 23, 2020 (File No. 333-</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Stockholders Agreement, dated as of October 6, 2020, by and among the Registrant, Allstar LLC, KKR</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2006 Allstar Blocker L.P. and Allstar Co-Invest Blocker L.P. (incorporated by reference to Exhibit 10.1 to</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10.44†</w:t>
            </w: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Form of Director and Officer Indemnification Agreement (incorporated by reference to Exhibit 10.37 to</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Amendment No. 1 to the Registrant’s Registration Statement on Form S-1 filed on September 23, 2020</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(File No. 333-248683)).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Subsidiaries of the Registrant (incorporated by reference to Exhibit 21.1 to the Registrant’s Annual Report</w:t>
            </w:r>
          </w:p>
        </w:tc>
        <w:tc>
          <w:tcPr>
            <w:tcW w:w="0" w:type="dxa"/>
            <w:vAlign w:val="bottom"/>
          </w:tcPr>
          <w:p>
            <w:pPr>
              <w:spacing w:after="0"/>
              <w:rPr>
                <w:sz w:val="1"/>
                <w:szCs w:val="1"/>
                <w:color w:val="auto"/>
              </w:rPr>
            </w:pPr>
          </w:p>
        </w:tc>
      </w:tr>
      <w:tr>
        <w:trPr>
          <w:trHeight w:val="251"/>
        </w:trPr>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on Form 10-K for the fiscal year ended January 30, 2021 (File No. 001-39589)).</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Consent of Simpson Thacher &amp; Bartlett LLP (included as part of Exhibit 5.1).</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2"/>
                <w:szCs w:val="22"/>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Power of Attorney (included on signature pages to this Registration Statement).</w:t>
            </w:r>
          </w:p>
        </w:tc>
        <w:tc>
          <w:tcPr>
            <w:tcW w:w="0" w:type="dxa"/>
            <w:vAlign w:val="bottom"/>
          </w:tcPr>
          <w:p>
            <w:pPr>
              <w:spacing w:after="0"/>
              <w:rPr>
                <w:sz w:val="1"/>
                <w:szCs w:val="1"/>
                <w:color w:val="auto"/>
              </w:rPr>
            </w:pPr>
          </w:p>
        </w:tc>
      </w:tr>
      <w:tr>
        <w:trPr>
          <w:trHeight w:val="54"/>
        </w:trPr>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-6703060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180340</wp:posOffset>
            </wp:positionV>
            <wp:extent cx="8229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2"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42"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Compensatory arrangements for director(s) and/or executive officer(s).</w:t>
      </w:r>
    </w:p>
    <w:p>
      <w:pPr>
        <w:spacing w:after="0" w:line="20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134620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65" w:right="1440" w:bottom="1440" w:gutter="0" w:footer="0" w:header="0"/>
        </w:sectPr>
      </w:pPr>
    </w:p>
    <w:bookmarkStart w:id="63" w:name="page64"/>
    <w:bookmarkEnd w:id="63"/>
    <w:p>
      <w:pPr>
        <w:ind w:left="6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Academy Sports and Outdoors, Inc. has requested confidential treatment of this registration statement pursuant to</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Rule 83 of the Securities and Exchange Commission.</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300" w:right="1580" w:firstLine="36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Katy, Texas, on</w:t>
      </w:r>
    </w:p>
    <w:p>
      <w:pPr>
        <w:ind w:left="1840"/>
        <w:spacing w:after="0"/>
        <w:rPr>
          <w:sz w:val="20"/>
          <w:szCs w:val="20"/>
          <w:color w:val="auto"/>
        </w:rPr>
      </w:pPr>
      <w:r>
        <w:rPr>
          <w:rFonts w:ascii="Arial" w:cs="Arial" w:eastAsia="Arial" w:hAnsi="Arial"/>
          <w:sz w:val="18"/>
          <w:szCs w:val="18"/>
          <w:color w:val="auto"/>
        </w:rPr>
        <w:t>, 2021.</w:t>
      </w:r>
    </w:p>
    <w:p>
      <w:pPr>
        <w:spacing w:after="0" w:line="18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Academy Sports and Outdoors, Inc.</w:t>
      </w:r>
    </w:p>
    <w:p>
      <w:pPr>
        <w:spacing w:after="0" w:line="200" w:lineRule="exact"/>
        <w:rPr>
          <w:sz w:val="20"/>
          <w:szCs w:val="20"/>
          <w:color w:val="auto"/>
        </w:rPr>
      </w:pPr>
    </w:p>
    <w:p>
      <w:pPr>
        <w:spacing w:after="0" w:line="24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57785</wp:posOffset>
            </wp:positionV>
            <wp:extent cx="25374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Rene G. Casares</w:t>
      </w:r>
    </w:p>
    <w:p>
      <w:pPr>
        <w:spacing w:after="0" w:line="151" w:lineRule="exact"/>
        <w:rPr>
          <w:sz w:val="20"/>
          <w:szCs w:val="20"/>
          <w:color w:val="auto"/>
        </w:rPr>
      </w:pPr>
    </w:p>
    <w:p>
      <w:pPr>
        <w:sectPr>
          <w:pgSz w:w="11900" w:h="16838" w:orient="portrait"/>
          <w:cols w:equalWidth="0" w:num="2">
            <w:col w:w="6200" w:space="200"/>
            <w:col w:w="4620"/>
          </w:cols>
          <w:pgMar w:left="440" w:top="265" w:right="439" w:bottom="1440" w:gutter="0" w:footer="0" w:header="0"/>
          <w:type w:val="continuous"/>
        </w:sect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General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ectPr>
          <w:pgSz w:w="11900" w:h="16838" w:orient="portrait"/>
          <w:cols w:equalWidth="0" w:num="2">
            <w:col w:w="6100" w:space="300"/>
            <w:col w:w="4620"/>
          </w:cols>
          <w:pgMar w:left="440" w:top="265" w:right="439" w:bottom="1440" w:gutter="0" w:footer="0" w:header="0"/>
          <w:type w:val="continuous"/>
        </w:sectPr>
      </w:pP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1300" w:right="1360" w:firstLine="360"/>
        <w:spacing w:after="0" w:line="286"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has been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92"/>
              </w:rPr>
              <w:t>signed by the following persons in the capacities indicated on</w:t>
            </w:r>
          </w:p>
        </w:tc>
        <w:tc>
          <w:tcPr>
            <w:tcW w:w="3900" w:type="dxa"/>
            <w:vAlign w:val="bottom"/>
          </w:tcPr>
          <w:p>
            <w:pPr>
              <w:jc w:val="right"/>
              <w:ind w:right="2832"/>
              <w:spacing w:after="0"/>
              <w:rPr>
                <w:sz w:val="20"/>
                <w:szCs w:val="20"/>
                <w:color w:val="auto"/>
              </w:rPr>
            </w:pPr>
            <w:r>
              <w:rPr>
                <w:rFonts w:ascii="Arial" w:cs="Arial" w:eastAsia="Arial" w:hAnsi="Arial"/>
                <w:sz w:val="18"/>
                <w:szCs w:val="18"/>
                <w:color w:val="auto"/>
              </w:rPr>
              <w:t>, 2021: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1300" w:type="dxa"/>
            <w:vAlign w:val="bottom"/>
          </w:tcPr>
          <w:p>
            <w:pPr>
              <w:spacing w:after="0"/>
              <w:rPr>
                <w:sz w:val="24"/>
                <w:szCs w:val="24"/>
                <w:color w:val="auto"/>
              </w:rPr>
            </w:pPr>
          </w:p>
        </w:tc>
        <w:tc>
          <w:tcPr>
            <w:tcW w:w="4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Signatures</w:t>
            </w:r>
          </w:p>
        </w:tc>
        <w:tc>
          <w:tcPr>
            <w:tcW w:w="52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13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Chairman, President and Chief Executive Officer</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Ken C. Hicks</w:t>
            </w:r>
          </w:p>
        </w:tc>
        <w:tc>
          <w:tcPr>
            <w:tcW w:w="520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715"/>
        </w:trPr>
        <w:tc>
          <w:tcPr>
            <w:tcW w:w="13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2"/>
          </w:tcPr>
          <w:p>
            <w:pPr>
              <w:jc w:val="center"/>
              <w:ind w:right="1320"/>
              <w:spacing w:after="0"/>
              <w:rPr>
                <w:sz w:val="20"/>
                <w:szCs w:val="20"/>
                <w:color w:val="auto"/>
              </w:rPr>
            </w:pPr>
            <w:r>
              <w:rPr>
                <w:rFonts w:ascii="Arial" w:cs="Arial" w:eastAsia="Arial" w:hAnsi="Arial"/>
                <w:sz w:val="18"/>
                <w:szCs w:val="18"/>
                <w:color w:val="auto"/>
                <w:w w:val="92"/>
              </w:rPr>
              <w:t>Executive Vice President and Chief Financial Officer</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Michael P. Mullican</w:t>
            </w:r>
          </w:p>
        </w:tc>
        <w:tc>
          <w:tcPr>
            <w:tcW w:w="5200" w:type="dxa"/>
            <w:vAlign w:val="bottom"/>
            <w:gridSpan w:val="2"/>
          </w:tcPr>
          <w:p>
            <w:pPr>
              <w:jc w:val="center"/>
              <w:ind w:right="1320"/>
              <w:spacing w:after="0"/>
              <w:rPr>
                <w:sz w:val="20"/>
                <w:szCs w:val="20"/>
                <w:color w:val="auto"/>
              </w:rPr>
            </w:pPr>
            <w:r>
              <w:rPr>
                <w:rFonts w:ascii="Arial" w:cs="Arial" w:eastAsia="Arial" w:hAnsi="Arial"/>
                <w:sz w:val="18"/>
                <w:szCs w:val="18"/>
                <w:color w:val="auto"/>
                <w:w w:val="96"/>
              </w:rPr>
              <w:t>(principal financial officer)</w:t>
            </w:r>
          </w:p>
        </w:tc>
        <w:tc>
          <w:tcPr>
            <w:tcW w:w="0" w:type="dxa"/>
            <w:vAlign w:val="bottom"/>
          </w:tcPr>
          <w:p>
            <w:pPr>
              <w:spacing w:after="0"/>
              <w:rPr>
                <w:sz w:val="1"/>
                <w:szCs w:val="1"/>
                <w:color w:val="auto"/>
              </w:rPr>
            </w:pPr>
          </w:p>
        </w:tc>
      </w:tr>
      <w:tr>
        <w:trPr>
          <w:trHeight w:val="715"/>
        </w:trPr>
        <w:tc>
          <w:tcPr>
            <w:tcW w:w="13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Senior Vice President, Accounting, Treasury &amp; Tax</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Heather A. Davis</w:t>
            </w:r>
          </w:p>
        </w:tc>
        <w:tc>
          <w:tcPr>
            <w:tcW w:w="5200" w:type="dxa"/>
            <w:vAlign w:val="bottom"/>
            <w:gridSpan w:val="2"/>
          </w:tcPr>
          <w:p>
            <w:pPr>
              <w:jc w:val="center"/>
              <w:ind w:right="1320"/>
              <w:spacing w:after="0"/>
              <w:rPr>
                <w:sz w:val="20"/>
                <w:szCs w:val="20"/>
                <w:color w:val="auto"/>
              </w:rPr>
            </w:pPr>
            <w:r>
              <w:rPr>
                <w:rFonts w:ascii="Arial" w:cs="Arial" w:eastAsia="Arial" w:hAnsi="Arial"/>
                <w:sz w:val="18"/>
                <w:szCs w:val="18"/>
                <w:color w:val="auto"/>
                <w:w w:val="94"/>
              </w:rPr>
              <w:t>(principal accounting officer)</w:t>
            </w:r>
          </w:p>
        </w:tc>
        <w:tc>
          <w:tcPr>
            <w:tcW w:w="0" w:type="dxa"/>
            <w:vAlign w:val="bottom"/>
          </w:tcPr>
          <w:p>
            <w:pPr>
              <w:spacing w:after="0"/>
              <w:rPr>
                <w:sz w:val="1"/>
                <w:szCs w:val="1"/>
                <w:color w:val="auto"/>
              </w:rPr>
            </w:pPr>
          </w:p>
        </w:tc>
      </w:tr>
      <w:tr>
        <w:trPr>
          <w:trHeight w:val="715"/>
        </w:trPr>
        <w:tc>
          <w:tcPr>
            <w:tcW w:w="13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2"/>
            <w:vMerge w:val="restart"/>
          </w:tcPr>
          <w:p>
            <w:pPr>
              <w:jc w:val="center"/>
              <w:ind w:right="13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Wendy A. Beck</w:t>
            </w:r>
          </w:p>
        </w:tc>
        <w:tc>
          <w:tcPr>
            <w:tcW w:w="5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13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2"/>
            <w:vMerge w:val="restart"/>
          </w:tcPr>
          <w:p>
            <w:pPr>
              <w:jc w:val="center"/>
              <w:ind w:right="13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Brian T. Marley</w:t>
            </w:r>
          </w:p>
        </w:tc>
        <w:tc>
          <w:tcPr>
            <w:tcW w:w="5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13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2"/>
            <w:vMerge w:val="restart"/>
          </w:tcPr>
          <w:p>
            <w:pPr>
              <w:jc w:val="center"/>
              <w:ind w:right="132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Thomas M. Nealon</w:t>
            </w:r>
          </w:p>
        </w:tc>
        <w:tc>
          <w:tcPr>
            <w:tcW w:w="5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4520" w:type="dxa"/>
            <w:vAlign w:val="bottom"/>
            <w:gridSpan w:val="2"/>
          </w:tcPr>
          <w:p>
            <w:pPr>
              <w:ind w:left="4060"/>
              <w:spacing w:after="0"/>
              <w:rPr>
                <w:sz w:val="20"/>
                <w:szCs w:val="20"/>
                <w:color w:val="auto"/>
              </w:rPr>
            </w:pPr>
            <w:r>
              <w:rPr>
                <w:rFonts w:ascii="Arial" w:cs="Arial" w:eastAsia="Arial" w:hAnsi="Arial"/>
                <w:sz w:val="18"/>
                <w:szCs w:val="18"/>
                <w:color w:val="auto"/>
              </w:rPr>
              <w:t>II-9</w:t>
            </w:r>
          </w:p>
        </w:tc>
        <w:tc>
          <w:tcPr>
            <w:tcW w:w="3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left="1980"/>
        <w:spacing w:after="0" w:line="298" w:lineRule="auto"/>
        <w:rPr>
          <w:sz w:val="20"/>
          <w:szCs w:val="20"/>
          <w:color w:val="auto"/>
        </w:rPr>
      </w:pPr>
      <w:r>
        <w:rPr>
          <w:rFonts w:ascii="Arial" w:cs="Arial" w:eastAsia="Arial" w:hAnsi="Arial"/>
          <w:sz w:val="16"/>
          <w:szCs w:val="16"/>
          <w:b w:val="1"/>
          <w:bCs w:val="1"/>
          <w:color w:val="auto"/>
        </w:rPr>
        <w:t>Academy Sports and Outdoors, Inc. has requested confidential treatment of this registration statement pursuant to Rule 83 of the Securities and Exchange Commission.</w:t>
      </w:r>
    </w:p>
    <w:p>
      <w:pPr>
        <w:spacing w:after="0" w:line="128" w:lineRule="exact"/>
        <w:rPr>
          <w:sz w:val="20"/>
          <w:szCs w:val="20"/>
          <w:color w:val="auto"/>
        </w:rPr>
      </w:pPr>
    </w:p>
    <w:p>
      <w:pPr>
        <w:ind w:left="2500"/>
        <w:spacing w:after="0"/>
        <w:tabs>
          <w:tab w:leader="none" w:pos="696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486410</wp:posOffset>
            </wp:positionV>
            <wp:extent cx="27514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51455"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49530</wp:posOffset>
            </wp:positionV>
            <wp:extent cx="53492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tabs>
          <w:tab w:leader="none" w:pos="6800" w:val="left"/>
        </w:tabs>
        <w:rPr>
          <w:sz w:val="20"/>
          <w:szCs w:val="20"/>
          <w:color w:val="auto"/>
        </w:rPr>
      </w:pPr>
      <w:r>
        <w:rPr>
          <w:rFonts w:ascii="Arial" w:cs="Arial" w:eastAsia="Arial" w:hAnsi="Arial"/>
          <w:sz w:val="18"/>
          <w:szCs w:val="18"/>
          <w:color w:val="auto"/>
        </w:rPr>
        <w:t>Vishal V. Patel</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27514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60"/>
        <w:spacing w:after="0"/>
        <w:tabs>
          <w:tab w:leader="none" w:pos="6800" w:val="left"/>
        </w:tabs>
        <w:rPr>
          <w:sz w:val="20"/>
          <w:szCs w:val="20"/>
          <w:color w:val="auto"/>
        </w:rPr>
      </w:pPr>
      <w:r>
        <w:rPr>
          <w:rFonts w:ascii="Arial" w:cs="Arial" w:eastAsia="Arial" w:hAnsi="Arial"/>
          <w:sz w:val="18"/>
          <w:szCs w:val="18"/>
          <w:color w:val="auto"/>
        </w:rPr>
        <w:t>Allen I. Questrom</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27514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80"/>
        <w:spacing w:after="0"/>
        <w:tabs>
          <w:tab w:leader="none" w:pos="6800" w:val="left"/>
        </w:tabs>
        <w:rPr>
          <w:sz w:val="20"/>
          <w:szCs w:val="20"/>
          <w:color w:val="auto"/>
        </w:rPr>
      </w:pPr>
      <w:r>
        <w:rPr>
          <w:rFonts w:ascii="Arial" w:cs="Arial" w:eastAsia="Arial" w:hAnsi="Arial"/>
          <w:sz w:val="18"/>
          <w:szCs w:val="18"/>
          <w:color w:val="auto"/>
        </w:rPr>
        <w:t>William S. Simon</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27514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00"/>
        <w:spacing w:after="0"/>
        <w:tabs>
          <w:tab w:leader="none" w:pos="6800" w:val="left"/>
        </w:tabs>
        <w:rPr>
          <w:sz w:val="20"/>
          <w:szCs w:val="20"/>
          <w:color w:val="auto"/>
        </w:rPr>
      </w:pPr>
      <w:r>
        <w:rPr>
          <w:rFonts w:ascii="Arial" w:cs="Arial" w:eastAsia="Arial" w:hAnsi="Arial"/>
          <w:sz w:val="18"/>
          <w:szCs w:val="18"/>
          <w:color w:val="auto"/>
        </w:rPr>
        <w:t>Nathaniel H. Taylor</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27514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60"/>
        <w:spacing w:after="0"/>
        <w:tabs>
          <w:tab w:leader="none" w:pos="6800" w:val="left"/>
        </w:tabs>
        <w:rPr>
          <w:sz w:val="20"/>
          <w:szCs w:val="20"/>
          <w:color w:val="auto"/>
        </w:rPr>
      </w:pPr>
      <w:r>
        <w:rPr>
          <w:rFonts w:ascii="Arial" w:cs="Arial" w:eastAsia="Arial" w:hAnsi="Arial"/>
          <w:sz w:val="18"/>
          <w:szCs w:val="18"/>
          <w:color w:val="auto"/>
        </w:rPr>
        <w:t>Jeffrey C. Tweedy</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477520</wp:posOffset>
            </wp:positionV>
            <wp:extent cx="27514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300"/>
        <w:spacing w:after="0"/>
        <w:tabs>
          <w:tab w:leader="none" w:pos="6800" w:val="left"/>
        </w:tabs>
        <w:rPr>
          <w:sz w:val="20"/>
          <w:szCs w:val="20"/>
          <w:color w:val="auto"/>
        </w:rPr>
      </w:pPr>
      <w:r>
        <w:rPr>
          <w:rFonts w:ascii="Arial" w:cs="Arial" w:eastAsia="Arial" w:hAnsi="Arial"/>
          <w:sz w:val="18"/>
          <w:szCs w:val="18"/>
          <w:color w:val="auto"/>
        </w:rPr>
        <w:t>Aileen X. Yan</w:t>
      </w:r>
      <w:r>
        <w:rPr>
          <w:sz w:val="20"/>
          <w:szCs w:val="20"/>
          <w:color w:val="auto"/>
        </w:rPr>
        <w:tab/>
      </w:r>
      <w:r>
        <w:rPr>
          <w:rFonts w:ascii="Arial" w:cs="Arial" w:eastAsia="Arial" w:hAnsi="Arial"/>
          <w:sz w:val="17"/>
          <w:szCs w:val="17"/>
          <w:color w:val="auto"/>
        </w:rPr>
        <w:t>Director</w:t>
      </w:r>
    </w:p>
    <w:p>
      <w:pPr>
        <w:spacing w:after="0" w:line="29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II-10</w:t>
      </w:r>
    </w:p>
    <w:sectPr>
      <w:pgSz w:w="11900" w:h="16838" w:orient="portrait"/>
      <w:cols w:equalWidth="0" w:num="1">
        <w:col w:w="9379"/>
      </w:cols>
      <w:pgMar w:left="108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2"/>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28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2"/>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Roman"/>
      <w:start w:val="3"/>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9"/>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lowerRoman"/>
      <w:start w:val="3"/>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lowerRoman"/>
      <w:start w:val="10"/>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Roman"/>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lowerLetter"/>
      <w:start w:val="2"/>
    </w:lvl>
  </w:abstractNum>
  <w:abstractNum w:abstractNumId="42">
    <w:nsid w:val="725A06FB"/>
    <w:multiLevelType w:val="hybridMultilevel"/>
    <w:lvl w:ilvl="0">
      <w:lvlJc w:val="left"/>
      <w:lvlText w:val="(%1)"/>
      <w:numFmt w:val="decimal"/>
      <w:start w:val="1"/>
    </w:lvl>
    <w:lvl w:ilvl="1">
      <w:lvlJc w:val="left"/>
      <w:lvlText w:val="(%2)"/>
      <w:numFmt w:val="upperLetter"/>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2021-05-03T23:07:28Z</dcterms:created>
  <dcterms:modified xsi:type="dcterms:W3CDTF">2021-05-03T23:07:28Z</dcterms:modified>
</cp:coreProperties>
</file>