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October 6, 2020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Academy Sports and Outdoors,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85-1800912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1800 North Mason Road</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Katy, Texas 77449</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(281) 646-5200</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In connection with the initial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by Academy Sports and Outdoors, Inc. (the “</w:t>
      </w:r>
      <w:r>
        <w:rPr>
          <w:rFonts w:ascii="Arial" w:cs="Arial" w:eastAsia="Arial" w:hAnsi="Arial"/>
          <w:sz w:val="16"/>
          <w:szCs w:val="16"/>
          <w:u w:val="single" w:color="auto"/>
          <w:color w:val="auto"/>
        </w:rPr>
        <w:t>Company</w:t>
      </w:r>
      <w:r>
        <w:rPr>
          <w:rFonts w:ascii="Arial" w:cs="Arial" w:eastAsia="Arial" w:hAnsi="Arial"/>
          <w:sz w:val="16"/>
          <w:szCs w:val="16"/>
          <w:color w:val="auto"/>
        </w:rPr>
        <w:t>”) of its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described in the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dated October 1, 2020, filed with the Securities and Exchange Commission pursuant to Rule 424(b)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is deemed to be part of the Registration Statement on Form S-1 (File No. 333-248683)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following agreements were entered into:</w:t>
      </w:r>
    </w:p>
    <w:p>
      <w:pPr>
        <w:spacing w:after="0" w:line="63" w:lineRule="exact"/>
        <w:rPr>
          <w:sz w:val="20"/>
          <w:szCs w:val="20"/>
          <w:color w:val="auto"/>
        </w:rPr>
      </w:pPr>
    </w:p>
    <w:p>
      <w:pPr>
        <w:ind w:left="960" w:right="42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Underwriting Agreement, dated October 1, 2020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by and among the Company and Credit Suisse Securities (USA) LLC and J.P. Morgan Securities LLC, as representatives of the several underwriters named in Schedule I thereto;</w:t>
      </w:r>
    </w:p>
    <w:p>
      <w:pPr>
        <w:spacing w:after="0" w:line="29"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Amendment to the Registration Rights Agreement, dated as of October 6, 2020 (the “</w:t>
      </w:r>
      <w:r>
        <w:rPr>
          <w:rFonts w:ascii="Arial" w:cs="Arial" w:eastAsia="Arial" w:hAnsi="Arial"/>
          <w:sz w:val="18"/>
          <w:szCs w:val="18"/>
          <w:u w:val="single" w:color="auto"/>
          <w:color w:val="auto"/>
        </w:rPr>
        <w:t>RRA Amendment</w:t>
      </w:r>
      <w:r>
        <w:rPr>
          <w:rFonts w:ascii="Arial" w:cs="Arial" w:eastAsia="Arial" w:hAnsi="Arial"/>
          <w:sz w:val="18"/>
          <w:szCs w:val="18"/>
          <w:color w:val="auto"/>
        </w:rPr>
        <w:t>”), by and among the Company, Allstar LLC and New Academy Holding Company, LLC; and</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Stockholders’ Agreement, dated as of October 6, 2020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xml:space="preserve"> ”), by and among the Company and Allstar LLC, KKR 2006 Allstar Blocker L.P. and Allstar Co-Invest Blocker L.P. (collectively, the “</w:t>
      </w:r>
      <w:r>
        <w:rPr>
          <w:rFonts w:ascii="Arial" w:cs="Arial" w:eastAsia="Arial" w:hAnsi="Arial"/>
          <w:sz w:val="18"/>
          <w:szCs w:val="18"/>
          <w:u w:val="single" w:color="auto"/>
          <w:color w:val="auto"/>
        </w:rPr>
        <w:t>KKR Stockholders</w:t>
      </w:r>
      <w:r>
        <w:rPr>
          <w:rFonts w:ascii="Arial" w:cs="Arial" w:eastAsia="Arial" w:hAnsi="Arial"/>
          <w:sz w:val="18"/>
          <w:szCs w:val="18"/>
          <w:color w:val="auto"/>
        </w:rPr>
        <w:t>”).</w:t>
      </w:r>
    </w:p>
    <w:p>
      <w:pPr>
        <w:spacing w:after="0" w:line="170"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The Underwriting Agreement, the RRA Amendment and the Stockholders’ Agreement are filed herewith as Exhibits 1.1, 4.1 and 10.1, respectively, and are incorporated herein by reference. The terms of these agreements are substantially the same as the terms set forth in the forms of such agreements previously filed as exhibits to the Registration Statement and as described therein. Affiliates of the KKR Stockholders have various relationships with the Company. For further information, see “Certain Relationships and Related Party Transactions” in the Prospectus.</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Company’s wholly-owned subsidiary, Academy, Ltd., a Texas limited liability partnership, was party to a Monitoring Agreement, dated as of August 3, 2011 (the “</w:t>
      </w:r>
      <w:r>
        <w:rPr>
          <w:rFonts w:ascii="Arial" w:cs="Arial" w:eastAsia="Arial" w:hAnsi="Arial"/>
          <w:sz w:val="18"/>
          <w:szCs w:val="18"/>
          <w:u w:val="single" w:color="auto"/>
          <w:color w:val="auto"/>
        </w:rPr>
        <w:t>Monitoring Agreement</w:t>
      </w:r>
      <w:r>
        <w:rPr>
          <w:rFonts w:ascii="Arial" w:cs="Arial" w:eastAsia="Arial" w:hAnsi="Arial"/>
          <w:sz w:val="18"/>
          <w:szCs w:val="18"/>
          <w:color w:val="auto"/>
        </w:rPr>
        <w:t>”), by and between Academy, Ltd. and Kohlberg Kravis Roberts &amp; Co. L.P. (“</w:t>
      </w:r>
      <w:r>
        <w:rPr>
          <w:rFonts w:ascii="Arial" w:cs="Arial" w:eastAsia="Arial" w:hAnsi="Arial"/>
          <w:sz w:val="18"/>
          <w:szCs w:val="18"/>
          <w:u w:val="single" w:color="auto"/>
          <w:color w:val="auto"/>
        </w:rPr>
        <w:t>KKR</w:t>
      </w:r>
      <w:r>
        <w:rPr>
          <w:rFonts w:ascii="Arial" w:cs="Arial" w:eastAsia="Arial" w:hAnsi="Arial"/>
          <w:sz w:val="18"/>
          <w:szCs w:val="18"/>
          <w:color w:val="auto"/>
        </w:rPr>
        <w:t>”), which was terminated automatically in accordance with its terms upon the completion of the Offering. In connection with such termination, the Company will pay termination fees of approximately $12.3 million to KKR.</w:t>
      </w:r>
    </w:p>
    <w:p>
      <w:pPr>
        <w:spacing w:after="0" w:line="187"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Affiliates of KKR have various relationships with the Company. For further information, see “Certain Relationships and Related Party Transactions” in the Prospectus.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pertaining to Item 5.03 below is incorporated by reference in this Item 3.03.</w:t>
      </w:r>
    </w:p>
    <w:p>
      <w:pPr>
        <w:sectPr>
          <w:pgSz w:w="11900" w:h="16838" w:orient="portrait"/>
          <w:cols w:equalWidth="0" w:num="1">
            <w:col w:w="10980"/>
          </w:cols>
          <w:pgMar w:left="440" w:top="270" w:right="479" w:bottom="1440" w:gutter="0" w:footer="0" w:header="0"/>
        </w:sectPr>
      </w:pPr>
    </w:p>
    <w:bookmarkStart w:id="2" w:name="page3"/>
    <w:bookmarkEnd w:id="2"/>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As contemplated in the Registration Statement, on September 30, 2020, the Company’s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in the form previously filed as Exhibit 3.1 to the Registration Statement, and the Company’s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in the form previously filed as Exhibit 3.2 to the Registration Statement, became effective. The Charter, among other things, provides that the Company’s authorized capital stock consists of 300,000,000 shares of Common Stock and 50,000,000 shares of preferred stock. A description of the Company’s capital stock, after giving effect to the adoption of the Charter and Bylaws, has previously been included by the Company under “Description of Capital Stock” in the Prospectus. The Charter and Bylaws are filed herewith as Exhibit 3.1 and Exhibit 3.2, respectively, and are incorporated herein by reference.</w:t>
      </w:r>
    </w:p>
    <w:p>
      <w:pPr>
        <w:spacing w:after="0" w:line="339"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On October 6, 2020, the Company completed its Offering of 15,625,000 shares of Common Stock for cash consideration of $13.00 per share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($12.22 per share, net of underwriting discounts) to a syndicate of underwriters led by Credit Suisse Securities (USA) LLC and J.P. Morgan Securities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LLC, as representatives, resulting in approximately $182.8 million in net proceeds, after deducting the underwriting discounts and commissions and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offering expenses payable by the Company. The Company has granted the underwriters a 30-day option to purchase up to an additional 2,343,750 shares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Common Stock to cover over-allotments, if any. The Company intends to use these proceeds for general corporate purposes, which may include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repayment of certain indebtedness.</w:t>
      </w:r>
    </w:p>
    <w:p>
      <w:pPr>
        <w:spacing w:after="0" w:line="35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0" w:type="dxa"/>
            <w:vAlign w:val="bottom"/>
            <w:gridSpan w:val="3"/>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460" w:type="dxa"/>
            <w:vAlign w:val="bottom"/>
          </w:tcPr>
          <w:p>
            <w:pPr>
              <w:spacing w:after="0"/>
              <w:rPr>
                <w:sz w:val="20"/>
                <w:szCs w:val="20"/>
                <w:color w:val="auto"/>
              </w:rPr>
            </w:pPr>
            <w:r>
              <w:rPr>
                <w:rFonts w:ascii="Arial" w:cs="Arial" w:eastAsia="Arial" w:hAnsi="Arial"/>
                <w:sz w:val="18"/>
                <w:szCs w:val="18"/>
                <w:color w:val="auto"/>
              </w:rPr>
              <w:t>1.1</w:t>
            </w:r>
          </w:p>
        </w:tc>
        <w:tc>
          <w:tcPr>
            <w:tcW w:w="9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October 1, 2020, by and among Academy Sports and Outdoors, Inc. and Credit Suisse Securities</w:t>
              </w:r>
            </w:hyperlink>
          </w:p>
        </w:tc>
        <w:tc>
          <w:tcPr>
            <w:tcW w:w="200" w:type="dxa"/>
            <w:vAlign w:val="bottom"/>
            <w:gridSpan w:val="2"/>
          </w:tcPr>
          <w:p>
            <w:pPr>
              <w:spacing w:after="0"/>
              <w:rPr>
                <w:sz w:val="23"/>
                <w:szCs w:val="23"/>
                <w:color w:val="auto"/>
              </w:rPr>
            </w:pPr>
          </w:p>
        </w:tc>
      </w:tr>
      <w:tr>
        <w:trPr>
          <w:trHeight w:val="237"/>
        </w:trPr>
        <w:tc>
          <w:tcPr>
            <w:tcW w:w="1460" w:type="dxa"/>
            <w:vAlign w:val="bottom"/>
          </w:tcPr>
          <w:p>
            <w:pPr>
              <w:spacing w:after="0"/>
              <w:rPr>
                <w:sz w:val="20"/>
                <w:szCs w:val="20"/>
                <w:color w:val="auto"/>
              </w:rPr>
            </w:pPr>
          </w:p>
        </w:tc>
        <w:tc>
          <w:tcPr>
            <w:tcW w:w="9540" w:type="dxa"/>
            <w:vAlign w:val="bottom"/>
            <w:gridSpan w:val="5"/>
          </w:tcPr>
          <w:p>
            <w:pP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(USA) LLC and J.P. Morgan Securities LLC, as representatives of the several underwriters named in Schedule I thereto.</w:t>
              </w:r>
            </w:hyperlink>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3.1</w:t>
            </w:r>
          </w:p>
        </w:tc>
        <w:tc>
          <w:tcPr>
            <w:tcW w:w="954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Amended and Restated Certificate of Incorporation of Academy Sports and Outdoors, Inc.</w:t>
              </w:r>
            </w:hyperlink>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3.2</w:t>
            </w:r>
          </w:p>
        </w:tc>
        <w:tc>
          <w:tcPr>
            <w:tcW w:w="9540" w:type="dxa"/>
            <w:vAlign w:val="bottom"/>
            <w:gridSpan w:val="5"/>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Amended and Restated Bylaws of Academy Sports and Outdoors, Inc.</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94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Amendment to the Registration Rights Agreement, dated as of October 6, 2020, by and among Academy Sports and Outdoors, Inc.,</w:t>
              </w:r>
            </w:hyperlink>
          </w:p>
        </w:tc>
        <w:tc>
          <w:tcPr>
            <w:tcW w:w="6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414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Allstar LLC and New Academy Holding Company, LLC.</w:t>
              </w:r>
            </w:hyperlink>
          </w:p>
        </w:tc>
        <w:tc>
          <w:tcPr>
            <w:tcW w:w="5400" w:type="dxa"/>
            <w:vAlign w:val="bottom"/>
            <w:gridSpan w:val="3"/>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5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Stockholders’ Agreement, dated as of October 6, 2020, by and among Academy Sports and Outdoors, Inc., Allstar LLC, KKR 2006</w:t>
              </w:r>
            </w:hyperlink>
          </w:p>
        </w:tc>
      </w:tr>
      <w:tr>
        <w:trPr>
          <w:trHeight w:val="196"/>
        </w:trPr>
        <w:tc>
          <w:tcPr>
            <w:tcW w:w="1460" w:type="dxa"/>
            <w:vAlign w:val="bottom"/>
          </w:tcPr>
          <w:p>
            <w:pPr>
              <w:spacing w:after="0"/>
              <w:rPr>
                <w:sz w:val="17"/>
                <w:szCs w:val="17"/>
                <w:color w:val="auto"/>
              </w:rPr>
            </w:pPr>
          </w:p>
        </w:tc>
        <w:tc>
          <w:tcPr>
            <w:tcW w:w="39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Allstar Blocker L.P. and Allstar Co-Invest Blocker L.P.</w:t>
              </w:r>
            </w:hyperlink>
          </w:p>
        </w:tc>
        <w:tc>
          <w:tcPr>
            <w:tcW w:w="5580" w:type="dxa"/>
            <w:vAlign w:val="bottom"/>
            <w:gridSpan w:val="4"/>
          </w:tcPr>
          <w:p>
            <w:pPr>
              <w:spacing w:after="0"/>
              <w:rPr>
                <w:sz w:val="17"/>
                <w:szCs w:val="17"/>
                <w:color w:val="auto"/>
              </w:rPr>
            </w:pPr>
          </w:p>
        </w:tc>
      </w:tr>
    </w:tbl>
    <w:p>
      <w:pPr>
        <w:sectPr>
          <w:pgSz w:w="11900" w:h="16838" w:orient="portrait"/>
          <w:cols w:equalWidth="0" w:num="1">
            <w:col w:w="11004"/>
          </w:cols>
          <w:pgMar w:left="436"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7080" w:type="dxa"/>
            <w:vAlign w:val="bottom"/>
            <w:gridSpan w:val="2"/>
          </w:tcPr>
          <w:p>
            <w:pPr>
              <w:ind w:left="2360"/>
              <w:spacing w:after="0"/>
              <w:rPr>
                <w:sz w:val="20"/>
                <w:szCs w:val="20"/>
                <w:color w:val="auto"/>
              </w:rPr>
            </w:pPr>
            <w:r>
              <w:rPr>
                <w:rFonts w:ascii="Arial" w:cs="Arial" w:eastAsia="Arial" w:hAnsi="Arial"/>
                <w:sz w:val="18"/>
                <w:szCs w:val="18"/>
                <w:color w:val="auto"/>
              </w:rPr>
              <w:t>Academy Sports and Outdoors, Inc.</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Date: October 6, 2020</w:t>
            </w:r>
          </w:p>
        </w:tc>
        <w:tc>
          <w:tcPr>
            <w:tcW w:w="3000" w:type="dxa"/>
            <w:vAlign w:val="bottom"/>
          </w:tcPr>
          <w:p>
            <w:pPr>
              <w:ind w:left="236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 G. Casares</w:t>
            </w:r>
          </w:p>
        </w:tc>
      </w:tr>
      <w:tr>
        <w:trPr>
          <w:trHeight w:val="209"/>
        </w:trPr>
        <w:tc>
          <w:tcPr>
            <w:tcW w:w="3940" w:type="dxa"/>
            <w:vAlign w:val="bottom"/>
          </w:tcPr>
          <w:p>
            <w:pPr>
              <w:spacing w:after="0"/>
              <w:rPr>
                <w:sz w:val="18"/>
                <w:szCs w:val="18"/>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Name:</w:t>
            </w:r>
          </w:p>
        </w:tc>
        <w:tc>
          <w:tcPr>
            <w:tcW w:w="4080" w:type="dxa"/>
            <w:vAlign w:val="bottom"/>
          </w:tcPr>
          <w:p>
            <w:pPr>
              <w:spacing w:after="0"/>
              <w:rPr>
                <w:sz w:val="20"/>
                <w:szCs w:val="20"/>
                <w:color w:val="auto"/>
              </w:rPr>
            </w:pPr>
            <w:r>
              <w:rPr>
                <w:rFonts w:ascii="Arial" w:cs="Arial" w:eastAsia="Arial" w:hAnsi="Arial"/>
                <w:sz w:val="18"/>
                <w:szCs w:val="18"/>
                <w:color w:val="auto"/>
              </w:rPr>
              <w:t>Rene G. Casares</w:t>
            </w:r>
          </w:p>
        </w:tc>
      </w:tr>
      <w:tr>
        <w:trPr>
          <w:trHeight w:val="230"/>
        </w:trPr>
        <w:tc>
          <w:tcPr>
            <w:tcW w:w="3940" w:type="dxa"/>
            <w:vAlign w:val="bottom"/>
          </w:tcPr>
          <w:p>
            <w:pPr>
              <w:spacing w:after="0"/>
              <w:rPr>
                <w:sz w:val="20"/>
                <w:szCs w:val="20"/>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Title:</w:t>
            </w:r>
          </w:p>
        </w:tc>
        <w:tc>
          <w:tcPr>
            <w:tcW w:w="4080" w:type="dxa"/>
            <w:vAlign w:val="bottom"/>
          </w:tcPr>
          <w:p>
            <w:pPr>
              <w:spacing w:after="0"/>
              <w:rPr>
                <w:sz w:val="20"/>
                <w:szCs w:val="20"/>
                <w:color w:val="auto"/>
              </w:rPr>
            </w:pPr>
            <w:r>
              <w:rPr>
                <w:rFonts w:ascii="Arial" w:cs="Arial" w:eastAsia="Arial" w:hAnsi="Arial"/>
                <w:sz w:val="18"/>
                <w:szCs w:val="18"/>
                <w:color w:val="auto"/>
                <w:w w:val="93"/>
              </w:rPr>
              <w:t>Senior Vice President, General Counsel and Secretary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15,625,000 Shares</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($0.01 par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Academy Sports and Outdoors, Inc., a Delaware corporation (the “Company”), proposes to sell to the several underwriters named in Schedule I hereto (the “Underwriters”), for whom you (the “Representatives”) are acting as representatives, 15,625,000 shares of Common Stock, $0.01 par value (“Common Stock”), of the Company (said shares to be issued and sold by the Company being hereinafter called the “Underwritten Securities”). The Company also proposes to grant to the Underwriters an option to purchase up to 2,343,750 additional shares of Common Stock to cover overallotments, if any (the “Option Securities”; the Option Securities, together with the Underwritten Securities, being hereinafter called the “Securities”). Certain capitalized terms used herein are defined in Section 22 hereof.</w:t>
      </w:r>
    </w:p>
    <w:p>
      <w:pPr>
        <w:spacing w:after="0" w:line="178"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In connection with the offering of the Securities, the unitholders of New Academy Holding Company, LLC will contribute their interests in New Academy Holding Company, LLC in exchange for shares of Common Stock of the Company (such contribution, together with the series of reorganization transactions that will take place prior to the consummation of the offering of the Securities, the “Reorganization Transactions.”</w:t>
      </w:r>
    </w:p>
    <w:p>
      <w:pPr>
        <w:spacing w:after="0" w:line="149"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For the purposes of this Agreement, the term “Transaction” means, collectively, the Reorganization Transactions, the offering of the Securities and the use of proceeds therefrom as described herein and in the Disclosure Package.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each Underwriter as set forth below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firstLine="436"/>
        <w:spacing w:after="0" w:line="288"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prepared and filed with the Commission a registration statement (file number 333-248683) on Form S-1, including a related 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68" w:lineRule="exact"/>
        <w:rPr>
          <w:rFonts w:ascii="Arial" w:cs="Arial" w:eastAsia="Arial" w:hAnsi="Arial"/>
          <w:sz w:val="16"/>
          <w:szCs w:val="16"/>
          <w:color w:val="auto"/>
        </w:rPr>
      </w:pPr>
    </w:p>
    <w:p>
      <w:pPr>
        <w:ind w:right="20" w:firstLine="436"/>
        <w:spacing w:after="0" w:line="287"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below)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and any settlement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w:t>
      </w:r>
    </w:p>
    <w:p>
      <w:pPr>
        <w:spacing w:after="0" w:line="171" w:lineRule="exact"/>
        <w:rPr>
          <w:rFonts w:ascii="Arial" w:cs="Arial" w:eastAsia="Arial" w:hAnsi="Arial"/>
          <w:sz w:val="16"/>
          <w:szCs w:val="16"/>
          <w:color w:val="auto"/>
        </w:rPr>
      </w:pPr>
    </w:p>
    <w:p>
      <w:pPr>
        <w:ind w:right="120" w:firstLine="436"/>
        <w:spacing w:after="0" w:line="273"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(i) The Disclosure Package, (ii) any individual Written Testing-the-Waters Communication, when taken together as a whole with the Disclosure Package, and (iii)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any Written Testing-the-Waters Communication or any electronic roadshow based upon and in conformity with written information furnished to the Company by or on behalf of any Underwriter through the Representatives specifically for use therein.</w:t>
      </w:r>
    </w:p>
    <w:p>
      <w:pPr>
        <w:spacing w:after="0" w:line="177" w:lineRule="exact"/>
        <w:rPr>
          <w:rFonts w:ascii="Arial" w:cs="Arial" w:eastAsia="Arial" w:hAnsi="Arial"/>
          <w:sz w:val="17"/>
          <w:szCs w:val="17"/>
          <w:color w:val="auto"/>
        </w:rPr>
      </w:pPr>
    </w:p>
    <w:p>
      <w:pPr>
        <w:ind w:right="240" w:firstLine="436"/>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as of the Execution Time (with such date being used as the determination date for purposes of this clause (ii)),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was not and is not an Ineligible Issuer (as defined in Rule 405), without taking account of any determination by the Commission pursuant to Rule 405 that it is not necessary that the Company be considered an Ineligible Issuer.</w:t>
      </w:r>
    </w:p>
    <w:p>
      <w:pPr>
        <w:spacing w:after="0" w:line="170" w:lineRule="exact"/>
        <w:rPr>
          <w:sz w:val="20"/>
          <w:szCs w:val="20"/>
          <w:color w:val="auto"/>
        </w:rPr>
      </w:pPr>
    </w:p>
    <w:p>
      <w:pPr>
        <w:ind w:right="120" w:firstLine="436"/>
        <w:spacing w:after="0" w:line="311"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148" w:lineRule="exact"/>
        <w:rPr>
          <w:rFonts w:ascii="Arial" w:cs="Arial" w:eastAsia="Arial" w:hAnsi="Arial"/>
          <w:sz w:val="16"/>
          <w:szCs w:val="16"/>
          <w:color w:val="auto"/>
        </w:rPr>
      </w:pPr>
    </w:p>
    <w:p>
      <w:pPr>
        <w:ind w:right="60" w:firstLine="436"/>
        <w:spacing w:after="0" w:line="311" w:lineRule="auto"/>
        <w:tabs>
          <w:tab w:leader="none" w:pos="6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 has not alone engaged in any Testing-the-Waters Communication (other than Testing-the-Waters Communications with the consent of the Representatives) and (b) has not authorized anyone other than the Representatives to engage in Testing-the-Waters Communications. The Company reconfirms that the Representatives have been authorized to act on the Company’s behalf in undertaking Testing-the-Waters Communication.</w:t>
      </w:r>
    </w:p>
    <w:p>
      <w:pPr>
        <w:spacing w:after="0" w:line="148" w:lineRule="exact"/>
        <w:rPr>
          <w:rFonts w:ascii="Arial" w:cs="Arial" w:eastAsia="Arial" w:hAnsi="Arial"/>
          <w:sz w:val="16"/>
          <w:szCs w:val="16"/>
          <w:color w:val="auto"/>
        </w:rPr>
      </w:pPr>
    </w:p>
    <w:p>
      <w:pPr>
        <w:ind w:right="240" w:firstLine="436"/>
        <w:spacing w:after="0" w:line="286"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None of the Company or any Significant Subsidiary (as defined below) is or, after giving effect to the offering and sale of the Securities and the application of the proceeds thereof as described in the Prospectus, will be an “investment company” as defined in the Investment Company Act, without taking account of any exemption arising out of the number of holders of the Company’s securities.</w:t>
      </w:r>
    </w:p>
    <w:p>
      <w:pPr>
        <w:spacing w:after="0" w:line="165" w:lineRule="exact"/>
        <w:rPr>
          <w:rFonts w:ascii="Arial" w:cs="Arial" w:eastAsia="Arial" w:hAnsi="Arial"/>
          <w:sz w:val="17"/>
          <w:szCs w:val="17"/>
          <w:color w:val="auto"/>
        </w:rPr>
      </w:pPr>
    </w:p>
    <w:p>
      <w:pPr>
        <w:ind w:right="240" w:firstLine="436"/>
        <w:spacing w:after="0" w:line="27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170" w:lineRule="exact"/>
        <w:rPr>
          <w:rFonts w:ascii="Arial" w:cs="Arial" w:eastAsia="Arial" w:hAnsi="Arial"/>
          <w:sz w:val="18"/>
          <w:szCs w:val="18"/>
          <w:color w:val="auto"/>
        </w:rPr>
      </w:pPr>
    </w:p>
    <w:p>
      <w:pPr>
        <w:jc w:val="both"/>
        <w:ind w:right="420" w:firstLine="436"/>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148" w:lineRule="exact"/>
        <w:rPr>
          <w:rFonts w:ascii="Arial" w:cs="Arial" w:eastAsia="Arial" w:hAnsi="Arial"/>
          <w:sz w:val="16"/>
          <w:szCs w:val="16"/>
          <w:color w:val="auto"/>
        </w:rPr>
      </w:pPr>
    </w:p>
    <w:p>
      <w:pPr>
        <w:ind w:firstLine="436"/>
        <w:spacing w:after="0" w:line="290"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and after giving effect to the Transaction (a “Material Adverse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left="4" w:right="80" w:firstLine="436"/>
        <w:spacing w:after="0" w:line="277"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no “significant subsidiary,” as defined in Rule 1-02(w) of Regulation S-X under the Act, other than those subsidiaries listed on Schedule III (each, a “Significant Subsidiary”).</w:t>
      </w:r>
    </w:p>
    <w:p>
      <w:pPr>
        <w:spacing w:after="0" w:line="170" w:lineRule="exact"/>
        <w:rPr>
          <w:rFonts w:ascii="Arial" w:cs="Arial" w:eastAsia="Arial" w:hAnsi="Arial"/>
          <w:sz w:val="18"/>
          <w:szCs w:val="18"/>
          <w:color w:val="auto"/>
        </w:rPr>
      </w:pPr>
    </w:p>
    <w:p>
      <w:pPr>
        <w:ind w:left="4" w:firstLine="436"/>
        <w:spacing w:after="0" w:line="282" w:lineRule="auto"/>
        <w:tabs>
          <w:tab w:leader="none" w:pos="659" w:val="left"/>
        </w:tabs>
        <w:numPr>
          <w:ilvl w:val="1"/>
          <w:numId w:val="6"/>
        </w:numPr>
        <w:rPr>
          <w:rFonts w:ascii="Arial" w:cs="Arial" w:eastAsia="Arial" w:hAnsi="Arial"/>
          <w:sz w:val="16"/>
          <w:szCs w:val="16"/>
          <w:color w:val="auto"/>
        </w:rPr>
      </w:pPr>
      <w:r>
        <w:rPr>
          <w:rFonts w:ascii="Arial" w:cs="Arial" w:eastAsia="Arial" w:hAnsi="Arial"/>
          <w:sz w:val="16"/>
          <w:szCs w:val="16"/>
          <w:color w:val="auto"/>
        </w:rPr>
        <w:t>As of August 1, 2020, after giving effect to the consummation of the Transaction (but without giving effect to the issuance of any Option Securities), the Company and its subsidiaries would have had the issued and outstanding pro forma capitalization as set forth in the Disclosure Package and the Prospectus under the heading “Capitalization”, and all the outstanding membership interests or shares of capital stock, as applicable, of the Company and each subsidiary listed on Exhibit 21 of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(A) that certain First Amended and Restated Credit Agreement, dated July 2, 2015, among Academy, Ltd., as Borrower, New Academy Holding Company, LLC, as Holdings, Associated Investors L.L.C. and Academy Managing Co., L.L.C, as Texas Intermediate Holdcos, the lending institutions from time to time party thereto and Morgan Stanley Senior Funding, Inc., as the Administrative Agent and the Collateral Agent (as amended, the “Term Loan Facility) and (B) that certain First Amended and Restated ABL Credit Agreement, dated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Term Loan Facility, the “Credit Facilities”) or permitted under the Credit Facilities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and after giving effect to the consummation of the Transaction, no (i) outstanding options, warrants or other rights to purchase,</w:t>
      </w:r>
    </w:p>
    <w:p>
      <w:pPr>
        <w:spacing w:after="0" w:line="11" w:lineRule="exact"/>
        <w:rPr>
          <w:rFonts w:ascii="Arial" w:cs="Arial" w:eastAsia="Arial" w:hAnsi="Arial"/>
          <w:sz w:val="16"/>
          <w:szCs w:val="16"/>
          <w:color w:val="auto"/>
        </w:rPr>
      </w:pPr>
    </w:p>
    <w:p>
      <w:pPr>
        <w:ind w:left="4" w:right="20" w:hanging="4"/>
        <w:spacing w:after="0" w:line="260"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agreements or other obligations to issue or (iii) other rights to convert any obligation into, or exchange any securities for, shares of capital stock of or ownership interests in the Company or any of its subsidiaries.</w:t>
      </w:r>
    </w:p>
    <w:p>
      <w:pPr>
        <w:spacing w:after="0" w:line="185" w:lineRule="exact"/>
        <w:rPr>
          <w:rFonts w:ascii="Arial" w:cs="Arial" w:eastAsia="Arial" w:hAnsi="Arial"/>
          <w:sz w:val="18"/>
          <w:szCs w:val="18"/>
          <w:color w:val="auto"/>
        </w:rPr>
      </w:pPr>
    </w:p>
    <w:p>
      <w:pPr>
        <w:ind w:left="744" w:hanging="304"/>
        <w:spacing w:after="0"/>
        <w:tabs>
          <w:tab w:leader="none" w:pos="7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4" w:right="20" w:firstLine="436"/>
        <w:spacing w:after="0" w:line="296" w:lineRule="auto"/>
        <w:tabs>
          <w:tab w:leader="none" w:pos="699" w:val="left"/>
        </w:tabs>
        <w:numPr>
          <w:ilvl w:val="1"/>
          <w:numId w:val="7"/>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(including, without limitation, the issuance of the Securities) or the consummation of the transactions contemplated hereby, including the Transaction, except (i) registration of the Securities under the Act, (ii) such as may be required under the blue sky laws of any jurisdiction in which the Securities are offered and sold in connection with the transactions contemplated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8" w:name="page9"/>
    <w:bookmarkEnd w:id="8"/>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hereby or under the Conduct Rules of the Financial Industry Regulatory Authority, Inc. (“FINRA”), (iii) filings with the Commission pursuant to Rule 424(b), (iv) filings with the Commission under the Exchange Act, (v) the filing of the Amended and Restated Certificate of Incorporation of the Company with the Secretary of State for the State of Delaware or (vi) as shall have been obtained or made prior to the Closing Date.</w:t>
      </w:r>
    </w:p>
    <w:p>
      <w:pPr>
        <w:spacing w:after="0" w:line="165" w:lineRule="exact"/>
        <w:rPr>
          <w:sz w:val="20"/>
          <w:szCs w:val="20"/>
          <w:color w:val="auto"/>
        </w:rPr>
      </w:pPr>
    </w:p>
    <w:p>
      <w:pPr>
        <w:ind w:firstLine="436"/>
        <w:spacing w:after="0" w:line="270"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None of the issue and sale of the Securities nor the consummation of the transactions contemplated hereby, including the Transaction, nor the fulfillment of the terms hereof or thereof,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80" w:lineRule="exact"/>
        <w:rPr>
          <w:rFonts w:ascii="Arial" w:cs="Arial" w:eastAsia="Arial" w:hAnsi="Arial"/>
          <w:sz w:val="17"/>
          <w:szCs w:val="17"/>
          <w:color w:val="auto"/>
        </w:rPr>
      </w:pPr>
    </w:p>
    <w:p>
      <w:pPr>
        <w:ind w:right="80" w:firstLine="436"/>
        <w:spacing w:after="0" w:line="275"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no contract or other document of a character required to be described in the Registration Statement or Prospectus, or to be filed as an exhibit thereto, which is not described or filed as required. The statements in the Preliminary Prospectus and the Prospectus under the headings “Material U.S. Federal Income and Estate Tax Consequences to Non-U.S. Holders,” “Business—Governmental Regulations,” “Business—Legal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176" w:lineRule="exact"/>
        <w:rPr>
          <w:rFonts w:ascii="Arial" w:cs="Arial" w:eastAsia="Arial" w:hAnsi="Arial"/>
          <w:sz w:val="17"/>
          <w:szCs w:val="17"/>
          <w:color w:val="auto"/>
        </w:rPr>
      </w:pPr>
    </w:p>
    <w:p>
      <w:pPr>
        <w:jc w:val="both"/>
        <w:ind w:right="480" w:firstLine="436"/>
        <w:spacing w:after="0" w:line="263"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the Registration Rights Agreement, dated as of August 3, 2011, among the Company and the shareholders party thereto (as amended, supplemented or otherwise modified from time to time prior to the date hereof).</w:t>
      </w:r>
    </w:p>
    <w:p>
      <w:pPr>
        <w:spacing w:after="0" w:line="183" w:lineRule="exact"/>
        <w:rPr>
          <w:rFonts w:ascii="Arial" w:cs="Arial" w:eastAsia="Arial" w:hAnsi="Arial"/>
          <w:sz w:val="18"/>
          <w:szCs w:val="18"/>
          <w:color w:val="auto"/>
        </w:rPr>
      </w:pPr>
    </w:p>
    <w:p>
      <w:pPr>
        <w:ind w:firstLine="436"/>
        <w:spacing w:after="0" w:line="290" w:lineRule="auto"/>
        <w:tabs>
          <w:tab w:leader="none" w:pos="665"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set forth in the Disclosure Package and the Prospectus, the consolidated historical financial statements included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Historical Consolidated Financial Data” in the Disclosure Package and the Prospectus fairly presents in all material respects, on the basis stated in the Disclosure Package and the Prospectus, the information included therein;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9" w:name="page10"/>
    <w:bookmarkEnd w:id="9"/>
    <w:p>
      <w:pPr>
        <w:ind w:left="684" w:hanging="244"/>
        <w:spacing w:after="0"/>
        <w:tabs>
          <w:tab w:leader="none" w:pos="684"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set forth therein, since the respective dates as of which information is given in the Disclosure Package or the Prospectus,</w:t>
      </w:r>
    </w:p>
    <w:p>
      <w:pPr>
        <w:spacing w:after="0" w:line="46" w:lineRule="exact"/>
        <w:rPr>
          <w:rFonts w:ascii="Arial" w:cs="Arial" w:eastAsia="Arial" w:hAnsi="Arial"/>
          <w:sz w:val="16"/>
          <w:szCs w:val="16"/>
          <w:color w:val="auto"/>
        </w:rPr>
      </w:pPr>
    </w:p>
    <w:p>
      <w:pPr>
        <w:ind w:left="4" w:right="100" w:hanging="4"/>
        <w:spacing w:after="0" w:line="253" w:lineRule="auto"/>
        <w:tabs>
          <w:tab w:leader="none" w:pos="2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190" w:lineRule="exact"/>
        <w:rPr>
          <w:rFonts w:ascii="Arial" w:cs="Arial" w:eastAsia="Arial" w:hAnsi="Arial"/>
          <w:sz w:val="18"/>
          <w:szCs w:val="18"/>
          <w:color w:val="auto"/>
        </w:rPr>
      </w:pPr>
    </w:p>
    <w:p>
      <w:pPr>
        <w:ind w:left="4" w:right="180" w:firstLine="436"/>
        <w:spacing w:after="0" w:line="275" w:lineRule="auto"/>
        <w:tabs>
          <w:tab w:leader="none" w:pos="659" w:val="left"/>
        </w:tabs>
        <w:numPr>
          <w:ilvl w:val="1"/>
          <w:numId w:val="10"/>
        </w:numPr>
        <w:rPr>
          <w:rFonts w:ascii="Arial" w:cs="Arial" w:eastAsia="Arial" w:hAnsi="Arial"/>
          <w:sz w:val="17"/>
          <w:szCs w:val="17"/>
          <w:color w:val="auto"/>
        </w:rPr>
      </w:pPr>
      <w:r>
        <w:rPr>
          <w:rFonts w:ascii="Arial" w:cs="Arial" w:eastAsia="Arial" w:hAnsi="Arial"/>
          <w:sz w:val="17"/>
          <w:szCs w:val="17"/>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including the Transaction, or (ii) would reasonably be expected to have a Material Adverse Effect.</w:t>
      </w:r>
    </w:p>
    <w:p>
      <w:pPr>
        <w:spacing w:after="0" w:line="176" w:lineRule="exact"/>
        <w:rPr>
          <w:rFonts w:ascii="Arial" w:cs="Arial" w:eastAsia="Arial" w:hAnsi="Arial"/>
          <w:sz w:val="17"/>
          <w:szCs w:val="17"/>
          <w:color w:val="auto"/>
        </w:rPr>
      </w:pPr>
    </w:p>
    <w:p>
      <w:pPr>
        <w:ind w:left="4" w:firstLine="436"/>
        <w:spacing w:after="0" w:line="275" w:lineRule="auto"/>
        <w:tabs>
          <w:tab w:leader="none" w:pos="6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Credit Facilities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176" w:lineRule="exact"/>
        <w:rPr>
          <w:rFonts w:ascii="Arial" w:cs="Arial" w:eastAsia="Arial" w:hAnsi="Arial"/>
          <w:sz w:val="17"/>
          <w:szCs w:val="17"/>
          <w:color w:val="auto"/>
        </w:rPr>
      </w:pPr>
    </w:p>
    <w:p>
      <w:pPr>
        <w:ind w:left="4" w:right="40" w:firstLine="436"/>
        <w:spacing w:after="0" w:line="254" w:lineRule="auto"/>
        <w:tabs>
          <w:tab w:leader="none" w:pos="6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91" w:lineRule="exact"/>
        <w:rPr>
          <w:rFonts w:ascii="Arial" w:cs="Arial" w:eastAsia="Arial" w:hAnsi="Arial"/>
          <w:sz w:val="18"/>
          <w:szCs w:val="18"/>
          <w:color w:val="auto"/>
        </w:rPr>
      </w:pPr>
    </w:p>
    <w:p>
      <w:pPr>
        <w:ind w:left="4" w:right="100" w:firstLine="436"/>
        <w:spacing w:after="0" w:line="342" w:lineRule="auto"/>
        <w:tabs>
          <w:tab w:leader="none" w:pos="739"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Deloitte &amp; Touche LLP, who has audited the consolidated financial statements of New Academy Holding Company, LLC and its subsidiaries as of February 1, 2020 and February 2, 2019 and for each of the three years in the period ended February 1, 2020 and the consolidated</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0" w:name="page11"/>
    <w:bookmarkEnd w:id="10"/>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balance sheet of the Company as of June 30, 2020, each included in the Disclosure Package and the Prospectus, are independent registered public accountants with respect to the Company within the meaning of the Exchange Act and the rules of the Public Company Accounting Oversight Board.</w:t>
      </w:r>
    </w:p>
    <w:p>
      <w:pPr>
        <w:spacing w:after="0" w:line="124" w:lineRule="exact"/>
        <w:rPr>
          <w:sz w:val="20"/>
          <w:szCs w:val="20"/>
          <w:color w:val="auto"/>
        </w:rPr>
      </w:pPr>
    </w:p>
    <w:p>
      <w:pPr>
        <w:ind w:firstLine="436"/>
        <w:spacing w:after="0" w:line="255"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92" w:lineRule="exact"/>
        <w:rPr>
          <w:rFonts w:ascii="Arial" w:cs="Arial" w:eastAsia="Arial" w:hAnsi="Arial"/>
          <w:sz w:val="18"/>
          <w:szCs w:val="18"/>
          <w:color w:val="auto"/>
        </w:rPr>
      </w:pPr>
    </w:p>
    <w:p>
      <w:pPr>
        <w:ind w:right="220" w:firstLine="436"/>
        <w:spacing w:after="0" w:line="263"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183" w:lineRule="exact"/>
        <w:rPr>
          <w:rFonts w:ascii="Arial" w:cs="Arial" w:eastAsia="Arial" w:hAnsi="Arial"/>
          <w:sz w:val="18"/>
          <w:szCs w:val="18"/>
          <w:color w:val="auto"/>
        </w:rPr>
      </w:pPr>
    </w:p>
    <w:p>
      <w:pPr>
        <w:ind w:right="20" w:firstLine="436"/>
        <w:spacing w:after="0" w:line="279" w:lineRule="auto"/>
        <w:tabs>
          <w:tab w:leader="none" w:pos="6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171" w:lineRule="exact"/>
        <w:rPr>
          <w:sz w:val="20"/>
          <w:szCs w:val="20"/>
          <w:color w:val="auto"/>
        </w:rPr>
      </w:pPr>
    </w:p>
    <w:p>
      <w:pPr>
        <w:ind w:firstLine="436"/>
        <w:spacing w:after="0" w:line="254" w:lineRule="auto"/>
        <w:tabs>
          <w:tab w:leader="none" w:pos="7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subsidiary of the Company will be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191" w:lineRule="exact"/>
        <w:rPr>
          <w:rFonts w:ascii="Arial" w:cs="Arial" w:eastAsia="Arial" w:hAnsi="Arial"/>
          <w:sz w:val="18"/>
          <w:szCs w:val="18"/>
          <w:color w:val="auto"/>
        </w:rPr>
      </w:pPr>
    </w:p>
    <w:p>
      <w:pPr>
        <w:ind w:right="60" w:firstLine="436"/>
        <w:spacing w:after="0" w:line="279" w:lineRule="auto"/>
        <w:tabs>
          <w:tab w:leader="none" w:pos="7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84" w:lineRule="exact"/>
        <w:rPr>
          <w:sz w:val="20"/>
          <w:szCs w:val="20"/>
          <w:color w:val="auto"/>
        </w:rPr>
      </w:pPr>
    </w:p>
    <w:p>
      <w:pPr>
        <w:ind w:left="764" w:hanging="324"/>
        <w:spacing w:after="0"/>
        <w:tabs>
          <w:tab w:leader="none" w:pos="76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hanging="4"/>
        <w:spacing w:after="0" w:line="292" w:lineRule="auto"/>
        <w:tabs>
          <w:tab w:leader="none" w:pos="21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162" w:lineRule="exact"/>
        <w:rPr>
          <w:rFonts w:ascii="Arial" w:cs="Arial" w:eastAsia="Arial" w:hAnsi="Arial"/>
          <w:sz w:val="16"/>
          <w:szCs w:val="16"/>
          <w:color w:val="auto"/>
        </w:rPr>
      </w:pPr>
    </w:p>
    <w:p>
      <w:pPr>
        <w:ind w:left="4" w:right="620" w:firstLine="436"/>
        <w:spacing w:after="0" w:line="277"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170" w:lineRule="exact"/>
        <w:rPr>
          <w:rFonts w:ascii="Arial" w:cs="Arial" w:eastAsia="Arial" w:hAnsi="Arial"/>
          <w:sz w:val="18"/>
          <w:szCs w:val="18"/>
          <w:color w:val="auto"/>
        </w:rPr>
      </w:pPr>
    </w:p>
    <w:p>
      <w:pPr>
        <w:jc w:val="both"/>
        <w:ind w:left="4" w:right="80" w:firstLine="436"/>
        <w:spacing w:after="0" w:line="286" w:lineRule="auto"/>
        <w:tabs>
          <w:tab w:leader="none" w:pos="76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w:t>
      </w:r>
    </w:p>
    <w:p>
      <w:pPr>
        <w:spacing w:after="0" w:line="1" w:lineRule="exact"/>
        <w:rPr>
          <w:rFonts w:ascii="Arial" w:cs="Arial" w:eastAsia="Arial" w:hAnsi="Arial"/>
          <w:sz w:val="16"/>
          <w:szCs w:val="16"/>
          <w:color w:val="auto"/>
        </w:rPr>
      </w:pPr>
    </w:p>
    <w:p>
      <w:pPr>
        <w:ind w:left="4" w:right="20" w:hanging="4"/>
        <w:spacing w:after="0" w:line="252"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93" w:lineRule="exact"/>
        <w:rPr>
          <w:rFonts w:ascii="Arial" w:cs="Arial" w:eastAsia="Arial" w:hAnsi="Arial"/>
          <w:sz w:val="18"/>
          <w:szCs w:val="18"/>
          <w:color w:val="auto"/>
        </w:rPr>
      </w:pPr>
    </w:p>
    <w:p>
      <w:pPr>
        <w:jc w:val="both"/>
        <w:ind w:left="4" w:right="300" w:firstLine="436"/>
        <w:spacing w:after="0" w:line="263" w:lineRule="auto"/>
        <w:tabs>
          <w:tab w:leader="none" w:pos="7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183" w:lineRule="exact"/>
        <w:rPr>
          <w:rFonts w:ascii="Arial" w:cs="Arial" w:eastAsia="Arial" w:hAnsi="Arial"/>
          <w:sz w:val="18"/>
          <w:szCs w:val="18"/>
          <w:color w:val="auto"/>
        </w:rPr>
      </w:pPr>
    </w:p>
    <w:p>
      <w:pPr>
        <w:jc w:val="both"/>
        <w:ind w:left="4" w:right="100" w:firstLine="436"/>
        <w:spacing w:after="0" w:line="279" w:lineRule="auto"/>
        <w:tabs>
          <w:tab w:leader="none" w:pos="789"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2" w:name="page13"/>
    <w:bookmarkEnd w:id="1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94" w:lineRule="exact"/>
        <w:rPr>
          <w:sz w:val="20"/>
          <w:szCs w:val="20"/>
          <w:color w:val="auto"/>
        </w:rPr>
      </w:pPr>
    </w:p>
    <w:p>
      <w:pPr>
        <w:ind w:right="120" w:firstLine="436"/>
        <w:spacing w:after="0" w:line="263" w:lineRule="auto"/>
        <w:tabs>
          <w:tab w:leader="none" w:pos="7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issuance, sale and delivery of the Securities nor the application of the proceeds thereof by the Company as described in the Disclosure Package and Prospectus will violate Regulation T, U or X of the Board of Governors of the Federal Reserve System, as the same is in effect on the Closing Date.</w:t>
      </w:r>
    </w:p>
    <w:p>
      <w:pPr>
        <w:spacing w:after="0" w:line="183" w:lineRule="exact"/>
        <w:rPr>
          <w:rFonts w:ascii="Arial" w:cs="Arial" w:eastAsia="Arial" w:hAnsi="Arial"/>
          <w:sz w:val="18"/>
          <w:szCs w:val="18"/>
          <w:color w:val="auto"/>
        </w:rPr>
      </w:pPr>
    </w:p>
    <w:p>
      <w:pPr>
        <w:ind w:right="120" w:firstLine="436"/>
        <w:spacing w:after="0" w:line="263"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taken all necessary actions such that, upon the effectiveness of the Registration Statement, it will be in compliance with all provisions of the Sarbanes-Oxley Act of 2002, as amended, and the rules and regulations promulgated in connection therewith (the “Sarbanes-Oxley Act”), with which the Company is required to comply as of such time.</w:t>
      </w:r>
    </w:p>
    <w:p>
      <w:pPr>
        <w:spacing w:after="0" w:line="183" w:lineRule="exact"/>
        <w:rPr>
          <w:rFonts w:ascii="Arial" w:cs="Arial" w:eastAsia="Arial" w:hAnsi="Arial"/>
          <w:sz w:val="18"/>
          <w:szCs w:val="18"/>
          <w:color w:val="auto"/>
        </w:rPr>
      </w:pPr>
    </w:p>
    <w:p>
      <w:pPr>
        <w:ind w:firstLine="436"/>
        <w:spacing w:after="0" w:line="263"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in the Disclosure Package, any Written Testing-the-Waters Communication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ind w:right="140" w:firstLine="436"/>
        <w:spacing w:after="0" w:line="291" w:lineRule="auto"/>
        <w:tabs>
          <w:tab w:leader="none" w:pos="7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66" w:lineRule="exact"/>
        <w:rPr>
          <w:rFonts w:ascii="Arial" w:cs="Arial" w:eastAsia="Arial" w:hAnsi="Arial"/>
          <w:sz w:val="16"/>
          <w:szCs w:val="16"/>
          <w:color w:val="auto"/>
        </w:rPr>
      </w:pPr>
    </w:p>
    <w:p>
      <w:pPr>
        <w:ind w:right="20" w:firstLine="436"/>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or controlled Affiliate of the Company or any of its subsidiaries is currently subject or target of any U.S. sanctions administered or enforced by the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and the Company will not, directly or indirectly, use the proceeds of the offering, or lend, contribute or otherwise make available such proceeds to any subsidiary, joint venture partner or other Person: (i) to fund or facilitate any activities or business of or with any individual or entity (“Person”) or in any country or territory that, at the time of such funding or facilitation, is the subject or target of any Sanctions;</w:t>
      </w:r>
    </w:p>
    <w:p>
      <w:pPr>
        <w:spacing w:after="0" w:line="1" w:lineRule="exact"/>
        <w:rPr>
          <w:sz w:val="20"/>
          <w:szCs w:val="20"/>
          <w:color w:val="auto"/>
        </w:rPr>
      </w:pPr>
    </w:p>
    <w:p>
      <w:pPr>
        <w:ind w:left="4" w:right="20" w:hanging="4"/>
        <w:spacing w:after="0" w:line="273" w:lineRule="auto"/>
        <w:tabs>
          <w:tab w:leader="none" w:pos="2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fund or facilitate any activities of or business in any Sanctioned Country or (iii) in any other manner that will result in a violation of Sanctions by any Person (including any Person participating in the offering, whether as underwriter, advisor, investor or otherwise).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76" w:lineRule="exact"/>
        <w:rPr>
          <w:rFonts w:ascii="Arial" w:cs="Arial" w:eastAsia="Arial" w:hAnsi="Arial"/>
          <w:sz w:val="17"/>
          <w:szCs w:val="17"/>
          <w:color w:val="auto"/>
        </w:rPr>
      </w:pPr>
    </w:p>
    <w:p>
      <w:pPr>
        <w:ind w:left="4" w:firstLine="436"/>
        <w:spacing w:after="0" w:line="268" w:lineRule="auto"/>
        <w:tabs>
          <w:tab w:leader="none" w:pos="889" w:val="left"/>
        </w:tabs>
        <w:numPr>
          <w:ilvl w:val="1"/>
          <w:numId w:val="17"/>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184" w:lineRule="exact"/>
        <w:rPr>
          <w:rFonts w:ascii="Arial" w:cs="Arial" w:eastAsia="Arial" w:hAnsi="Arial"/>
          <w:sz w:val="17"/>
          <w:szCs w:val="17"/>
          <w:color w:val="auto"/>
        </w:rPr>
      </w:pPr>
    </w:p>
    <w:p>
      <w:pPr>
        <w:ind w:left="4" w:right="340" w:firstLine="436"/>
        <w:spacing w:after="0" w:line="263"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4" w:name="page15"/>
    <w:bookmarkEnd w:id="14"/>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(Chapter 44 of Title 18, United States Code), the National Firearms Act of 1934 (Chapter 53 of Title 26, United States Code), and the Arms Export Control Act (22 U.S.C. §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w:t>
      </w:r>
    </w:p>
    <w:p>
      <w:pPr>
        <w:spacing w:after="0" w:line="6" w:lineRule="exact"/>
        <w:rPr>
          <w:sz w:val="20"/>
          <w:szCs w:val="20"/>
          <w:color w:val="auto"/>
        </w:rPr>
      </w:pPr>
    </w:p>
    <w:p>
      <w:pPr>
        <w:jc w:val="both"/>
        <w:ind w:left="4" w:right="40" w:hanging="4"/>
        <w:spacing w:after="0" w:line="255"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189" w:lineRule="exact"/>
        <w:rPr>
          <w:rFonts w:ascii="Arial" w:cs="Arial" w:eastAsia="Arial" w:hAnsi="Arial"/>
          <w:sz w:val="18"/>
          <w:szCs w:val="18"/>
          <w:color w:val="auto"/>
        </w:rPr>
      </w:pPr>
    </w:p>
    <w:p>
      <w:pPr>
        <w:ind w:left="4" w:firstLine="436"/>
        <w:spacing w:after="0" w:line="269" w:lineRule="auto"/>
        <w:tabs>
          <w:tab w:leader="none" w:pos="789" w:val="left"/>
        </w:tabs>
        <w:numPr>
          <w:ilvl w:val="1"/>
          <w:numId w:val="18"/>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8" w:lineRule="exact"/>
        <w:rPr>
          <w:rFonts w:ascii="Arial" w:cs="Arial" w:eastAsia="Arial" w:hAnsi="Arial"/>
          <w:sz w:val="17"/>
          <w:szCs w:val="17"/>
          <w:color w:val="auto"/>
        </w:rPr>
      </w:pPr>
    </w:p>
    <w:p>
      <w:pPr>
        <w:ind w:left="4" w:right="1000" w:firstLine="436"/>
        <w:spacing w:after="0" w:line="277"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does not have any debt securities outstanding that have been rated by any “nationally recognized statistical rating organization” as defined in Section 3(a)(62) of the Exchange Act.</w:t>
      </w:r>
    </w:p>
    <w:p>
      <w:pPr>
        <w:spacing w:after="0" w:line="170" w:lineRule="exact"/>
        <w:rPr>
          <w:sz w:val="20"/>
          <w:szCs w:val="20"/>
          <w:color w:val="auto"/>
        </w:rPr>
      </w:pPr>
    </w:p>
    <w:p>
      <w:pPr>
        <w:jc w:val="both"/>
        <w:ind w:left="4" w:right="200" w:firstLine="991"/>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5" w:name="page16"/>
    <w:bookmarkEnd w:id="15"/>
    <w:p>
      <w:pPr>
        <w:ind w:left="1160" w:hanging="173"/>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and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436"/>
        <w:spacing w:after="0" w:line="286"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Company agrees to issue and sell to each Underwriter, and each Underwriter agrees, severally and not jointly, to purchase from the Company, at a purchase price of $12.22 per share, the amount of the Underwritten Securities set forth opposite such Underwriter’s name in Schedule I hereto.</w:t>
      </w:r>
    </w:p>
    <w:p>
      <w:pPr>
        <w:spacing w:after="0" w:line="165" w:lineRule="exact"/>
        <w:rPr>
          <w:rFonts w:ascii="Arial" w:cs="Arial" w:eastAsia="Arial" w:hAnsi="Arial"/>
          <w:sz w:val="17"/>
          <w:szCs w:val="17"/>
          <w:color w:val="auto"/>
        </w:rPr>
      </w:pPr>
    </w:p>
    <w:p>
      <w:pPr>
        <w:ind w:firstLine="436"/>
        <w:spacing w:after="0" w:line="269" w:lineRule="auto"/>
        <w:tabs>
          <w:tab w:leader="none" w:pos="6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Company hereby grants an option to the several Underwriters to purchase, severally and not jointly, up to 2,343,750,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only to cover over-allotments in the sale of the Underwritten Securities by the Underwriters. Said option may be exercised in whole or in part at any time (but not more than twice) on or before the 30th day after the date of the Prospectus upon written or telegraphic notice by the Representatives to the Company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185" w:lineRule="exact"/>
        <w:rPr>
          <w:rFonts w:ascii="Arial" w:cs="Arial" w:eastAsia="Arial" w:hAnsi="Arial"/>
          <w:sz w:val="17"/>
          <w:szCs w:val="17"/>
          <w:color w:val="auto"/>
        </w:rPr>
      </w:pPr>
    </w:p>
    <w:p>
      <w:pPr>
        <w:ind w:firstLine="987"/>
        <w:spacing w:after="0" w:line="269" w:lineRule="auto"/>
        <w:tabs>
          <w:tab w:leader="none" w:pos="1171"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Underwritten Securities and the Option Securities (if the option provided for in Section 2(b) hereof shall have been exercised on or before the second Business Day immediately preceding the Closing Date) shall be made at the offices of Simpson Thacher &amp; Bartlett LLP, 425 Lexington Avenue, New York, New York 10017 at 10:00 AM, New York City time, on October 6, 2020, or at such time on such later date not more than two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in writing to the Representatives. Delivery of the Underwritten Securities and the Option Securities shall be made through the facilities of The Depository Trust Company unless the Representatives shall otherwise instruct.</w:t>
      </w:r>
    </w:p>
    <w:p>
      <w:pPr>
        <w:spacing w:after="0" w:line="18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If the option provided for in Section 2(b) hereof is exercised after the second Business Day immediately preceding the Closing Date, the Company will deliver the Option Securities to the Representatives on the date specified by the Representatives (which shall be within two Business Days after exercise of said option, which date may be postponed by agreement between the Representatives and the Company) for the respective accounts of the several Underwriters, against payment by the several Underwriters through the Representatives of the purchase price thereof to or upon the order of the Company by wire transfer payable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87" w:lineRule="exact"/>
        <w:rPr>
          <w:sz w:val="20"/>
          <w:szCs w:val="20"/>
          <w:color w:val="auto"/>
        </w:rPr>
      </w:pPr>
    </w:p>
    <w:p>
      <w:pPr>
        <w:ind w:right="100" w:firstLine="987"/>
        <w:spacing w:after="0" w:line="277" w:lineRule="auto"/>
        <w:tabs>
          <w:tab w:leader="none" w:pos="1171"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Prospectus.</w:t>
      </w:r>
    </w:p>
    <w:p>
      <w:pPr>
        <w:spacing w:after="0" w:line="170" w:lineRule="exact"/>
        <w:rPr>
          <w:rFonts w:ascii="Arial" w:cs="Arial" w:eastAsia="Arial" w:hAnsi="Arial"/>
          <w:sz w:val="18"/>
          <w:szCs w:val="18"/>
          <w:color w:val="auto"/>
        </w:rPr>
      </w:pPr>
    </w:p>
    <w:p>
      <w:pPr>
        <w:ind w:left="1160" w:hanging="173"/>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as follows:</w:t>
      </w:r>
    </w:p>
    <w:p>
      <w:pPr>
        <w:spacing w:after="0" w:line="225" w:lineRule="exact"/>
        <w:rPr>
          <w:rFonts w:ascii="Arial" w:cs="Arial" w:eastAsia="Arial" w:hAnsi="Arial"/>
          <w:sz w:val="18"/>
          <w:szCs w:val="18"/>
          <w:color w:val="auto"/>
        </w:rPr>
      </w:pPr>
    </w:p>
    <w:p>
      <w:pPr>
        <w:ind w:firstLine="436"/>
        <w:spacing w:after="0" w:line="284"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w:t>
      </w:r>
    </w:p>
    <w:p>
      <w:pPr>
        <w:spacing w:after="0" w:line="4" w:lineRule="exact"/>
        <w:rPr>
          <w:rFonts w:ascii="Arial" w:cs="Arial" w:eastAsia="Arial" w:hAnsi="Arial"/>
          <w:sz w:val="16"/>
          <w:szCs w:val="16"/>
          <w:color w:val="auto"/>
        </w:rPr>
      </w:pPr>
    </w:p>
    <w:p>
      <w:pPr>
        <w:ind w:right="140"/>
        <w:spacing w:after="0" w:line="285" w:lineRule="auto"/>
        <w:rPr>
          <w:rFonts w:ascii="Arial" w:cs="Arial" w:eastAsia="Arial" w:hAnsi="Arial"/>
          <w:sz w:val="16"/>
          <w:szCs w:val="16"/>
          <w:color w:val="auto"/>
        </w:rPr>
      </w:pPr>
      <w:r>
        <w:rPr>
          <w:rFonts w:ascii="Arial" w:cs="Arial" w:eastAsia="Arial" w:hAnsi="Arial"/>
          <w:sz w:val="16"/>
          <w:szCs w:val="16"/>
          <w:color w:val="auto"/>
        </w:rPr>
        <w:t>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74" w:lineRule="exact"/>
        <w:rPr>
          <w:rFonts w:ascii="Arial" w:cs="Arial" w:eastAsia="Arial" w:hAnsi="Arial"/>
          <w:sz w:val="16"/>
          <w:szCs w:val="16"/>
          <w:color w:val="auto"/>
        </w:rPr>
      </w:pPr>
    </w:p>
    <w:p>
      <w:pPr>
        <w:ind w:right="60" w:firstLine="436"/>
        <w:spacing w:after="0" w:line="279"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or supplemented; (ii) subject to paragraph (a) of this Section 5, amend or supplement the Disclosure Package to eliminate or correct such statement or omission; and (iii) supply any amendment or supplement to the several Underwriters and counsel for the Underwriters without charge in such quantities as they may reasonably request.</w:t>
      </w:r>
    </w:p>
    <w:p>
      <w:pPr>
        <w:spacing w:after="0" w:line="184" w:lineRule="exact"/>
        <w:rPr>
          <w:sz w:val="20"/>
          <w:szCs w:val="20"/>
          <w:color w:val="auto"/>
        </w:rPr>
      </w:pPr>
    </w:p>
    <w:p>
      <w:pPr>
        <w:ind w:firstLine="436"/>
        <w:spacing w:after="0" w:line="289" w:lineRule="auto"/>
        <w:tabs>
          <w:tab w:leader="none" w:pos="6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5,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66" w:lineRule="exact"/>
        <w:rPr>
          <w:rFonts w:ascii="Arial" w:cs="Arial" w:eastAsia="Arial" w:hAnsi="Arial"/>
          <w:sz w:val="16"/>
          <w:szCs w:val="16"/>
          <w:color w:val="auto"/>
        </w:rPr>
      </w:pPr>
    </w:p>
    <w:p>
      <w:pPr>
        <w:ind w:right="160" w:firstLine="436"/>
        <w:spacing w:after="0" w:line="296"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there occurred or occurs an event or development as a result of which such Written Testing-the-Waters Communication, when taken together as a whole with the Disclosure Package,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statement or omission.</w:t>
      </w:r>
    </w:p>
    <w:p>
      <w:pPr>
        <w:spacing w:after="0" w:line="161" w:lineRule="exact"/>
        <w:rPr>
          <w:rFonts w:ascii="Arial" w:cs="Arial" w:eastAsia="Arial" w:hAnsi="Arial"/>
          <w:sz w:val="16"/>
          <w:szCs w:val="16"/>
          <w:color w:val="auto"/>
        </w:rPr>
      </w:pPr>
    </w:p>
    <w:p>
      <w:pPr>
        <w:ind w:right="200" w:firstLine="436"/>
        <w:spacing w:after="0" w:line="263"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183" w:lineRule="exact"/>
        <w:rPr>
          <w:rFonts w:ascii="Arial" w:cs="Arial" w:eastAsia="Arial" w:hAnsi="Arial"/>
          <w:sz w:val="18"/>
          <w:szCs w:val="18"/>
          <w:color w:val="auto"/>
        </w:rPr>
      </w:pPr>
    </w:p>
    <w:p>
      <w:pPr>
        <w:ind w:right="300" w:firstLine="436"/>
        <w:spacing w:after="0" w:line="277" w:lineRule="auto"/>
        <w:tabs>
          <w:tab w:leader="none" w:pos="6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The Depository Trust Company.</w:t>
      </w:r>
    </w:p>
    <w:p>
      <w:pPr>
        <w:spacing w:after="0" w:line="170" w:lineRule="exact"/>
        <w:rPr>
          <w:rFonts w:ascii="Arial" w:cs="Arial" w:eastAsia="Arial" w:hAnsi="Arial"/>
          <w:sz w:val="18"/>
          <w:szCs w:val="18"/>
          <w:color w:val="auto"/>
        </w:rPr>
      </w:pPr>
    </w:p>
    <w:p>
      <w:pPr>
        <w:ind w:right="80" w:firstLine="436"/>
        <w:spacing w:after="0" w:line="255"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 w:name="page19"/>
    <w:bookmarkEnd w:id="18"/>
    <w:p>
      <w:pPr>
        <w:ind w:left="-20" w:right="120" w:firstLine="436"/>
        <w:spacing w:after="0" w:line="255" w:lineRule="auto"/>
        <w:tabs>
          <w:tab w:leader="none" w:pos="67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192" w:lineRule="exact"/>
        <w:rPr>
          <w:rFonts w:ascii="Arial" w:cs="Arial" w:eastAsia="Arial" w:hAnsi="Arial"/>
          <w:sz w:val="18"/>
          <w:szCs w:val="18"/>
          <w:color w:val="auto"/>
        </w:rPr>
      </w:pPr>
    </w:p>
    <w:p>
      <w:pPr>
        <w:ind w:left="-20" w:firstLine="436"/>
        <w:spacing w:after="0" w:line="284" w:lineRule="auto"/>
        <w:tabs>
          <w:tab w:leader="none" w:pos="6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Representatives,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180 days after the date of the Underwriting Agreement. The foregoing sentence shall not apply to (A) the Securities to be issued in the Transaction, (B) any shares of Common Stock issued by the Company upon the exercise of options to purchase shares of Common Stock, upon the vesting of restricted stock awards or upon the settlement of restricted stock unit awards, in each case disclosed in the Disclosure Package and the Prospectus, (C) the grant of awards pursuant to the Company’s incentive plans or otherwise pursuant to equity compensation arrangements with directors, officers, employees and consultants of the Company and its subsidiaries, in each case, as described in the Disclosure Package and the Prospectus, (D) the issuance or grant of shares of securities, including restricted stock awards, options to purchase shares of common stock, restricted stock units or any other stock-based awards, in each case, registered or to be registered pursuant to any registration statement on Form S-8 pursuant to any benefit plans or arrangements (including, without limitation, employee stock purchase plan), in each case, as described in the Disclosure Package and the Prospectus, (E)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(F) the issuance of shares of Common Stock, of restricted stock awards or of options to purchase shares of Common Stock, in each case, in connection with joint ventures, commercial relationships or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immediately preceding clauses (E) and (F),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Transaction and the recipient of the shares of Common Stock agrees in writing to be bound by the same terms described in the agreement attached hereto as Exhibit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9" w:name="page20"/>
    <w:bookmarkEnd w:id="19"/>
    <w:p>
      <w:pPr>
        <w:ind w:left="4" w:firstLine="436"/>
        <w:spacing w:after="0" w:line="301" w:lineRule="auto"/>
        <w:tabs>
          <w:tab w:leader="none" w:pos="659"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Representatives, in their sole discretion, agree to release or waive the restrictions set forth in a lock-up letter described in Section 6(i)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57" w:lineRule="exact"/>
        <w:rPr>
          <w:rFonts w:ascii="Arial" w:cs="Arial" w:eastAsia="Arial" w:hAnsi="Arial"/>
          <w:sz w:val="16"/>
          <w:szCs w:val="16"/>
          <w:color w:val="auto"/>
        </w:rPr>
      </w:pPr>
    </w:p>
    <w:p>
      <w:pPr>
        <w:ind w:left="4" w:firstLine="436"/>
        <w:spacing w:after="0" w:line="263" w:lineRule="auto"/>
        <w:tabs>
          <w:tab w:leader="none" w:pos="6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4" w:right="20" w:firstLine="436"/>
        <w:spacing w:after="0" w:line="283" w:lineRule="auto"/>
        <w:tabs>
          <w:tab w:leader="none" w:pos="659"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any blue sky memorandum delivered in connection with the offering of the Securities; (v) the registration of the Securities under the Exchange Act and the listing of the Securities on the NASDAQ Global Select Market (the “Exchange”); (vi) any registration or qualification of the Securities for offer and sale under the securities or blue sky laws of the several states and any other jurisdictions specified pursuant to Section 5(g) hereof (including filing fees and the reasonable and documented fees and expenses of counsel for the Underwriters relating to such registration and qualification in an amount not to exceed $20,000); (vii) the approval of the Securities for book entry transfer by The Depository Trust Company;</w:t>
      </w:r>
    </w:p>
    <w:p>
      <w:pPr>
        <w:spacing w:after="0" w:line="2" w:lineRule="exact"/>
        <w:rPr>
          <w:rFonts w:ascii="Arial" w:cs="Arial" w:eastAsia="Arial" w:hAnsi="Arial"/>
          <w:sz w:val="16"/>
          <w:szCs w:val="16"/>
          <w:color w:val="auto"/>
        </w:rPr>
      </w:pPr>
    </w:p>
    <w:p>
      <w:pPr>
        <w:ind w:left="4" w:right="60" w:hanging="4"/>
        <w:spacing w:after="0" w:line="286" w:lineRule="auto"/>
        <w:tabs>
          <w:tab w:leader="none" w:pos="4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filings required to be made with the FINRA (including filing fees, fees and expenses of the QIU (as defined below) and the reasonable and documented fees and expenses of counsel for the Underwriters relating to such filings in an amount not to exceed $35,000); (ix) the transportation and other expenses incurred by or on behalf of the Company in connection with presentations to prospective purchasers of the Securities, including any “roadshow” (and including one half of the cost of all aircraft used in connection with any “roadshow”); (x)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(xi) the fees and expenses of the Company’s accountants and the fees and expenses of counsel (including local and special counsel) for the Company and (xii) all other costs and expenses incident to the performance by the Company of its obligations hereunder. Notwithstanding the forgoing, except as specifically provided in this paragraph (k) and in Section 7 hereof, the Underwriters shall pay their own costs and expenses in connection with presentations for prospective purchasers of the Securities including the transportation and other expenses incurred by or on behalf of the Underwriters in</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0" w:name="page21"/>
    <w:bookmarkEnd w:id="20"/>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presentations to prospective purchasers of the Securities, including any “roadshow” (and including one half of the cost of all aircraft used in connection with any “roadshow”).</w:t>
      </w:r>
    </w:p>
    <w:p>
      <w:pPr>
        <w:spacing w:after="0" w:line="170" w:lineRule="exact"/>
        <w:rPr>
          <w:sz w:val="20"/>
          <w:szCs w:val="20"/>
          <w:color w:val="auto"/>
        </w:rPr>
      </w:pPr>
    </w:p>
    <w:p>
      <w:pPr>
        <w:ind w:right="400" w:firstLine="436"/>
        <w:spacing w:after="0" w:line="277" w:lineRule="auto"/>
        <w:tabs>
          <w:tab w:leader="none" w:pos="7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use the proceeds from the sale of the Securities in the manner described in the Disclosure Package and the Prospectus under the caption “Use of Proceeds.”</w:t>
      </w:r>
    </w:p>
    <w:p>
      <w:pPr>
        <w:spacing w:after="0" w:line="170" w:lineRule="exact"/>
        <w:rPr>
          <w:rFonts w:ascii="Arial" w:cs="Arial" w:eastAsia="Arial" w:hAnsi="Arial"/>
          <w:sz w:val="18"/>
          <w:szCs w:val="18"/>
          <w:color w:val="auto"/>
        </w:rPr>
      </w:pPr>
    </w:p>
    <w:p>
      <w:pPr>
        <w:ind w:right="40" w:firstLine="436"/>
        <w:spacing w:after="0" w:line="286"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173" w:lineRule="exact"/>
        <w:rPr>
          <w:rFonts w:ascii="Arial" w:cs="Arial" w:eastAsia="Arial" w:hAnsi="Arial"/>
          <w:sz w:val="16"/>
          <w:szCs w:val="16"/>
          <w:color w:val="auto"/>
        </w:rPr>
      </w:pPr>
    </w:p>
    <w:p>
      <w:pPr>
        <w:ind w:firstLine="987"/>
        <w:spacing w:after="0" w:line="273" w:lineRule="auto"/>
        <w:tabs>
          <w:tab w:leader="none" w:pos="1171"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Conditions to the Obligations of the Underwriters</w:t>
      </w:r>
      <w:r>
        <w:rPr>
          <w:rFonts w:ascii="Arial" w:cs="Arial" w:eastAsia="Arial" w:hAnsi="Arial"/>
          <w:sz w:val="17"/>
          <w:szCs w:val="17"/>
          <w:color w:val="auto"/>
        </w:rPr>
        <w:t>. The obligations of the Underwriters to purchase the Underwritten Securities and the Option Securities, as the case may be,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contained herein as of the Execution Time, the Closing Date and any settlement date pursuant to Section 3 hereof, to the accuracy of the statements of the Company made in any certificates pursuant to the provisions hereof, to the performance by the Company in all material respects of its obligations hereunder and to the following additional conditions:</w:t>
      </w:r>
    </w:p>
    <w:p>
      <w:pPr>
        <w:spacing w:after="0" w:line="178" w:lineRule="exact"/>
        <w:rPr>
          <w:sz w:val="20"/>
          <w:szCs w:val="20"/>
          <w:color w:val="auto"/>
        </w:rPr>
      </w:pPr>
    </w:p>
    <w:p>
      <w:pPr>
        <w:ind w:firstLine="436"/>
        <w:spacing w:after="0" w:line="301"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ind w:firstLine="436"/>
        <w:spacing w:after="0" w:line="263"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Company shall have requested and caused Simpson Thacher &amp; Bartlett LLP, counsel for the Company, to furnish to the Representatives an opinion letter and a negative assurance letter, each dated the Closing Date or any settlement date, as the case may be, and in form and substance reasonably satisfactory to the Representatives, as set forth in Exhibit C hereto;</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shall have requested and caused the general counsel of the Company to furnish to the Representatives an opinion letter dated the Closing Date or any settlement date, as the case may be, and otherwise in form and substance reasonably satisfactory to the Representatives, as set forth in Exhibit D hereto.</w:t>
      </w:r>
    </w:p>
    <w:p>
      <w:pPr>
        <w:spacing w:after="0" w:line="183" w:lineRule="exact"/>
        <w:rPr>
          <w:rFonts w:ascii="Arial" w:cs="Arial" w:eastAsia="Arial" w:hAnsi="Arial"/>
          <w:sz w:val="18"/>
          <w:szCs w:val="18"/>
          <w:color w:val="auto"/>
        </w:rPr>
      </w:pPr>
    </w:p>
    <w:p>
      <w:pPr>
        <w:jc w:val="both"/>
        <w:ind w:right="160" w:firstLine="436"/>
        <w:spacing w:after="0" w:line="259"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or any settlement date, as the case may be,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186" w:lineRule="exact"/>
        <w:rPr>
          <w:rFonts w:ascii="Arial" w:cs="Arial" w:eastAsia="Arial" w:hAnsi="Arial"/>
          <w:sz w:val="18"/>
          <w:szCs w:val="18"/>
          <w:color w:val="auto"/>
        </w:rPr>
      </w:pPr>
    </w:p>
    <w:p>
      <w:pPr>
        <w:ind w:firstLine="436"/>
        <w:spacing w:after="0" w:line="25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or any settlement date, as the case may be,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79" w:lineRule="exact"/>
        <w:rPr>
          <w:rFonts w:ascii="Arial" w:cs="Arial" w:eastAsia="Arial" w:hAnsi="Arial"/>
          <w:sz w:val="18"/>
          <w:szCs w:val="18"/>
          <w:color w:val="auto"/>
        </w:rPr>
      </w:pPr>
    </w:p>
    <w:p>
      <w:pPr>
        <w:ind w:left="980" w:right="60" w:firstLine="408"/>
        <w:spacing w:after="0" w:line="275" w:lineRule="auto"/>
        <w:tabs>
          <w:tab w:leader="none" w:pos="1636" w:val="left"/>
        </w:tabs>
        <w:numPr>
          <w:ilvl w:val="2"/>
          <w:numId w:val="29"/>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or any settlement date, as the case may be, and the Company has complied in all material respects with all the agreements and satisfied all the conditions on its part to be performed or satisfied hereunder at or prior to the Closing Date or any settlement date, as the case may be;</w:t>
      </w:r>
    </w:p>
    <w:p>
      <w:pPr>
        <w:spacing w:after="0" w:line="68" w:lineRule="exact"/>
        <w:rPr>
          <w:rFonts w:ascii="Arial" w:cs="Arial" w:eastAsia="Arial" w:hAnsi="Arial"/>
          <w:sz w:val="17"/>
          <w:szCs w:val="17"/>
          <w:color w:val="auto"/>
        </w:rPr>
      </w:pPr>
    </w:p>
    <w:p>
      <w:pPr>
        <w:ind w:left="980" w:right="60" w:firstLine="408"/>
        <w:spacing w:after="0" w:line="259" w:lineRule="auto"/>
        <w:tabs>
          <w:tab w:leader="none" w:pos="1636" w:val="left"/>
        </w:tabs>
        <w:numPr>
          <w:ilvl w:val="2"/>
          <w:numId w:val="29"/>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78" w:lineRule="exact"/>
        <w:rPr>
          <w:rFonts w:ascii="Arial" w:cs="Arial" w:eastAsia="Arial" w:hAnsi="Arial"/>
          <w:sz w:val="18"/>
          <w:szCs w:val="18"/>
          <w:color w:val="auto"/>
        </w:rPr>
      </w:pPr>
    </w:p>
    <w:p>
      <w:pPr>
        <w:ind w:left="980" w:right="80" w:firstLine="408"/>
        <w:spacing w:after="0" w:line="342" w:lineRule="auto"/>
        <w:tabs>
          <w:tab w:leader="none" w:pos="1636" w:val="left"/>
        </w:tabs>
        <w:numPr>
          <w:ilvl w:val="2"/>
          <w:numId w:val="29"/>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ind w:right="80" w:firstLine="436"/>
        <w:spacing w:after="0" w:line="254"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Execution Time and at the Closing Date or any settlement date, as the case may be, the Company shall have requested and caused Deloitte &amp; Touche LLP to furnish to the Underwriters a “comfort” letter, dated as of the Execution Time, and a bring-down “comfort letter,” dated as of the Closing Date or any settlement date, as the case may be,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194" w:lineRule="exact"/>
        <w:rPr>
          <w:rFonts w:ascii="Arial" w:cs="Arial" w:eastAsia="Arial" w:hAnsi="Arial"/>
          <w:sz w:val="18"/>
          <w:szCs w:val="18"/>
          <w:color w:val="auto"/>
        </w:rPr>
      </w:pPr>
    </w:p>
    <w:p>
      <w:pPr>
        <w:ind w:right="160" w:firstLine="436"/>
        <w:spacing w:after="0" w:line="272" w:lineRule="auto"/>
        <w:tabs>
          <w:tab w:leader="none" w:pos="6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and after giving effect to the Transaction,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177" w:lineRule="exact"/>
        <w:rPr>
          <w:rFonts w:ascii="Arial" w:cs="Arial" w:eastAsia="Arial" w:hAnsi="Arial"/>
          <w:sz w:val="17"/>
          <w:szCs w:val="17"/>
          <w:color w:val="auto"/>
        </w:rPr>
      </w:pPr>
    </w:p>
    <w:p>
      <w:pPr>
        <w:ind w:firstLine="436"/>
        <w:spacing w:after="0" w:line="277"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the Closing Date or any settlement date, as the case may be, the Securities shall have been approved for listing and admitted and authorized for trading on the Exchange, subject only to official notice of issuance.</w:t>
      </w:r>
    </w:p>
    <w:p>
      <w:pPr>
        <w:spacing w:after="0" w:line="170" w:lineRule="exact"/>
        <w:rPr>
          <w:rFonts w:ascii="Arial" w:cs="Arial" w:eastAsia="Arial" w:hAnsi="Arial"/>
          <w:sz w:val="18"/>
          <w:szCs w:val="18"/>
          <w:color w:val="auto"/>
        </w:rPr>
      </w:pPr>
    </w:p>
    <w:p>
      <w:pPr>
        <w:ind w:right="480" w:firstLine="436"/>
        <w:spacing w:after="0" w:line="342"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or prior to the Execution Time, the Company shall have furnished to the Representatives a letter addressed to the Representatives substantially in the form of Exhibit A hereto from each executive officer, director and securityholder of the Company listed on Exhibit A-1 hereto.</w:t>
      </w:r>
    </w:p>
    <w:p>
      <w:pPr>
        <w:spacing w:after="0" w:line="123" w:lineRule="exact"/>
        <w:rPr>
          <w:rFonts w:ascii="Arial" w:cs="Arial" w:eastAsia="Arial" w:hAnsi="Arial"/>
          <w:sz w:val="16"/>
          <w:szCs w:val="16"/>
          <w:color w:val="auto"/>
        </w:rPr>
      </w:pPr>
    </w:p>
    <w:p>
      <w:pPr>
        <w:ind w:firstLine="43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 Closing Date or any settlement date, as the case may be, the Company shall have taken all action reasonably required to be taken by it to have the Securities declared eligible for clearance and settlement through The Depository Trust Company.</w:t>
      </w:r>
    </w:p>
    <w:p>
      <w:pPr>
        <w:spacing w:after="0" w:line="170" w:lineRule="exact"/>
        <w:rPr>
          <w:rFonts w:ascii="Arial" w:cs="Arial" w:eastAsia="Arial" w:hAnsi="Arial"/>
          <w:sz w:val="18"/>
          <w:szCs w:val="18"/>
          <w:color w:val="auto"/>
        </w:rPr>
      </w:pPr>
    </w:p>
    <w:p>
      <w:pPr>
        <w:ind w:right="400" w:firstLine="43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 Closing Date or any settlement date, as the case may be, the Company shall have furnished to the Representatives such further information, certificates and documents as the Representatives may reasonably request.</w:t>
      </w:r>
    </w:p>
    <w:p>
      <w:pPr>
        <w:spacing w:after="0" w:line="170"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24"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The documents required to be delivered by this Section 6 will be available for inspection at the office of Simpson Thacher &amp; Bartlett LLP, at 425 Lexington Avenue, New York, New York 10017, on the Business Day prior to the Closing Date or any settlement date, as the case may be.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140" w:firstLine="987"/>
        <w:spacing w:after="0" w:line="293" w:lineRule="auto"/>
        <w:tabs>
          <w:tab w:leader="none" w:pos="1171"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to comply with any provision hereof other than by reason of a default by any of the Underwriters, including as described in Section 9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164" w:lineRule="exact"/>
        <w:rPr>
          <w:rFonts w:ascii="Arial" w:cs="Arial" w:eastAsia="Arial" w:hAnsi="Arial"/>
          <w:sz w:val="16"/>
          <w:szCs w:val="16"/>
          <w:color w:val="auto"/>
        </w:rPr>
      </w:pPr>
    </w:p>
    <w:p>
      <w:pPr>
        <w:ind w:left="1160" w:hanging="173"/>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6"/>
        <w:spacing w:after="0" w:line="285"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Written Testing-the-Waters Communication,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any Written Testing-the-Waters Communication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The obligations of the Company under this indemnity agreement will be in addition to any liability that the Company may otherwise have. The Company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 w:name="page25"/>
    <w:bookmarkEnd w:id="24"/>
    <w:p>
      <w:pPr>
        <w:ind w:right="40" w:firstLine="436"/>
        <w:spacing w:after="0" w:line="253"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Underwriter severally, and not jointly, agrees to indemnify and hold harmless (i) the Company, (ii) each person, if any, who controls (within the meaning of either the Act or the Exchange Act) the Company, (iii) each of the directors of the Company who signs the Registration Statement and (iv) each of the officers of the Company who signs the Registration Statement,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fifth paragraph, the thirteenth paragraph and the fourteenth paragraph under the heading “Underwriting (Conflicts of Interest)”, constitute the only information furnished in writing by or on behalf of the several Underwriters for inclusion in the Registration Statement, Preliminary Prospectus, the Prospectus, any Issuer Free Writing Prospectus, any Written Testing-the-Waters Communication or any road show.</w:t>
      </w:r>
    </w:p>
    <w:p>
      <w:pPr>
        <w:spacing w:after="0" w:line="194" w:lineRule="exact"/>
        <w:rPr>
          <w:rFonts w:ascii="Arial" w:cs="Arial" w:eastAsia="Arial" w:hAnsi="Arial"/>
          <w:sz w:val="18"/>
          <w:szCs w:val="18"/>
          <w:color w:val="auto"/>
        </w:rPr>
      </w:pPr>
    </w:p>
    <w:p>
      <w:pPr>
        <w:ind w:left="680" w:hanging="244"/>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8 or Section 11, of notice of the commencement of any action, such</w:t>
      </w:r>
    </w:p>
    <w:p>
      <w:pPr>
        <w:spacing w:after="0" w:line="34" w:lineRule="exact"/>
        <w:rPr>
          <w:rFonts w:ascii="Arial" w:cs="Arial" w:eastAsia="Arial" w:hAnsi="Arial"/>
          <w:sz w:val="17"/>
          <w:szCs w:val="17"/>
          <w:color w:val="auto"/>
        </w:rPr>
      </w:pPr>
    </w:p>
    <w:p>
      <w:pPr>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indemnified party will, if a claim in respect thereof is to be made against the indemnifying party under this Section 8 or Section 11, as applicable, notify the indemnifying party in writing of the commencement thereof; but the failure so to notify the indemnifying party (i) will not relieve it from liability under paragraph (a) or (b) above or Section 11,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or (b) above or Section 11, as applicable, except as provided in paragraph (d)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any local counsel) for all indemnified persons. Any such separate firm for any Underwriters, its Affiliates, directors, selling agents and officers and any control persons of such Underwriters shall be designated in writing by Credit Suisse Securities (USA) LLC and J.P. Morgan Securities LLC and any such separate firm for the Company and any control persons, officers or directors of the Company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8(c),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and J.P. Morgan Securities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186" w:lineRule="exact"/>
        <w:rPr>
          <w:sz w:val="20"/>
          <w:szCs w:val="20"/>
          <w:color w:val="auto"/>
        </w:rPr>
      </w:pPr>
    </w:p>
    <w:p>
      <w:pPr>
        <w:ind w:right="40" w:firstLine="436"/>
        <w:spacing w:after="0" w:line="285"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8 or Section 11, as applicable, is unavailable to or insufficient to hold harmless an indemnified party for any reason (other than by virtue of the failure of an indemnified party to notify the indemnifying party of its right to indemnification pursuant to subsection (a), (b) or (c) above or Section 11, as applicable, where such failure materially prejudices the indemnifying party (through the forfeiture of substantial rights or defenses)), the Company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or not permitted by applicable law,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that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Benefits received by the QIU shall be deemed to be equal to the compensation received by the QIU for acting in such capacity.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and the Underwriters agree that it would not be just and equitable if the amount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contribution were determined by pro rata allocation or any other method of allocation that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The QIU, in its capacity as such, shall not be responsible for any amount in excess of the compensation received by the QIU for acting in such capacity. No person guilty of fraudulent misrepresentation (within the meaning of Section 11(f) of the Act) shall be entitled to contribution from any person who was not guilty of such fraudulent misrepresentation. The Underwriters’ obligations to contribute pursuant to this Section 8 are several in proportion to their respective purchase obligations hereunder and not joint. For purposes of this Section 8,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68" w:lineRule="exact"/>
        <w:rPr>
          <w:sz w:val="20"/>
          <w:szCs w:val="20"/>
          <w:color w:val="auto"/>
        </w:rPr>
      </w:pPr>
    </w:p>
    <w:p>
      <w:pPr>
        <w:ind w:right="20" w:firstLine="987"/>
        <w:spacing w:after="0" w:line="286" w:lineRule="auto"/>
        <w:tabs>
          <w:tab w:leader="none" w:pos="117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 hereto, the Company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In the event of a default by any Underwriter as set forth in this Section 9, the Closing Date shall be postponed for such period, not exceeding five Business Days, to effect any changes that in the opinion of counsel for the Company or counsel for the Representatives are necessary in the Registration Statement, Prospectus or in any other documents or arrangements may be effected. Nothing contained in this Agreement shall relieve any defaulting Underwriter of its liability, if any, to the Company or any nondefaulting Underwriter for damages occasioned by its default hereunder.</w:t>
      </w:r>
    </w:p>
    <w:p>
      <w:pPr>
        <w:spacing w:after="0" w:line="167" w:lineRule="exact"/>
        <w:rPr>
          <w:rFonts w:ascii="Arial" w:cs="Arial" w:eastAsia="Arial" w:hAnsi="Arial"/>
          <w:sz w:val="16"/>
          <w:szCs w:val="16"/>
          <w:color w:val="auto"/>
        </w:rPr>
      </w:pPr>
    </w:p>
    <w:p>
      <w:pPr>
        <w:ind w:right="260" w:firstLine="987"/>
        <w:spacing w:after="0" w:line="277" w:lineRule="auto"/>
        <w:tabs>
          <w:tab w:leader="none" w:pos="126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be subject to termination in the absolute discretion of the Representatives, by notice given to the Company prior to delivery of and payment for the Securities, if at any time prior to such time (i) there shall have occurred,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166" w:lineRule="exact"/>
        <w:rPr>
          <w:sz w:val="20"/>
          <w:szCs w:val="20"/>
          <w:color w:val="auto"/>
        </w:rPr>
      </w:pPr>
    </w:p>
    <w:p>
      <w:pPr>
        <w:ind w:right="20" w:firstLine="987"/>
        <w:spacing w:after="0" w:line="268" w:lineRule="auto"/>
        <w:tabs>
          <w:tab w:leader="none" w:pos="125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Qualified Independent Underwriter</w:t>
      </w:r>
      <w:r>
        <w:rPr>
          <w:rFonts w:ascii="Arial" w:cs="Arial" w:eastAsia="Arial" w:hAnsi="Arial"/>
          <w:sz w:val="17"/>
          <w:szCs w:val="17"/>
          <w:color w:val="auto"/>
        </w:rPr>
        <w:t>. The Company hereby confirms that at its request Credit Suisse Securities (USA) LLC has without compensation acted as “qualified independent underwriter” (in such capacity, the “QIU”) within the meaning of Rule 5121 of FINRA in connection with the offering of the Offered Securities. The public offering price of the Securities is not in excess of the price recommended by the QIU, acting as a “qualified independent underwriter” within the meaning of Rule 5121 of FINRA. In addition to its obligations under Section 8(a) herein, the Company will indemnify and hold harmless the QIU, its directors, officers, employees and agents and each person, if any, who controls the QIU within the meaning of Section 15 of the Securities Act or Section 20 of the Exchange Act against any and all losses, claims, damages or liabilities, joint or several, to which the QIU may become subject, under the Act, the Exchange Act, other federal or state statutory law or regulation or otherwise, insofar as such losses, claims, damages or liabilities (or actions in respect thereof) arise out of or are based upon the QIU’s acting (or alleged failing to act) as such “qualified independent underwriter” (within the meaning of Rule 5121 of FINRA) in connection with the offering of Securities as contemplated by this Agreement, and will reimburse the QIU for any legal or other expenses reasonably incurred by the QIU in connection with investigating or defending any such loss, claim, damage, liability or action as such expenses are incurred; provided, however, that the Company shall not be liable for the reasonable fees and expenses of more than one law firm (in addition to any local counsel) for the QIU. The Company shall not be liable under this Section 11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179" w:lineRule="exact"/>
        <w:rPr>
          <w:rFonts w:ascii="Arial" w:cs="Arial" w:eastAsia="Arial" w:hAnsi="Arial"/>
          <w:sz w:val="17"/>
          <w:szCs w:val="17"/>
          <w:color w:val="auto"/>
        </w:rPr>
      </w:pPr>
    </w:p>
    <w:p>
      <w:pPr>
        <w:ind w:right="120" w:firstLine="987"/>
        <w:spacing w:after="0" w:line="257" w:lineRule="auto"/>
        <w:tabs>
          <w:tab w:leader="none" w:pos="126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indemnified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ind w:right="220" w:firstLine="987"/>
        <w:spacing w:after="0" w:line="254" w:lineRule="auto"/>
        <w:tabs>
          <w:tab w:leader="none" w:pos="126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c/o Credit Suisse Securities (USA) LLC, Eleven Madison Avenue, New York, NY 10010-3629, Attention: LCD-IBD and c/o J.P. Morgan Securities LLC, 383 Madison Avenue, New York, New York 10179, Attention: IBCM-Legal, or,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The Company shall be entitled to act and rely upon any request, consent, notice or agreement given or made on behalf of the Underwriters by the Representatives.</w:t>
      </w:r>
    </w:p>
    <w:p>
      <w:pPr>
        <w:spacing w:after="0" w:line="194" w:lineRule="exact"/>
        <w:rPr>
          <w:rFonts w:ascii="Arial" w:cs="Arial" w:eastAsia="Arial" w:hAnsi="Arial"/>
          <w:sz w:val="18"/>
          <w:szCs w:val="18"/>
          <w:color w:val="auto"/>
        </w:rPr>
      </w:pPr>
    </w:p>
    <w:p>
      <w:pPr>
        <w:ind w:left="1260" w:hanging="27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right="20" w:firstLine="987"/>
        <w:spacing w:after="0" w:line="272"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jc w:val="both"/>
        <w:ind w:right="160" w:firstLine="987"/>
        <w:spacing w:after="0" w:line="286" w:lineRule="auto"/>
        <w:tabs>
          <w:tab w:leader="none" w:pos="126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persons referred to in Section 8 hereof and their respective successors and no other person will have any right or obligation hereunder. No purchaser of Securities from any Underwriter shall be deemed to be a successor merely by reason of such purchase.</w:t>
      </w:r>
    </w:p>
    <w:p>
      <w:pPr>
        <w:spacing w:after="0" w:line="165" w:lineRule="exact"/>
        <w:rPr>
          <w:rFonts w:ascii="Arial" w:cs="Arial" w:eastAsia="Arial" w:hAnsi="Arial"/>
          <w:sz w:val="17"/>
          <w:szCs w:val="17"/>
          <w:color w:val="auto"/>
        </w:rPr>
      </w:pPr>
    </w:p>
    <w:p>
      <w:pPr>
        <w:ind w:right="120" w:firstLine="987"/>
        <w:spacing w:after="0" w:line="263" w:lineRule="auto"/>
        <w:tabs>
          <w:tab w:leader="none" w:pos="126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ectPr>
          <w:pgSz w:w="11900" w:h="16838" w:orient="portrait"/>
          <w:cols w:equalWidth="0" w:num="1">
            <w:col w:w="11020"/>
          </w:cols>
          <w:pgMar w:left="440" w:top="274" w:right="439" w:bottom="1087"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20"/>
          </w:cols>
          <w:pgMar w:left="440" w:top="274" w:right="439" w:bottom="1087" w:gutter="0" w:footer="0" w:header="0"/>
          <w:type w:val="continuous"/>
        </w:sectPr>
      </w:pPr>
    </w:p>
    <w:bookmarkStart w:id="28" w:name="page29"/>
    <w:bookmarkEnd w:id="28"/>
    <w:p>
      <w:pPr>
        <w:jc w:val="both"/>
        <w:ind w:right="420" w:firstLine="987"/>
        <w:spacing w:after="0" w:line="259" w:lineRule="auto"/>
        <w:tabs>
          <w:tab w:leader="none" w:pos="126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firstLine="987"/>
        <w:spacing w:after="0" w:line="288" w:lineRule="auto"/>
        <w:tabs>
          <w:tab w:leader="none" w:pos="126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68" w:lineRule="exact"/>
        <w:rPr>
          <w:rFonts w:ascii="Arial" w:cs="Arial" w:eastAsia="Arial" w:hAnsi="Arial"/>
          <w:sz w:val="16"/>
          <w:szCs w:val="16"/>
          <w:color w:val="auto"/>
        </w:rPr>
      </w:pPr>
    </w:p>
    <w:p>
      <w:pPr>
        <w:ind w:right="180" w:firstLine="987"/>
        <w:spacing w:after="0" w:line="277" w:lineRule="auto"/>
        <w:tabs>
          <w:tab w:leader="none" w:pos="126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320" w:firstLine="987"/>
        <w:spacing w:after="0" w:line="263" w:lineRule="auto"/>
        <w:tabs>
          <w:tab w:leader="none" w:pos="126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color w:val="auto"/>
        </w:rPr>
      </w:pPr>
    </w:p>
    <w:p>
      <w:pPr>
        <w:ind w:right="60" w:firstLine="987"/>
        <w:spacing w:after="0" w:line="301" w:lineRule="auto"/>
        <w:tabs>
          <w:tab w:leader="none" w:pos="126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157" w:lineRule="exact"/>
        <w:rPr>
          <w:rFonts w:ascii="Arial" w:cs="Arial" w:eastAsia="Arial" w:hAnsi="Arial"/>
          <w:sz w:val="16"/>
          <w:szCs w:val="16"/>
          <w:color w:val="auto"/>
        </w:rPr>
      </w:pPr>
    </w:p>
    <w:p>
      <w:pPr>
        <w:ind w:right="140" w:firstLine="987"/>
        <w:spacing w:after="0" w:line="259" w:lineRule="auto"/>
        <w:tabs>
          <w:tab w:leader="none" w:pos="126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Electronic Signatures</w:t>
      </w:r>
      <w:r>
        <w:rPr>
          <w:rFonts w:ascii="Arial" w:cs="Arial" w:eastAsia="Arial" w:hAnsi="Arial"/>
          <w:sz w:val="18"/>
          <w:szCs w:val="18"/>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ind w:left="4"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49" w:lineRule="exact"/>
        <w:rPr>
          <w:sz w:val="20"/>
          <w:szCs w:val="20"/>
          <w:color w:val="auto"/>
        </w:rPr>
      </w:pPr>
    </w:p>
    <w:p>
      <w:pPr>
        <w:ind w:left="1264" w:hanging="273"/>
        <w:spacing w:after="0"/>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264" w:hanging="273"/>
        <w:spacing w:after="0"/>
        <w:tabs>
          <w:tab w:leader="none" w:pos="126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“Agreement” shall mean this Underwriting Agreement.</w:t>
      </w:r>
    </w:p>
    <w:p>
      <w:pPr>
        <w:spacing w:after="0" w:line="225"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“Disclosure Package” shall mean (i) the Preliminary Prospectus that is generally distributed to investors and used to offer the Securities,</w:t>
      </w:r>
    </w:p>
    <w:p>
      <w:pPr>
        <w:spacing w:after="0" w:line="46" w:lineRule="exact"/>
        <w:rPr>
          <w:sz w:val="20"/>
          <w:szCs w:val="20"/>
          <w:color w:val="auto"/>
        </w:rPr>
      </w:pPr>
    </w:p>
    <w:p>
      <w:pPr>
        <w:ind w:left="4" w:hanging="4"/>
        <w:spacing w:after="0" w:line="255" w:lineRule="auto"/>
        <w:tabs>
          <w:tab w:leader="none" w:pos="2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190"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left="4" w:right="780" w:firstLine="991"/>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“Execution Time” shall mean 4:30 p.m. on October 1, 2020.</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25" w:lineRule="exact"/>
        <w:rPr>
          <w:sz w:val="20"/>
          <w:szCs w:val="20"/>
          <w:color w:val="auto"/>
        </w:rPr>
      </w:pPr>
    </w:p>
    <w:p>
      <w:pPr>
        <w:ind w:left="4" w:right="820" w:firstLine="991"/>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4"/>
          </w:cols>
          <w:pgMar w:left="436" w:top="274" w:right="51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“Issuer Free Writing Prospectus” shall mean an issuer free writing prospectus, as defined in Rule 433.</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“Prospectus” shall mean the prospectus relating to the Securities that is first filed pursuant to Rule 424(b) after the Execution Time.</w:t>
      </w:r>
    </w:p>
    <w:p>
      <w:pPr>
        <w:spacing w:after="0" w:line="23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8"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“Rule 158”, “Rule 163”, “Rule 164”, “Rule 172”, “Rule 405”, “Rule 415”, “Rule 424”, “Rule 430A” and “Rule 433” refer to such rules under the Act.</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undertaken in reliance on Rule 163B under of the Act.</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Act.</w:t>
      </w:r>
    </w:p>
    <w:p>
      <w:pPr>
        <w:spacing w:after="0" w:line="170"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Signatures follow</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60"/>
          </w:cols>
          <w:pgMar w:left="440" w:top="274" w:right="599" w:bottom="1440" w:gutter="0" w:footer="0" w:header="0"/>
        </w:sectPr>
      </w:pPr>
    </w:p>
    <w:bookmarkStart w:id="31" w:name="page32"/>
    <w:bookmarkEnd w:id="3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jc w:val="both"/>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340"/>
          </w:cols>
          <w:pgMar w:left="1440" w:top="274" w:right="11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accepted as of the date first above written.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M. Beaupré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Ryan M. Beaupré</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Jaclyn Berkley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Jaclyn Berkley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pacing w:after="0" w:line="1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19"/>
          </w:cols>
          <w:pgMar w:left="440" w:top="27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0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73"/>
        </w:trPr>
        <w:tc>
          <w:tcPr>
            <w:tcW w:w="760" w:type="dxa"/>
            <w:vAlign w:val="bottom"/>
            <w:vMerge w:val="restart"/>
          </w:tcPr>
          <w:p>
            <w:pPr>
              <w:spacing w:after="0"/>
              <w:rPr>
                <w:sz w:val="20"/>
                <w:szCs w:val="20"/>
                <w:color w:val="auto"/>
              </w:rPr>
            </w:pPr>
            <w:r>
              <w:rPr>
                <w:rFonts w:ascii="Arial" w:cs="Arial" w:eastAsia="Arial" w:hAnsi="Arial"/>
                <w:sz w:val="14"/>
                <w:szCs w:val="14"/>
                <w:color w:val="auto"/>
                <w:w w:val="93"/>
              </w:rPr>
              <w:t>Underwriters</w:t>
            </w:r>
          </w:p>
        </w:tc>
        <w:tc>
          <w:tcPr>
            <w:tcW w:w="30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206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Number of Underwritten Securities</w:t>
            </w: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5140" w:type="dxa"/>
            <w:vAlign w:val="bottom"/>
          </w:tcPr>
          <w:p>
            <w:pPr>
              <w:spacing w:after="0"/>
              <w:rPr>
                <w:sz w:val="15"/>
                <w:szCs w:val="15"/>
                <w:color w:val="auto"/>
              </w:rPr>
            </w:pPr>
          </w:p>
        </w:tc>
        <w:tc>
          <w:tcPr>
            <w:tcW w:w="206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0"/>
              </w:rPr>
              <w:t>to be Purchased</w:t>
            </w:r>
          </w:p>
        </w:tc>
        <w:tc>
          <w:tcPr>
            <w:tcW w:w="0" w:type="dxa"/>
            <w:vAlign w:val="bottom"/>
          </w:tcPr>
          <w:p>
            <w:pPr>
              <w:spacing w:after="0"/>
              <w:rPr>
                <w:sz w:val="1"/>
                <w:szCs w:val="1"/>
                <w:color w:val="auto"/>
              </w:rPr>
            </w:pPr>
          </w:p>
        </w:tc>
      </w:tr>
      <w:tr>
        <w:trPr>
          <w:trHeight w:val="189"/>
        </w:trPr>
        <w:tc>
          <w:tcPr>
            <w:tcW w:w="3780" w:type="dxa"/>
            <w:vAlign w:val="bottom"/>
            <w:gridSpan w:val="2"/>
          </w:tcPr>
          <w:p>
            <w:pPr>
              <w:spacing w:after="0" w:line="189" w:lineRule="exact"/>
              <w:rPr>
                <w:sz w:val="20"/>
                <w:szCs w:val="20"/>
                <w:color w:val="auto"/>
              </w:rPr>
            </w:pPr>
            <w:r>
              <w:rPr>
                <w:rFonts w:ascii="Arial" w:cs="Arial" w:eastAsia="Arial" w:hAnsi="Arial"/>
                <w:sz w:val="18"/>
                <w:szCs w:val="18"/>
                <w:color w:val="auto"/>
              </w:rPr>
              <w:t>Credit Suisse Securities (USA) LLC</w:t>
            </w:r>
          </w:p>
        </w:tc>
        <w:tc>
          <w:tcPr>
            <w:tcW w:w="5140" w:type="dxa"/>
            <w:vAlign w:val="bottom"/>
          </w:tcPr>
          <w:p>
            <w:pPr>
              <w:spacing w:after="0"/>
              <w:rPr>
                <w:sz w:val="16"/>
                <w:szCs w:val="16"/>
                <w:color w:val="auto"/>
              </w:rPr>
            </w:pPr>
          </w:p>
        </w:tc>
        <w:tc>
          <w:tcPr>
            <w:tcW w:w="20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4,218,750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3,125,000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KKR Capital Markets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3,437,500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1,562,500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Stephens Inc.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390,625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39,063</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39,063</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Blaylock Van,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39,063</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Cabrera Capital Markets</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Ramirez &amp; Co., Inc.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 Seelaus &amp; Co., LLC</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0" w:type="dxa"/>
            <w:vAlign w:val="bottom"/>
            <w:gridSpan w:val="3"/>
          </w:tcPr>
          <w:p>
            <w:pPr>
              <w:jc w:val="right"/>
              <w:ind w:right="20"/>
              <w:spacing w:after="0"/>
              <w:rPr>
                <w:sz w:val="20"/>
                <w:szCs w:val="20"/>
                <w:color w:val="auto"/>
              </w:rPr>
            </w:pPr>
            <w:r>
              <w:rPr>
                <w:rFonts w:ascii="Arial" w:cs="Arial" w:eastAsia="Arial" w:hAnsi="Arial"/>
                <w:sz w:val="18"/>
                <w:szCs w:val="18"/>
                <w:color w:val="auto"/>
              </w:rPr>
              <w:t>15,625,000</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140" w:type="dxa"/>
            <w:vAlign w:val="bottom"/>
          </w:tcPr>
          <w:p>
            <w:pPr>
              <w:jc w:val="right"/>
              <w:ind w:right="3230"/>
              <w:spacing w:after="0"/>
              <w:rPr>
                <w:sz w:val="20"/>
                <w:szCs w:val="20"/>
                <w:color w:val="auto"/>
              </w:rPr>
            </w:pPr>
            <w:r>
              <w:rPr>
                <w:rFonts w:ascii="Arial" w:cs="Arial" w:eastAsia="Arial" w:hAnsi="Arial"/>
                <w:sz w:val="18"/>
                <w:szCs w:val="18"/>
                <w:color w:val="auto"/>
              </w:rPr>
              <w:t>30</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4" w:name="page35"/>
    <w:bookmarkEnd w:id="34"/>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131" w:lineRule="exact"/>
        <w:rPr>
          <w:sz w:val="20"/>
          <w:szCs w:val="20"/>
          <w:color w:val="auto"/>
        </w:rPr>
      </w:pPr>
    </w:p>
    <w:p>
      <w:pPr>
        <w:ind w:left="960" w:hanging="4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131" w:lineRule="exact"/>
        <w:rPr>
          <w:sz w:val="20"/>
          <w:szCs w:val="20"/>
          <w:color w:val="auto"/>
        </w:rPr>
      </w:pPr>
    </w:p>
    <w:p>
      <w:pPr>
        <w:ind w:left="960" w:hanging="424"/>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Number of Underwritten Securities: 15,625,000 shares of Common Stock</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Option Securities: 2,343,750 shares of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$13.00 per share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19"/>
          </w:cols>
          <w:pgMar w:left="440" w:top="270" w:right="1440" w:bottom="1440" w:gutter="0" w:footer="0" w:header="0"/>
        </w:sectPr>
      </w:pPr>
    </w:p>
    <w:bookmarkStart w:id="35" w:name="page36"/>
    <w:bookmarkEnd w:id="35"/>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Significant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ACADEMY, LTD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9"/>
          </w:cols>
          <w:pgMar w:left="440" w:top="274" w:right="1440" w:bottom="1440" w:gutter="0" w:footer="0" w:header="0"/>
        </w:sectPr>
      </w:pPr>
    </w:p>
    <w:bookmarkStart w:id="36" w:name="page37"/>
    <w:bookmarkEnd w:id="36"/>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Lock-Up Agreement</w:t>
      </w:r>
      <w:r>
        <w:rPr>
          <w:sz w:val="20"/>
          <w:szCs w:val="20"/>
          <w:color w:val="auto"/>
        </w:rPr>
        <w:tab/>
      </w: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1432"/>
        <w:spacing w:after="0" w:line="259" w:lineRule="auto"/>
        <w:rPr>
          <w:sz w:val="20"/>
          <w:szCs w:val="20"/>
          <w:color w:val="auto"/>
        </w:rPr>
      </w:pPr>
      <w:r>
        <w:rPr>
          <w:rFonts w:ascii="Arial" w:cs="Arial" w:eastAsia="Arial" w:hAnsi="Arial"/>
          <w:sz w:val="18"/>
          <w:szCs w:val="18"/>
          <w:color w:val="auto"/>
        </w:rPr>
        <w:t>This letter agreement (this “Letter Agreement”) is being delivered to you in connection with the proposed Underwriting Agreement (the “Underwriting Agreement”), between Academy Sports and Outdoors, Inc., a Delaware corporation (the “Company”), and each of you as representatives of a group of Underwriters named therein, relating to an underwritten public offering of Common Stock, $0.01 par value (the “Common Stock”), of the Company (the “Offering”).</w:t>
      </w:r>
    </w:p>
    <w:p>
      <w:pPr>
        <w:spacing w:after="0" w:line="187" w:lineRule="exact"/>
        <w:rPr>
          <w:sz w:val="20"/>
          <w:szCs w:val="20"/>
          <w:color w:val="auto"/>
        </w:rPr>
      </w:pPr>
    </w:p>
    <w:p>
      <w:pPr>
        <w:ind w:right="80" w:firstLine="1432"/>
        <w:spacing w:after="0" w:line="271" w:lineRule="auto"/>
        <w:rPr>
          <w:sz w:val="20"/>
          <w:szCs w:val="20"/>
          <w:color w:val="auto"/>
        </w:rPr>
      </w:pPr>
      <w:r>
        <w:rPr>
          <w:rFonts w:ascii="Arial" w:cs="Arial" w:eastAsia="Arial" w:hAnsi="Arial"/>
          <w:sz w:val="17"/>
          <w:szCs w:val="17"/>
          <w:color w:val="auto"/>
        </w:rPr>
        <w:t>In order to induce you and the other Underwriters to enter into the Underwriting Agreement, the undersigned will not, without the prior written consent of Credit Suisse Securities (USA) LLC and J.P. Morgan Securities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37" w:name="page38"/>
    <w:bookmarkEnd w:id="3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180 days after the date of the Underwriting Agreement (the “lock-up period”). Capitalized terms used but not defined herein shall have the meanings assigned thereto in the Underwriting Agreement.</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foregoing restrictions shall not apply:</w:t>
      </w:r>
    </w:p>
    <w:p>
      <w:pPr>
        <w:spacing w:after="0" w:line="131" w:lineRule="exact"/>
        <w:rPr>
          <w:sz w:val="20"/>
          <w:szCs w:val="20"/>
          <w:color w:val="auto"/>
        </w:rPr>
      </w:pPr>
    </w:p>
    <w:p>
      <w:pPr>
        <w:ind w:left="1420" w:right="80" w:hanging="439"/>
        <w:spacing w:after="0" w:line="308" w:lineRule="auto"/>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51" w:lineRule="exact"/>
        <w:rPr>
          <w:rFonts w:ascii="Arial" w:cs="Arial" w:eastAsia="Arial" w:hAnsi="Arial"/>
          <w:sz w:val="17"/>
          <w:szCs w:val="17"/>
          <w:color w:val="auto"/>
        </w:rPr>
      </w:pPr>
    </w:p>
    <w:p>
      <w:pPr>
        <w:ind w:left="1420" w:right="140" w:hanging="439"/>
        <w:spacing w:after="0" w:line="25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130" w:lineRule="exact"/>
        <w:rPr>
          <w:rFonts w:ascii="Arial" w:cs="Arial" w:eastAsia="Arial" w:hAnsi="Arial"/>
          <w:sz w:val="18"/>
          <w:szCs w:val="18"/>
          <w:color w:val="auto"/>
        </w:rPr>
      </w:pPr>
    </w:p>
    <w:p>
      <w:pPr>
        <w:ind w:left="1420" w:right="400" w:hanging="43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that controls or manages, or is controlled or managed by, or is under common control or management with, the undersigned;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transfers to a nominee or custodian of a person or entity to whom a disposition or transfer would be permissible under clauses</w:t>
      </w:r>
    </w:p>
    <w:p>
      <w:pPr>
        <w:spacing w:after="0" w:line="46"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(i) through (iv);</w:t>
      </w:r>
    </w:p>
    <w:p>
      <w:pPr>
        <w:spacing w:after="0" w:line="116" w:lineRule="exact"/>
        <w:rPr>
          <w:rFonts w:ascii="Arial" w:cs="Arial" w:eastAsia="Arial" w:hAnsi="Arial"/>
          <w:sz w:val="16"/>
          <w:szCs w:val="16"/>
          <w:color w:val="auto"/>
        </w:rPr>
      </w:pPr>
    </w:p>
    <w:p>
      <w:pPr>
        <w:ind w:left="1420" w:hanging="439"/>
        <w:spacing w:after="0" w:line="288" w:lineRule="auto"/>
        <w:tabs>
          <w:tab w:leader="none" w:pos="1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to transfers to the Company (1) pursuant to the exercise, in each case on a “cashless” or “net exercise” basis,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where any Shares received by the undersigned upon any such exercise, vesting or settlement will be subject to the terms of this lock-up agreement, or (2) for the purpose of satisfying any withholding taxes (including estimated taxes) due as a result of the exercise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in each case on a “cashless” or “net exercise” basis, where any Shares received by the undersigned upon any such exercise, vesting or settlement will be subject to the terms of this lock-up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8" w:name="page39"/>
    <w:bookmarkEnd w:id="38"/>
    <w:p>
      <w:pPr>
        <w:ind w:left="439"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89" w:lineRule="exact"/>
        <w:rPr>
          <w:sz w:val="20"/>
          <w:szCs w:val="20"/>
          <w:color w:val="auto"/>
        </w:rPr>
      </w:pPr>
    </w:p>
    <w:p>
      <w:pPr>
        <w:ind w:left="439" w:right="100" w:hanging="439"/>
        <w:spacing w:after="0" w:line="293" w:lineRule="auto"/>
        <w:tabs>
          <w:tab w:leader="none" w:pos="4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69" w:lineRule="exact"/>
        <w:rPr>
          <w:rFonts w:ascii="Arial" w:cs="Arial" w:eastAsia="Arial" w:hAnsi="Arial"/>
          <w:sz w:val="16"/>
          <w:szCs w:val="16"/>
          <w:color w:val="auto"/>
        </w:rPr>
      </w:pPr>
    </w:p>
    <w:p>
      <w:pPr>
        <w:ind w:left="439" w:right="20" w:hanging="439"/>
        <w:spacing w:after="0" w:line="279" w:lineRule="auto"/>
        <w:tabs>
          <w:tab w:leader="none" w:pos="439"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76" w:lineRule="exact"/>
        <w:rPr>
          <w:rFonts w:ascii="Arial" w:cs="Arial" w:eastAsia="Arial" w:hAnsi="Arial"/>
          <w:sz w:val="17"/>
          <w:szCs w:val="17"/>
          <w:color w:val="auto"/>
        </w:rPr>
      </w:pPr>
    </w:p>
    <w:p>
      <w:pPr>
        <w:ind w:left="439" w:right="320" w:hanging="439"/>
        <w:spacing w:after="0" w:line="277"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130" w:lineRule="exact"/>
        <w:rPr>
          <w:rFonts w:ascii="Arial" w:cs="Arial" w:eastAsia="Arial" w:hAnsi="Arial"/>
          <w:sz w:val="18"/>
          <w:szCs w:val="18"/>
          <w:color w:val="auto"/>
        </w:rPr>
      </w:pPr>
    </w:p>
    <w:p>
      <w:pPr>
        <w:ind w:left="439" w:hanging="439"/>
        <w:spacing w:after="0" w:line="290" w:lineRule="auto"/>
        <w:tabs>
          <w:tab w:leader="none" w:pos="4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to transfers in response to a bona fide third party tender offer, merger, consolidation or other similar transaction made to or with all holders of Shares or related Securities involving a “change of control” (as defined below) of the Company occurring after the consummation of the Offering, that has been approved by the board of directors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undersigned’s Shares shall remain subject to the terms of this Letter Agreement. For purposes of this clause (xi), “change of control” means the consummation of any bona fide third party tender offer, merger, consolidation or other similar transaction the result of which is that any “person” (as defined in Section 13 (d)(3) of the Exchange Act), or group of persons, other than the Company, becomes the beneficial owner (as defined in Rules 13d-3 and 13d-5 of the Exchange Act) of at least 51% of total voting power of the voting stock of the Company;</w:t>
      </w:r>
    </w:p>
    <w:p>
      <w:pPr>
        <w:spacing w:after="0" w:line="9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1421" w:top="274" w:right="459" w:bottom="1440" w:gutter="0" w:footer="0" w:header="0"/>
        </w:sectPr>
      </w:pPr>
    </w:p>
    <w:bookmarkStart w:id="39" w:name="page40"/>
    <w:bookmarkEnd w:id="39"/>
    <w:p>
      <w:pPr>
        <w:ind w:left="1420" w:right="120" w:hanging="43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entry into a written plan meeting the requirements of Rule 10b5-l under the Exchange Act for the transfer of Shares that does not in any case provide for the transfer of Shares during the lock-up period;</w:t>
      </w:r>
    </w:p>
    <w:p>
      <w:pPr>
        <w:spacing w:after="0" w:line="75" w:lineRule="exact"/>
        <w:rPr>
          <w:rFonts w:ascii="Arial" w:cs="Arial" w:eastAsia="Arial" w:hAnsi="Arial"/>
          <w:sz w:val="18"/>
          <w:szCs w:val="18"/>
          <w:color w:val="auto"/>
        </w:rPr>
      </w:pPr>
    </w:p>
    <w:p>
      <w:pPr>
        <w:ind w:left="1420" w:right="60" w:hanging="43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transfer, conversion, reclassification, redemption or exchange of any Shares or Related Securities pursuant to the Reorganization Transactions; and</w:t>
      </w:r>
    </w:p>
    <w:p>
      <w:pPr>
        <w:spacing w:after="0" w:line="75" w:lineRule="exact"/>
        <w:rPr>
          <w:rFonts w:ascii="Arial" w:cs="Arial" w:eastAsia="Arial" w:hAnsi="Arial"/>
          <w:sz w:val="18"/>
          <w:szCs w:val="18"/>
          <w:color w:val="auto"/>
        </w:rPr>
      </w:pPr>
    </w:p>
    <w:p>
      <w:pPr>
        <w:ind w:left="1420" w:hanging="439"/>
        <w:spacing w:after="0" w:line="291"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sales in open market transactions to generate such amount of net proceeds to the undersigned from such sales (after deducting commissions) in an aggregate amount up to the total amount of taxes or estimated taxes (as applicable) that become due as a result of</w:t>
      </w:r>
    </w:p>
    <w:p>
      <w:pPr>
        <w:ind w:left="1420" w:right="2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(A) the exercise of options held by the undersigned with respect to which the undersigned has the right to net exercise and/or (B) the vesting and/or settlement of restricted stock awards or restricted stock units held by the undersigned, in each case, issued pursuant to any incentive plans or otherwise pursuant to equity compensation plans or arrangements described in or filed as an exhibit to the registration statement with respect to the Offering and that are exercisable and/or scheduled to vest and/or settle immediately prior to or during the lock-up;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transfers described in this subclause (xiv)(B) may only take place if at least 90 days have elapsed since the date of the Underwriting Agreement (and, for the sake of clarity, no transfers in the open market are permitted pursuant to this subclause (xiv)(B) if less than 90 days have elapsed since the date of the Underwriting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131" w:lineRule="exact"/>
        <w:rPr>
          <w:sz w:val="20"/>
          <w:szCs w:val="20"/>
          <w:color w:val="auto"/>
        </w:rPr>
      </w:pPr>
    </w:p>
    <w:p>
      <w:pPr>
        <w:ind w:left="1740" w:right="100" w:hanging="543"/>
        <w:spacing w:after="0" w:line="254" w:lineRule="auto"/>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 through (v) above, it shall be a condition to such transfer that each transferee executes and delivers to Credit Suisse Securities (USA) LLC and J.P. Morgan Securities LLC an agreement in form and substance satisfactory to Credit Suisse Securities (USA) LLC and J.P. Morgan Securities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100" w:lineRule="exact"/>
        <w:rPr>
          <w:rFonts w:ascii="Arial" w:cs="Arial" w:eastAsia="Arial" w:hAnsi="Arial"/>
          <w:sz w:val="18"/>
          <w:szCs w:val="18"/>
          <w:color w:val="auto"/>
        </w:rPr>
      </w:pPr>
    </w:p>
    <w:p>
      <w:pPr>
        <w:ind w:left="1740" w:right="60" w:hanging="543"/>
        <w:spacing w:after="0" w:line="279" w:lineRule="auto"/>
        <w:tabs>
          <w:tab w:leader="none" w:pos="1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 through (v), (ix),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171" w:lineRule="exact"/>
        <w:rPr>
          <w:sz w:val="20"/>
          <w:szCs w:val="20"/>
          <w:color w:val="auto"/>
        </w:rPr>
      </w:pPr>
    </w:p>
    <w:p>
      <w:pPr>
        <w:ind w:right="160" w:firstLine="1432"/>
        <w:spacing w:after="0" w:line="308" w:lineRule="auto"/>
        <w:rPr>
          <w:sz w:val="20"/>
          <w:szCs w:val="20"/>
          <w:color w:val="auto"/>
        </w:rPr>
      </w:pPr>
      <w:r>
        <w:rPr>
          <w:rFonts w:ascii="Arial" w:cs="Arial" w:eastAsia="Arial" w:hAnsi="Arial"/>
          <w:sz w:val="17"/>
          <w:szCs w:val="17"/>
          <w:color w:val="auto"/>
        </w:rPr>
        <w:t xml:space="preserve">Notwithstanding anything to the contrary in this agreement, the restrictions set forth in this Letter Agreement shall not apply to the exercise of any right with respect to a registration of any Shares or Related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transfer of the undersigned’s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0" w:name="page41"/>
    <w:bookmarkEnd w:id="40"/>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or Related Securities proposed to be registered pursuant to the exercise of such rights under this paragraph shall occur, and no registration statement shall be publicly filed or announced, during the lock-up period. In addition, the undersigned agrees and consents to the entry of stop transfer instructions with the Company’s transfer agent and registrar against the transfer of the undersigned’s Shares or Related Securities except in compliance with the foregoing restrictions.</w:t>
      </w:r>
    </w:p>
    <w:p>
      <w:pPr>
        <w:spacing w:after="0" w:line="187" w:lineRule="exact"/>
        <w:rPr>
          <w:sz w:val="20"/>
          <w:szCs w:val="20"/>
          <w:color w:val="auto"/>
        </w:rPr>
      </w:pPr>
    </w:p>
    <w:p>
      <w:pPr>
        <w:ind w:left="4" w:right="340" w:firstLine="1432"/>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restrictions shall be equally applicable to any issuer-directed shares of Common Stock the undersigned may purchase in the Offering.</w:t>
      </w:r>
    </w:p>
    <w:p>
      <w:pPr>
        <w:spacing w:after="0" w:line="170" w:lineRule="exact"/>
        <w:rPr>
          <w:sz w:val="20"/>
          <w:szCs w:val="20"/>
          <w:color w:val="auto"/>
        </w:rPr>
      </w:pPr>
    </w:p>
    <w:p>
      <w:pPr>
        <w:ind w:left="4" w:firstLine="1432"/>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 or any Underwriter is making such a recommendation.</w:t>
      </w:r>
    </w:p>
    <w:p>
      <w:pPr>
        <w:spacing w:after="0" w:line="164" w:lineRule="exact"/>
        <w:rPr>
          <w:sz w:val="20"/>
          <w:szCs w:val="20"/>
          <w:color w:val="auto"/>
        </w:rPr>
      </w:pPr>
    </w:p>
    <w:p>
      <w:pPr>
        <w:jc w:val="both"/>
        <w:ind w:left="4" w:right="140" w:firstLine="991"/>
        <w:spacing w:after="0" w:line="287" w:lineRule="auto"/>
        <w:rPr>
          <w:sz w:val="20"/>
          <w:szCs w:val="20"/>
          <w:color w:val="auto"/>
        </w:rPr>
      </w:pPr>
      <w:r>
        <w:rPr>
          <w:rFonts w:ascii="Arial" w:cs="Arial" w:eastAsia="Arial" w:hAnsi="Arial"/>
          <w:sz w:val="16"/>
          <w:szCs w:val="16"/>
          <w:color w:val="auto"/>
        </w:rPr>
        <w:t>If the undersigned is an officer or director of the Company, (i) Credit Suisse Securities (USA) LLC and J.P. Morgan Securities LLC agree that, at least three business days before the effective date of any release or waiver of the foregoing restrictions in connection with a transfer of shares of Common Stock, Credit Suisse Securities (USA) LLC and J.P. Morgan Securities LLC will notify the Company of the impending release or waiver, and</w:t>
      </w:r>
    </w:p>
    <w:p>
      <w:pPr>
        <w:spacing w:after="0" w:line="2" w:lineRule="exact"/>
        <w:rPr>
          <w:sz w:val="20"/>
          <w:szCs w:val="20"/>
          <w:color w:val="auto"/>
        </w:rPr>
      </w:pPr>
    </w:p>
    <w:p>
      <w:pPr>
        <w:ind w:left="4" w:right="60" w:hanging="4"/>
        <w:spacing w:after="0" w:line="252" w:lineRule="auto"/>
        <w:tabs>
          <w:tab w:leader="none" w:pos="2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agreed in the Underwriting Agreement to announce the impending release or waiver by press release through a major news service at least two business days before the effective date of the release or waiver. Any release or waiver granted by Credit Suisse Securities (USA) LLC and J.P. Morgan Securities LLC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4" w:lineRule="exact"/>
        <w:rPr>
          <w:sz w:val="20"/>
          <w:szCs w:val="20"/>
          <w:color w:val="auto"/>
        </w:rPr>
      </w:pPr>
    </w:p>
    <w:p>
      <w:pPr>
        <w:ind w:left="4" w:right="420" w:firstLine="1432"/>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the agreement set forth above shall likewise be terminated.</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[Name and address of officer, director or</w:t>
      </w:r>
    </w:p>
    <w:p>
      <w:pPr>
        <w:spacing w:after="0" w:line="27"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stockholder]</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4" w:right="439" w:bottom="1440" w:gutter="0" w:footer="0" w:header="0"/>
        </w:sectPr>
      </w:pPr>
    </w:p>
    <w:bookmarkStart w:id="41" w:name="page42"/>
    <w:bookmarkEnd w:id="41"/>
    <w:p>
      <w:pPr>
        <w:spacing w:after="0"/>
        <w:tabs>
          <w:tab w:leader="none" w:pos="9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List of Lock-Up Parties</w:t>
      </w:r>
      <w:r>
        <w:rPr>
          <w:sz w:val="20"/>
          <w:szCs w:val="20"/>
          <w:color w:val="auto"/>
        </w:rPr>
        <w:tab/>
      </w:r>
      <w:r>
        <w:rPr>
          <w:rFonts w:ascii="Arial" w:cs="Arial" w:eastAsia="Arial" w:hAnsi="Arial"/>
          <w:sz w:val="18"/>
          <w:szCs w:val="18"/>
          <w:color w:val="auto"/>
        </w:rPr>
        <w:t>EXHIBIT A-1</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20"/>
          </w:cols>
          <w:pgMar w:left="440" w:top="270" w:right="439" w:bottom="1440" w:gutter="0" w:footer="0" w:header="0"/>
          <w:type w:val="continuous"/>
        </w:sectPr>
      </w:pPr>
    </w:p>
    <w:bookmarkStart w:id="42" w:name="page43"/>
    <w:bookmarkEnd w:id="42"/>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Press Release</w:t>
      </w:r>
      <w:r>
        <w:rPr>
          <w:sz w:val="20"/>
          <w:szCs w:val="20"/>
          <w:color w:val="auto"/>
        </w:rPr>
        <w:tab/>
      </w:r>
      <w:r>
        <w:rPr>
          <w:rFonts w:ascii="Arial" w:cs="Arial" w:eastAsia="Arial" w:hAnsi="Arial"/>
          <w:sz w:val="18"/>
          <w:szCs w:val="18"/>
          <w:color w:val="auto"/>
        </w:rPr>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Academy Sports and Outdoors, Inc. (the “Company”) announced today that Credit Suisse Securities (USA) LLC and J.P. Morgan Securities LLC, as lead book-running managers in the Company’s recent public sale of [●] shares of Common Stock, are [waiving] [releasing] a lock-up restriction with respect to [●] shares of the Company’s Common Stock held by [certain officers or directors] [an officer or director] of the Company. The [waiver] [release] will take effect on [●], 20 [●], and the shares may be sold on or after such date.</w:t>
      </w:r>
    </w:p>
    <w:p>
      <w:pPr>
        <w:spacing w:after="0" w:line="16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0" w:right="439" w:bottom="1440" w:gutter="0" w:footer="0" w:header="0"/>
        </w:sectPr>
      </w:pPr>
    </w:p>
    <w:bookmarkStart w:id="43" w:name="page44"/>
    <w:bookmarkEnd w:id="43"/>
    <w:p>
      <w:pPr>
        <w:spacing w:after="0"/>
        <w:tabs>
          <w:tab w:leader="none" w:pos="9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Waiver of Lock-Up</w:t>
      </w:r>
      <w:r>
        <w:rPr>
          <w:sz w:val="20"/>
          <w:szCs w:val="20"/>
          <w:color w:val="auto"/>
        </w:rPr>
        <w:tab/>
      </w:r>
      <w:r>
        <w:rPr>
          <w:rFonts w:ascii="Arial" w:cs="Arial" w:eastAsia="Arial" w:hAnsi="Arial"/>
          <w:sz w:val="18"/>
          <w:szCs w:val="18"/>
          <w:color w:val="auto"/>
        </w:rPr>
        <w:t>ADDENDUM</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5"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Academy Sports and Outdoors, Inc., a Delaware corporation (the “Company”) of [●] shares of Common Stock, $0.01 par value (the “Common Stock”), of the Company and the lock-up letter dated [●], 2020 (the “Lock-up Letter”), executed by you in connection with such offering, and your request for a [waiver] [release] dated [●], 20[●], with respect to [●] shares of Common Stock (the “Shares”).</w:t>
      </w:r>
    </w:p>
    <w:p>
      <w:pPr>
        <w:spacing w:after="0" w:line="187" w:lineRule="exact"/>
        <w:rPr>
          <w:sz w:val="20"/>
          <w:szCs w:val="20"/>
          <w:color w:val="auto"/>
        </w:rPr>
      </w:pPr>
    </w:p>
    <w:p>
      <w:pPr>
        <w:ind w:right="60" w:firstLine="1432"/>
        <w:spacing w:after="0" w:line="279" w:lineRule="auto"/>
        <w:rPr>
          <w:sz w:val="20"/>
          <w:szCs w:val="20"/>
          <w:color w:val="auto"/>
        </w:rPr>
      </w:pPr>
      <w:r>
        <w:rPr>
          <w:rFonts w:ascii="Arial" w:cs="Arial" w:eastAsia="Arial" w:hAnsi="Arial"/>
          <w:sz w:val="17"/>
          <w:szCs w:val="17"/>
          <w:color w:val="auto"/>
        </w:rPr>
        <w:t xml:space="preserve">Credit Suisse Securities (USA) LLC and J.P. Morgan Securities LLC hereby agree to [waive] [release] the transfer restrictions set forth in the Lock-up Letter, but only with respect to the Shares, effective [●], 20[●];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Credit Suisse Securities (USA) LLC and J.P. Morgan Securities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44" w:name="page45"/>
    <w:bookmarkEnd w:id="44"/>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STB Opinion and Negative Assurance Letter</w:t>
      </w:r>
      <w:r>
        <w:rPr>
          <w:sz w:val="20"/>
          <w:szCs w:val="20"/>
          <w:color w:val="auto"/>
        </w:rPr>
        <w:tab/>
      </w:r>
      <w:r>
        <w:rPr>
          <w:rFonts w:ascii="Arial" w:cs="Arial" w:eastAsia="Arial" w:hAnsi="Arial"/>
          <w:sz w:val="18"/>
          <w:szCs w:val="18"/>
          <w:color w:val="auto"/>
        </w:rPr>
        <w:t>EXHIBIT C</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020"/>
          </w:cols>
          <w:pgMar w:left="440" w:top="270" w:right="439" w:bottom="1440" w:gutter="0" w:footer="0" w:header="0"/>
          <w:type w:val="continuous"/>
        </w:sectPr>
      </w:pPr>
    </w:p>
    <w:bookmarkStart w:id="45" w:name="page46"/>
    <w:bookmarkEnd w:id="45"/>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General Counsel Opinion</w:t>
      </w:r>
      <w:r>
        <w:rPr>
          <w:sz w:val="20"/>
          <w:szCs w:val="20"/>
          <w:color w:val="auto"/>
        </w:rPr>
        <w:tab/>
      </w:r>
      <w:r>
        <w:rPr>
          <w:rFonts w:ascii="Arial" w:cs="Arial" w:eastAsia="Arial" w:hAnsi="Arial"/>
          <w:sz w:val="18"/>
          <w:szCs w:val="18"/>
          <w:color w:val="auto"/>
        </w:rPr>
        <w:t>EXHIBIT D</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020"/>
          </w:cols>
          <w:pgMar w:left="440" w:top="270" w:right="4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present name of the corporation is Academy Sports and Outdoors,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incorporated under its present name by the filing of its original Certificate of Incorporation with the Secretary of State of the State of Delaware on June 30, 2020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This Amended and Restated Certificate of Incorporation of the Corporation (as the same may be amended and/or restated from time to time, the “</w:t>
      </w:r>
      <w:r>
        <w:rPr>
          <w:rFonts w:ascii="Arial" w:cs="Arial" w:eastAsia="Arial" w:hAnsi="Arial"/>
          <w:sz w:val="16"/>
          <w:szCs w:val="16"/>
          <w:u w:val="single" w:color="auto"/>
          <w:color w:val="auto"/>
        </w:rPr>
        <w:t>Amended and Restated Certificate of Incorporation</w:t>
      </w:r>
      <w:r>
        <w:rPr>
          <w:rFonts w:ascii="Arial" w:cs="Arial" w:eastAsia="Arial" w:hAnsi="Arial"/>
          <w:sz w:val="16"/>
          <w:szCs w:val="16"/>
          <w:color w:val="auto"/>
        </w:rPr>
        <w:t>”), which restates and integrates and also further amends the provisions of the Original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The Original Certificate of Incorporation is hereby amended, integrated and restated in its entirety to read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Corporation is Academy Sports and Outdoors,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 AND AGENT</w:t>
      </w:r>
    </w:p>
    <w:p>
      <w:pPr>
        <w:spacing w:after="0" w:line="229"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The address of the registered office of the Corporation in the State of Delaware is Corporation Trust Center, 1209 Orange Street, in the City of Wilmington, County of New Castle, Delaware 19801. The name of the registered agent of the Corporation in the State of Delaware at such address is The Corporation Trust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right="500" w:firstLine="991"/>
        <w:spacing w:after="0" w:line="308"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(as the same exists or may hereafter be amended from time to time,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350,000,000, which shall be divided into two classes as follows:</w:t>
      </w:r>
    </w:p>
    <w:p>
      <w:pPr>
        <w:sectPr>
          <w:pgSz w:w="11900" w:h="16838" w:orient="portrait"/>
          <w:cols w:equalWidth="0" w:num="1">
            <w:col w:w="11020"/>
          </w:cols>
          <w:pgMar w:left="440" w:top="121" w:right="439" w:bottom="1440" w:gutter="0" w:footer="0" w:header="0"/>
        </w:sectPr>
      </w:pPr>
    </w:p>
    <w:bookmarkStart w:id="47" w:name="page48"/>
    <w:bookmarkEnd w:id="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300,000,000 shares of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50,000,000 shares of preferred stock, par value $0.01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w:t>
      </w:r>
    </w:p>
    <w:p>
      <w:pPr>
        <w:spacing w:after="0" w:line="12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A. Common Stock and Preferred Stock may be issued from time to time by the Corporation for such consideration as may be fixed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16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w:t>
      </w:r>
    </w:p>
    <w:p>
      <w:pPr>
        <w:spacing w:after="0" w:line="16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C. Except as otherwise required by law, holders of any series of Preferred Stock shall be entitled to only such voting rights, if any, as shall expressly be granted thereto by this Amended and Restated Certificate of Incorporation (including any certificate of designation relating to such series of Preferred Stock).</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8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8" w:name="page49"/>
    <w:bookmarkEnd w:id="48"/>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 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or the Preferred Stock voting separately as a class shall be required therefor, unless a vote of any such holder is required pursuant to this Amended and Restated Certificate of Incorporation (including any certificate of designation relating to any series of Preferred Stock).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7"/>
          <w:szCs w:val="17"/>
          <w:color w:val="auto"/>
        </w:rPr>
        <w:t>A. For so long as KKR (as defined below) beneficially owns, in the aggregate, at least 40% in voting power of the stock of the Corporation entitled to vote generally in the election of directors, in addition to any vote required by applicable law, this Amended and Restated Certificate of Incorporation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 Notwithstanding anything contained in this Amended and Restated Certificate of Incorporation to the contrary, at any time when KKR beneficially owns, in the aggregate, less than 40% in voting power of the stock of the Corporation entitled to vote generally in the election of directors, in addition to any vote required by applicable law, the following provisions in this Amended and Restated Certificate of Incorporation may be amended, altered, repealed or rescinded, in whole or in part, or any provision inconsistent therewith or herewith may be adopted, only by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voting power of all the then-outstanding shares of stock of the Corporation entitled to vote thereon, voting together as a single class: this Article V, Article VI, Article VII, Article VIII, Article IX and Article X. For the purposes of this Amended and Restated Certificate of Incorporation, beneficial ownership of shares shall be determined in accordance with Rule 13d-3 promulgated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192"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amended and restated bylaws of the Corporation (as in effect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without the assent or vote of the stockholders in any manner not inconsistent with the laws of the State of Delaware or this Amended and Restated Certificate of Incorporation. For so long as KKR beneficially owns, in the aggregate, at least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Notwithstanding anything to the contrary contained in this Amended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9" w:name="page50"/>
    <w:bookmarkEnd w:id="49"/>
    <w:p>
      <w:pPr>
        <w:ind w:right="20"/>
        <w:spacing w:after="0" w:line="23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Restated Certificate of Incorporation or any provision of law which might otherwise permit a lesser vote of the stockholders, at any time when KKR beneficially owns,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9"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A. Except as otherwise provided in this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and subject to the applicable requirements of the Stockholders Agreement (as defined below), the total number of directors constituting the whole Board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Subject to the terms of the Stockholders Agreement, any such director shall hold office until the annual meeting at which his or her term expires and until his or her successor shall be elected and qualified, or his or her earlier death, resignation, retirement, disqualification or removal from office. The Board of Directors is authorized to assign members of the Board of Directors already in office prior to the IPO Date to their respective class.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0" w:name="page51"/>
    <w:bookmarkEnd w:id="50"/>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Subject to the rights granted to the holders of any one or more series of Preferred Stock then outstanding or the rights granted pursuant to the Stockholders Agreement, to be dated on or about October 6, 2020 (as the same may be amended, supplemented, restated or otherwise modified from time to time,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by and among the Corporation, and certain affiliates of Kohlberg Kravis Roberts &amp; Co. L.P. (together with its affiliates and subsidiaries and its and their successors and assigns (other than the Corporation and its subsidiaries), collectively, “</w:t>
      </w:r>
      <w:r>
        <w:rPr>
          <w:rFonts w:ascii="Arial" w:cs="Arial" w:eastAsia="Arial" w:hAnsi="Arial"/>
          <w:sz w:val="16"/>
          <w:szCs w:val="16"/>
          <w:u w:val="single" w:color="auto"/>
          <w:color w:val="auto"/>
        </w:rPr>
        <w:t>KKR</w:t>
      </w:r>
      <w:r>
        <w:rPr>
          <w:rFonts w:ascii="Arial" w:cs="Arial" w:eastAsia="Arial" w:hAnsi="Arial"/>
          <w:sz w:val="16"/>
          <w:szCs w:val="16"/>
          <w:color w:val="auto"/>
        </w:rPr>
        <w:t xml:space="preserve">”), any newly created directorship on the Board of Directors that results from an increase in the number of directors and any vacancy occurring on the Board of Directors (whether by death, resignation, retirement, disqualification, removal or other cause) shall be filled by a majority of the directors then in office (other than the directors elected by the holders of any series of Preferred Stock, voting separately as a series or together with one or more other such series, as the case may be), even if less than a quorum, by any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KKR beneficially owns, in the aggregate, less than 40% in voting power of the stock of the Corporation entitled to vote generally in the election of directors, any newly 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(other than the directors elected by the holders of any series of Preferred Stock, voting separately as a series or together with one or more other such series, as the case may be), even if less than a quorum, or by any such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67" w:lineRule="exact"/>
        <w:rPr>
          <w:sz w:val="20"/>
          <w:szCs w:val="20"/>
          <w:color w:val="auto"/>
        </w:rPr>
      </w:pPr>
    </w:p>
    <w:p>
      <w:pPr>
        <w:ind w:right="40" w:firstLine="440"/>
        <w:spacing w:after="0" w:line="246" w:lineRule="auto"/>
        <w:rPr>
          <w:sz w:val="20"/>
          <w:szCs w:val="20"/>
          <w:color w:val="auto"/>
        </w:rPr>
      </w:pPr>
      <w:r>
        <w:rPr>
          <w:rFonts w:ascii="Arial" w:cs="Arial" w:eastAsia="Arial" w:hAnsi="Arial"/>
          <w:sz w:val="17"/>
          <w:szCs w:val="17"/>
          <w:color w:val="auto"/>
        </w:rPr>
        <w:t xml:space="preserve">C. Subject to rights granted to KKR under the Stockholders Agreement, 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when KKR beneficially owns, in the aggregate, less than 40% in voting power of the stock of the Corporation entitled to vote generally in the election of directors, any such director or all such directors may be removed only for cause and only by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voting power of all the then-outstanding shares of stock of the Corporation entitled to vote thereon, voting together as a single class.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Elections of directors need not be by written ballot unless the Bylaws shall so provide.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DIRECTOR LIABILITY</w:t>
      </w:r>
    </w:p>
    <w:p>
      <w:pPr>
        <w:spacing w:after="0" w:line="229"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A.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24"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B. Neither the amendment nor repeal of this Article VII, nor the adoption of any provision of this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CONSENT OF STOCKHOLDERS IN LIEU OF MEETING, ANNUAL AND SPECIAL MEETINGS OF STOCKHOLDERS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A. At any time when KKR beneficially owns, in the aggregate, at least 40%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accordance with the applicable procedures of the DGCL. At any time when KKR beneficially owns,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action required or permitted to be taken by the holders of Preferred Stock, voting separately as a series or separately as a class with</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other such series, may be taken without a meeting, without prior notice and without a vote, to the extent expressly so provided by the applicable certificate of designation relating to such series of Preferred Stock.</w:t>
      </w:r>
    </w:p>
    <w:p>
      <w:pPr>
        <w:spacing w:after="0" w:line="18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B. 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KKR beneficially owns, in the aggregate, at least 40%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KKR.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52" w:name="page53"/>
    <w:bookmarkEnd w:id="52"/>
    <w:p>
      <w:pPr>
        <w:ind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229"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 In recognition and anticipation that (i) certain directors, principals, members, officers, associated funds, employees and/or other representatives of KKR and its Affiliates may serve as directors, officers or agents of the Corporation, (ii) KKR and its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of Directors who are not employees of the Corporation (“</w:t>
      </w:r>
      <w:r>
        <w:rPr>
          <w:rFonts w:ascii="Arial" w:cs="Arial" w:eastAsia="Arial" w:hAnsi="Arial"/>
          <w:sz w:val="16"/>
          <w:szCs w:val="16"/>
          <w:u w:val="single" w:color="auto"/>
          <w:color w:val="auto"/>
        </w:rPr>
        <w:t>Non-Employee Directors</w:t>
      </w:r>
      <w:r>
        <w:rPr>
          <w:rFonts w:ascii="Arial" w:cs="Arial" w:eastAsia="Arial" w:hAnsi="Arial"/>
          <w:sz w:val="16"/>
          <w:szCs w:val="16"/>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KKR, the Non-Employee Directors or their respective Affiliates and the powers, rights, duties and liabilities of the Corporation and its directors, officers and stockholders in connection therewith, subject to the provisions set out in the Stockholders Agreement.</w:t>
      </w:r>
    </w:p>
    <w:p>
      <w:pPr>
        <w:spacing w:after="0" w:line="168"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B. None of (i) KKR or any of its Affiliates or (ii) any Non-Employee Director (including any Non-Employee Director who serves as an officer of the Corporation in both his or her director and officer capacities) or his or her Affiliates (the Persons (as defined below) identified in (i) and (ii)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53" w:name="page54"/>
    <w:bookmarkEnd w:id="53"/>
    <w:p>
      <w:pPr>
        <w:ind w:left="4"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D.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IX shall not apply to any such corporate opportunity.</w:t>
      </w:r>
    </w:p>
    <w:p>
      <w:pPr>
        <w:spacing w:after="0" w:line="16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E. 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87"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F. For purposes of this Article IX, (i)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in respect of KKR, any Person that, directly or indirectly, is controlled by KKR, controls KKR, or is under common control with KKR, and shall include any principal, member, director, partner, stockholder, officer, employee or other representative of any of the foregoing (other than the Corporation and any Person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w:t>
      </w:r>
    </w:p>
    <w:p>
      <w:pPr>
        <w:spacing w:after="0" w:line="2" w:lineRule="exact"/>
        <w:rPr>
          <w:sz w:val="20"/>
          <w:szCs w:val="20"/>
          <w:color w:val="auto"/>
        </w:rPr>
      </w:pPr>
    </w:p>
    <w:p>
      <w:pPr>
        <w:ind w:left="4" w:right="340" w:hanging="4"/>
        <w:spacing w:after="0" w:line="260" w:lineRule="auto"/>
        <w:tabs>
          <w:tab w:leader="none" w:pos="2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general or limited partnership, limited liability company, joint venture, trust, association or any other entity.</w:t>
      </w:r>
    </w:p>
    <w:p>
      <w:pPr>
        <w:spacing w:after="0" w:line="185" w:lineRule="exact"/>
        <w:rPr>
          <w:rFonts w:ascii="Arial" w:cs="Arial" w:eastAsia="Arial" w:hAnsi="Arial"/>
          <w:sz w:val="18"/>
          <w:szCs w:val="18"/>
          <w:color w:val="auto"/>
        </w:rPr>
      </w:pPr>
    </w:p>
    <w:p>
      <w:pPr>
        <w:ind w:left="4" w:right="60" w:firstLine="436"/>
        <w:spacing w:after="0" w:line="273" w:lineRule="auto"/>
        <w:tabs>
          <w:tab w:leader="none" w:pos="664" w:val="left"/>
        </w:tabs>
        <w:numPr>
          <w:ilvl w:val="1"/>
          <w:numId w:val="49"/>
        </w:numPr>
        <w:rPr>
          <w:rFonts w:ascii="Arial" w:cs="Arial" w:eastAsia="Arial" w:hAnsi="Arial"/>
          <w:sz w:val="17"/>
          <w:szCs w:val="17"/>
          <w:color w:val="auto"/>
        </w:rPr>
      </w:pPr>
      <w:r>
        <w:rPr>
          <w:rFonts w:ascii="Arial" w:cs="Arial" w:eastAsia="Arial" w:hAnsi="Arial"/>
          <w:sz w:val="17"/>
          <w:szCs w:val="17"/>
          <w:color w:val="auto"/>
        </w:rPr>
        <w:t>To the fullest extent permitted by law, any Person purchasing or otherwise acquiring any interest in any shares of capital stock of the Corporation shall be deemed to have notice of and to have consented to the provisions of this Article IX. Neither the alteration, amendment, addition to or repeal of this Article IX, nor the adoption of any provision of this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ind w:left="3244"/>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54" w:name="page55"/>
    <w:bookmarkEnd w:id="54"/>
    <w:p>
      <w:pPr>
        <w:jc w:val="both"/>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71" w:lineRule="exact"/>
        <w:rPr>
          <w:sz w:val="20"/>
          <w:szCs w:val="20"/>
          <w:color w:val="auto"/>
        </w:rPr>
      </w:pPr>
    </w:p>
    <w:p>
      <w:pPr>
        <w:ind w:left="1420" w:right="740" w:hanging="439"/>
        <w:spacing w:after="0" w:line="277"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75" w:lineRule="exact"/>
        <w:rPr>
          <w:rFonts w:ascii="Arial" w:cs="Arial" w:eastAsia="Arial" w:hAnsi="Arial"/>
          <w:sz w:val="18"/>
          <w:szCs w:val="18"/>
          <w:color w:val="auto"/>
        </w:rPr>
      </w:pPr>
    </w:p>
    <w:p>
      <w:pPr>
        <w:ind w:left="1420" w:right="80" w:hanging="439"/>
        <w:spacing w:after="0" w:line="255"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7" w:lineRule="exact"/>
        <w:rPr>
          <w:rFonts w:ascii="Arial" w:cs="Arial" w:eastAsia="Arial" w:hAnsi="Arial"/>
          <w:sz w:val="18"/>
          <w:szCs w:val="18"/>
          <w:color w:val="auto"/>
        </w:rPr>
      </w:pPr>
    </w:p>
    <w:p>
      <w:pPr>
        <w:jc w:val="both"/>
        <w:ind w:left="1420" w:right="60" w:hanging="439"/>
        <w:spacing w:after="0" w:line="212"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of the Corporation which is not owned by the interested stockholder.</w:t>
      </w:r>
    </w:p>
    <w:p>
      <w:pPr>
        <w:spacing w:after="0" w:line="203" w:lineRule="exact"/>
        <w:rPr>
          <w:rFonts w:ascii="Arial" w:cs="Arial" w:eastAsia="Arial" w:hAnsi="Arial"/>
          <w:sz w:val="18"/>
          <w:szCs w:val="18"/>
          <w:color w:val="auto"/>
        </w:rPr>
      </w:pPr>
    </w:p>
    <w:p>
      <w:pPr>
        <w:ind w:left="640" w:hanging="20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130" w:lineRule="exact"/>
        <w:rPr>
          <w:rFonts w:ascii="Arial" w:cs="Arial" w:eastAsia="Arial" w:hAnsi="Arial"/>
          <w:sz w:val="18"/>
          <w:szCs w:val="18"/>
          <w:color w:val="auto"/>
        </w:rPr>
      </w:pPr>
    </w:p>
    <w:p>
      <w:pPr>
        <w:ind w:left="1420" w:right="320" w:hanging="439"/>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75" w:lineRule="exact"/>
        <w:rPr>
          <w:rFonts w:ascii="Arial" w:cs="Arial" w:eastAsia="Arial" w:hAnsi="Arial"/>
          <w:sz w:val="18"/>
          <w:szCs w:val="18"/>
          <w:color w:val="auto"/>
        </w:rPr>
      </w:pPr>
    </w:p>
    <w:p>
      <w:pPr>
        <w:ind w:left="1420" w:hanging="439"/>
        <w:spacing w:after="0" w:line="25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93" w:lineRule="exact"/>
        <w:rPr>
          <w:rFonts w:ascii="Arial" w:cs="Arial" w:eastAsia="Arial" w:hAnsi="Arial"/>
          <w:sz w:val="18"/>
          <w:szCs w:val="18"/>
          <w:color w:val="auto"/>
        </w:rPr>
      </w:pPr>
    </w:p>
    <w:p>
      <w:pPr>
        <w:ind w:left="1420" w:right="20" w:hanging="439"/>
        <w:spacing w:after="0" w:line="259"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 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any of KKR or its affiliates or successors or any “group,” or any member of any such group, of which such persons are a party under Rule 13d-5 of the Exchange Act beneficial ownership of 5% or more of the then-outstanding voting stock of the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5" w:name="page56"/>
    <w:bookmarkEnd w:id="55"/>
    <w:p>
      <w:pPr>
        <w:ind w:left="439" w:right="120" w:hanging="439"/>
        <w:spacing w:after="0" w:line="311" w:lineRule="auto"/>
        <w:tabs>
          <w:tab w:leader="none" w:pos="439"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KKR Indirect Transferee</w:t>
      </w:r>
      <w:r>
        <w:rPr>
          <w:rFonts w:ascii="Arial" w:cs="Arial" w:eastAsia="Arial" w:hAnsi="Arial"/>
          <w:sz w:val="16"/>
          <w:szCs w:val="16"/>
          <w:color w:val="auto"/>
        </w:rPr>
        <w:t>” means any person that acquires (other than in a registered public offering or through a broker’s transaction executed on any securities exchange or other over-the-counter market) directly from any KKR Direct Transferee or any other KKR Indirect Transferee beneficial ownership of 5% or more of the then-outstanding voting stock of the Corporation.</w:t>
      </w:r>
    </w:p>
    <w:p>
      <w:pPr>
        <w:spacing w:after="0" w:line="54" w:lineRule="exact"/>
        <w:rPr>
          <w:rFonts w:ascii="Arial" w:cs="Arial" w:eastAsia="Arial" w:hAnsi="Arial"/>
          <w:sz w:val="16"/>
          <w:szCs w:val="16"/>
          <w:color w:val="auto"/>
        </w:rPr>
      </w:pPr>
    </w:p>
    <w:p>
      <w:pPr>
        <w:ind w:left="439" w:hanging="439"/>
        <w:spacing w:after="0"/>
        <w:tabs>
          <w:tab w:leader="none" w:pos="439"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when used in reference to the Corporation and any interested stockholder of the Corporation, means:</w:t>
      </w:r>
    </w:p>
    <w:p>
      <w:pPr>
        <w:spacing w:after="0" w:line="142" w:lineRule="exact"/>
        <w:rPr>
          <w:sz w:val="20"/>
          <w:szCs w:val="20"/>
          <w:color w:val="auto"/>
        </w:rPr>
      </w:pPr>
    </w:p>
    <w:p>
      <w:pPr>
        <w:ind w:left="979" w:hanging="533"/>
        <w:spacing w:after="0"/>
        <w:tabs>
          <w:tab w:leader="none" w:pos="979"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jc w:val="both"/>
        <w:ind w:left="979" w:right="60"/>
        <w:spacing w:after="0" w:line="281" w:lineRule="auto"/>
        <w:rPr>
          <w:rFonts w:ascii="Arial" w:cs="Arial" w:eastAsia="Arial" w:hAnsi="Arial"/>
          <w:sz w:val="17"/>
          <w:szCs w:val="17"/>
          <w:color w:val="auto"/>
        </w:rPr>
      </w:pPr>
      <w:r>
        <w:rPr>
          <w:rFonts w:ascii="Arial" w:cs="Arial" w:eastAsia="Arial" w:hAnsi="Arial"/>
          <w:sz w:val="16"/>
          <w:szCs w:val="16"/>
          <w:color w:val="auto"/>
        </w:rPr>
        <w:t>(a) with the interested stockholder, or (b)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Arial" w:cs="Arial" w:eastAsia="Arial" w:hAnsi="Arial"/>
          <w:sz w:val="17"/>
          <w:szCs w:val="17"/>
          <w:color w:val="auto"/>
        </w:rPr>
      </w:pPr>
    </w:p>
    <w:p>
      <w:pPr>
        <w:ind w:left="979"/>
        <w:spacing w:after="0"/>
        <w:rPr>
          <w:rFonts w:ascii="Arial" w:cs="Arial" w:eastAsia="Arial" w:hAnsi="Arial"/>
          <w:sz w:val="17"/>
          <w:szCs w:val="17"/>
          <w:color w:val="auto"/>
        </w:rPr>
      </w:pPr>
      <w:r>
        <w:rPr>
          <w:rFonts w:ascii="Arial" w:cs="Arial" w:eastAsia="Arial" w:hAnsi="Arial"/>
          <w:sz w:val="18"/>
          <w:szCs w:val="18"/>
          <w:color w:val="auto"/>
        </w:rPr>
        <w:t>(B) of this Article X is not applicable to the surviving entity;</w:t>
      </w:r>
    </w:p>
    <w:p>
      <w:pPr>
        <w:spacing w:after="0" w:line="116" w:lineRule="exact"/>
        <w:rPr>
          <w:sz w:val="20"/>
          <w:szCs w:val="20"/>
          <w:color w:val="auto"/>
        </w:rPr>
      </w:pPr>
    </w:p>
    <w:p>
      <w:pPr>
        <w:ind w:left="979" w:hanging="533"/>
        <w:spacing w:after="0" w:line="255" w:lineRule="auto"/>
        <w:tabs>
          <w:tab w:leader="none" w:pos="9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97" w:lineRule="exact"/>
        <w:rPr>
          <w:rFonts w:ascii="Arial" w:cs="Arial" w:eastAsia="Arial" w:hAnsi="Arial"/>
          <w:sz w:val="18"/>
          <w:szCs w:val="18"/>
          <w:color w:val="auto"/>
        </w:rPr>
      </w:pPr>
    </w:p>
    <w:p>
      <w:pPr>
        <w:ind w:left="979" w:right="360" w:hanging="533"/>
        <w:spacing w:after="0" w:line="291" w:lineRule="auto"/>
        <w:tabs>
          <w:tab w:leader="none" w:pos="9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w:t>
      </w:r>
    </w:p>
    <w:p>
      <w:pPr>
        <w:ind w:left="979"/>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02"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79"/>
          </w:cols>
          <w:pgMar w:left="1421" w:top="274" w:right="499" w:bottom="1440" w:gutter="0" w:footer="0" w:header="0"/>
        </w:sectPr>
      </w:pPr>
    </w:p>
    <w:bookmarkStart w:id="56" w:name="page57"/>
    <w:bookmarkEnd w:id="56"/>
    <w:p>
      <w:pPr>
        <w:ind w:left="979" w:right="160" w:hanging="533"/>
        <w:spacing w:after="0" w:line="296" w:lineRule="auto"/>
        <w:tabs>
          <w:tab w:leader="none" w:pos="979" w:val="left"/>
        </w:tabs>
        <w:numPr>
          <w:ilvl w:val="2"/>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66" w:lineRule="exact"/>
        <w:rPr>
          <w:rFonts w:ascii="Arial" w:cs="Arial" w:eastAsia="Arial" w:hAnsi="Arial"/>
          <w:sz w:val="16"/>
          <w:szCs w:val="16"/>
          <w:color w:val="auto"/>
        </w:rPr>
      </w:pPr>
    </w:p>
    <w:p>
      <w:pPr>
        <w:ind w:left="979" w:right="40" w:hanging="533"/>
        <w:spacing w:after="0" w:line="311" w:lineRule="auto"/>
        <w:tabs>
          <w:tab w:leader="none" w:pos="979"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54" w:lineRule="exact"/>
        <w:rPr>
          <w:rFonts w:ascii="Arial" w:cs="Arial" w:eastAsia="Arial" w:hAnsi="Arial"/>
          <w:sz w:val="16"/>
          <w:szCs w:val="16"/>
          <w:color w:val="auto"/>
        </w:rPr>
      </w:pPr>
    </w:p>
    <w:p>
      <w:pPr>
        <w:ind w:left="439" w:right="60" w:hanging="439"/>
        <w:spacing w:after="0" w:line="291" w:lineRule="auto"/>
        <w:tabs>
          <w:tab w:leader="none" w:pos="439"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71" w:lineRule="exact"/>
        <w:rPr>
          <w:rFonts w:ascii="Arial" w:cs="Arial" w:eastAsia="Arial" w:hAnsi="Arial"/>
          <w:sz w:val="16"/>
          <w:szCs w:val="16"/>
          <w:color w:val="auto"/>
        </w:rPr>
      </w:pPr>
    </w:p>
    <w:p>
      <w:pPr>
        <w:ind w:left="439" w:hanging="439"/>
        <w:spacing w:after="0" w:line="287" w:lineRule="auto"/>
        <w:tabs>
          <w:tab w:leader="none" w:pos="439"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w:t>
      </w:r>
    </w:p>
    <w:p>
      <w:pPr>
        <w:spacing w:after="0" w:line="2" w:lineRule="exact"/>
        <w:rPr>
          <w:rFonts w:ascii="Arial" w:cs="Arial" w:eastAsia="Arial" w:hAnsi="Arial"/>
          <w:sz w:val="16"/>
          <w:szCs w:val="16"/>
          <w:color w:val="auto"/>
        </w:rPr>
      </w:pPr>
    </w:p>
    <w:p>
      <w:pPr>
        <w:ind w:left="439" w:hanging="7"/>
        <w:spacing w:after="0" w:line="281" w:lineRule="auto"/>
        <w:tabs>
          <w:tab w:leader="none" w:pos="693" w:val="left"/>
        </w:tabs>
        <w:numPr>
          <w:ilvl w:val="1"/>
          <w:numId w:val="56"/>
        </w:numPr>
        <w:rPr>
          <w:rFonts w:ascii="Arial" w:cs="Arial" w:eastAsia="Arial" w:hAnsi="Arial"/>
          <w:sz w:val="16"/>
          <w:szCs w:val="16"/>
          <w:color w:val="auto"/>
        </w:rPr>
      </w:pPr>
      <w:r>
        <w:rPr>
          <w:rFonts w:ascii="Arial" w:cs="Arial" w:eastAsia="Arial" w:hAnsi="Arial"/>
          <w:sz w:val="16"/>
          <w:szCs w:val="16"/>
          <w:color w:val="auto"/>
        </w:rPr>
        <w:t>year period immediately prior to the date on which it is sought to be determined whether such person is an interested stockholder; and the affiliates and associates of such person; but “interested stockholder” shall not include or be deemed to include, in any case,</w:t>
      </w:r>
    </w:p>
    <w:p>
      <w:pPr>
        <w:spacing w:after="0" w:line="1" w:lineRule="exact"/>
        <w:rPr>
          <w:rFonts w:ascii="Arial" w:cs="Arial" w:eastAsia="Arial" w:hAnsi="Arial"/>
          <w:sz w:val="16"/>
          <w:szCs w:val="16"/>
          <w:color w:val="auto"/>
        </w:rPr>
      </w:pPr>
    </w:p>
    <w:p>
      <w:pPr>
        <w:ind w:left="439" w:right="2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(a) KKR, any KKR Direct Transferee, any KKR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person shall be an interested stockholder if thereafter such person acquires additional shares of voting stock of the</w:t>
      </w:r>
    </w:p>
    <w:p>
      <w:pPr>
        <w:spacing w:after="0" w:line="94"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1421" w:top="274" w:right="459" w:bottom="1440" w:gutter="0" w:footer="0" w:header="0"/>
        </w:sectPr>
      </w:pPr>
    </w:p>
    <w:bookmarkStart w:id="57" w:name="page58"/>
    <w:bookmarkEnd w:id="57"/>
    <w:p>
      <w:pPr>
        <w:ind w:left="439"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93" w:lineRule="exact"/>
        <w:rPr>
          <w:sz w:val="20"/>
          <w:szCs w:val="20"/>
          <w:color w:val="auto"/>
        </w:rPr>
      </w:pPr>
    </w:p>
    <w:p>
      <w:pPr>
        <w:ind w:left="439" w:right="100" w:hanging="439"/>
        <w:spacing w:after="0" w:line="277" w:lineRule="auto"/>
        <w:tabs>
          <w:tab w:leader="none" w:pos="4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75" w:lineRule="exact"/>
        <w:rPr>
          <w:rFonts w:ascii="Arial" w:cs="Arial" w:eastAsia="Arial" w:hAnsi="Arial"/>
          <w:sz w:val="18"/>
          <w:szCs w:val="18"/>
          <w:color w:val="auto"/>
        </w:rPr>
      </w:pPr>
    </w:p>
    <w:p>
      <w:pPr>
        <w:ind w:left="979" w:hanging="533"/>
        <w:spacing w:after="0"/>
        <w:tabs>
          <w:tab w:leader="none" w:pos="979" w:val="left"/>
        </w:tabs>
        <w:numPr>
          <w:ilvl w:val="1"/>
          <w:numId w:val="57"/>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30" w:lineRule="exact"/>
        <w:rPr>
          <w:rFonts w:ascii="Arial" w:cs="Arial" w:eastAsia="Arial" w:hAnsi="Arial"/>
          <w:sz w:val="18"/>
          <w:szCs w:val="18"/>
          <w:color w:val="auto"/>
        </w:rPr>
      </w:pPr>
    </w:p>
    <w:p>
      <w:pPr>
        <w:ind w:left="979" w:hanging="533"/>
        <w:spacing w:after="0" w:line="290" w:lineRule="auto"/>
        <w:tabs>
          <w:tab w:leader="none" w:pos="979"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70" w:lineRule="exact"/>
        <w:rPr>
          <w:rFonts w:ascii="Arial" w:cs="Arial" w:eastAsia="Arial" w:hAnsi="Arial"/>
          <w:sz w:val="16"/>
          <w:szCs w:val="16"/>
          <w:color w:val="auto"/>
        </w:rPr>
      </w:pPr>
    </w:p>
    <w:p>
      <w:pPr>
        <w:ind w:left="979" w:right="120" w:hanging="533"/>
        <w:spacing w:after="0" w:line="311" w:lineRule="auto"/>
        <w:tabs>
          <w:tab w:leader="none" w:pos="979" w:val="left"/>
        </w:tabs>
        <w:numPr>
          <w:ilvl w:val="1"/>
          <w:numId w:val="57"/>
        </w:numPr>
        <w:rPr>
          <w:rFonts w:ascii="Arial" w:cs="Arial" w:eastAsia="Arial" w:hAnsi="Arial"/>
          <w:sz w:val="16"/>
          <w:szCs w:val="16"/>
          <w:color w:val="auto"/>
        </w:rPr>
      </w:pPr>
      <w:r>
        <w:rPr>
          <w:rFonts w:ascii="Arial" w:cs="Arial" w:eastAsia="Arial" w:hAnsi="Arial"/>
          <w:sz w:val="16"/>
          <w:szCs w:val="16"/>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54" w:lineRule="exact"/>
        <w:rPr>
          <w:rFonts w:ascii="Arial" w:cs="Arial" w:eastAsia="Arial" w:hAnsi="Arial"/>
          <w:sz w:val="16"/>
          <w:szCs w:val="16"/>
          <w:color w:val="auto"/>
        </w:rPr>
      </w:pPr>
    </w:p>
    <w:p>
      <w:pPr>
        <w:ind w:left="439" w:hanging="439"/>
        <w:spacing w:after="0"/>
        <w:tabs>
          <w:tab w:leader="none" w:pos="4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15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99"/>
          </w:cols>
          <w:pgMar w:left="1421" w:top="274" w:right="4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A.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or other employee or stockholder of the Corporation to the Corporation or the Corporation’s stockholders, creditors or other constituents, (iii) any action asserting a claim against the Corporation or any director or officer of the Corporation arising pursuant to any provision of the DGCL or this Amended and Restated Certificate of Incorporation or the Bylaws (as either may be amended and/or restated from time to time) or as to which the DGCL confers jurisdiction on the Court of Chancery of the State of Delaware, or (iv) any action asserting a claim against the Corporation or any director or officer of the Corporation governed by the internal affairs doctrine; </w:t>
      </w:r>
      <w:r>
        <w:rPr>
          <w:rFonts w:ascii="Arial" w:cs="Arial" w:eastAsia="Arial" w:hAnsi="Arial"/>
          <w:sz w:val="17"/>
          <w:szCs w:val="17"/>
          <w:i w:val="1"/>
          <w:iCs w:val="1"/>
          <w:color w:val="auto"/>
        </w:rPr>
        <w:t>provided</w:t>
      </w:r>
      <w:r>
        <w:rPr>
          <w:rFonts w:ascii="Arial" w:cs="Arial" w:eastAsia="Arial" w:hAnsi="Arial"/>
          <w:sz w:val="17"/>
          <w:szCs w:val="17"/>
          <w:color w:val="auto"/>
        </w:rPr>
        <w:t>, that, if and only if the Court of Chancery of the State of Delaware dismisses any such action for lack of subject matter jurisdiction, such action may be brought in another state court sitting in the State of Delaware. Unless the Corporation consents in writing to the selection of an alternative forum, to the fullest extent permitted by law, the federal district courts of the United States will be the exclusive forum for resolving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XI(B).</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59" w:name="page60"/>
    <w:bookmarkEnd w:id="5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Academy Sports and Outdoors, Inc. has caused this Amended and Restated Certificate of Incorporation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its duly authorized officer on this 30th day of September, 2020.</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Senior Vice President, General Counsel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Amended and Restated Certificate of Incorporation]</w:t>
      </w:r>
    </w:p>
    <w:p>
      <w:pPr>
        <w:sectPr>
          <w:pgSz w:w="11900" w:h="16838" w:orient="portrait"/>
          <w:cols w:equalWidth="0" w:num="1">
            <w:col w:w="10420"/>
          </w:cols>
          <w:pgMar w:left="440" w:top="270" w:right="10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and registered agent of Academy Sports and Outdoors,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in the State of Delaware shall be as set forth in the Amended and Restated Certificate of Incorporation (as defined below). The Corporation may also have offices in such other places in the United States or elsewhere (and may change the Corporation’s registered agent) as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may, from time to time, determine or as the business of the Corporation may require.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Annual Meetings</w:t>
      </w:r>
      <w:r>
        <w:rPr>
          <w:rFonts w:ascii="Arial" w:cs="Arial" w:eastAsia="Arial" w:hAnsi="Arial"/>
          <w:sz w:val="18"/>
          <w:szCs w:val="18"/>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annual meetings of stockholders shall not be held at any place, but may instead be held solely by means of remote communication as described in Section 2.11 of these Amended and Restated Bylaws in accordance with Section 211(a)(2)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Board of Directors may postpone, reschedule or cancel any annual meeting of stockholders previously scheduled by the Board of Directors.</w:t>
      </w:r>
    </w:p>
    <w:p>
      <w:pPr>
        <w:spacing w:after="0" w:line="192"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Arial" w:cs="Arial" w:eastAsia="Arial" w:hAnsi="Arial"/>
          <w:sz w:val="16"/>
          <w:szCs w:val="16"/>
          <w:u w:val="single" w:color="auto"/>
          <w:color w:val="auto"/>
        </w:rPr>
        <w:t>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 of Incorporation</w:t>
      </w:r>
      <w:r>
        <w:rPr>
          <w:rFonts w:ascii="Arial" w:cs="Arial" w:eastAsia="Arial" w:hAnsi="Arial"/>
          <w:sz w:val="16"/>
          <w:szCs w:val="16"/>
          <w:color w:val="auto"/>
        </w:rPr>
        <w:t xml:space="preserve">”) and may be held at such place, if any, either within or without the State of Delaware, and at such time and date as the Board of Directors or the Chairman of the Board of Directors shall determine and state in the notice of meeting. The Board of Directors may, in its sole discretion, determine that special meetings of stockholders shall not be held at any place, but may instead be held solely by means of remote communication as described in Section 2.11 of these Amended and Restated Bylaws in accordance with Section 211(a)(2) of the DGCL. The Board of Directors may postpone, reschedule or cancel any special meeting of stockholders previously scheduled by the Board of Directors or the Chairman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any special meeting of stockholders previously scheduled by the Board of Directors or the Chairman of the Board of Directors at the request of KKR (as defined in the Amended and Restated Certificate of Incorporation), the Board of Directors shall not postpone, reschedule or cancel such special meeting without the prior written consent of KKR.</w:t>
      </w:r>
    </w:p>
    <w:p>
      <w:pPr>
        <w:sectPr>
          <w:pgSz w:w="11900" w:h="16838" w:orient="portrait"/>
          <w:cols w:equalWidth="0" w:num="1">
            <w:col w:w="11020"/>
          </w:cols>
          <w:pgMar w:left="440" w:top="121" w:right="439" w:bottom="1440" w:gutter="0" w:footer="0" w:header="0"/>
        </w:sectPr>
      </w:pPr>
    </w:p>
    <w:bookmarkStart w:id="61" w:name="page62"/>
    <w:bookmarkEnd w:id="6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2" w:lineRule="auto"/>
        <w:tabs>
          <w:tab w:leader="none" w:pos="1246"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made at an annual meeting of stockholders only (a) as provided in the Stockholders Agreement (as defined in the Amended and Restated Certificate of Incorporation) (with respect to nominations of persons for election to the Board of Directors only), (b) pursuant to the Corporation’s notice of meeting (or any supplement thereto) delivered pursuant to Section 2.04 of Article II of these Amended and Restated Bylaws, (c) by or at the direction of the Board of Directors or any authorized committee thereof or (d) by any stockholder of the Corporation who is entitled to vote at the meeting, who, subject to paragraph (C)(4) of this Section 2.03, complied with the notice procedures set forth in paragraphs (A)(2) and (A)(3) of this Section 2.03 and who was a stockholder of record at the time such notice is delivered to the Secretary of the Corporation.</w:t>
      </w:r>
    </w:p>
    <w:p>
      <w:pPr>
        <w:spacing w:after="0" w:line="177" w:lineRule="exact"/>
        <w:rPr>
          <w:rFonts w:ascii="Arial" w:cs="Arial" w:eastAsia="Arial" w:hAnsi="Arial"/>
          <w:sz w:val="17"/>
          <w:szCs w:val="17"/>
          <w:color w:val="auto"/>
        </w:rPr>
      </w:pPr>
    </w:p>
    <w:p>
      <w:pPr>
        <w:ind w:firstLine="987"/>
        <w:spacing w:after="0" w:line="267" w:lineRule="auto"/>
        <w:tabs>
          <w:tab w:leader="none" w:pos="1246"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stockholder pursuant to clause (d) of paragraph (A)(1) of this Section 2.03,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date of the first anniversary of the preceding year’s annual meeting (which date shall, for purposes of the Corporation’s first annual meeting of stockholders after shares of its Common Stock (as defined in the Amended and Restated Certificate of Incorporation) are first publicly traded, be deemed to have occurred on June 30, 2020);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the date of the annual meeting is advanced by more than thirty (30) days or delayed by more than seventy (70) days from the anniversary date of the previous year’s meeting, or, following the Corporation’s first annual meeting of stockholders after shares of its Common Stock are first publicly traded, if no annual meeting was held in the preceding year, notice by the stockholder to be timely must be so delivered not earlier than the close of business on the one hundred and twentieth (120)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2.03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2" w:name="page63"/>
    <w:bookmarkEnd w:id="62"/>
    <w:p>
      <w:pPr>
        <w:ind w:left="-20" w:firstLine="987"/>
        <w:spacing w:after="0" w:line="283" w:lineRule="auto"/>
        <w:tabs>
          <w:tab w:leader="none" w:pos="1226"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stockholder’s notice delivered pursuant to this Section 2.03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Amended and Restated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to solicit proxies or votes from stockholders in support of such proposal or nomination, (v) a certification regarding whether such stockholder and beneficial owner, if any, have complied with all applicable federal, state and other legal requirements in connection with (x) the stockholder’s and/or beneficial owner’s acquisition of shares of capital stock or other securities of the Corporation and/or the stockholder’s and/or (y) the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persons</w:t>
      </w:r>
      <w:r>
        <w:rPr>
          <w:rFonts w:ascii="Arial" w:cs="Arial" w:eastAsia="Arial" w:hAnsi="Arial"/>
          <w:sz w:val="16"/>
          <w:szCs w:val="16"/>
          <w:color w:val="auto"/>
        </w:rPr>
        <w:t>”);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63" w:name="page64"/>
    <w:bookmarkEnd w:id="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to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171" w:lineRule="exact"/>
        <w:rPr>
          <w:sz w:val="20"/>
          <w:szCs w:val="20"/>
          <w:color w:val="auto"/>
        </w:rPr>
      </w:pPr>
    </w:p>
    <w:p>
      <w:pPr>
        <w:ind w:right="40" w:firstLine="987"/>
        <w:spacing w:after="0" w:line="287" w:lineRule="auto"/>
        <w:tabs>
          <w:tab w:leader="none" w:pos="127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as provided in the Stockholders Agreement, (2) by or at the direction of the Board of Directors or any committee thereof or (3) provided that the Board of Directors (or KKR pursuant to Section B of Article VIII of the Amended and Restated Certificate of Incorporation) has determined that directors shall be elected at such meeting, by any stockholder of the Corporation who is entitled to vote at the meeting, who (subject to paragraph (C)(4) of this Section 2.03) complies with the notice procedures set forth in this Section 2.03 and who is a stockholder of record at the time such notice is delivered to the Secretary of the Corporation. In the event a special meeting of stockholders is called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4" w:name="page65"/>
    <w:bookmarkEnd w:id="6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ninetieth (90</w:t>
      </w:r>
      <w:r>
        <w:rPr>
          <w:rFonts w:ascii="Arial" w:cs="Arial" w:eastAsia="Arial" w:hAnsi="Arial"/>
          <w:sz w:val="15"/>
          <w:szCs w:val="15"/>
          <w:color w:val="auto"/>
        </w:rPr>
        <w:t>th</w:t>
      </w:r>
      <w:r>
        <w:rPr>
          <w:rFonts w:ascii="Arial" w:cs="Arial" w:eastAsia="Arial" w:hAnsi="Arial"/>
          <w:sz w:val="18"/>
          <w:szCs w:val="18"/>
          <w:color w:val="auto"/>
        </w:rPr>
        <w:t>) day prior to such special meeting or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87" w:lineRule="exact"/>
        <w:rPr>
          <w:sz w:val="20"/>
          <w:szCs w:val="20"/>
          <w:color w:val="auto"/>
        </w:rPr>
      </w:pPr>
    </w:p>
    <w:p>
      <w:pPr>
        <w:ind w:firstLine="987"/>
        <w:spacing w:after="0" w:line="284" w:lineRule="auto"/>
        <w:tabs>
          <w:tab w:leader="none" w:pos="127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(1) Except as provided in paragraph (C)(4) of this Section 2.03, only such persons who are nominated in accordance with the procedures set forth in this Section 2.03 or the Stockholders Agreement shall be eligible to serve as directors and only such business shall be conducted at an annual or special meeting of stockholders as shall have been brought before the meeting in accordance with the procedures set forth in this Section 2.03. Except as otherwise provided by the DGCL, the Amended and Restated Certificate of Incorporation or these Amended and Restated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Amended and Restated Bylaws and, if any proposed nomination or business is not in compliance with these Amended and Restated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the DGCL,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5" w:name="page66"/>
    <w:bookmarkEnd w:id="65"/>
    <w:p>
      <w:pPr>
        <w:ind w:left="4" w:right="20" w:firstLine="987"/>
        <w:spacing w:after="0" w:line="257" w:lineRule="auto"/>
        <w:tabs>
          <w:tab w:leader="none" w:pos="1250"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Whenever used in these Amended and Restated Bylaws,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xml:space="preserve">” shall mean disclosure (a) in a press release released by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87" w:lineRule="exact"/>
        <w:rPr>
          <w:rFonts w:ascii="Arial" w:cs="Arial" w:eastAsia="Arial" w:hAnsi="Arial"/>
          <w:sz w:val="18"/>
          <w:szCs w:val="18"/>
          <w:color w:val="auto"/>
        </w:rPr>
      </w:pPr>
    </w:p>
    <w:p>
      <w:pPr>
        <w:ind w:left="4" w:right="60" w:firstLine="987"/>
        <w:spacing w:after="0" w:line="285" w:lineRule="auto"/>
        <w:tabs>
          <w:tab w:leader="none" w:pos="125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fullest extent permitted by law, any references in these Amended and Restated Bylaws to the Exchange Act or the rules and regulations promulgated thereunder are not intended to and shall not limit any requirements applicable to nominations or proposals as to any other business to be considered pursuant to these Amended and Restated Bylaws (including paragraphs (A)(1)(d) and (B) of this Section 2.03), and compliance with paragraphs (A)(1)</w:t>
      </w:r>
    </w:p>
    <w:p>
      <w:pPr>
        <w:spacing w:after="0" w:line="1" w:lineRule="exact"/>
        <w:rPr>
          <w:rFonts w:ascii="Arial" w:cs="Arial" w:eastAsia="Arial" w:hAnsi="Arial"/>
          <w:sz w:val="16"/>
          <w:szCs w:val="16"/>
          <w:color w:val="auto"/>
        </w:rPr>
      </w:pPr>
    </w:p>
    <w:p>
      <w:pPr>
        <w:jc w:val="both"/>
        <w:ind w:left="4" w:right="20" w:hanging="4"/>
        <w:spacing w:after="0" w:line="255"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and (B) of this Section 2.03 shall be the exclusive means for a stockholder to make nominations or submit other business. Nothing in these Amended and Restated Bylaws shall be deemed to affect any rights of the holders of any class or series of stock having a preference over the Common Stock as to dividends or upon liquidation to elect directors under specified circumstances.</w:t>
      </w:r>
    </w:p>
    <w:p>
      <w:pPr>
        <w:spacing w:after="0" w:line="189" w:lineRule="exact"/>
        <w:rPr>
          <w:rFonts w:ascii="Arial" w:cs="Arial" w:eastAsia="Arial" w:hAnsi="Arial"/>
          <w:sz w:val="18"/>
          <w:szCs w:val="18"/>
          <w:color w:val="auto"/>
        </w:rPr>
      </w:pPr>
    </w:p>
    <w:p>
      <w:pPr>
        <w:ind w:left="4" w:firstLine="987"/>
        <w:spacing w:after="0" w:line="279" w:lineRule="auto"/>
        <w:tabs>
          <w:tab w:leader="none" w:pos="1250" w:val="left"/>
        </w:tabs>
        <w:numPr>
          <w:ilvl w:val="1"/>
          <w:numId w:val="6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2.03, for as long as (i) the Stockholders Agreement remains in effect with respect to KKR and/or (ii) KKR beneficially owns, in the aggregate, at least 40% in voting power of the stock of the Corporation entitled to vote generally in the election of directors, KKR (to the extent then subject to the Stockholders Agreement) shall not be subject to the notice procedures set forth in paragraphs (A)(2), (A)(3) or (B) of this Section 2.03 with respect to any annual or special meeting of stockholders.</w:t>
      </w:r>
    </w:p>
    <w:p>
      <w:pPr>
        <w:spacing w:after="0" w:line="171"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 record entitled to vote thereat as of the record date for determining the stockholders entitled to notice of the meeting. Unless otherwise provided by law, the Amended and Restated Certificate of Incorporation or these Amended and Restated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66" w:name="page67"/>
    <w:bookmarkEnd w:id="66"/>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95" w:lineRule="exact"/>
        <w:rPr>
          <w:sz w:val="20"/>
          <w:szCs w:val="20"/>
          <w:color w:val="auto"/>
        </w:rPr>
      </w:pPr>
    </w:p>
    <w:p>
      <w:pPr>
        <w:ind w:right="80" w:firstLine="991"/>
        <w:spacing w:after="0" w:line="267"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or pursuant to the provisions of the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under Section 212(c) of the DGCL or as otherwise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Amended and Restated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90"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Chairman of Meetings</w:t>
      </w:r>
      <w:r>
        <w:rPr>
          <w:rFonts w:ascii="Arial" w:cs="Arial" w:eastAsia="Arial" w:hAnsi="Arial"/>
          <w:sz w:val="16"/>
          <w:szCs w:val="16"/>
          <w:color w:val="auto"/>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spacing w:after="0" w:line="14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Secretary of Meetings</w:t>
      </w:r>
      <w:r>
        <w:rPr>
          <w:rFonts w:ascii="Arial" w:cs="Arial" w:eastAsia="Arial" w:hAnsi="Arial"/>
          <w:sz w:val="18"/>
          <w:szCs w:val="18"/>
          <w:color w:val="auto"/>
        </w:rPr>
        <w:t>. The Secretary of the Corporation shall act as secretary at all meetings of the stockholders. In the absence or disability of the Secretary, the Chairman of the Board of Directors, the Chief Executive Officer or the chairman of the meeting shall appoint a person to act as secretary at such meetings.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7" w:name="page68"/>
    <w:bookmarkEnd w:id="67"/>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2.09 </w:t>
      </w:r>
      <w:r>
        <w:rPr>
          <w:rFonts w:ascii="Arial" w:cs="Arial" w:eastAsia="Arial" w:hAnsi="Arial"/>
          <w:sz w:val="17"/>
          <w:szCs w:val="17"/>
          <w:u w:val="single" w:color="auto"/>
          <w:color w:val="auto"/>
        </w:rPr>
        <w:t>Consent of Stockholders in Lieu of Meeting</w:t>
      </w:r>
      <w:r>
        <w:rPr>
          <w:rFonts w:ascii="Arial" w:cs="Arial" w:eastAsia="Arial" w:hAnsi="Arial"/>
          <w:sz w:val="17"/>
          <w:szCs w:val="17"/>
          <w:color w:val="auto"/>
        </w:rPr>
        <w:t>. Any action required or permitted to be taken at any annual or special meeting of stockholders of the Corporation may be taken without a meeting, without prior notice and without a vote only to the extent permitted by and in the manner provided in the Amended and Restated Certificate of Incorporation and in accordance with applicable law.</w:t>
      </w:r>
    </w:p>
    <w:p>
      <w:pPr>
        <w:spacing w:after="0" w:line="165"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Adjournment</w:t>
      </w:r>
      <w:r>
        <w:rPr>
          <w:rFonts w:ascii="Arial" w:cs="Arial" w:eastAsia="Arial" w:hAnsi="Arial"/>
          <w:sz w:val="16"/>
          <w:szCs w:val="16"/>
          <w:color w:val="auto"/>
        </w:rPr>
        <w:t>. At any meeting of stockholders of the Corporation, if less than a quorum be present, the chairman of the meeting or stockholders holding a majority in voting power of the outstanding shares of stock of the Corporation, present in person or by proxy and entitled to vote thereat,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66"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Remote Communication</w:t>
      </w:r>
      <w:r>
        <w:rPr>
          <w:rFonts w:ascii="Arial" w:cs="Arial" w:eastAsia="Arial" w:hAnsi="Arial"/>
          <w:sz w:val="18"/>
          <w:szCs w:val="18"/>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184" w:lineRule="exact"/>
        <w:rPr>
          <w:sz w:val="20"/>
          <w:szCs w:val="20"/>
          <w:color w:val="auto"/>
        </w:rPr>
      </w:pPr>
    </w:p>
    <w:p>
      <w:pPr>
        <w:ind w:left="1280" w:hanging="29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180" w:firstLine="987"/>
        <w:spacing w:after="0" w:line="277" w:lineRule="auto"/>
        <w:tabs>
          <w:tab w:leader="none" w:pos="12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8"/>
          <w:szCs w:val="18"/>
          <w:i w:val="1"/>
          <w:iCs w:val="1"/>
          <w:color w:val="auto"/>
        </w:rPr>
        <w:t>provided</w:t>
      </w:r>
      <w:r>
        <w:rPr>
          <w:rFonts w:ascii="Arial" w:cs="Arial" w:eastAsia="Arial" w:hAnsi="Arial"/>
          <w:sz w:val="18"/>
          <w:szCs w:val="18"/>
          <w:color w:val="auto"/>
        </w:rPr>
        <w:t>, that</w:t>
      </w:r>
    </w:p>
    <w:p>
      <w:pPr>
        <w:spacing w:after="0" w:line="170" w:lineRule="exact"/>
        <w:rPr>
          <w:sz w:val="20"/>
          <w:szCs w:val="20"/>
          <w:color w:val="auto"/>
        </w:rPr>
      </w:pPr>
    </w:p>
    <w:p>
      <w:pPr>
        <w:ind w:right="180" w:firstLine="987"/>
        <w:spacing w:after="0" w:line="27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170"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83"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any stockholder or proxyholder votes or takes other action at the meeting by means of remote communication, a record of such vote or other action shall be maintained by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68" w:name="page69"/>
    <w:bookmarkEnd w:id="68"/>
    <w:p>
      <w:pPr>
        <w:ind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2.12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7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Delivery to the Corporation</w:t>
      </w:r>
      <w:r>
        <w:rPr>
          <w:rFonts w:ascii="Arial" w:cs="Arial" w:eastAsia="Arial" w:hAnsi="Arial"/>
          <w:sz w:val="18"/>
          <w:szCs w:val="18"/>
          <w:color w:val="auto"/>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the delivery of information and documents to the Corporation required by this Article II.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Powers</w:t>
      </w:r>
      <w:r>
        <w:rPr>
          <w:rFonts w:ascii="Arial" w:cs="Arial" w:eastAsia="Arial" w:hAnsi="Arial"/>
          <w:sz w:val="17"/>
          <w:szCs w:val="17"/>
          <w:color w:val="auto"/>
        </w:rPr>
        <w:t>. Except as otherwise provided in the Amended and Restated Certificate of Incorporation or the DGCL, the business and affairs of the Corporation shall be managed by or under the direction of the Board of Directors or as provided in the Stockholders Agreement. The Board of Directors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71"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Number and Term; Chairman</w:t>
      </w:r>
      <w:r>
        <w:rPr>
          <w:rFonts w:ascii="Arial" w:cs="Arial" w:eastAsia="Arial" w:hAnsi="Arial"/>
          <w:sz w:val="17"/>
          <w:szCs w:val="17"/>
          <w:color w:val="auto"/>
        </w:rPr>
        <w:t>. Subject to the Amended and Restated Certificate of Incorporation and the Stockholders Agreement, the number of directors shall be fixed exclusively by resolution of the Board of Directors. Directors shall be elected by the stockholders at their annual meeting, and the term of each director so elected shall be as set forth in the Amended and Restated Certificate of Incorporation. Directors need not be stockholders. The Board of Directors shall elect a Chairman of the Board of Directors, who shall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9" w:name="page70"/>
    <w:bookmarkEnd w:id="69"/>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have the powers and perform such duties as provided in these Amended and Restated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 meeting or is not a director, a majority of the directors present at such meeting shall elect one of their members to preside over such meeting.</w:t>
      </w:r>
    </w:p>
    <w:p>
      <w:pPr>
        <w:spacing w:after="0" w:line="16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upon notice given in writing or by electronic transmission to the Board of Directors, the Chairman of the Board of Directors, the Chief Executive Officer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spacing w:after="0" w:line="17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Removal</w:t>
      </w:r>
      <w:r>
        <w:rPr>
          <w:rFonts w:ascii="Arial" w:cs="Arial" w:eastAsia="Arial" w:hAnsi="Arial"/>
          <w:sz w:val="18"/>
          <w:szCs w:val="18"/>
          <w:color w:val="auto"/>
        </w:rPr>
        <w:t>. Directors of the Corporation may be removed in the manner provided in the Amended and Restated Certificate of Incorporation, the Stockholders Agreement and applicable law.</w:t>
      </w:r>
    </w:p>
    <w:p>
      <w:pPr>
        <w:spacing w:after="0" w:line="170" w:lineRule="exact"/>
        <w:rPr>
          <w:sz w:val="20"/>
          <w:szCs w:val="20"/>
          <w:color w:val="auto"/>
        </w:rPr>
      </w:pPr>
    </w:p>
    <w:p>
      <w:pPr>
        <w:ind w:right="180" w:firstLine="991"/>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Except as otherwise provided by applicable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92"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Meetings</w:t>
      </w:r>
      <w:r>
        <w:rPr>
          <w:rFonts w:ascii="Arial" w:cs="Arial" w:eastAsia="Arial" w:hAnsi="Arial"/>
          <w:sz w:val="17"/>
          <w:szCs w:val="17"/>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or as provided by the Amended and Restated Certificate of Incorporation, and shall be called by the Chief Executive Officer or the Secretary of the Corporation if directed by a majority of directors then in office and shall be at such places and times as they or he or she shall fix. Special meetings of the Board of Directors may be also called by KKR at any time when KKR beneficially owns, in the aggregate, at least 40% in voting power of the stock of the Corporation entitled to vote generally in the election of directors, and shall be at such places and times as KKR shall fix. Notice need not be given of regular meetings of the Board of Directors. At least twenty-four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70" w:name="page71"/>
    <w:bookmarkEnd w:id="70"/>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3.07 </w:t>
      </w:r>
      <w:r>
        <w:rPr>
          <w:rFonts w:ascii="Arial" w:cs="Arial" w:eastAsia="Arial" w:hAnsi="Arial"/>
          <w:sz w:val="17"/>
          <w:szCs w:val="17"/>
          <w:u w:val="single" w:color="auto"/>
          <w:color w:val="auto"/>
        </w:rPr>
        <w:t>Quorum, Voting and Adjournment</w:t>
      </w:r>
      <w:r>
        <w:rPr>
          <w:rFonts w:ascii="Arial" w:cs="Arial" w:eastAsia="Arial" w:hAnsi="Arial"/>
          <w:sz w:val="17"/>
          <w:szCs w:val="17"/>
          <w:color w:val="auto"/>
        </w:rPr>
        <w:t>. Except as otherwise provided by the DGCL, the Amended and Restated Certificate of Incorporation or these Amended and Restated Bylaws, a majority of the total number of directors shall constitute a quorum for the transaction of business. Except as otherwise provided by law, the Amended and Restated Certificate of Incorporation or these Amended and Restated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178"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Committees; Committee Rules</w:t>
      </w:r>
      <w:r>
        <w:rPr>
          <w:rFonts w:ascii="Arial" w:cs="Arial" w:eastAsia="Arial" w:hAnsi="Arial"/>
          <w:sz w:val="16"/>
          <w:szCs w:val="16"/>
          <w:color w:val="auto"/>
        </w:rPr>
        <w:t>. The Board of Directors may designate one or more committees, including but not limited to an Audit Committee, a Compensation Committee and a Nominating and Governance Committee, each such committee to consist of one or more of the directors of the Corporation, subject to the terms of the Stockholders Agreement.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71"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Action Without a Meeting</w:t>
      </w:r>
      <w:r>
        <w:rPr>
          <w:rFonts w:ascii="Arial" w:cs="Arial" w:eastAsia="Arial" w:hAnsi="Arial"/>
          <w:sz w:val="16"/>
          <w:szCs w:val="16"/>
          <w:color w:val="auto"/>
        </w:rPr>
        <w:t>. Unless otherwise restricted by the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an action is taken, the consent or consents relating thereto shall be filed in the minutes of the proceedings of the Board of Directors. Such filing shall be in paper form if the minutes are maintained in paper form or shall be in electronic form if the minutes are maintained in electronic form.</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4" w:right="539" w:bottom="1440" w:gutter="0" w:footer="0" w:header="0"/>
        </w:sectPr>
      </w:pPr>
    </w:p>
    <w:bookmarkStart w:id="71" w:name="page72"/>
    <w:bookmarkEnd w:id="71"/>
    <w:p>
      <w:pPr>
        <w:ind w:right="1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3.10 </w:t>
      </w:r>
      <w:r>
        <w:rPr>
          <w:rFonts w:ascii="Arial" w:cs="Arial" w:eastAsia="Arial" w:hAnsi="Arial"/>
          <w:sz w:val="17"/>
          <w:szCs w:val="17"/>
          <w:u w:val="single" w:color="auto"/>
          <w:color w:val="auto"/>
        </w:rPr>
        <w:t>Remote Meeting</w:t>
      </w:r>
      <w:r>
        <w:rPr>
          <w:rFonts w:ascii="Arial" w:cs="Arial" w:eastAsia="Arial" w:hAnsi="Arial"/>
          <w:sz w:val="17"/>
          <w:szCs w:val="17"/>
          <w:color w:val="auto"/>
        </w:rPr>
        <w:t>. Unless otherwise restricted by the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7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Board of Directors shall have the authority to fix the compensation, including fees and reimbursement of expenses, of directors for services to the Corporation in any capacity.</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Reliance on Books and Records.</w:t>
      </w:r>
      <w:r>
        <w:rPr>
          <w:rFonts w:ascii="Arial" w:cs="Arial" w:eastAsia="Arial" w:hAnsi="Arial"/>
          <w:sz w:val="17"/>
          <w:szCs w:val="17"/>
          <w:color w:val="auto"/>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Number.</w:t>
      </w:r>
      <w:r>
        <w:rPr>
          <w:rFonts w:ascii="Arial" w:cs="Arial" w:eastAsia="Arial" w:hAnsi="Arial"/>
          <w:sz w:val="16"/>
          <w:szCs w:val="16"/>
          <w:color w:val="auto"/>
        </w:rPr>
        <w:t xml:space="preserve"> The officers of the Corporation shall include any officers required by the DGCL,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a Chief Executive Officer, a President, one or more Vice Presidents, including one or more Executive Vice Presidents, Senior Vice Presidents, a Treasurer, a Secretary,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16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Other Officers and Agents</w:t>
      </w:r>
      <w:r>
        <w:rPr>
          <w:rFonts w:ascii="Arial" w:cs="Arial" w:eastAsia="Arial" w:hAnsi="Arial"/>
          <w:sz w:val="18"/>
          <w:szCs w:val="18"/>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of the Board of Directors, each of whom must be a member of the Board of Directors.</w:t>
      </w:r>
    </w:p>
    <w:p>
      <w:pPr>
        <w:spacing w:after="0" w:line="187"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Chief Executive Officer/President</w:t>
      </w:r>
      <w:r>
        <w:rPr>
          <w:rFonts w:ascii="Arial" w:cs="Arial" w:eastAsia="Arial" w:hAnsi="Arial"/>
          <w:sz w:val="17"/>
          <w:szCs w:val="17"/>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72" w:name="page73"/>
    <w:bookmarkEnd w:id="72"/>
    <w:p>
      <w:pPr>
        <w:ind w:right="2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184"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17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70"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cause minutes of all meetings of the stockholders and directors to be recorded and kept properly; (b) cause all notices required by these Amended and Restated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176"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3" w:name="page74"/>
    <w:bookmarkEnd w:id="73"/>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4.08 </w:t>
      </w:r>
      <w:r>
        <w:rPr>
          <w:rFonts w:ascii="Arial" w:cs="Arial" w:eastAsia="Arial" w:hAnsi="Arial"/>
          <w:sz w:val="18"/>
          <w:szCs w:val="18"/>
          <w:u w:val="single" w:color="auto"/>
          <w:color w:val="auto"/>
        </w:rPr>
        <w:t>Corporate Funds and Checks</w:t>
      </w:r>
      <w:r>
        <w:rPr>
          <w:rFonts w:ascii="Arial" w:cs="Arial" w:eastAsia="Arial" w:hAnsi="Arial"/>
          <w:sz w:val="18"/>
          <w:szCs w:val="18"/>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187"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Contracts and Other Documents</w:t>
      </w:r>
      <w:r>
        <w:rPr>
          <w:rFonts w:ascii="Arial" w:cs="Arial" w:eastAsia="Arial" w:hAnsi="Arial"/>
          <w:sz w:val="16"/>
          <w:szCs w:val="16"/>
          <w:color w:val="auto"/>
        </w:rPr>
        <w:t>. The Chief Executive Officer and the Secretary, or such other officer or officers as may from time to time be authorized by the Board of Directors, any committee given specific authority in the premises by the Board of Directors, or the Chief Executive Officer during the intervals between the meetings of the Board of Directors, shall have power to sign and execute on behalf of the Corporation deeds, conveyances and contracts, and any and all other documents requiring execution by the Corporation.</w:t>
      </w:r>
    </w:p>
    <w:p>
      <w:pPr>
        <w:spacing w:after="0" w:line="157"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Ownership of Stock of Another Corporation</w:t>
      </w:r>
      <w:r>
        <w:rPr>
          <w:rFonts w:ascii="Arial" w:cs="Arial" w:eastAsia="Arial" w:hAnsi="Arial"/>
          <w:sz w:val="16"/>
          <w:szCs w:val="16"/>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61"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In the absence, disability or refusal of any officer to exercise and perform his or her duties, the Board of Directors may delegate to another officer such powers or duties.</w:t>
      </w:r>
    </w:p>
    <w:p>
      <w:pPr>
        <w:spacing w:after="0" w:line="170"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officer of the Corporation may be removed from office for or without cause at any time by the Board of Directors. Any officer may resign at any time in the same manner prescribed under Section 3.03 of these Amended and Restated Bylaws.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shall have the power to fill vacancies occurring in any office.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Shares With Certificates</w:t>
      </w:r>
      <w:r>
        <w:rPr>
          <w:rFonts w:ascii="Arial" w:cs="Arial" w:eastAsia="Arial" w:hAnsi="Arial"/>
          <w:sz w:val="17"/>
          <w:szCs w:val="17"/>
          <w:color w:val="auto"/>
        </w:rPr>
        <w:t xml:space="preserve">. The shares of stock of the Corporation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of Directors, the Vice Chairman of the Board of Directors, the Chief Executive Officer, a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74" w:name="page75"/>
    <w:bookmarkEnd w:id="74"/>
    <w:p>
      <w:pPr>
        <w:ind w:right="2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5.02 </w:t>
      </w:r>
      <w:r>
        <w:rPr>
          <w:rFonts w:ascii="Arial" w:cs="Arial" w:eastAsia="Arial" w:hAnsi="Arial"/>
          <w:sz w:val="17"/>
          <w:szCs w:val="17"/>
          <w:u w:val="single" w:color="auto"/>
          <w:color w:val="auto"/>
        </w:rPr>
        <w:t>Shares Without Certificates</w:t>
      </w:r>
      <w:r>
        <w:rPr>
          <w:rFonts w:ascii="Arial" w:cs="Arial" w:eastAsia="Arial" w:hAnsi="Arial"/>
          <w:sz w:val="17"/>
          <w:szCs w:val="17"/>
          <w:color w:val="auto"/>
        </w:rPr>
        <w:t xml:space="preserve">. If the Board of Directors chooses to issue shares of stock without certificates, the Corporation, if required by the DGCL, shall, within a reasonable time after the issue or transfer of shares without certificates, give a notice to the registered owner thereof containing the information required to be set forth or stated on stock certificates by the applicable provisions of the DGCL. The Corporation may adopt a system of issuance, recordation and transfer of its shares of stock by electronic or other means not involving the issuance of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use of such system by the Corporation is permitted in accordance with applicable law.</w:t>
      </w:r>
    </w:p>
    <w:p>
      <w:pPr>
        <w:spacing w:after="0" w:line="17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shall be transferable upon its books by the holders thereof, in person or by their duly authorized attorneys or legal representatives, in the manner prescribed by law, the Amended and Restated Certificate of Incorporation and in these Amended and Restated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to do so. The Board of Directors shall have power and authority to make such rules and regulations as it may deem necessary or proper concerning the issue, transfer and registration of certificates representing shares of stock of the Corporation and uncertificated shares.</w:t>
      </w:r>
    </w:p>
    <w:p>
      <w:pPr>
        <w:spacing w:after="0" w:line="182"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Lost, Stolen, Destroyed or Mutilated Certificates</w:t>
      </w:r>
      <w:r>
        <w:rPr>
          <w:rFonts w:ascii="Arial" w:cs="Arial" w:eastAsia="Arial" w:hAnsi="Arial"/>
          <w:sz w:val="17"/>
          <w:szCs w:val="17"/>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77"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Corporation shall prepare, at least ten (10) days before every meeting of stockholders, a complete list of the stockholders entitled to vote at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14"/>
          <w:szCs w:val="14"/>
          <w:color w:val="auto"/>
        </w:rPr>
        <w:t>th</w:t>
      </w:r>
      <w:r>
        <w:rPr>
          <w:rFonts w:ascii="Arial" w:cs="Arial" w:eastAsia="Arial" w:hAnsi="Arial"/>
          <w:sz w:val="17"/>
          <w:szCs w:val="17"/>
          <w:color w:val="auto"/>
        </w:rPr>
        <w:t>) day before the meeting date), arranged in alphabetical order, and showing the address of each stockholder and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75" w:name="page76"/>
    <w:bookmarkEnd w:id="7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number of shares registered in the name of each stockholder. Such list shall be open to the examination of any stockholder, for any purpose germane to the meeting at least ten (10) days prior to the meeting (a)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Fixing Date for Determination of Stockholders of Record.</w:t>
      </w:r>
    </w:p>
    <w:p>
      <w:pPr>
        <w:spacing w:after="0" w:line="225" w:lineRule="exact"/>
        <w:rPr>
          <w:sz w:val="20"/>
          <w:szCs w:val="20"/>
          <w:color w:val="auto"/>
        </w:rPr>
      </w:pPr>
    </w:p>
    <w:p>
      <w:pPr>
        <w:ind w:right="20" w:firstLine="987"/>
        <w:spacing w:after="0" w:line="269" w:lineRule="auto"/>
        <w:tabs>
          <w:tab w:leader="none" w:pos="1286"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8" w:lineRule="exact"/>
        <w:rPr>
          <w:rFonts w:ascii="Arial" w:cs="Arial" w:eastAsia="Arial" w:hAnsi="Arial"/>
          <w:sz w:val="17"/>
          <w:szCs w:val="17"/>
          <w:color w:val="auto"/>
        </w:rPr>
      </w:pPr>
    </w:p>
    <w:p>
      <w:pPr>
        <w:ind w:right="20" w:firstLine="987"/>
        <w:spacing w:after="0" w:line="255" w:lineRule="auto"/>
        <w:tabs>
          <w:tab w:leader="none" w:pos="12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76" w:name="page77"/>
    <w:bookmarkEnd w:id="76"/>
    <w:p>
      <w:pPr>
        <w:ind w:firstLine="987"/>
        <w:spacing w:after="0" w:line="270" w:lineRule="auto"/>
        <w:tabs>
          <w:tab w:leader="none" w:pos="1276"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otherwise restricted by the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181"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and Waiver of Notice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8" w:lineRule="auto"/>
        <w:tabs>
          <w:tab w:leader="none" w:pos="1286"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the DGCL, the Amended and Restated Certificate of Incorporation or these Amended and Restated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77" w:name="page78"/>
    <w:bookmarkEnd w:id="77"/>
    <w:p>
      <w:pPr>
        <w:ind w:right="40" w:firstLine="987"/>
        <w:spacing w:after="0" w:line="259" w:lineRule="auto"/>
        <w:tabs>
          <w:tab w:leader="none" w:pos="1276"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6" w:lineRule="exact"/>
        <w:rPr>
          <w:rFonts w:ascii="Arial" w:cs="Arial" w:eastAsia="Arial" w:hAnsi="Arial"/>
          <w:sz w:val="18"/>
          <w:szCs w:val="18"/>
          <w:color w:val="auto"/>
        </w:rPr>
      </w:pPr>
    </w:p>
    <w:p>
      <w:pPr>
        <w:ind w:right="60" w:firstLine="987"/>
        <w:spacing w:after="0" w:line="254" w:lineRule="auto"/>
        <w:tabs>
          <w:tab w:leader="none" w:pos="12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Without limiting the manner by which notice otherwise may be given effectively to stockholders, and except as prohibited by applicable law, any notice to stockholders given by the Corporation under any provision of applicable law, the Amended and Restated Certificate of Incorporation, or these Amended and Restated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Section 6.01(C), shall be deemed to have consented to receiving such single written notice.</w:t>
      </w:r>
    </w:p>
    <w:p>
      <w:pPr>
        <w:spacing w:after="0" w:line="19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Waiver of Notice</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8"/>
          <w:szCs w:val="18"/>
          <w:u w:val="single" w:color="auto"/>
          <w:color w:val="auto"/>
        </w:rPr>
        <w:t>indemnitee</w:t>
      </w:r>
      <w:r>
        <w:rPr>
          <w:rFonts w:ascii="Arial" w:cs="Arial" w:eastAsia="Arial" w:hAnsi="Arial"/>
          <w:sz w:val="18"/>
          <w:szCs w:val="18"/>
          <w:color w:val="auto"/>
        </w:rPr>
        <w:t>”), whether the basis of such proceeding is alleged action in an official capacity as a director, officer, employee, agent or trustee or in any other capacity while serving as a director, officer, employee, agent or trustee, shall be indemnified and held harmless by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78" w:name="page79"/>
    <w:bookmarkEnd w:id="7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provided in Section 7.03 of these Amended and Restated Bylaws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9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Any reference to an officer of the Corporation in this Article VII shall be deemed to refer exclusively to the Chief Executive Officer, President, Chief Financial Officer, General Counsel, Treasurer and Secretary of the Corporation appointed pursuant to Article IV of these Bylaws, and to any Vice President, Assistant Secretary, Assistant Treasurer or other officer of the Corporation appointed by the Board of Directors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179"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 7.03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DGCL requires or in the case of an advance made in a proceeding brought to establish or enforce a right to indemnification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that such indemnitee is not entitled to be indemnified or entitled to advancement of expenses under Sections 7.01 and 7.02 or otherwise.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79" w:name="page80"/>
    <w:bookmarkEnd w:id="79"/>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If a claim under Section 7.01 or 7.02 of these Amended and Restated Bylaws is not paid in full by the Corporation within (a) sixty (60) days after a written claim for indemnification has been received by the Corporation or (b)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3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Indemnification Not Exclusive</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55" w:lineRule="auto"/>
        <w:tabs>
          <w:tab w:leader="none" w:pos="12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80" w:name="page81"/>
    <w:bookmarkEnd w:id="80"/>
    <w:p>
      <w:pPr>
        <w:ind w:right="20" w:firstLine="987"/>
        <w:spacing w:after="0" w:line="267" w:lineRule="auto"/>
        <w:tabs>
          <w:tab w:leader="none" w:pos="1276"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Amended and Restated Bylaws of the Corporation (or any other agreement between the Corporation and such persons, including the Stockholders Agreement,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purposes of this Section 7.04(B) of Article VII, the following terms shall have the following meanings:</w:t>
      </w:r>
    </w:p>
    <w:p>
      <w:pPr>
        <w:spacing w:after="0" w:line="225" w:lineRule="exact"/>
        <w:rPr>
          <w:sz w:val="20"/>
          <w:szCs w:val="20"/>
          <w:color w:val="auto"/>
        </w:rPr>
      </w:pPr>
    </w:p>
    <w:p>
      <w:pPr>
        <w:ind w:firstLine="436"/>
        <w:spacing w:after="0" w:line="255"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indemnitee-related entities</w:t>
      </w:r>
      <w:r>
        <w:rPr>
          <w:rFonts w:ascii="Arial" w:cs="Arial" w:eastAsia="Arial" w:hAnsi="Arial"/>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81" w:name="page82"/>
    <w:bookmarkEnd w:id="81"/>
    <w:p>
      <w:pPr>
        <w:ind w:firstLine="436"/>
        <w:spacing w:after="0" w:line="257"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or other comparable governing law, or any agreement or certificate of incorporation, bylaws, partnership agreement, operating agreement, certificate of formation, certificate of limited partnership or other comparable organizational documents of the Corporation or the indemnitee-related entities, as applicable.</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Obligations; Reliance</w:t>
      </w:r>
      <w:r>
        <w:rPr>
          <w:rFonts w:ascii="Arial" w:cs="Arial" w:eastAsia="Arial" w:hAnsi="Arial"/>
          <w:sz w:val="17"/>
          <w:szCs w:val="17"/>
          <w:color w:val="auto"/>
        </w:rPr>
        <w:t>. The rights granted pursuant to the provisions of this Article VII shall be contract rights and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76"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4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Electronic Transmission, etc.</w:t>
      </w:r>
      <w:r>
        <w:rPr>
          <w:rFonts w:ascii="Arial" w:cs="Arial" w:eastAsia="Arial" w:hAnsi="Arial"/>
          <w:sz w:val="18"/>
          <w:szCs w:val="18"/>
          <w:color w:val="auto"/>
        </w:rPr>
        <w:t xml:space="preserve"> For purposes of these Amended and Restated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u w:val="single" w:color="auto"/>
          <w:color w:val="auto"/>
        </w:rPr>
        <w:t>electronic</w:t>
      </w:r>
      <w:r>
        <w:rPr>
          <w:rFonts w:ascii="Arial" w:cs="Arial" w:eastAsia="Arial" w:hAnsi="Arial"/>
          <w:sz w:val="18"/>
          <w:szCs w:val="18"/>
          <w:color w:val="auto"/>
        </w:rPr>
        <w:t xml:space="preserve"> </w:t>
      </w:r>
      <w:r>
        <w:rPr>
          <w:rFonts w:ascii="Arial" w:cs="Arial" w:eastAsia="Arial" w:hAnsi="Arial"/>
          <w:sz w:val="18"/>
          <w:szCs w:val="18"/>
          <w:u w:val="single" w:color="auto"/>
          <w:color w:val="auto"/>
        </w:rPr>
        <w:t>mail</w:t>
      </w:r>
      <w:r>
        <w:rPr>
          <w:rFonts w:ascii="Arial" w:cs="Arial" w:eastAsia="Arial" w:hAnsi="Arial"/>
          <w:sz w:val="18"/>
          <w:szCs w:val="18"/>
          <w:color w:val="auto"/>
        </w:rPr>
        <w:t>,” and “</w:t>
      </w:r>
      <w:r>
        <w:rPr>
          <w:rFonts w:ascii="Arial" w:cs="Arial" w:eastAsia="Arial" w:hAnsi="Arial"/>
          <w:sz w:val="18"/>
          <w:szCs w:val="18"/>
          <w:u w:val="single" w:color="auto"/>
          <w:color w:val="auto"/>
        </w:rPr>
        <w:t>electronic mail address</w:t>
      </w:r>
      <w:r>
        <w:rPr>
          <w:rFonts w:ascii="Arial" w:cs="Arial" w:eastAsia="Arial" w:hAnsi="Arial"/>
          <w:sz w:val="18"/>
          <w:szCs w:val="18"/>
          <w:color w:val="auto"/>
        </w:rPr>
        <w:t>” shall have the meanings ascribed thereto in the DGCL.</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4"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the Saturday closest to January 31 of each year (which Saturday may occur on a date following January 31), or such other day as the Board of Directors may designate.</w:t>
      </w:r>
    </w:p>
    <w:p>
      <w:pPr>
        <w:spacing w:after="0" w:line="170"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Section Headings; Section References</w:t>
      </w:r>
      <w:r>
        <w:rPr>
          <w:rFonts w:ascii="Arial" w:cs="Arial" w:eastAsia="Arial" w:hAnsi="Arial"/>
          <w:sz w:val="18"/>
          <w:szCs w:val="18"/>
          <w:color w:val="auto"/>
        </w:rPr>
        <w:t>. Section headings in these Amended and Restated Bylaws are for convenience of reference only and shall not be given any substantive effect in limiting or otherwise construing any provision herein. Except as otherwise indicated, section references herein refer to sections of these Amended and Restated Bylaws.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82" w:name="page83"/>
    <w:bookmarkEnd w:id="82"/>
    <w:p>
      <w:pPr>
        <w:jc w:val="both"/>
        <w:ind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8.05 </w:t>
      </w:r>
      <w:r>
        <w:rPr>
          <w:rFonts w:ascii="Arial" w:cs="Arial" w:eastAsia="Arial" w:hAnsi="Arial"/>
          <w:sz w:val="16"/>
          <w:szCs w:val="16"/>
          <w:u w:val="single" w:color="auto"/>
          <w:color w:val="auto"/>
        </w:rPr>
        <w:t>Inconsistent Provisions</w:t>
      </w:r>
      <w:r>
        <w:rPr>
          <w:rFonts w:ascii="Arial" w:cs="Arial" w:eastAsia="Arial" w:hAnsi="Arial"/>
          <w:sz w:val="16"/>
          <w:szCs w:val="16"/>
          <w:color w:val="auto"/>
        </w:rPr>
        <w:t>. In the event that any provision of these Amended and Restated Bylaws is or becomes inconsistent with any provision of the Amended and Restated Certificate of Incorporation, the DGCL or any other applicable law, such provision of these Amended and Restated Bylaws shall not be given any effect to the extent of such inconsistency but shall otherwise be given full force and effect.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firstLine="991"/>
        <w:spacing w:after="0" w:line="274"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w:t>
      </w:r>
      <w:r>
        <w:rPr>
          <w:rFonts w:ascii="Arial" w:cs="Arial" w:eastAsia="Arial" w:hAnsi="Arial"/>
          <w:sz w:val="16"/>
          <w:szCs w:val="16"/>
          <w:color w:val="auto"/>
        </w:rPr>
        <w:t>. The Board of Directors is authorized to make, repeal, alter, amend and rescind, in whole or in part, these Amended and Restated Bylaws without the assent or vote of the stockholders in any manner not inconsistent with the laws of the State of Delaware or the Amended and Restated Certificate of Incorporation. For so long as KKR beneficially owns, in the aggregate, at least 40% in voting power of the stock of the Corporation entitled to vote generally in the election of directors,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by these Amended and Restated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Amended and Restated Bylaws or to adopt any provision inconsistent therewith. Notwithstanding any other provisions of these Amended and Restated Bylaws or any provision of law that might otherwise permit a lesser vote of the stockholders, at any time when KKR beneficially owns, in the aggregate, less than 40% in voting power of the stock of the Corporation entitled to vote generally in the election of directors,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these Amended and Restated Bylaws or applicable law,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Amended and Restated Bylaws (including, without limitation, this Section 9.01) or to adopt any provision inconsistent 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11"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This AMENDMENT TO THE REGISTRATION RIGHTS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October 6, 2020, by and among Allstar LLC, a Delaware limited liability company ( “</w:t>
      </w:r>
      <w:r>
        <w:rPr>
          <w:rFonts w:ascii="Arial" w:cs="Arial" w:eastAsia="Arial" w:hAnsi="Arial"/>
          <w:sz w:val="16"/>
          <w:szCs w:val="16"/>
          <w:u w:val="single" w:color="auto"/>
          <w:color w:val="auto"/>
        </w:rPr>
        <w:t>Allstar</w:t>
      </w:r>
      <w:r>
        <w:rPr>
          <w:rFonts w:ascii="Arial" w:cs="Arial" w:eastAsia="Arial" w:hAnsi="Arial"/>
          <w:sz w:val="16"/>
          <w:szCs w:val="16"/>
          <w:color w:val="auto"/>
        </w:rPr>
        <w:t>”), Academy Sports and Outdoors, Inc., a Delaware corporation (“</w:t>
      </w:r>
      <w:r>
        <w:rPr>
          <w:rFonts w:ascii="Arial" w:cs="Arial" w:eastAsia="Arial" w:hAnsi="Arial"/>
          <w:sz w:val="16"/>
          <w:szCs w:val="16"/>
          <w:u w:val="single" w:color="auto"/>
          <w:color w:val="auto"/>
        </w:rPr>
        <w:t>Corporation</w:t>
      </w:r>
      <w:r>
        <w:rPr>
          <w:rFonts w:ascii="Arial" w:cs="Arial" w:eastAsia="Arial" w:hAnsi="Arial"/>
          <w:sz w:val="16"/>
          <w:szCs w:val="16"/>
          <w:color w:val="auto"/>
        </w:rPr>
        <w:t>”), and New Academy Holding Company, LLC, a Delaware limited liability company (“</w:t>
      </w:r>
      <w:r>
        <w:rPr>
          <w:rFonts w:ascii="Arial" w:cs="Arial" w:eastAsia="Arial" w:hAnsi="Arial"/>
          <w:sz w:val="16"/>
          <w:szCs w:val="16"/>
          <w:u w:val="single" w:color="auto"/>
          <w:color w:val="auto"/>
        </w:rPr>
        <w:t>NAHC</w:t>
      </w:r>
      <w:r>
        <w:rPr>
          <w:rFonts w:ascii="Arial" w:cs="Arial" w:eastAsia="Arial" w:hAnsi="Arial"/>
          <w:sz w:val="16"/>
          <w:szCs w:val="16"/>
          <w:color w:val="auto"/>
        </w:rPr>
        <w:t>”), amends and restates in its entirety that certain Registration Rights Agreement, dated as of August 3, 2011, by and among Allstar, NAHC and Academy Holdings, Inc. (as amended by that certain Addendum Agreement, dated as of August 30, 2011, by and between NAHC and Allstar Managers LLC, the “</w:t>
      </w:r>
      <w:r>
        <w:rPr>
          <w:rFonts w:ascii="Arial" w:cs="Arial" w:eastAsia="Arial" w:hAnsi="Arial"/>
          <w:sz w:val="16"/>
          <w:szCs w:val="16"/>
          <w:u w:val="single" w:color="auto"/>
          <w:color w:val="auto"/>
        </w:rPr>
        <w:t>Existing Registration Rights Agreement</w:t>
      </w:r>
      <w:r>
        <w:rPr>
          <w:rFonts w:ascii="Arial" w:cs="Arial" w:eastAsia="Arial" w:hAnsi="Arial"/>
          <w:sz w:val="16"/>
          <w:szCs w:val="16"/>
          <w:color w:val="auto"/>
        </w:rPr>
        <w:t>”).</w:t>
      </w:r>
    </w:p>
    <w:p>
      <w:pPr>
        <w:spacing w:after="0" w:line="161" w:lineRule="exact"/>
        <w:rPr>
          <w:sz w:val="20"/>
          <w:szCs w:val="20"/>
          <w:color w:val="auto"/>
        </w:rPr>
      </w:pPr>
    </w:p>
    <w:p>
      <w:pPr>
        <w:jc w:val="both"/>
        <w:ind w:right="180" w:firstLine="991"/>
        <w:spacing w:after="0" w:line="277" w:lineRule="auto"/>
        <w:rPr>
          <w:sz w:val="20"/>
          <w:szCs w:val="20"/>
          <w:color w:val="auto"/>
        </w:rPr>
      </w:pPr>
      <w:r>
        <w:rPr>
          <w:rFonts w:ascii="Arial" w:cs="Arial" w:eastAsia="Arial" w:hAnsi="Arial"/>
          <w:sz w:val="18"/>
          <w:szCs w:val="18"/>
          <w:color w:val="auto"/>
        </w:rPr>
        <w:t>WHEREAS, the Corporation is currently contemplating an underwritten initial public offering (the “</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of shares of its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70"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WHEREAS, in connection with the Initial Public Offering, each Shareholder (as defined in the Existing Registration Rights Agreement) that is a unitholder of NAHC will contribute its equity interests in NAHC to the Corporation in exchange for shares of Common Stock and NAHC will become a wholly-owned subsidiary of the Corporation;</w:t>
      </w:r>
    </w:p>
    <w:p>
      <w:pPr>
        <w:spacing w:after="0" w:line="184"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WHEREAS, the Corporation constitutes the “IPO Corporation” and the Initial Public Offering constitutes the “Initial Public Offering” under each of the Existing Registration Rights Agreement and the Amended and Restated Limited Liability Company Agreement of NAHC (as amended or supplemented from time to time through the date hereof, the “</w:t>
      </w:r>
      <w:r>
        <w:rPr>
          <w:rFonts w:ascii="Arial" w:cs="Arial" w:eastAsia="Arial" w:hAnsi="Arial"/>
          <w:sz w:val="18"/>
          <w:szCs w:val="18"/>
          <w:u w:val="single" w:color="auto"/>
          <w:color w:val="auto"/>
        </w:rPr>
        <w:t>LLC Agreement</w:t>
      </w:r>
      <w:r>
        <w:rPr>
          <w:rFonts w:ascii="Arial" w:cs="Arial" w:eastAsia="Arial" w:hAnsi="Arial"/>
          <w:sz w:val="18"/>
          <w:szCs w:val="18"/>
          <w:color w:val="auto"/>
        </w:rPr>
        <w:t>”);</w:t>
      </w:r>
    </w:p>
    <w:p>
      <w:pPr>
        <w:spacing w:after="0" w:line="18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WHEREAS, Sections 4.8(a) and 14.11 of the LLC Agreement and Section 11(k) of the Existing Registration Rights Agreement require NAHC (if it is not the IPO Corporation thereunder) to cause the Corporation to become a party to and grant registration rights described in the Existing Registration Rights Agreement with respect to securities of the Corporation;</w:t>
      </w:r>
    </w:p>
    <w:p>
      <w:pPr>
        <w:spacing w:after="0" w:line="184"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WHEREAS, Section 11(a) of the Existing Registration Rights Agreement further permits amendments, modifications, supplements, waivers and/or consents to departures from the provisions of the Existing Registration Rights Agreement with the written consent of Allstar, so long as such amendments, modifications, supplements, waivers and/or consents to departures would not (i) subject a Shareholder (for purposes of clauses (i) and (ii), as defined therein) to adverse differential treatment relative to other Shareholders, (ii) be adverse to a right specifically granted to a specific Shareholder but not to other Shareholders and (iii) adversely affect any Gochman Member (as defined therein); and</w:t>
      </w:r>
    </w:p>
    <w:p>
      <w:pPr>
        <w:spacing w:after="0" w:line="176"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WHEREAS, in connection with the Initial Public Offering, each of Allstar, the Corporation and NAHC desires to amend and restate the Existing Registration Rights Agreement to, among other things, add the Corporation as a party thereto and grant the registration rights described therein to the Shareholders with respect to securities of the Corporation.</w:t>
      </w:r>
    </w:p>
    <w:p>
      <w:pPr>
        <w:sectPr>
          <w:pgSz w:w="11900" w:h="16838" w:orient="portrait"/>
          <w:cols w:equalWidth="0" w:num="1">
            <w:col w:w="11020"/>
          </w:cols>
          <w:pgMar w:left="440" w:top="121" w:right="439" w:bottom="1440" w:gutter="0" w:footer="0" w:header="0"/>
        </w:sectPr>
      </w:pPr>
    </w:p>
    <w:bookmarkStart w:id="84" w:name="page85"/>
    <w:bookmarkEnd w:id="84"/>
    <w:p>
      <w:pPr>
        <w:ind w:right="14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for and in consideration of the mutual agreements contained herein and for other good and valuable consideration, the receipt and sufficiency of which is hereby acknowledged, the parties hereto, intending to be legally bound hereby, agree as follows:</w:t>
      </w:r>
    </w:p>
    <w:p>
      <w:pPr>
        <w:spacing w:after="0" w:line="124"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Amendments to Existing Registration Rights Agreement</w:t>
      </w:r>
      <w:r>
        <w:rPr>
          <w:rFonts w:ascii="Arial" w:cs="Arial" w:eastAsia="Arial" w:hAnsi="Arial"/>
          <w:sz w:val="17"/>
          <w:szCs w:val="17"/>
          <w:color w:val="auto"/>
        </w:rPr>
        <w:t xml:space="preserve">. Each of the parties hereto agrees that, effective as of the date hereof, the Existing Registration Rights Agreement shall be amended and restated in its entirety in the form 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w:t>
      </w:r>
    </w:p>
    <w:p>
      <w:pPr>
        <w:spacing w:after="0" w:line="146"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Capitalized terms used but not otherwise defined herein (including in the Preamble and Recitals hereto) shall have the meanings assigned to such terms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Section 1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is incorporated herein by reference and applies </w:t>
      </w:r>
      <w:r>
        <w:rPr>
          <w:rFonts w:ascii="Arial" w:cs="Arial" w:eastAsia="Arial" w:hAnsi="Arial"/>
          <w:sz w:val="16"/>
          <w:szCs w:val="16"/>
          <w:i w:val="1"/>
          <w:iCs w:val="1"/>
          <w:color w:val="auto"/>
        </w:rPr>
        <w:t>mutatis mutandis.</w:t>
      </w:r>
    </w:p>
    <w:p>
      <w:pPr>
        <w:spacing w:after="0" w:line="124"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 Section 11 of</w:t>
      </w:r>
      <w:r>
        <w:rPr>
          <w:rFonts w:ascii="Arial" w:cs="Arial" w:eastAsia="Arial" w:hAnsi="Arial"/>
          <w:sz w:val="16"/>
          <w:szCs w:val="16"/>
          <w:u w:val="single" w:color="auto"/>
          <w:color w:val="auto"/>
        </w:rPr>
        <w:t xml:space="preserve"> Schedule I </w:t>
      </w:r>
      <w:r>
        <w:rPr>
          <w:rFonts w:ascii="Arial" w:cs="Arial" w:eastAsia="Arial" w:hAnsi="Arial"/>
          <w:sz w:val="16"/>
          <w:szCs w:val="16"/>
          <w:color w:val="auto"/>
        </w:rPr>
        <w:t>hereto is incorporated herein by reference and applies</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mutatis mutandis.</w:t>
      </w:r>
    </w:p>
    <w:p>
      <w:pPr>
        <w:spacing w:after="0" w:line="225"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become effective on and as of the date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Amendment to be duly executed as of the date first above written.</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ALLSTAR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 Finance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[Amendment to Registration Rights Agreement Signature Page]</w:t>
      </w:r>
    </w:p>
    <w:p>
      <w:pPr>
        <w:sectPr>
          <w:pgSz w:w="11900" w:h="16838" w:orient="portrait"/>
          <w:cols w:equalWidth="0" w:num="1">
            <w:col w:w="9260"/>
          </w:cols>
          <w:pgMar w:left="1420" w:top="274" w:right="1219" w:bottom="1440" w:gutter="0" w:footer="0" w:header="0"/>
        </w:sectPr>
      </w:pPr>
    </w:p>
    <w:bookmarkStart w:id="86" w:name="page87"/>
    <w:bookmarkEnd w:id="8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SPORTS AND OUTDOORS,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[Amendment to Registration Rights Agreement Signature Page]</w:t>
      </w:r>
    </w:p>
    <w:p>
      <w:pPr>
        <w:sectPr>
          <w:pgSz w:w="11900" w:h="16838" w:orient="portrait"/>
          <w:cols w:equalWidth="0" w:num="1">
            <w:col w:w="9700"/>
          </w:cols>
          <w:pgMar w:left="1440" w:top="270" w:right="759" w:bottom="1440" w:gutter="0" w:footer="0" w:header="0"/>
        </w:sectPr>
      </w:pPr>
    </w:p>
    <w:bookmarkStart w:id="87" w:name="page88"/>
    <w:bookmarkEnd w:id="8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ACADEMY HOLDING COMPANY,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[Amendment to Registration Rights Agreement Signature Page]</w:t>
      </w:r>
    </w:p>
    <w:p>
      <w:pPr>
        <w:sectPr>
          <w:pgSz w:w="11900" w:h="16838" w:orient="portrait"/>
          <w:cols w:equalWidth="0" w:num="1">
            <w:col w:w="9700"/>
          </w:cols>
          <w:pgMar w:left="1440" w:top="270" w:right="7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11"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October 6, 2020, is by and among Allstar LLC, a Delaware limited liability company (together with its Affiliates (as defined below) that hold Common Stock (as defined below) or other Registrable Securities (as defined below) received in respect of Common Stock, “</w:t>
      </w:r>
      <w:r>
        <w:rPr>
          <w:rFonts w:ascii="Arial" w:cs="Arial" w:eastAsia="Arial" w:hAnsi="Arial"/>
          <w:sz w:val="17"/>
          <w:szCs w:val="17"/>
          <w:u w:val="single" w:color="auto"/>
          <w:color w:val="auto"/>
        </w:rPr>
        <w:t>Allstar</w:t>
      </w:r>
      <w:r>
        <w:rPr>
          <w:rFonts w:ascii="Arial" w:cs="Arial" w:eastAsia="Arial" w:hAnsi="Arial"/>
          <w:sz w:val="17"/>
          <w:szCs w:val="17"/>
          <w:color w:val="auto"/>
        </w:rPr>
        <w:t>”), Allstar Co-Invest Blocker L.P., a Delaware limited liability company, KKR 2006 Allstar Blocker L.P., a Delaware limited partnership, Academy Sports and Outdoors, Inc., a Delaware corporation (“</w:t>
      </w:r>
      <w:r>
        <w:rPr>
          <w:rFonts w:ascii="Arial" w:cs="Arial" w:eastAsia="Arial" w:hAnsi="Arial"/>
          <w:sz w:val="17"/>
          <w:szCs w:val="17"/>
          <w:u w:val="single" w:color="auto"/>
          <w:color w:val="auto"/>
        </w:rPr>
        <w:t>Corporation</w:t>
      </w:r>
      <w:r>
        <w:rPr>
          <w:rFonts w:ascii="Arial" w:cs="Arial" w:eastAsia="Arial" w:hAnsi="Arial"/>
          <w:sz w:val="17"/>
          <w:szCs w:val="17"/>
          <w:color w:val="auto"/>
        </w:rPr>
        <w:t>”), New Academy Holding Company, LLC, a Delaware limited liability company (“</w:t>
      </w:r>
      <w:r>
        <w:rPr>
          <w:rFonts w:ascii="Arial" w:cs="Arial" w:eastAsia="Arial" w:hAnsi="Arial"/>
          <w:sz w:val="17"/>
          <w:szCs w:val="17"/>
          <w:u w:val="single" w:color="auto"/>
          <w:color w:val="auto"/>
        </w:rPr>
        <w:t>NAHC</w:t>
      </w:r>
      <w:r>
        <w:rPr>
          <w:rFonts w:ascii="Arial" w:cs="Arial" w:eastAsia="Arial" w:hAnsi="Arial"/>
          <w:sz w:val="17"/>
          <w:szCs w:val="17"/>
          <w:color w:val="auto"/>
        </w:rPr>
        <w:t>”), Allstar Managers LLC, a Delaware limited liability company, MG Family Limited Partnership, a Delaware limited partnership, and MSI 2011 LLC, a Delaware limited liability company, and any other Person who may become a party hereto pursuant to Section 11(c).</w:t>
      </w:r>
    </w:p>
    <w:p>
      <w:pPr>
        <w:spacing w:after="0" w:line="17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WHEREAS, in connection with the underwritten initial public offering of the Corporation’s Common Stock (the “</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the Corporation desires to grant, and the Shareholders desire to have, certain registration and other rights with respect to their Registrable Securities, on the terms and subject to the conditions set forth in this Agreement.</w:t>
      </w:r>
    </w:p>
    <w:p>
      <w:pPr>
        <w:spacing w:after="0" w:line="184"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NOW, THEREFORE, for and in consideration of the mutual agreements contained herein and for other good and valuable consideration, the receipt and sufficiency of which is hereby acknowledged, the parties hereto, intending to be legally bound hereby, agree as follows:</w:t>
      </w:r>
    </w:p>
    <w:p>
      <w:pPr>
        <w:spacing w:after="0" w:line="12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 and terms used herein but not otherwise defined herein shall have the meanings assigned to them in the LLC Agreement:</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with respect to any Person, an “affiliate” as defined in Rule 405 of the regulations promulgated under the Securities Act and, with respect to the KKR Shareholders only, any investment fund, vehicle or holding company of which a KKR Shareholder or an Affiliate of a KKR Shareholder serves as the general partner, managing member or discretionary manager or advisor;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an Affiliate shall not include any portfolio company of the KKR Shareholders.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Allstar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Allstar Managers</w:t>
      </w:r>
      <w:r>
        <w:rPr>
          <w:rFonts w:ascii="Arial" w:cs="Arial" w:eastAsia="Arial" w:hAnsi="Arial"/>
          <w:sz w:val="18"/>
          <w:szCs w:val="18"/>
          <w:color w:val="auto"/>
        </w:rPr>
        <w:t>” shall mean Allstar Managers LLC and its Permitted Transferees.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ectPr>
          <w:pgSz w:w="11900" w:h="16838" w:orient="portrait"/>
          <w:cols w:equalWidth="0" w:num="1">
            <w:col w:w="11020"/>
          </w:cols>
          <w:pgMar w:left="440" w:top="270" w:right="439" w:bottom="1440" w:gutter="0" w:footer="0" w:header="0"/>
        </w:sectPr>
      </w:pPr>
    </w:p>
    <w:bookmarkStart w:id="89" w:name="page90"/>
    <w:bookmarkEnd w:id="8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all shares existing or hereafter authorized of any class of common stock of the Corporation, which has the right (subject always to the rights of any class or series of preferred stock of the Corporation) to participate in the distribution of the assets and earnings of the Corporation without limit as to per share amount, including any shares of capital stock into which Common Stock may be converted (as a result of recapitalization, share exchange or similar event) or are issued with respect to Common Stock, including with respect to any stock split or stock dividend, or a successor security.</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Cutback</w:t>
      </w:r>
      <w:r>
        <w:rPr>
          <w:rFonts w:ascii="Arial" w:cs="Arial" w:eastAsia="Arial" w:hAnsi="Arial"/>
          <w:sz w:val="18"/>
          <w:szCs w:val="18"/>
          <w:color w:val="auto"/>
        </w:rPr>
        <w:t>” shall have the meaning set forth in Section 3(b) hereof.</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shall have the meaning set forth in Section 3(a) hereof.</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shall have the meaning set forth in Section 3(a) hereof.</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of the SEC promulgated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Registration Rights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Gochman Affiliates</w:t>
      </w:r>
      <w:r>
        <w:rPr>
          <w:rFonts w:ascii="Arial" w:cs="Arial" w:eastAsia="Arial" w:hAnsi="Arial"/>
          <w:sz w:val="16"/>
          <w:szCs w:val="16"/>
          <w:color w:val="auto"/>
        </w:rPr>
        <w:t>” means (a) any Gochman family member, (b) any Affiliate of a Gochman Shareholder that is directly or indirectly controlled by either one or both of David Gochman or Molly Gochman, and (c) any eligible person. For purposes of this definition, (i) “control” (including with correlative meanings, the term “controlled by”), as used with respect to any Person, means the possession, directly or indirectly, of the power to direct or cause the direction of the management or policies of such Person, whether through the ownership of voting securities, contract or otherwise; (ii) “Gochman family member” means a lawful descendant of one or more parents of David Gochman and Molly Gochman (including David Gochman and Molly Gochman) and the spouse of such descendant; and (iii) “eligible person” means (A) (t) Gochman Descendants’ Trust No. One f/b/o Molly Gochman created u/a/d October 31, 1994 between Arthur M. Gochman, as Grantor, and David E. Gochman, as Trustee, (u) Molly Gochman Grantor Trust created u/a/d August 5, 1995 between Molly Gochman, as Grantor, and David E. Gochman, as Trustee, (v) Gochman Descendants’ Trust No. One f/b/o David E. Gochman created u/a/d October 31, 1994 between Arthur M. Gochman, as Grantor, and David E. Gochman, as Trustee,</w:t>
      </w:r>
    </w:p>
    <w:p>
      <w:pPr>
        <w:spacing w:after="0" w:line="6" w:lineRule="exact"/>
        <w:rPr>
          <w:sz w:val="20"/>
          <w:szCs w:val="20"/>
          <w:color w:val="auto"/>
        </w:rPr>
      </w:pPr>
    </w:p>
    <w:p>
      <w:pPr>
        <w:ind w:left="304" w:hanging="304"/>
        <w:spacing w:after="0"/>
        <w:tabs>
          <w:tab w:leader="none" w:pos="3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David E. Gochman 2007 Family Trust created u/a/d April 27, 2007, between David E. Gochman, as Grantor, and Charles F. Herring, Jr., as Trustee,</w:t>
      </w:r>
    </w:p>
    <w:p>
      <w:pPr>
        <w:spacing w:after="0" w:line="32" w:lineRule="exact"/>
        <w:rPr>
          <w:rFonts w:ascii="Arial" w:cs="Arial" w:eastAsia="Arial" w:hAnsi="Arial"/>
          <w:sz w:val="16"/>
          <w:szCs w:val="16"/>
          <w:color w:val="auto"/>
        </w:rPr>
      </w:pPr>
    </w:p>
    <w:p>
      <w:pPr>
        <w:ind w:left="4" w:hanging="4"/>
        <w:spacing w:after="0" w:line="270" w:lineRule="auto"/>
        <w:tabs>
          <w:tab w:leader="none" w:pos="259" w:val="left"/>
        </w:tabs>
        <w:numPr>
          <w:ilvl w:val="0"/>
          <w:numId w:val="75"/>
        </w:numPr>
        <w:rPr>
          <w:rFonts w:ascii="Arial" w:cs="Arial" w:eastAsia="Arial" w:hAnsi="Arial"/>
          <w:sz w:val="17"/>
          <w:szCs w:val="17"/>
          <w:color w:val="auto"/>
        </w:rPr>
      </w:pPr>
      <w:r>
        <w:rPr>
          <w:rFonts w:ascii="Arial" w:cs="Arial" w:eastAsia="Arial" w:hAnsi="Arial"/>
          <w:sz w:val="17"/>
          <w:szCs w:val="17"/>
          <w:color w:val="auto"/>
        </w:rPr>
        <w:t>2009 DG GRAT created u/a/d December 16, 2009, by David E. Gochman, as Grantor and Trustee, (y) 2010 DG GRAT created u/a/d December 16, 2010, by David E. Gochman, as Grantor and Trustee and (z) any trust for the primary benefit of one or more Gochman family members (collectively, the trusts referred to in clauses (t) through (z) are “qualified trusts”), (B) the estate of any Gochman family member, (C) any custodian for the benefit of a Gochman family member under the Delaware Uniform Transfers to Minors Act or the comparable laws of any other jurisdiction, and (D) other entities, including but not limited to partnerships, corporations and limited liability companies, in each case, where the majority of the equity interests are directly or indirectly owned by one or more of the Persons described in (a) through (c) of this definition.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0" w:name="page91"/>
    <w:bookmarkEnd w:id="90"/>
    <w:p>
      <w:pPr>
        <w:ind w:right="5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Gochman Shareholders</w:t>
      </w:r>
      <w:r>
        <w:rPr>
          <w:rFonts w:ascii="Arial" w:cs="Arial" w:eastAsia="Arial" w:hAnsi="Arial"/>
          <w:sz w:val="18"/>
          <w:szCs w:val="18"/>
          <w:color w:val="auto"/>
        </w:rPr>
        <w:t>” shall mean, collectively, MG Family Limited Partnership and MSI 2011 LLC and any of their respective Permitted Transferees.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shall mean the U.S. Financial Industry Regulatory Authority.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8(c)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8(c) hereof.</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 Shareholders</w:t>
      </w:r>
      <w:r>
        <w:rPr>
          <w:rFonts w:ascii="Arial" w:cs="Arial" w:eastAsia="Arial" w:hAnsi="Arial"/>
          <w:sz w:val="18"/>
          <w:szCs w:val="18"/>
          <w:color w:val="auto"/>
        </w:rPr>
        <w:t>” shall mean, collectively, Allstar, Allstar Co-Invest Blocker L.P. and KKR 2006 Allstar Blocker L.P. and any of their respective Permitted Transferees.</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applicable federal, state, local or foreign law, statute, ordinance, rule, regulation, order, writ, decree or agency requirement of any governmental entity.</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shall mean the Amended and Restated Limited Liability Company Agreement of NAHC, as amended or supplemented from time to time through the date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Long-Form Registrations</w:t>
      </w:r>
      <w:r>
        <w:rPr>
          <w:rFonts w:ascii="Arial" w:cs="Arial" w:eastAsia="Arial" w:hAnsi="Arial"/>
          <w:sz w:val="18"/>
          <w:szCs w:val="18"/>
          <w:color w:val="auto"/>
        </w:rPr>
        <w:t>” shall have the meaning set forth in Section 3(a)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8(a)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NAHC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shall have the meaning set forth in Section 3(a).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Securities</w:t>
      </w:r>
      <w:r>
        <w:rPr>
          <w:rFonts w:ascii="Arial" w:cs="Arial" w:eastAsia="Arial" w:hAnsi="Arial"/>
          <w:sz w:val="18"/>
          <w:szCs w:val="18"/>
          <w:color w:val="auto"/>
        </w:rPr>
        <w:t>” shall have the meaning set forth in Section 4(b).</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shall mean (i) any Affiliate of such Shareholder and/or, in the case of a KKR Shareholder, any Affiliate of Kohlberg Kravis Roberts &amp; Co. L.P., (ii) any successor entity of such Shareholder, (iii) in the case of any Gochman Shareholder, any Gochman Affiliate and (iv) with respect to any Shareholder that is an investment fund or controlled by an investment fund, any other investment fund or vehicle of which such Shareholder or an Affiliate serves as the general partner or discretionary manager or advisor (so long as such investment fund or vehicle was not established for the purpose of acquiring Common Stock) and in which such Shareholder or an Affiliate retains sole voting and dispositive power.</w:t>
      </w:r>
    </w:p>
    <w:p>
      <w:pPr>
        <w:spacing w:after="0" w:line="161"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natural person, corporation, limited partnership, general partnership, limited liability company, joint stock company, joint venture, association, company, estate, trust, bank trust company, land trust, business trust, or other organization, whether or not a legal entity, custodian, trustee-executor, administrator, nominee or entity in a representative capacity and any government or agency or political subdivision thereof.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91" w:name="page92"/>
    <w:bookmarkEnd w:id="9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Piggyback Cutback</w:t>
      </w:r>
      <w:r>
        <w:rPr>
          <w:rFonts w:ascii="Arial" w:cs="Arial" w:eastAsia="Arial" w:hAnsi="Arial"/>
          <w:sz w:val="18"/>
          <w:szCs w:val="18"/>
          <w:color w:val="auto"/>
        </w:rPr>
        <w:t>” shall have the meaning set forth in Section 4(b)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shall have the meaning set forth in Section 4(a)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shall have the meaning set forth in Section 4(a) hereof.</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 action, claim, suit, arbitration or proceeding (including an investigation or partial proceeding, such as a deposition), whether commenced or threatened.</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shall mean the prospectus included in any Registration Statement (including a prospectus that discloses information previously omitted from a prospectus filed as part of an effective Registration Statement in reliance upon Rule 430A promulgated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71"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shall mean the sale of Common Stock to the public pursuant to an effective Registration Statement (other than a Registration Statement on Form S-4 or Form S-8 or any similar or successor form) filed under the Securities Act.</w:t>
      </w:r>
    </w:p>
    <w:p>
      <w:pPr>
        <w:spacing w:after="0" w:line="170"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any shares of Common Stock currently held or hereafter acquired by the Shareholders and any other securities issued with respect to (or issuable upon the conversion or exercise of any warrant, right or other security which is issued with respect to) any such shares by way of share or equity split, share or equity dividend, recapitalization, exchange or similar event or otherwise. As to any particular Registrable Securities, once issued such securities shall cease to be Registrable Securities when (a) they are sold pursuant to an effective Registration Statement under the Securities Act, (b) they are sold pursuant to Rule 144 (or any similar provision then in force under the Securities Act), (c) they shall have ceased to be outstanding, or (d)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166"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Corporation under the Securities Act which covers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Securities Act, as such Rule may be amended from time to time.</w:t>
      </w:r>
    </w:p>
    <w:p>
      <w:pPr>
        <w:spacing w:after="0" w:line="225" w:lineRule="exact"/>
        <w:rPr>
          <w:sz w:val="20"/>
          <w:szCs w:val="20"/>
          <w:color w:val="auto"/>
        </w:rPr>
      </w:pPr>
    </w:p>
    <w:p>
      <w:pPr>
        <w:jc w:val="center"/>
        <w:ind w:left="780" w:right="6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or any successor agency having jurisdiction under the Securities Act. 4</w:t>
      </w:r>
    </w:p>
    <w:p>
      <w:pPr>
        <w:sectPr>
          <w:pgSz w:w="11900" w:h="16838" w:orient="portrait"/>
          <w:cols w:equalWidth="0" w:num="1">
            <w:col w:w="10980"/>
          </w:cols>
          <w:pgMar w:left="440" w:top="274" w:right="479" w:bottom="1440" w:gutter="0" w:footer="0" w:header="0"/>
        </w:sectPr>
      </w:pPr>
    </w:p>
    <w:bookmarkStart w:id="92" w:name="page93"/>
    <w:bookmarkEnd w:id="9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 and the rules and regulations of the SEC promulgated thereunder.</w:t>
      </w:r>
    </w:p>
    <w:p>
      <w:pPr>
        <w:spacing w:after="0" w:line="24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shall mean the KKR Shareholders, the Gochman Shareholders, Allstar Managers and any other Person who may become a party hereto pursuant to Section 11(c).</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shall have the meaning set forth in Section 3(a)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Underwritten Offering</w:t>
      </w:r>
      <w:r>
        <w:rPr>
          <w:rFonts w:ascii="Arial" w:cs="Arial" w:eastAsia="Arial" w:hAnsi="Arial"/>
          <w:sz w:val="18"/>
          <w:szCs w:val="18"/>
          <w:color w:val="auto"/>
        </w:rPr>
        <w:t>” shall have the meaning set forth in Section 4(c)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Short-Form Registrations</w:t>
      </w:r>
      <w:r>
        <w:rPr>
          <w:rFonts w:ascii="Arial" w:cs="Arial" w:eastAsia="Arial" w:hAnsi="Arial"/>
          <w:sz w:val="18"/>
          <w:szCs w:val="18"/>
          <w:color w:val="auto"/>
        </w:rPr>
        <w:t>” shall have the meaning set forth in Section 3(a)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Take-Down Notice</w:t>
      </w:r>
      <w:r>
        <w:rPr>
          <w:rFonts w:ascii="Arial" w:cs="Arial" w:eastAsia="Arial" w:hAnsi="Arial"/>
          <w:sz w:val="18"/>
          <w:szCs w:val="18"/>
          <w:color w:val="auto"/>
        </w:rPr>
        <w:t>” shall have the meaning set forth in Section 4(c) hereof.</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registration in which securities of the Corporation are sold to an underwriter for reoffering to the public.</w:t>
      </w:r>
    </w:p>
    <w:p>
      <w:pPr>
        <w:spacing w:after="0" w:line="170"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Holders of Registrable Securities</w:t>
      </w:r>
      <w:r>
        <w:rPr>
          <w:rFonts w:ascii="Arial" w:cs="Arial" w:eastAsia="Arial" w:hAnsi="Arial"/>
          <w:sz w:val="17"/>
          <w:szCs w:val="17"/>
          <w:color w:val="auto"/>
        </w:rPr>
        <w:t>. A Person is deemed, and shall only be deemed, to be a holder of Registrable Securities if such Person owns Registrable Securities or has a right to acquire such Registrable Securities and such Person is a Shareholder.</w:t>
      </w:r>
    </w:p>
    <w:p>
      <w:pPr>
        <w:spacing w:after="0" w:line="254"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Demand Registrations</w:t>
      </w:r>
      <w:r>
        <w:rPr>
          <w:rFonts w:ascii="Arial" w:cs="Arial" w:eastAsia="Arial" w:hAnsi="Arial"/>
          <w:sz w:val="16"/>
          <w:szCs w:val="16"/>
          <w:color w:val="auto"/>
        </w:rPr>
        <w:t>.</w:t>
      </w:r>
    </w:p>
    <w:p>
      <w:pPr>
        <w:spacing w:after="0" w:line="117" w:lineRule="exact"/>
        <w:rPr>
          <w:sz w:val="20"/>
          <w:szCs w:val="20"/>
          <w:color w:val="auto"/>
        </w:rPr>
      </w:pPr>
    </w:p>
    <w:p>
      <w:pPr>
        <w:ind w:firstLine="1428"/>
        <w:spacing w:after="0" w:line="268" w:lineRule="auto"/>
        <w:tabs>
          <w:tab w:leader="none" w:pos="1812"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Requests for Registration</w:t>
      </w:r>
      <w:r>
        <w:rPr>
          <w:rFonts w:ascii="Arial" w:cs="Arial" w:eastAsia="Arial" w:hAnsi="Arial"/>
          <w:sz w:val="17"/>
          <w:szCs w:val="17"/>
          <w:color w:val="auto"/>
        </w:rPr>
        <w:t>. Subject to the following paragraphs of this Section 3(a), (i) upon the requisite approval of the Board, Allstar shall have the right, by delivering or causing to be delivered a written notice to the Corporation, to require the Corporation to register, pursuant to the terms of this Agreement, under and in accordance with the provisions of the Securities Act, the offer and sale in an Initial Public Offering of a number of shares of Common Stock specified by Allstar (which offer and sale may include an offering of newly issued Common Stock by the Corporation and/or, at the request of Allstar, an offering of Registrable Securities) and (ii) following the Initial Public Offering, each of KKR Shareholders and Gochman Shareholders shall have the right, by delivering or causing to be delivered a written notice to the Corporation, to require the Corporation to register, pursuant to the terms of this Agreement, under and in accordance with the provisions of the Securities Act, the offer and sale of the number of Registrable Securities requested to be so registered pursuant to the terms of this Agreement on Form S-1 or any similar or successor long-form registration (“</w:t>
      </w:r>
      <w:r>
        <w:rPr>
          <w:rFonts w:ascii="Arial" w:cs="Arial" w:eastAsia="Arial" w:hAnsi="Arial"/>
          <w:sz w:val="17"/>
          <w:szCs w:val="17"/>
          <w:u w:val="single" w:color="auto"/>
          <w:color w:val="auto"/>
        </w:rPr>
        <w:t>Long-Form Registrations</w:t>
      </w:r>
      <w:r>
        <w:rPr>
          <w:rFonts w:ascii="Arial" w:cs="Arial" w:eastAsia="Arial" w:hAnsi="Arial"/>
          <w:sz w:val="17"/>
          <w:szCs w:val="17"/>
          <w:color w:val="auto"/>
        </w:rPr>
        <w:t>”) or, if the Corporation is then eligible, on Form S-3 or any similar or successor short-form registration (“</w:t>
      </w:r>
      <w:r>
        <w:rPr>
          <w:rFonts w:ascii="Arial" w:cs="Arial" w:eastAsia="Arial" w:hAnsi="Arial"/>
          <w:sz w:val="17"/>
          <w:szCs w:val="17"/>
          <w:u w:val="single" w:color="auto"/>
          <w:color w:val="auto"/>
        </w:rPr>
        <w:t>Short-Form Registrations</w:t>
      </w:r>
      <w:r>
        <w:rPr>
          <w:rFonts w:ascii="Arial" w:cs="Arial" w:eastAsia="Arial" w:hAnsi="Arial"/>
          <w:sz w:val="17"/>
          <w:szCs w:val="17"/>
          <w:color w:val="auto"/>
        </w:rPr>
        <w:t>”) (any such written notice, a “</w:t>
      </w:r>
      <w:r>
        <w:rPr>
          <w:rFonts w:ascii="Arial" w:cs="Arial" w:eastAsia="Arial" w:hAnsi="Arial"/>
          <w:sz w:val="17"/>
          <w:szCs w:val="17"/>
          <w:u w:val="single" w:color="auto"/>
          <w:color w:val="auto"/>
        </w:rPr>
        <w:t>Demand Notice</w:t>
      </w:r>
      <w:r>
        <w:rPr>
          <w:rFonts w:ascii="Arial" w:cs="Arial" w:eastAsia="Arial" w:hAnsi="Arial"/>
          <w:sz w:val="17"/>
          <w:szCs w:val="17"/>
          <w:color w:val="auto"/>
        </w:rPr>
        <w:t>” and any such registration,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Demand Notice may only be made if the sale of the Registrable Securities requested to be registered by any such demanding Shareholder (or all such demanding Shareholders if more than one Shareholder makes a demand) is reasonably expected to result in aggregate gross cash proceeds in excess of $50,000,000 (without regard to any underwriting discount or commission) in the case of any Long-Form Registration and at least $20,000,000 (without regard to 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3" w:name="page94"/>
    <w:bookmarkEnd w:id="9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underwriting discount or commission) in the case of any Short-Form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unless the Board shall otherwise consent, subject to Section 3(e), the Corporation shall not be obligated to file a registration statement relating to any registration request under this Section 3(a) within a period of 90 days after the effective date of any other registration statement relating to any registration request under this Section 3(a) (except if the underwriters shall require a longer period, but in any event no more than 180 days). A KKR Shareholder or a Gochman Shareholder may, in connection with any Demand Registration requested by such holder that is a Short-Form Registration, require the Corporation to file such registration statement with the SEC in accordance with and pursuant to Rule 415 under the Securities Act including, if the Corporation is a well-known seasoned issuer at the time of filing of the Short-Form Registration (as defined in Rule 405 under the Securities Act), as an automatic shelf registration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Following receipt of a Demand Notice for a Demand Registration in accordance with this Section 3(a), the Corporation shall use its reasonable best efforts to file a Registration Statement as promptly as practicable and shall use its reasonable best efforts to cause such Registration Statement to be declared effective under the Securities Act as promptly as practicable after the filing thereof.</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No Demand Registration shall be deemed to have occurred for purposes of this Section 3, and shall not count as a Demand Notice for purposes of Section 3(e), if (w) the Registration Statement relating thereto does not become effective, or is not maintained effective by the Corporation for the period required pursuant to this Section 3, (x) the offering of the Registrable Securities pursuant to such Registration Statement is not completed for any reason (other than solely by reason of some act or omission by the holder exercising its Demand Notice, including the withdrawal of such registration request pursuant to Section 3(d)), including because it was subject to a stop order, injunction, or similar order or requirement of the SEC during such period or (y) the holder exercising its Demand Notice has fewer than 60% of the amount of Registrable Securities originally requested to be included in such Registration Statement as a result of a Demand Cutback or (z) the conditions to closing specified in the purchase agreement or underwriting agreement entered into in connection with such Demand Registration are not satisfied, other than solely by reason of some act or omission by the holder exercising its Demand Notice to fail to perform its obligations under this Agreement or such purchase or underwriting agreement.</w:t>
      </w:r>
    </w:p>
    <w:p>
      <w:pPr>
        <w:spacing w:after="0" w:line="166"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Within 10 days after receipt by the Corporation of a Demand Notice in accordance with this Section 3(a) (other than a Demand Notice provided to effect an Initial Public Offering in which Allstar is not selling (or causing to be sold) Common Stock on a secondary basis, in which case no Notice shall be required), the Corporation shall give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of such Demand Notice to all other holders of Registrable Securities and shall, subject to the provisions of Section 3(b) hereof, include in such registration all Registrable Securities with respect to which the Corporation received written requests for inclusion therein within 20 days after such Notice is given by the Corporation to such holders, it being understood that any such request for inclusion of Registrable Securities given by a holder (including if given by a Gochman Shareholder) shall not be considered a Demand Notice for purposes of Section 3(e). The parties agree that, if the Corporation is effecting an Initial Public Offering in which Allstar or any of its Affiliates is selling (or causing to be sold) Common Stock on a secondary basis, then Allstar shall have be deemed to have made a Demand Notice for purposes of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94" w:name="page95"/>
    <w:bookmarkEnd w:id="94"/>
    <w:p>
      <w:pPr>
        <w:ind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requests made pursuant to this Section 3 will specify the number of Registrable Securities to be registered and/or, in the case of an Initial Public Offering, the number of shares of Common Stock to be issued by the Corporation (if any), and the intended methods of disposition thereof.</w:t>
      </w:r>
    </w:p>
    <w:p>
      <w:pPr>
        <w:spacing w:after="0" w:line="124" w:lineRule="exact"/>
        <w:rPr>
          <w:sz w:val="20"/>
          <w:szCs w:val="20"/>
          <w:color w:val="auto"/>
        </w:rPr>
      </w:pPr>
    </w:p>
    <w:p>
      <w:pPr>
        <w:ind w:right="120" w:firstLine="991"/>
        <w:spacing w:after="0" w:line="290" w:lineRule="auto"/>
        <w:rPr>
          <w:sz w:val="20"/>
          <w:szCs w:val="20"/>
          <w:color w:val="auto"/>
        </w:rPr>
      </w:pPr>
      <w:r>
        <w:rPr>
          <w:rFonts w:ascii="Arial" w:cs="Arial" w:eastAsia="Arial" w:hAnsi="Arial"/>
          <w:sz w:val="16"/>
          <w:szCs w:val="16"/>
          <w:color w:val="auto"/>
        </w:rPr>
        <w:t xml:space="preserve">The Corporation shall be required to maintain the effectiveness of the Registration Statement filed in connection with any Demand Registration for a period of at least 180 days after the effective date thereof or such shorter period during which all Registrable Securities included in such Registration Statement have actually been sold;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period shall be extended for a period of time equal to the period the holder of Registrable Securities refrains from selling any securities included in such Registration Statement at the request of the Corporation or an underwriter of the Corporation pursuant to the provisions of this Agreement. The Corporation shall use its reasonable best efforts to keep any Shelf Registration Statement continuously effective under the Securities Act until the earlier of (A) the date when all of the Registrable Securities covered by such Shelf Registration Statement have been sold and (B) the date on which the Registrable Securities covered by the Shelf Registration Statement are eligible to be sold or transferred without being subject to any holding period or volume limitations pursuant to Rule 144.</w:t>
      </w:r>
    </w:p>
    <w:p>
      <w:pPr>
        <w:spacing w:after="0" w:line="165" w:lineRule="exact"/>
        <w:rPr>
          <w:sz w:val="20"/>
          <w:szCs w:val="20"/>
          <w:color w:val="auto"/>
        </w:rPr>
      </w:pPr>
    </w:p>
    <w:p>
      <w:pPr>
        <w:ind w:firstLine="1428"/>
        <w:spacing w:after="0" w:line="253" w:lineRule="auto"/>
        <w:tabs>
          <w:tab w:leader="none" w:pos="1822"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Priority on Demand Registration</w:t>
      </w:r>
      <w:r>
        <w:rPr>
          <w:rFonts w:ascii="Arial" w:cs="Arial" w:eastAsia="Arial" w:hAnsi="Arial"/>
          <w:sz w:val="18"/>
          <w:szCs w:val="18"/>
          <w:color w:val="auto"/>
        </w:rPr>
        <w:t>. If any of the Registrable Securities registered pursuant to a Demand Registration are to be sold in an underwritten offering, and the managing underwriter or underwriters of such underwritten offering advise the holders of such securities in writing that, in its good-faith opinion, the total number or dollar amount of Registrable Securities proposed to be sold in such offering exceeds the total number or dollar amount of Registrable Securities that can be sold without adversely affecting the price, timing or distribution of the Registrable Securities to be included in such offering (including securities proposed to be included by other holders of securities entitled to include securities in such Registration Statement pursuant to incidental or piggyback registration rights), then there shall be included in such underwritten offering the number or dollar amount of Registrable Securities that in the opinion of such managing underwriter or underwriters can be sold without so adversely affecting such offering (such reduction in the number of Registrable Securities to be included in such underwritten offering, the “</w:t>
      </w:r>
      <w:r>
        <w:rPr>
          <w:rFonts w:ascii="Arial" w:cs="Arial" w:eastAsia="Arial" w:hAnsi="Arial"/>
          <w:sz w:val="18"/>
          <w:szCs w:val="18"/>
          <w:u w:val="single" w:color="auto"/>
          <w:color w:val="auto"/>
        </w:rPr>
        <w:t>Demand Cutback</w:t>
      </w:r>
      <w:r>
        <w:rPr>
          <w:rFonts w:ascii="Arial" w:cs="Arial" w:eastAsia="Arial" w:hAnsi="Arial"/>
          <w:sz w:val="18"/>
          <w:szCs w:val="18"/>
          <w:color w:val="auto"/>
        </w:rPr>
        <w:t>”), and such number of Registrable Securities shall be allocated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offering is an Initial Public Offering, clauses (i) and (ii) below shall be reversed such that securities requested to be included by the Corporation shall be given priority over Registrable Securities to be included by Shareholders):</w:t>
      </w:r>
    </w:p>
    <w:p>
      <w:pPr>
        <w:spacing w:after="0" w:line="83" w:lineRule="exact"/>
        <w:rPr>
          <w:rFonts w:ascii="Arial" w:cs="Arial" w:eastAsia="Arial" w:hAnsi="Arial"/>
          <w:sz w:val="18"/>
          <w:szCs w:val="18"/>
          <w:color w:val="auto"/>
        </w:rPr>
      </w:pPr>
    </w:p>
    <w:p>
      <w:pPr>
        <w:ind w:left="980" w:right="20" w:firstLine="408"/>
        <w:spacing w:after="0" w:line="273" w:lineRule="auto"/>
        <w:tabs>
          <w:tab w:leader="none" w:pos="17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first, pro rata among the holders of Registrable Securities on the basis of the percentage of the Registrable Securities requested to be included in such Registration Statement by such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offering is an Initial Public Offering, and if (1) prior to giving effect to any Demand Cutback the Gochman Shareholders collectively would hold a number of shares of Common Stock and other Registrable Securities in the aggregate after consummation of the Initial Public Offering equal to less than three percent (3%) of the total common equity of the Corporation then outstanding, calculated (I) assuming that the Gochman Shareholders sell in the Initial Public Offering a percentage of their Registrable Securities equal to the percentage of Registrable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95" w:name="page96"/>
    <w:bookmarkEnd w:id="95"/>
    <w:p>
      <w:pPr>
        <w:ind w:left="9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proposed to be sold by Allstar in the Initial Public Offering, (II) taking into account any dilution to the Gochman Shareholders’ ownership in the Corporation due to any proposed primary issuance of common equity of the Corporation in the Initial Public Offering, and (III) treating as outstanding for such purposes any such common equity issuable upon exchange of Membership Interests (as defined in the Existing Registration Rights Agreement) of NAHC, or (2) the Initial Public Offering would result in a Change of Control, then, in each of cases (1) and (2), the Gochman Shareholders shall have priority over other holders of Registrable Securities in the Initial Public Offering and shall be entitled first to sell up to a number of Registrable Securities equal to the lesser of (x) all of the Registrable Securities held by the Gochman Shareholders, (y) that number of Registrable Securities requested to be sold by Allstar in the Initial Public Offering and (z) the maximum number of Registrable Securities held by Shareholders (including Allstar and the Gochman Shareholders) that in the opinion of such managing underwriter or underwriters can be sold without adversely affecting the Initial Public Offering, and thereafter, such allocation shall be as set forth above excluding the Gochman Shareholders; and</w:t>
      </w:r>
    </w:p>
    <w:p>
      <w:pPr>
        <w:spacing w:after="0" w:line="60" w:lineRule="exact"/>
        <w:rPr>
          <w:sz w:val="20"/>
          <w:szCs w:val="20"/>
          <w:color w:val="auto"/>
        </w:rPr>
      </w:pPr>
    </w:p>
    <w:p>
      <w:pPr>
        <w:ind w:left="980" w:right="380" w:firstLine="408"/>
        <w:spacing w:after="0" w:line="277" w:lineRule="auto"/>
        <w:tabs>
          <w:tab w:leader="none" w:pos="17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second, the securities for which inclusion in such Demand Registration was requested by the Corporation, together with all Other Securities requested to be included in such Demand Registration.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securities excluded from the underwriting pursuant to this Section 3(b) shall be included in such registration.</w:t>
      </w:r>
    </w:p>
    <w:p>
      <w:pPr>
        <w:spacing w:after="0" w:line="225" w:lineRule="exact"/>
        <w:rPr>
          <w:sz w:val="20"/>
          <w:szCs w:val="20"/>
          <w:color w:val="auto"/>
        </w:rPr>
      </w:pPr>
    </w:p>
    <w:p>
      <w:pPr>
        <w:ind w:right="20" w:firstLine="1428"/>
        <w:spacing w:after="0" w:line="287" w:lineRule="auto"/>
        <w:tabs>
          <w:tab w:leader="none" w:pos="181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Postponement of Demand Registration</w:t>
      </w:r>
      <w:r>
        <w:rPr>
          <w:rFonts w:ascii="Arial" w:cs="Arial" w:eastAsia="Arial" w:hAnsi="Arial"/>
          <w:sz w:val="16"/>
          <w:szCs w:val="16"/>
          <w:color w:val="auto"/>
        </w:rPr>
        <w:t xml:space="preserve">. The Corporation shall be entitled to postpone (but not more than once in any 12-month period), for a reasonable period of time not in excess of 60 days, the filing of a Registration Statement if the Corporation delivers to the holders requesting registration a certificate signed by both the president and chief financial officer of the Corporation certifying that, in the good-faith judgment of the Board, such registration and offering would reasonably be expected to materially adversely affect or materially interfere with any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material financing of the Corporation or any material transaction under consideration by the Corporation or would require disclosure of information that has not been disclosed to the public, the premature disclosure of which would materially adversely affect the Corporation. Such certificate shall contain a statement of the reasons for such postponement and an approximation of the anticipated delay. The holders receiving such certificate shall keep the information contained in such certificate confidential subject to the same terms set forth in Section 6(p). If the Corporation shall so postpone the filing of a Registration Statement, the Person exercising its right to request a Demand Registration shall have the right to withdraw the request for registration by giving written notice to the Corporation within 20 days of the anticipated termination date of the postponement period, as provided in the certificate delivered to the holders, and such request for a demand registration shall not be considered a Demand Notice for purposes of Section 3(e).</w:t>
      </w:r>
    </w:p>
    <w:p>
      <w:pPr>
        <w:spacing w:after="0" w:line="171" w:lineRule="exact"/>
        <w:rPr>
          <w:rFonts w:ascii="Arial" w:cs="Arial" w:eastAsia="Arial" w:hAnsi="Arial"/>
          <w:sz w:val="16"/>
          <w:szCs w:val="16"/>
          <w:color w:val="auto"/>
        </w:rPr>
      </w:pPr>
    </w:p>
    <w:p>
      <w:pPr>
        <w:jc w:val="both"/>
        <w:ind w:right="260" w:firstLine="1428"/>
        <w:spacing w:after="0" w:line="263" w:lineRule="auto"/>
        <w:tabs>
          <w:tab w:leader="none" w:pos="182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Cancellation of a Demand Registration</w:t>
      </w:r>
      <w:r>
        <w:rPr>
          <w:rFonts w:ascii="Arial" w:cs="Arial" w:eastAsia="Arial" w:hAnsi="Arial"/>
          <w:sz w:val="18"/>
          <w:szCs w:val="18"/>
          <w:color w:val="auto"/>
        </w:rPr>
        <w:t>. Holders of the Registrable Securities who initially requested a Demand Registration shall have the right to notify the Corporation that they have determined that the registration statement be abandoned or withdrawn, in which event the Corporation shall abandon or withdraw such registration statement.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96" w:name="page97"/>
    <w:bookmarkEnd w:id="96"/>
    <w:p>
      <w:pPr>
        <w:ind w:right="120" w:firstLine="1428"/>
        <w:spacing w:after="0" w:line="271" w:lineRule="auto"/>
        <w:tabs>
          <w:tab w:leader="none" w:pos="1812"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Number of Demand Notices</w:t>
      </w:r>
      <w:r>
        <w:rPr>
          <w:rFonts w:ascii="Arial" w:cs="Arial" w:eastAsia="Arial" w:hAnsi="Arial"/>
          <w:sz w:val="17"/>
          <w:szCs w:val="17"/>
          <w:color w:val="auto"/>
        </w:rPr>
        <w:t xml:space="preserve">. In connection with the provisions of this Section 3, (i) the KKR Shareholders shall have an unlimited number of Demand Notices which it is permitted to deliver (or cause to be delivered) to the Corporation hereunder and (ii) the Gochman Shareholders as a group shall be entitled to deliver (or cause to be delivered) to the Corporation no more than three Demand Notices pursuant to Section 3(a)(ii);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Gochman Shareholders shall not be permitted to deliver more than one Demand Notice pursuant to Section 3(a)(ii) in any 365 day period and the right of the Gochman Shareholders under Section 3(a)(ii) shall terminate on the sixth month anniversary of the date that the Gochman Shareholders in the aggregate cease to own more than 3% of the outstanding Common Stock of the Corporation;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Demand Notice of the Gochman Shareholders shall be valid only if delivered by the Gochman Shareholder(s) holding a majority of the Common Stock then owned by all Gochman Shareholders.</w:t>
      </w:r>
    </w:p>
    <w:p>
      <w:pPr>
        <w:spacing w:after="0" w:line="178" w:lineRule="exact"/>
        <w:rPr>
          <w:rFonts w:ascii="Arial" w:cs="Arial" w:eastAsia="Arial" w:hAnsi="Arial"/>
          <w:sz w:val="17"/>
          <w:szCs w:val="17"/>
          <w:color w:val="auto"/>
        </w:rPr>
      </w:pPr>
    </w:p>
    <w:p>
      <w:pPr>
        <w:ind w:firstLine="1428"/>
        <w:spacing w:after="0" w:line="257" w:lineRule="auto"/>
        <w:tabs>
          <w:tab w:leader="none" w:pos="179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Registration Statement Form</w:t>
      </w:r>
      <w:r>
        <w:rPr>
          <w:rFonts w:ascii="Arial" w:cs="Arial" w:eastAsia="Arial" w:hAnsi="Arial"/>
          <w:sz w:val="18"/>
          <w:szCs w:val="18"/>
          <w:color w:val="auto"/>
        </w:rPr>
        <w:t>. If any registration requested pursuant to this Section 3 which is proposed by the Corporation to be effected by the filing of a Registration Statement on Form S-3 (or any successor or similar short-form registration statement) shall be in connection with an underwritten Public Offering, and if the managing underwriter shall advise the Corporation in writing that, in its opinion, the use of another form of Registration Statement is of material importance to the success of such proposed offering or is otherwise required by applicable law, then such registration shall be effected on such other form.</w:t>
      </w:r>
    </w:p>
    <w:p>
      <w:pPr>
        <w:spacing w:after="0" w:line="296"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117" w:lineRule="exact"/>
        <w:rPr>
          <w:sz w:val="20"/>
          <w:szCs w:val="20"/>
          <w:color w:val="auto"/>
        </w:rPr>
      </w:pPr>
    </w:p>
    <w:p>
      <w:pPr>
        <w:ind w:right="20" w:firstLine="1428"/>
        <w:spacing w:after="0" w:line="287" w:lineRule="auto"/>
        <w:tabs>
          <w:tab w:leader="none" w:pos="181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Right to Piggyback</w:t>
      </w:r>
      <w:r>
        <w:rPr>
          <w:rFonts w:ascii="Arial" w:cs="Arial" w:eastAsia="Arial" w:hAnsi="Arial"/>
          <w:sz w:val="16"/>
          <w:szCs w:val="16"/>
          <w:color w:val="auto"/>
        </w:rPr>
        <w:t>. Except with respect to a Demand Registration, the procedures for which are addressed in Section 3, if the Corporation proposes to file a registration statement under the Securities Act with respect to an offering of Common Stock whether or not for sale for its own account (other than a registration statement (x) on Form S-4, Form S-8 or any successor forms thereto or (y) filed solely in connection with an exchange offer or any employee benefit or dividend reinvestment plan), then, each such time after the Initial Public Offering, the Corporation shall give prompt written notice of such filing no later than ten days after the filing date (the “</w:t>
      </w:r>
      <w:r>
        <w:rPr>
          <w:rFonts w:ascii="Arial" w:cs="Arial" w:eastAsia="Arial" w:hAnsi="Arial"/>
          <w:sz w:val="16"/>
          <w:szCs w:val="16"/>
          <w:u w:val="single" w:color="auto"/>
          <w:color w:val="auto"/>
        </w:rPr>
        <w:t>Piggyback Notice</w:t>
      </w:r>
      <w:r>
        <w:rPr>
          <w:rFonts w:ascii="Arial" w:cs="Arial" w:eastAsia="Arial" w:hAnsi="Arial"/>
          <w:sz w:val="16"/>
          <w:szCs w:val="16"/>
          <w:color w:val="auto"/>
        </w:rPr>
        <w:t>”) to all of the holders of Registrable Securities. The Piggyback Notice shall offer such holders the opportunity to include (or cause to be included) in such registration statement the number of Registrable Securities as each such holder may request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Subject to Section 4(b) hereof, the Corporation shall include in each such Piggyback Registration all Registrable Securities with respect to which the Corporation has received written requests for inclusion therein within ten days after notice has been given to the applicable holder. The Corporation shall not be required to maintain the effectiveness of the Registration Statement for a Piggyback Registration beyond the earlier to occur of (A) 180 days after the effective date thereof and (B) consummation of the distribution by the holders of all of the Registrable Securities included in such Registration Statement.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97" w:name="page98"/>
    <w:bookmarkEnd w:id="97"/>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holder of Registrable Securities shall have the right to withdraw its Piggyback Request by giving written notice to the Corporation of its request to withdraw at least ten business days prior to the planned effective date of the related Registration Statement.</w:t>
      </w:r>
    </w:p>
    <w:p>
      <w:pPr>
        <w:spacing w:after="0" w:line="170" w:lineRule="exact"/>
        <w:rPr>
          <w:sz w:val="20"/>
          <w:szCs w:val="20"/>
          <w:color w:val="auto"/>
        </w:rPr>
      </w:pPr>
    </w:p>
    <w:p>
      <w:pPr>
        <w:ind w:right="80" w:firstLine="1428"/>
        <w:spacing w:after="0" w:line="286" w:lineRule="auto"/>
        <w:tabs>
          <w:tab w:leader="none" w:pos="182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Priority on Piggyback Registrations</w:t>
      </w:r>
      <w:r>
        <w:rPr>
          <w:rFonts w:ascii="Arial" w:cs="Arial" w:eastAsia="Arial" w:hAnsi="Arial"/>
          <w:sz w:val="16"/>
          <w:szCs w:val="16"/>
          <w:color w:val="auto"/>
        </w:rPr>
        <w:t>. If any of the Registrable Securities to be registered pursuant to the registration giving rise to rights under this Section 4 are to be sold in an underwritten offering, the Corporation shall use reasonable best efforts to cause the managing underwriter or underwriters of a proposed underwritten offering to permit holders of Registrable Securities who have submitted a Piggyback Request in connection with such offering to include in such offering all Registrable Securities included in each holder’s Piggyback Request on the same terms and conditions as any other interests, if any, of the Corporation included in the offering. Notwithstanding the foregoing, if the managing underwriter or underwriters of such underwritten offering advise the Corporation in writing that, in their good-faith opinion, the total number or dollar amount of securities proposed to be sold in such offering exceeds the total number or dollar amount of such securities that can be sold without adversely affecting the price, timing or distribution of the securities to be included in such offering (including securities proposed to be included by other holders of securities entitled to include securities in such Registration Statement pursuant to incidental or piggyback registration rights, the “</w:t>
      </w:r>
      <w:r>
        <w:rPr>
          <w:rFonts w:ascii="Arial" w:cs="Arial" w:eastAsia="Arial" w:hAnsi="Arial"/>
          <w:sz w:val="16"/>
          <w:szCs w:val="16"/>
          <w:u w:val="single" w:color="auto"/>
          <w:color w:val="auto"/>
        </w:rPr>
        <w:t>Other Securities</w:t>
      </w:r>
      <w:r>
        <w:rPr>
          <w:rFonts w:ascii="Arial" w:cs="Arial" w:eastAsia="Arial" w:hAnsi="Arial"/>
          <w:sz w:val="16"/>
          <w:szCs w:val="16"/>
          <w:color w:val="auto"/>
        </w:rPr>
        <w:t>”), then there shall be included in such underwritten offering the number or dollar amount of securities that in the opinion of such managing underwriter or underwriters can be sold without so adversely affecting such offering (such reduction in the number of Registrable Securities to be included in such underwritten offering, the “</w:t>
      </w:r>
      <w:r>
        <w:rPr>
          <w:rFonts w:ascii="Arial" w:cs="Arial" w:eastAsia="Arial" w:hAnsi="Arial"/>
          <w:sz w:val="16"/>
          <w:szCs w:val="16"/>
          <w:u w:val="single" w:color="auto"/>
          <w:color w:val="auto"/>
        </w:rPr>
        <w:t>Piggyback Cutback</w:t>
      </w:r>
      <w:r>
        <w:rPr>
          <w:rFonts w:ascii="Arial" w:cs="Arial" w:eastAsia="Arial" w:hAnsi="Arial"/>
          <w:sz w:val="16"/>
          <w:szCs w:val="16"/>
          <w:color w:val="auto"/>
        </w:rPr>
        <w:t>”), and such number of Registrable Securities shall be allocated as follows: (i) first, all securities proposed to be sold by the Corporation for its own account; (ii) second, all Registrable Securities requested to be included in such registration pursuant to Section 4, pro rata among such holders on the basis of the percentage of the Registrable Securities requested to be included in such Registration Statement by such holders; and (iii) third, all Other Securities requested to be included in such Registration Statement.</w:t>
      </w:r>
    </w:p>
    <w:p>
      <w:pPr>
        <w:spacing w:after="0" w:line="167" w:lineRule="exact"/>
        <w:rPr>
          <w:rFonts w:ascii="Arial" w:cs="Arial" w:eastAsia="Arial" w:hAnsi="Arial"/>
          <w:sz w:val="16"/>
          <w:szCs w:val="16"/>
          <w:color w:val="auto"/>
        </w:rPr>
      </w:pPr>
    </w:p>
    <w:p>
      <w:pPr>
        <w:ind w:firstLine="1428"/>
        <w:spacing w:after="0" w:line="273" w:lineRule="auto"/>
        <w:tabs>
          <w:tab w:leader="none" w:pos="1812"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Shelf Take-Downs</w:t>
      </w:r>
      <w:r>
        <w:rPr>
          <w:rFonts w:ascii="Arial" w:cs="Arial" w:eastAsia="Arial" w:hAnsi="Arial"/>
          <w:sz w:val="17"/>
          <w:szCs w:val="17"/>
          <w:color w:val="auto"/>
        </w:rPr>
        <w:t>. At any time that a Shelf Registration Statement covering Registrable Securities pursuant to Section 3 or Section 4 is effective, if any holder or group of holders of Registrable Securities delivers a notice to the Corporation (a “</w:t>
      </w:r>
      <w:r>
        <w:rPr>
          <w:rFonts w:ascii="Arial" w:cs="Arial" w:eastAsia="Arial" w:hAnsi="Arial"/>
          <w:sz w:val="17"/>
          <w:szCs w:val="17"/>
          <w:u w:val="single" w:color="auto"/>
          <w:color w:val="auto"/>
        </w:rPr>
        <w:t>Take-Down Notice</w:t>
      </w:r>
      <w:r>
        <w:rPr>
          <w:rFonts w:ascii="Arial" w:cs="Arial" w:eastAsia="Arial" w:hAnsi="Arial"/>
          <w:sz w:val="17"/>
          <w:szCs w:val="17"/>
          <w:color w:val="auto"/>
        </w:rPr>
        <w:t>”) stating that it intends to sell all or part of its Registrable Securities included by it on the Shelf Registration Statement (a “</w:t>
      </w:r>
      <w:r>
        <w:rPr>
          <w:rFonts w:ascii="Arial" w:cs="Arial" w:eastAsia="Arial" w:hAnsi="Arial"/>
          <w:sz w:val="17"/>
          <w:szCs w:val="17"/>
          <w:u w:val="single" w:color="auto"/>
          <w:color w:val="auto"/>
        </w:rPr>
        <w:t>Shelf Underwritten Offering</w:t>
      </w:r>
      <w:r>
        <w:rPr>
          <w:rFonts w:ascii="Arial" w:cs="Arial" w:eastAsia="Arial" w:hAnsi="Arial"/>
          <w:sz w:val="17"/>
          <w:szCs w:val="17"/>
          <w:color w:val="auto"/>
        </w:rPr>
        <w:t>”), then, the Corporation shall, as promptly as practicable, amend or supplement the Shelf Registration Statement as may be necessary in order to enable such Registrable Securities to be distributed pursuant to the Shelf Underwritten Offering (taking into account the inclusion of Registrable Securities by any other holders pursuant to this Section 4(c)). In connection with any Shelf Underwritten Offering:</w:t>
      </w:r>
    </w:p>
    <w:p>
      <w:pPr>
        <w:spacing w:after="0" w:line="69" w:lineRule="exact"/>
        <w:rPr>
          <w:rFonts w:ascii="Arial" w:cs="Arial" w:eastAsia="Arial" w:hAnsi="Arial"/>
          <w:sz w:val="17"/>
          <w:szCs w:val="17"/>
          <w:color w:val="auto"/>
        </w:rPr>
      </w:pPr>
    </w:p>
    <w:p>
      <w:pPr>
        <w:jc w:val="both"/>
        <w:ind w:left="980" w:firstLine="408"/>
        <w:spacing w:after="0" w:line="259" w:lineRule="auto"/>
        <w:tabs>
          <w:tab w:leader="none" w:pos="173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proposing holder(s) shall also deliver the Take-Down Notice to all other holders of Registrable Securities included on such Shelf Registration Statement and permit each such holder to include its Registrable Securities included on the Shelf Registration Statement in the Shelf Underwritten Offering if such holder notifies the proposing holders and the Corporation within five business days after delivery of the Take-Down Notice to such holder;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98" w:name="page99"/>
    <w:bookmarkEnd w:id="98"/>
    <w:p>
      <w:pPr>
        <w:ind w:left="980" w:firstLine="408"/>
        <w:spacing w:after="0" w:line="270" w:lineRule="auto"/>
        <w:tabs>
          <w:tab w:leader="none" w:pos="1781" w:val="left"/>
        </w:tabs>
        <w:numPr>
          <w:ilvl w:val="0"/>
          <w:numId w:val="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of the Registrable Securities to be sold pursuant to a Shelf Registration Statement are to be sold in an underwritten offering that was initially requested by a holder or holders pursuant to a Take-Down Notice, and the managing underwriter or underwriters of such underwritten offering advise such holder(s) in writing that it is their good-faith opinion that the total number or dollar amount of Registrable Securities proposed to be sold in such offering exceeds the total number or dollar amount of such securities that can be sold without having an adverse effect on the price, timing or distribution of the Registrable Securities to be so included, then there shall be included in such underwritten offering the number or dollar amount of Registrable Securities that in the opinion of such managing underwriter or underwriters can be sold without so adversely affecting such offering, and such number of Registrable Securities and Other Securities shall be allocated for inclusion in the same manner as described in Section 3(b) with respect to a limitation of shares to be included in a Demand Registration.</w:t>
      </w:r>
    </w:p>
    <w:p>
      <w:pPr>
        <w:spacing w:after="0" w:line="18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Restrictions on Public Sale by Holders of Registrable Securities</w:t>
      </w:r>
      <w:r>
        <w:rPr>
          <w:rFonts w:ascii="Arial" w:cs="Arial" w:eastAsia="Arial" w:hAnsi="Arial"/>
          <w:sz w:val="16"/>
          <w:szCs w:val="16"/>
          <w:color w:val="auto"/>
        </w:rPr>
        <w:t xml:space="preserve">. Each Shareholder agrees, in connection with the Initial Public Offering, and each holder of Registrable Securities agrees, in connection with any underwritten offering made pursuant to a Registration Statement filed pursuant to Section 3 or Section 4 hereof (whether or not such holder elected to include Registrable Securities in such Registration Statement), if requested (pursuant to a written notice) by the managing underwriter or underwriters in an underwritten offering, not to effect any public sale or distribution of any of the Corporation’s securities (except as part of such underwritten offering), including a sale pursuant to Rule 144 or any swap or other economic arrangement that transfers to another any of the economic consequences of owning the Common Stock, or to give any Demand Notice during the period commencing on the date of the request (which shall be no earlier than 14 days prior to the expected “pricing” of such offering) and continuing for not more than 180 days (with respect to the Initial Public Offering) or 90 days after the date of the Prospectus (or Prospectus supplement if the offering is made pursuant to a “shelf” registration), pursuant to which such public offering shall be made, plus an extension period as may be proposed by the managing underwriter to address FINRA regulations regarding the publishing of research, or such lesser period as is required by the managing underwriter. Subject to the limitations set forth in the prior sentence, the Corporation shall be responsible for negotiating all “lock-up” agreements with the underwriters and, in addition to the foregoing provisions of this Section 5, the Shareholders and holders of Registrable Securities agree to execute the form so negotiated;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Gochman Shareholder shall be obligated to execute any “lock-up” agreement for any underwritten public offering that is more restrictive than the “lock-up” executed by KKR Shareholders for such underwritten public offering.</w:t>
      </w:r>
    </w:p>
    <w:p>
      <w:pPr>
        <w:spacing w:after="0" w:line="171"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If any registration pursuant to Section 3 of this Agreement shall be in connection with any underwritten Public Offering, the Corporation will not effect any public sale or distribution of any common equity (or securities convertible into or exchangeable or exercisable for common equity) (other than a registration statement (i) on Form S-4, Form S-8 or any successor forms thereto or (ii) filed solely in connection with an exchange offer or any employee benefit or dividend reinvestment plan) for its own account, within 90 days (plus an extension period as may be proposed by the managing underwriter to address FINRA regulations regarding the publishing of research, or such shorter periods as the managing underwriters may agree to</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99" w:name="page100"/>
    <w:bookmarkEnd w:id="99"/>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Corporation) after the effective date of such registration, provided that such period may be extended as may be proposed by the managing underwriter to address FINRA regulations regarding the publishing of research.</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If and whenever the Corporation is required to effect the registration of any Registrable Securities under the Securities Act as provided in Section 3 and Section 4 hereof, the Corporation shall effect such registration to permit the sale of such Registrable Securities in accordance with the intended method or methods of disposition thereof, and pursuant thereto the Corporation shall cooperate in the sale of the securities and shall, as expeditiously as possible:</w:t>
      </w:r>
    </w:p>
    <w:p>
      <w:pPr>
        <w:spacing w:after="0" w:line="187" w:lineRule="exact"/>
        <w:rPr>
          <w:sz w:val="20"/>
          <w:szCs w:val="20"/>
          <w:color w:val="auto"/>
        </w:rPr>
      </w:pPr>
    </w:p>
    <w:p>
      <w:pPr>
        <w:ind w:firstLine="1428"/>
        <w:spacing w:after="0" w:line="286" w:lineRule="auto"/>
        <w:tabs>
          <w:tab w:leader="none" w:pos="18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or Registration Statements on such form as shall be available for the sale of the Registrable Securities by the holders thereof or by the Corporation in accordance with the intended method or methods of distribution thereof and in accordance with this Agreement, and use its reasonable best efforts to cause such Registration Statement to become effective and to remain effective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filing a Registration Statement or Prospectus or any amendments or supplements thereto (including documents that would be incorporated or deemed to be incorporated therein by reference), the Corporation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such counsel, and such other documents reasonably requested by such counsel, including any comment letter from the SEC, and, if requested by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Corporation’s books and records, officers, accountants and other advisors. The Corporation shall not file any such Registration Statement or Prospectus or any amendments or supplements thereto (including such documents that, upon filing, would be incorporated or deemed to be incorporated by reference therein) with respect to a Demand Registration to which the holders of a majority of the Registrable Securities covered by such Registration Statement, their counsel, or the managing underwriters, if any, shall reasonably object, in writing, on a timely basis, unless, in the opinion of the Corporation, such filing is necessary to comply with applicable Law;</w:t>
      </w:r>
    </w:p>
    <w:p>
      <w:pPr>
        <w:spacing w:after="0" w:line="167" w:lineRule="exact"/>
        <w:rPr>
          <w:rFonts w:ascii="Arial" w:cs="Arial" w:eastAsia="Arial" w:hAnsi="Arial"/>
          <w:sz w:val="16"/>
          <w:szCs w:val="16"/>
          <w:color w:val="auto"/>
        </w:rPr>
      </w:pPr>
    </w:p>
    <w:p>
      <w:pPr>
        <w:ind w:right="40" w:firstLine="1428"/>
        <w:spacing w:after="0" w:line="255" w:lineRule="auto"/>
        <w:tabs>
          <w:tab w:leader="none" w:pos="18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each Registration Statement as may be necessary to keep such Registration Statement continuously effective during the period provided herein and comply in all material respects with the provisions of the Securities Act with respect to the disposition of all securities covered by such Registration Statement; and cause the related Prospectus to be supplemented by any Prospectus supplement as may be necessary to comply with the provisions of the Securities Act with respect to the disposition of the securities covered by such Registration Statement, and as so supplemented to be filed pursuant to Rule 424 (or any similar provisions then in force) under the Securities Act;</w:t>
      </w:r>
    </w:p>
    <w:p>
      <w:pPr>
        <w:spacing w:after="0" w:line="192" w:lineRule="exact"/>
        <w:rPr>
          <w:rFonts w:ascii="Arial" w:cs="Arial" w:eastAsia="Arial" w:hAnsi="Arial"/>
          <w:sz w:val="18"/>
          <w:szCs w:val="18"/>
          <w:color w:val="auto"/>
        </w:rPr>
      </w:pPr>
    </w:p>
    <w:p>
      <w:pPr>
        <w:ind w:right="600" w:firstLine="1428"/>
        <w:spacing w:after="0" w:line="277" w:lineRule="auto"/>
        <w:tabs>
          <w:tab w:leader="none" w:pos="18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notify each selling holder of Registrable Securities, its counsel and the managing underwriters, if any, promptly, and (if requested by any such Person) confirm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00" w:name="page101"/>
    <w:bookmarkEnd w:id="100"/>
    <w:p>
      <w:pPr>
        <w:ind w:left="4"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in writing, (i) when a Prospectus or any Prospectus supplement or post-effective amendment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a Registration Statement or the initiation of any proceedings for that purpose,</w:t>
      </w:r>
    </w:p>
    <w:p>
      <w:pPr>
        <w:spacing w:after="0" w:line="1" w:lineRule="exact"/>
        <w:rPr>
          <w:sz w:val="20"/>
          <w:szCs w:val="20"/>
          <w:color w:val="auto"/>
        </w:rPr>
      </w:pPr>
    </w:p>
    <w:p>
      <w:pPr>
        <w:ind w:left="4" w:right="20" w:hanging="4"/>
        <w:spacing w:after="0" w:line="285" w:lineRule="auto"/>
        <w:tabs>
          <w:tab w:leader="none" w:pos="309"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at any time the Corporation has reason to believe that the representations and warranties of the Corporation contained in any agreement (including any underwriting agreement) contemplated by Section 6(o) below cease to be true and correct, (v) of the receipt by the Corporation of any notification with respect to the suspension of the qualification or exemption from qualification of any of the Registrable Securities for sale in any jurisdiction, or the initiation or threatening of any proceeding for such purpose, and (vi) if the Corporation has knowledge of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174" w:lineRule="exact"/>
        <w:rPr>
          <w:rFonts w:ascii="Arial" w:cs="Arial" w:eastAsia="Arial" w:hAnsi="Arial"/>
          <w:sz w:val="16"/>
          <w:szCs w:val="16"/>
          <w:color w:val="auto"/>
        </w:rPr>
      </w:pPr>
    </w:p>
    <w:p>
      <w:pPr>
        <w:ind w:left="4" w:firstLine="1428"/>
        <w:spacing w:after="0" w:line="263" w:lineRule="auto"/>
        <w:tabs>
          <w:tab w:leader="none" w:pos="1826" w:val="left"/>
        </w:tabs>
        <w:numPr>
          <w:ilvl w:val="1"/>
          <w:numId w:val="87"/>
        </w:numPr>
        <w:rPr>
          <w:rFonts w:ascii="Arial" w:cs="Arial" w:eastAsia="Arial" w:hAnsi="Arial"/>
          <w:sz w:val="18"/>
          <w:szCs w:val="18"/>
          <w:color w:val="auto"/>
        </w:rPr>
      </w:pPr>
      <w:r>
        <w:rPr>
          <w:rFonts w:ascii="Arial" w:cs="Arial" w:eastAsia="Arial" w:hAnsi="Arial"/>
          <w:sz w:val="18"/>
          <w:szCs w:val="18"/>
          <w:color w:val="auto"/>
        </w:rPr>
        <w:t>use its reasonable best efforts to obtain the withdrawal of any order suspending the effectiveness of a Registration Statement, or to prevent or obtain the lifting of any suspension of the qualification (or exemption from qualification) of any of the Registrable Securities for sale in any jurisdiction at the earliest date reasonably practicable;</w:t>
      </w:r>
    </w:p>
    <w:p>
      <w:pPr>
        <w:spacing w:after="0" w:line="183" w:lineRule="exact"/>
        <w:rPr>
          <w:rFonts w:ascii="Arial" w:cs="Arial" w:eastAsia="Arial" w:hAnsi="Arial"/>
          <w:sz w:val="18"/>
          <w:szCs w:val="18"/>
          <w:color w:val="auto"/>
        </w:rPr>
      </w:pPr>
    </w:p>
    <w:p>
      <w:pPr>
        <w:ind w:left="4" w:right="20" w:firstLine="1428"/>
        <w:spacing w:after="0" w:line="273" w:lineRule="auto"/>
        <w:tabs>
          <w:tab w:leader="none" w:pos="1816"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if requested by the managing underwriters, if any, or the holders of a majority of the then outstanding Registrable Securities being sold in connection with an underwritten offering, promptly include in a Prospectus supplement or post-effective amendment such information as the managing underwriters, if any, and such holders may reasonably request in order to permit the intended method of distribution of such securities and make all required filings of such Prospectus supplement or such post-effective amendment as soon as practicable after the Corporation has received such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shall not be required to take any actions under this Section 6(e) that are not, in the opinion of counsel for the Corporation, in compliance with applicable Law;</w:t>
      </w:r>
    </w:p>
    <w:p>
      <w:pPr>
        <w:spacing w:after="0" w:line="177" w:lineRule="exact"/>
        <w:rPr>
          <w:rFonts w:ascii="Arial" w:cs="Arial" w:eastAsia="Arial" w:hAnsi="Arial"/>
          <w:sz w:val="17"/>
          <w:szCs w:val="17"/>
          <w:color w:val="auto"/>
        </w:rPr>
      </w:pPr>
    </w:p>
    <w:p>
      <w:pPr>
        <w:ind w:left="4" w:right="120" w:firstLine="1428"/>
        <w:spacing w:after="0" w:line="257" w:lineRule="auto"/>
        <w:tabs>
          <w:tab w:leader="none" w:pos="1796"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furnish or make available to each selling holder of Registrable Securities, its counsel and each managing underwriter, if any, without charge, at least one conformed copy of the Registration Statement, the Prospectus and Prospectus supplements, if applicable, and each post-effective amendment thereto, including financial statements (but excluding schedules, all documents incorporated or deemed to be incorporated therein by reference, and all exhibits, unless requested in writing by such holder, counsel or underwriter);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Corporation may furnish or make available any such documents in electronic format;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01" w:name="page102"/>
    <w:bookmarkEnd w:id="101"/>
    <w:p>
      <w:pPr>
        <w:ind w:firstLine="1428"/>
        <w:spacing w:after="0" w:line="293" w:lineRule="auto"/>
        <w:tabs>
          <w:tab w:leader="none" w:pos="1822"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 to each selling holder of Registrable Securities, its counsel, and the underwriters, if any, without charge, as many copies of the Prospectus or Prospectuses (including each form of Prospectus) and each amendment or supplement thereto as such Persons may reasonably request from time to time in connection with the distribution of the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Corporation may furnish or make available any such documents in electronic format; and the Corporation, subject to the last paragraph of this Section 6,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64" w:lineRule="exact"/>
        <w:rPr>
          <w:rFonts w:ascii="Arial" w:cs="Arial" w:eastAsia="Arial" w:hAnsi="Arial"/>
          <w:sz w:val="16"/>
          <w:szCs w:val="16"/>
          <w:color w:val="auto"/>
        </w:rPr>
      </w:pPr>
    </w:p>
    <w:p>
      <w:pPr>
        <w:ind w:right="60" w:firstLine="1428"/>
        <w:spacing w:after="0" w:line="270" w:lineRule="auto"/>
        <w:tabs>
          <w:tab w:leader="none" w:pos="1822"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use its reasonable best efforts to register or qualify or cooperate with the selling holders of Registrable Securities, the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and to keep each such registration or qualification (or exemption therefrom) effective during the period such Registration Statement is required to be kept effective pursuant to this Agreement and to take any other action that may be necessary or advisable to enable such holders of Registrable Securities to consummate the disposition of such Registrable Securities in such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will not be required to (i) qualify generally to do business in any jurisdiction where it would not otherwise be required to qualify but for this Agreement or (ii) take any action that would subject it to general service of process in any such jurisdiction where it would not otherwise be subject to such service but for this Agreement;</w:t>
      </w:r>
    </w:p>
    <w:p>
      <w:pPr>
        <w:spacing w:after="0" w:line="180" w:lineRule="exact"/>
        <w:rPr>
          <w:rFonts w:ascii="Arial" w:cs="Arial" w:eastAsia="Arial" w:hAnsi="Arial"/>
          <w:sz w:val="17"/>
          <w:szCs w:val="17"/>
          <w:color w:val="auto"/>
        </w:rPr>
      </w:pPr>
    </w:p>
    <w:p>
      <w:pPr>
        <w:ind w:right="260" w:firstLine="1428"/>
        <w:spacing w:after="0" w:line="293" w:lineRule="auto"/>
        <w:tabs>
          <w:tab w:leader="none" w:pos="17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cooperate with the selling holders of Registrable Securities and the managing underwriters, if any, to facilitate the timely preparation and delivery of certificates (not bearing any legends) representing Registrable Securities to be sold after receiving written representations from each holder of such Registrable Securities that the Registrable Securities represented by the certificates so delivered by such holder will be transferred in accordance with the Registration Statement, and enable such Registrable Securities to be in such denominations and registered in such names as the managing underwriters, if any, or holders may request at least two business days prior to any sale of Registrable Securities in a firm commitment public offering, but in any other such sale, within ten business days prior to having to issue the securities;</w:t>
      </w:r>
    </w:p>
    <w:p>
      <w:pPr>
        <w:spacing w:after="0" w:line="164" w:lineRule="exact"/>
        <w:rPr>
          <w:rFonts w:ascii="Arial" w:cs="Arial" w:eastAsia="Arial" w:hAnsi="Arial"/>
          <w:sz w:val="16"/>
          <w:szCs w:val="16"/>
          <w:color w:val="auto"/>
        </w:rPr>
      </w:pPr>
    </w:p>
    <w:p>
      <w:pPr>
        <w:ind w:right="80" w:firstLine="1428"/>
        <w:spacing w:after="0" w:line="296" w:lineRule="auto"/>
        <w:tabs>
          <w:tab w:leader="none" w:pos="17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use its reasonable best efforts to cause the Registrable Securities covered by the Registration Statement to be registered with or approved by such other governmental agencies or authorities within the United States, except as may be required solely as a consequence of the nature of such selling holder’s business, in which case the Corporation will cooperate in all reasonable respects with the filing of such Registration Statement and the granting of such approvals, as may be necessary to enable the seller or sellers thereof or the underwriters, if any, to consummate the disposition of such Registrable Securities in accordance with the intended methods of disposition set forth in such Registration Statement;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02" w:name="page103"/>
    <w:bookmarkEnd w:id="102"/>
    <w:p>
      <w:pPr>
        <w:ind w:firstLine="1428"/>
        <w:spacing w:after="0" w:line="275" w:lineRule="auto"/>
        <w:tabs>
          <w:tab w:leader="none" w:pos="1822"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occurrence of, and its knowledge of, any event contemplated by Section 6(c)(vi) above,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light of the circumstances under which they were made, not misleading;</w:t>
      </w:r>
    </w:p>
    <w:p>
      <w:pPr>
        <w:spacing w:after="0" w:line="176" w:lineRule="exact"/>
        <w:rPr>
          <w:rFonts w:ascii="Arial" w:cs="Arial" w:eastAsia="Arial" w:hAnsi="Arial"/>
          <w:sz w:val="17"/>
          <w:szCs w:val="17"/>
          <w:color w:val="auto"/>
        </w:rPr>
      </w:pPr>
    </w:p>
    <w:p>
      <w:pPr>
        <w:ind w:left="1780" w:hanging="352"/>
        <w:spacing w:after="0"/>
        <w:tabs>
          <w:tab w:leader="none" w:pos="1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prior to the effective date of the Registration Statement relating to the Registrable Securities, provide a CUSIP number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Registrable Securities;</w:t>
      </w:r>
    </w:p>
    <w:p>
      <w:pPr>
        <w:spacing w:after="0" w:line="210" w:lineRule="exact"/>
        <w:rPr>
          <w:rFonts w:ascii="Arial" w:cs="Arial" w:eastAsia="Arial" w:hAnsi="Arial"/>
          <w:sz w:val="16"/>
          <w:szCs w:val="16"/>
          <w:color w:val="auto"/>
        </w:rPr>
      </w:pPr>
    </w:p>
    <w:p>
      <w:pPr>
        <w:ind w:right="240" w:firstLine="1428"/>
        <w:spacing w:after="0" w:line="277" w:lineRule="auto"/>
        <w:tabs>
          <w:tab w:leader="none" w:pos="187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such Registration Statement from and after a date not later than the effective date of such Registration Statement;</w:t>
      </w:r>
    </w:p>
    <w:p>
      <w:pPr>
        <w:spacing w:after="0" w:line="170" w:lineRule="exact"/>
        <w:rPr>
          <w:rFonts w:ascii="Arial" w:cs="Arial" w:eastAsia="Arial" w:hAnsi="Arial"/>
          <w:sz w:val="18"/>
          <w:szCs w:val="18"/>
          <w:color w:val="auto"/>
        </w:rPr>
      </w:pPr>
    </w:p>
    <w:p>
      <w:pPr>
        <w:jc w:val="both"/>
        <w:ind w:right="60" w:firstLine="1428"/>
        <w:spacing w:after="0" w:line="279" w:lineRule="auto"/>
        <w:tabs>
          <w:tab w:leader="none" w:pos="1822" w:val="left"/>
        </w:tabs>
        <w:numPr>
          <w:ilvl w:val="0"/>
          <w:numId w:val="89"/>
        </w:numPr>
        <w:rPr>
          <w:rFonts w:ascii="Arial" w:cs="Arial" w:eastAsia="Arial" w:hAnsi="Arial"/>
          <w:sz w:val="17"/>
          <w:szCs w:val="17"/>
          <w:color w:val="auto"/>
        </w:rPr>
      </w:pPr>
      <w:r>
        <w:rPr>
          <w:rFonts w:ascii="Arial" w:cs="Arial" w:eastAsia="Arial" w:hAnsi="Arial"/>
          <w:sz w:val="17"/>
          <w:szCs w:val="17"/>
          <w:color w:val="auto"/>
        </w:rPr>
        <w:t>use its reasonable best efforts to cause all shares of Registrable Securities covered by the Registration Statement to be listed on a national securities exchange if shares of the particular class of Registrable Securities are at that time listed on such exchange, as the case may be, prior to the effectiveness of such Registration Statement (or, if such Registration is an initial public offering, use its reasonable best efforts to cause such Registrable Securities to be so listed within ten business days following the effectiveness of such Registration Statement);</w:t>
      </w:r>
    </w:p>
    <w:p>
      <w:pPr>
        <w:spacing w:after="0" w:line="171" w:lineRule="exact"/>
        <w:rPr>
          <w:rFonts w:ascii="Arial" w:cs="Arial" w:eastAsia="Arial" w:hAnsi="Arial"/>
          <w:sz w:val="17"/>
          <w:szCs w:val="17"/>
          <w:color w:val="auto"/>
        </w:rPr>
      </w:pPr>
    </w:p>
    <w:p>
      <w:pPr>
        <w:ind w:right="40" w:firstLine="1428"/>
        <w:spacing w:after="0" w:line="286" w:lineRule="auto"/>
        <w:tabs>
          <w:tab w:leader="none" w:pos="1822" w:val="left"/>
        </w:tabs>
        <w:numPr>
          <w:ilvl w:val="0"/>
          <w:numId w:val="89"/>
        </w:numPr>
        <w:rPr>
          <w:rFonts w:ascii="Arial" w:cs="Arial" w:eastAsia="Arial" w:hAnsi="Arial"/>
          <w:sz w:val="16"/>
          <w:szCs w:val="16"/>
          <w:color w:val="auto"/>
        </w:rPr>
      </w:pPr>
      <w:r>
        <w:rPr>
          <w:rFonts w:ascii="Arial" w:cs="Arial" w:eastAsia="Arial" w:hAnsi="Arial"/>
          <w:sz w:val="16"/>
          <w:szCs w:val="16"/>
          <w:color w:val="auto"/>
        </w:rPr>
        <w:t>enter into such agreements (including an underwriting agreement in form, scope and substance as is customary in underwritten offerings) and take all such other actions reasonably requested by the holders of a majority of the Registrable Securities being sold in connection therewith (including those reasonably requested by the managing underwriters, if any) to expedite or facilitate the disposition of such Registrable Securities, and in such connection, whether or not an underwriting agreement is entered into and whether or not the registration is an underwritten registration, (i) make such representations and warranties to the holders of such Registrable Securities and the underwriters, if any, with respect to the business of the Corporation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requested, (ii) use its reasonable best efforts to furnish to the selling holders of such Registrable Securities opinions of counsel to the Corporation and updates thereof (which counsel and opinions (in form, scope and substance) shall be reasonably satisfactory to the managing underwriters, if any, and counsels to the selling holders of the Registrable Securities), addressed to each selling holder of Registrable Securities and each of the underwriters, if any, covering the matters customarily covered in opinions requested in underwritten offerings and such other matters as may be reasonably requested by such counsel and underwriters, (iii) use its reasonable best efforts to obtain “comfort” letters and updates thereof from the independent certified public accountants of the Corporation (and, if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03" w:name="page104"/>
    <w:bookmarkEnd w:id="10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any other independent certified public accountants of any subsidiary of the Corporation or of any business acquired by the Corporation for which financial statements and financial data are, or are required to be, included in the Registration Statement) who have certified the financial statements included in such Registration Statement, addressed to each selling holder of Registrable Securities (unless such accountants shall be prohibited from so addressing such letters by applicable standards of the accounting profession) and each of the underwriters, if any, such letters to be in customary form and covering matters of the type customarily covered in “comfort” letters in connection with underwritten offerings, (iv) if an underwriting agreement is entered into, the same shall contain indemnification provisions and procedures substantially to the effect set forth in Section 8 hereof with respect to all parties to be indemnified pursuant to said Section except as otherwise agreed by Purchaser and (v) deliver such documents and certificates as may be reasonably requested by the holders of a majority of the Registrable Securities being sold pursuant to such Registration Statement, their counsel and the managing underwriters, if any, to evidence the continued validity of the representations and warranties made pursuant to Section 6(o)(i) above and to evidence compliance with any customary conditions contained in the underwriting agreement or other agreement entered into by the Corporation. The above shall be done at each closing under such underwriting or similar agreement, or as and to the extent required thereunder;</w:t>
      </w:r>
    </w:p>
    <w:p>
      <w:pPr>
        <w:spacing w:after="0" w:line="179" w:lineRule="exact"/>
        <w:rPr>
          <w:sz w:val="20"/>
          <w:szCs w:val="20"/>
          <w:color w:val="auto"/>
        </w:rPr>
      </w:pPr>
    </w:p>
    <w:p>
      <w:pPr>
        <w:ind w:firstLine="1428"/>
        <w:spacing w:after="0" w:line="287" w:lineRule="auto"/>
        <w:tabs>
          <w:tab w:leader="none" w:pos="1822"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make available for inspection by a representative of the selling holders of Registrable Securities, any underwriter participating in any such disposition of Registrable Securities, if any, and any counsel or accountants retained by such selling holders or underwriter, at the offices where normally kept, during reasonable business hours, all financial and other records, pertinent corporate documents and properties of the Corporation and its subsidiaries, and cause the officers, directors and employees of the Corporation and its subsidiaries to supply all information in each case reasonably requested by any such representative, underwriter, attorney or accountant in connection with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information that is not generally publicly available at the time of delivery of such information shall be kept confidential by such Persons unless (i) disclosure of such information is required by court or administrative order, (ii) disclosure of such information, in the opinion of counsel to such Person, is required by Law or applicable legal process, or (iii) such information becomes generally available to the public other than as a result of a non-permitted disclosure or failure to safeguard by such Person. In the case of a proposed disclosure pursuant to (i) or (ii) above, such Person shall be required to give the Corporation written notice of the proposed disclosure prior to such disclosure and, if requested by the Corporation, assist the Corporation in seeking to prevent or limit the proposed disclosure. Without limiting the foregoing, no such information shall be used by such Person as the basis for any market transactions in securities of the Corporation or its subsidiaries in violation of Law;</w:t>
      </w:r>
    </w:p>
    <w:p>
      <w:pPr>
        <w:spacing w:after="0" w:line="167" w:lineRule="exact"/>
        <w:rPr>
          <w:rFonts w:ascii="Arial" w:cs="Arial" w:eastAsia="Arial" w:hAnsi="Arial"/>
          <w:sz w:val="16"/>
          <w:szCs w:val="16"/>
          <w:color w:val="auto"/>
        </w:rPr>
      </w:pPr>
    </w:p>
    <w:p>
      <w:pPr>
        <w:ind w:right="180" w:firstLine="1428"/>
        <w:spacing w:after="0" w:line="311" w:lineRule="auto"/>
        <w:tabs>
          <w:tab w:leader="none" w:pos="1822"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cause its officers to use their reasonable best efforts to support the marketing of the Registrable Securities covered by the Registration Statement (including participation in conference calls and “road shows”);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support shall not be required if it would, in the Corporation’s reasonable judgment, interfere with the normal business operations of the Corporation in any substantial respect;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04" w:name="page105"/>
    <w:bookmarkEnd w:id="104"/>
    <w:p>
      <w:pPr>
        <w:ind w:right="520" w:firstLine="1428"/>
        <w:spacing w:after="0" w:line="308" w:lineRule="auto"/>
        <w:tabs>
          <w:tab w:leader="none" w:pos="1792" w:val="left"/>
        </w:tabs>
        <w:numPr>
          <w:ilvl w:val="0"/>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cooperate with each seller of Registrable Securities and each underwriter or agent participating in the disposition of such Registrable Securities and their respective counsel in connection with any filings required to be made with FINRA.</w:t>
      </w:r>
    </w:p>
    <w:p>
      <w:pPr>
        <w:spacing w:after="0" w:line="146" w:lineRule="exact"/>
        <w:rPr>
          <w:sz w:val="20"/>
          <w:szCs w:val="20"/>
          <w:color w:val="auto"/>
        </w:rPr>
      </w:pPr>
    </w:p>
    <w:p>
      <w:pPr>
        <w:ind w:right="400" w:firstLine="991"/>
        <w:spacing w:after="0" w:line="255" w:lineRule="auto"/>
        <w:rPr>
          <w:sz w:val="20"/>
          <w:szCs w:val="20"/>
          <w:color w:val="auto"/>
        </w:rPr>
      </w:pPr>
      <w:r>
        <w:rPr>
          <w:rFonts w:ascii="Arial" w:cs="Arial" w:eastAsia="Arial" w:hAnsi="Arial"/>
          <w:sz w:val="18"/>
          <w:szCs w:val="18"/>
          <w:color w:val="auto"/>
        </w:rPr>
        <w:t>The Corporation may require each holder of Registrable Securities as to which any registration is being effected to furnish to the Corporation in writing such information required in connection with such registration regarding such seller and the distribution of such Registrable Securities as the Corporation may, from time to time, reasonably request in writing and the Corporation may exclude from such registration the Registrable Securities of any holder who unreasonably fails to furnish such information within a reasonable time after receiving such request. The Corporation shall provide any holder of Registrable Securities the opportunity to review and provide comments to the Registration Statement to the extent practicable.</w:t>
      </w:r>
    </w:p>
    <w:p>
      <w:pPr>
        <w:spacing w:after="0" w:line="192"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Each holder of Registrable Securities agrees if such holder has Registrable Securities covered by such Registration Statement that, upon receipt of any notice from the Corporation of the happening of any event of the kind described in Section 6(c)(ii), 6(c)(iii), 6(c)(iv) or 6(c)(v) hereof, such holder will forthwith discontinue disposition of such Registrable Securities covered by such Registration Statement or Prospectus until such holder’s receipt of the copies of the supplemented or amended Prospectus contemplated by Section 6(k) hereof, or until it is advised in writing by the Corporation that the use of the applicable Prospectus may be resumed, and has received copies of any additional or supplemental filings that are incorporated or deemed to be incorporated by reference in such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time periods under Section 3 with respect to the length of time that the effectiveness of a Registration Statement must be maintained shall automatically be extended by the amount of time the holder is required to discontinue disposition of such securities.</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All reasonable fees and expenses incident to the performance of or compliance with this Agreement by the Corporation (including (i) all registration and filing fees (including fees and expenses with respect to (A) filings required to be made with the FINRA and (B) compliance with securities or “blue sky” laws, including any fees and disbursements of counsel for the underwriters in connection with “blue sky” qualifications of the Registrable Securities pursuant to Section 6(h)), (ii) printing expenses (including expenses of printing certificates for Registrable Securities in a form eligible for deposit with The Depository Trust Company and of printing Prospectuses if the printing of Prospectuses is requested by the managing underwriters, if any, or by the holders of a majority of the Registrable Securities included in any Registration Statement), (iii) messenger, telephone and delivery expenses of the Corporation, (iv) fees and disbursements of counsel for the Corporation, (v) expenses of the Corporation incurred in connection with any road show, (vi) fees and disbursements of all independent certified public accountants referred to in Section 6(o)(iii) hereof (including the expenses of any “comfort” letters required by this Agreement) and any other Persons, including special experts retained by the Corporation, and (vii) fees and disbursements of one counsel for KKR Shareholders and the holders of Registrable Securities whose shares are included in a Registration Statement, which counsel shall be selected by KKR Shareholders if making the Demand Registration (and otherwise, by the holders of a majority of the Registrable Securities being sold in connection therewith) shall be borne by the Corporation whether or not any Registration Statement is filed or becomes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counsel is selected by the KKR Shareholders and in the good-faith opinion of the Gochman Shareholders participating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05" w:name="page106"/>
    <w:bookmarkEnd w:id="10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such offer there is a conflict or potential conflict of interest between such counsel’s representation of the KKR Shareholders and such Gochman Shareholders, such Gochman Shareholders shall be entitled to select separate counsel reasonably acceptable to the Corporation to represent them and the Corporation shall pay the fees and disbursements of such counsel in addition to the fees and disbursements of counsel to the KKR Shareholders. In addition, the Corporation shall pay its internal expenses (including all salaries and expenses of its officers and employees performing legal or accounting duties), the expense of any annual audit, the fees and expenses incurred in connection with the listing of the securities to be registered on any securities exchange on which similar securities issued by the Corporation are then listed and rating agency fees and the fees and expenses of any Person, including special experts, retained by the Corporation.</w:t>
      </w:r>
    </w:p>
    <w:p>
      <w:pPr>
        <w:spacing w:after="0" w:line="177"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The Corporation shall not be required to pay (i) fees and disbursements of any counsel retained by any holder of Registrable Securities or by any underwriter (except as set forth in clauses 7(i)(B) and 7(vii)), (ii) any underwriter’s fees (including discounts, commissions or fees of underwriters, selling brokers, dealer managers or similar securities industry professionals) relating to the distribution of the Registrable Securities (other than with respect to Registrable Securities sold by the Corporation), or (iii) any other expenses of the holders of Registrable Securities not specifically required to be paid by the Corporation pursuant to the first paragraph of this Section 7 (including, without limitation, capital gains, income and transfer taxes, if any, relating to the sale of Registrable Securities).</w:t>
      </w:r>
    </w:p>
    <w:p>
      <w:pPr>
        <w:spacing w:after="0" w:line="300"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ind w:right="20" w:firstLine="1428"/>
        <w:spacing w:after="0" w:line="268" w:lineRule="auto"/>
        <w:tabs>
          <w:tab w:leader="none" w:pos="181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Corporation</w:t>
      </w:r>
      <w:r>
        <w:rPr>
          <w:rFonts w:ascii="Arial" w:cs="Arial" w:eastAsia="Arial" w:hAnsi="Arial"/>
          <w:sz w:val="17"/>
          <w:szCs w:val="17"/>
          <w:color w:val="auto"/>
        </w:rPr>
        <w:t>. The Corporation shall, without limitation as to time, indemnify and hold harmless, to the fullest extent permitted by Law, each holder of Registrable Securities whose Registrable Securities are covered by a Registration Statement or Prospectus, the officers, directors, partners, members, managers, shareholders, accountants, attorneys, agents, representatives and employees of each of them, each Person who controls each such holder (within the meaning of Section 15 of the Securities Act or Section 20 of the Exchange Act) and the officers, directors, partners, affiliates, members, managers, shareholders, accountants, attorneys, agents, representatives and employees of each such controlling person, each underwriter, if any, and each Person who controls (within the meaning of Section 15 of the Securities Act or Section 20 of the Exchange Act) such underwriter, from and against any and all losses, claims, damages, liabilities, costs (including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arising out of or based upon any untrue statement (or alleged untrue statement) of a material fact contained in any Prospectus (including without limitation preliminary or final), offering circular, or other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therein not misleading, or any violation by the Corporation or any of its affiliates, employees, officers, directors or agents of the Securities Act, the Exchange Act, any state securities law, or any rule or regulation promulgated thereunder applicable to the Corporation and (without limitation of the preceding portions of this Section 8(a)) will reimburse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06" w:name="page107"/>
    <w:bookmarkEnd w:id="10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such holder, each of its officers, directors, partners, members, managers, shareholders, accountants, attorneys, agents, representatives and employees and each Person who controls (within the meaning of Section 15 of the Securities Act or Section 20 of the Exchange Act) each such holder and the officers, directors, partners, affiliates, members, managers, shareholders, accountants, attorneys, agents, representatives and employees of each such controlling person, each such underwriter, and each Person who controls (within the meaning of Section 15 of the Securities Act or Section 20 of the Exchange Act) any such underwriter, for any legal and any other expenses reasonably incurred in connection with investigating and defending or settling any such Loss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Corporation will not be liable in any such case to the extent that any such Loss arises out of or is based on (i) any untrue statement or omission by such holder or underwriter, but only to the extent, that such untrue statement (or alleged untrue statement) or omission (or alleged omission) is made in such Registration Statement, Prospectus, offering circular, or other document in reliance upon and in conformity with written information furnished to the Corporation by such holder for use therein, (ii) offers or sales effected by or on behalf of such holder “by means of” (as defined in Rule 159A under the Securities Act) a “free writing prospectus” (as defined in Rule 405 under the Securities Act) that was not authorized in writing by the Corporation or (iii) the failure of any holder to deliver or make available to a purchaser of Registrable Securities a copy of any Registration Statement, including any preliminary or final Prospectus contained therein or any amendments or supplements thereto (if the same was required by applicable Law to be delivered or made available);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Corporation shall have delivered to such holder such Registration Statement, including such preliminary or final Prospectus contained therein and any amendments or supplements thereto. It is agreed that the indemnity agreement contained in this Section 8(a) shall not apply to amounts paid in settlement of any such Loss or action if such settlement is effected without the consent of the Corporation (which consent shall not be unreasonably withheld).</w:t>
      </w:r>
    </w:p>
    <w:p>
      <w:pPr>
        <w:spacing w:after="0" w:line="176" w:lineRule="exact"/>
        <w:rPr>
          <w:sz w:val="20"/>
          <w:szCs w:val="20"/>
          <w:color w:val="auto"/>
        </w:rPr>
      </w:pPr>
    </w:p>
    <w:p>
      <w:pPr>
        <w:ind w:firstLine="1428"/>
        <w:spacing w:after="0" w:line="286" w:lineRule="auto"/>
        <w:tabs>
          <w:tab w:leader="none" w:pos="182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 of Registrable Securities</w:t>
      </w:r>
      <w:r>
        <w:rPr>
          <w:rFonts w:ascii="Arial" w:cs="Arial" w:eastAsia="Arial" w:hAnsi="Arial"/>
          <w:sz w:val="16"/>
          <w:szCs w:val="16"/>
          <w:color w:val="auto"/>
        </w:rPr>
        <w:t xml:space="preserve">. The Corporation may require, as a condition to including any Registrable Securities in any Registration Statement filed in accordance with this Agreement, that the Corporation shall have received an undertaking reasonably satisfactory to it from the prospective seller of such Registrable Securities to indemnify, to the fullest extent permitted by Law, severally and not jointly with any other holders of Registrable Securities, the Corporation, its directors and officers and each Person who controls the Corporation (within the meaning of Section 15 of the Securities Act and Section 20 of the Exchange Act) and all other prospective sellers from and against all Losses, as incurred, arising out of or based on any untrue statement of a material fact contained in any such Registration Statement, Prospectus, offering circular, or other document, or any omission to state therein a material fact required to be stated therein or necessary to make the statements therein not misleading, and to (without limitation of the portions of this Section 8(b)) reimburse the Corporation, its directors and officers and each Person who controls the Corporation (within the meaning of Section 15 of the Securities Act and Section 20 of the Exchange Act) and all other prospective sellers for any legal or any other expenses reasonably incurred in connection with investigating or defending any such Loss or action, in each case to the extent, but only to the extent, that such untrue statement or omission is made in such Registration Statement, Prospectus, offering circular, or other document in reliance upon and in conformity with written information furnished to the Corporation by such holder expressly for inclusion in such Registration Statement, Prospectus, offering circular or other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such holder under such undertaking shall not apply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07" w:name="page108"/>
    <w:bookmarkEnd w:id="107"/>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amounts paid in settlement of any such Losses (or actions in respect thereof) if such settlement is effected without the consent of such holder (which consent shall not be unreasonably withheld);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liability of such holder of Registrable Securities shall be limited to the net proceeds received by such selling holder from the sale of Registrable Securities covered by such Registration Statement.</w:t>
      </w:r>
    </w:p>
    <w:p>
      <w:pPr>
        <w:spacing w:after="0" w:line="165" w:lineRule="exact"/>
        <w:rPr>
          <w:sz w:val="20"/>
          <w:szCs w:val="20"/>
          <w:color w:val="auto"/>
        </w:rPr>
      </w:pPr>
    </w:p>
    <w:p>
      <w:pPr>
        <w:ind w:firstLine="1428"/>
        <w:spacing w:after="0" w:line="267" w:lineRule="auto"/>
        <w:tabs>
          <w:tab w:leader="none" w:pos="1812"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If any Person shall be entitled to indemnity hereunder or under the undertaking contemplated by Section 8(b)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such Indemnified Party shall give prompt notice to the party from which such indemnity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of any claim or of the commencement of any Proceeding with respect to which such Indemnified Party seeks indemnification or contribution pursuant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Party and the Indemnifying Party may exist in respect of such claim, assume, at the Indemnifying Party’s expense, the defense of any such claim or Proceeding, with counsel reasonably satisfactory to such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shall have the right to employ separate counsel in any such claim or Proceeding and to participate in the defense thereof, but the fees and expenses of such separate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separate counsel and to assume the defense of such claim or proceeding at the Indemnifying Party’s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such defense is assumed by the Indemnifying Party, such Indemnifying Party will not be subject to any liability for any settlement made without its consent (but such consent will not be unreasonably withheld). The Indemnifying Party shall not consent to entry of any judgment or enter into any settlement that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w:t>
      </w:r>
    </w:p>
    <w:p>
      <w:pPr>
        <w:spacing w:after="0" w:line="183" w:lineRule="exact"/>
        <w:rPr>
          <w:rFonts w:ascii="Arial" w:cs="Arial" w:eastAsia="Arial" w:hAnsi="Arial"/>
          <w:sz w:val="17"/>
          <w:szCs w:val="17"/>
          <w:color w:val="auto"/>
        </w:rPr>
      </w:pPr>
    </w:p>
    <w:p>
      <w:pPr>
        <w:ind w:right="80" w:firstLine="1428"/>
        <w:spacing w:after="0" w:line="279" w:lineRule="auto"/>
        <w:tabs>
          <w:tab w:leader="none" w:pos="1822"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this Section 8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08" w:name="page109"/>
    <w:bookmarkEnd w:id="108"/>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statements or omissions that resulted in such Losses.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w:t>
      </w:r>
    </w:p>
    <w:p>
      <w:pPr>
        <w:spacing w:after="0" w:line="188" w:lineRule="exact"/>
        <w:rPr>
          <w:sz w:val="20"/>
          <w:szCs w:val="20"/>
          <w:color w:val="auto"/>
        </w:rPr>
      </w:pPr>
    </w:p>
    <w:p>
      <w:pPr>
        <w:ind w:left="4" w:right="240" w:firstLine="991"/>
        <w:spacing w:after="0" w:line="257" w:lineRule="auto"/>
        <w:rPr>
          <w:sz w:val="20"/>
          <w:szCs w:val="20"/>
          <w:color w:val="auto"/>
        </w:rPr>
      </w:pPr>
      <w:r>
        <w:rPr>
          <w:rFonts w:ascii="Arial" w:cs="Arial" w:eastAsia="Arial" w:hAnsi="Arial"/>
          <w:sz w:val="18"/>
          <w:szCs w:val="18"/>
          <w:color w:val="auto"/>
        </w:rPr>
        <w:t>Notwithstanding the provisions of this Section 8(d), an Indemnifying Party that is a selling holder of Registrable Securities shall not be required to contribute any amount in excess of the amount that such Indemnifying Party has otherwise been, or would otherwise be, required to pay pursuant to Section 8(b)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8" w:lineRule="exact"/>
        <w:rPr>
          <w:sz w:val="20"/>
          <w:szCs w:val="20"/>
          <w:color w:val="auto"/>
        </w:rPr>
      </w:pPr>
    </w:p>
    <w:p>
      <w:pPr>
        <w:ind w:left="4" w:right="80" w:firstLine="1428"/>
        <w:spacing w:after="0" w:line="259" w:lineRule="auto"/>
        <w:tabs>
          <w:tab w:leader="none" w:pos="181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all cases the Gochman Shareholders, on the one hand, and KKR Shareholders, on the other hand, shall be treated in the same manner.</w:t>
      </w:r>
    </w:p>
    <w:p>
      <w:pPr>
        <w:spacing w:after="0" w:line="295" w:lineRule="exact"/>
        <w:rPr>
          <w:sz w:val="20"/>
          <w:szCs w:val="20"/>
          <w:color w:val="auto"/>
        </w:rPr>
      </w:pPr>
    </w:p>
    <w:p>
      <w:pPr>
        <w:ind w:left="444"/>
        <w:spacing w:after="0"/>
        <w:tabs>
          <w:tab w:leader="none" w:pos="1324"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Rule 144</w:t>
      </w:r>
      <w:r>
        <w:rPr>
          <w:rFonts w:ascii="Arial" w:cs="Arial" w:eastAsia="Arial" w:hAnsi="Arial"/>
          <w:sz w:val="16"/>
          <w:szCs w:val="16"/>
          <w:color w:val="auto"/>
        </w:rPr>
        <w:t>.</w:t>
      </w:r>
    </w:p>
    <w:p>
      <w:pPr>
        <w:spacing w:after="0" w:line="117" w:lineRule="exact"/>
        <w:rPr>
          <w:sz w:val="20"/>
          <w:szCs w:val="20"/>
          <w:color w:val="auto"/>
        </w:rPr>
      </w:pPr>
    </w:p>
    <w:p>
      <w:pPr>
        <w:ind w:left="4" w:right="20" w:firstLine="1428"/>
        <w:spacing w:after="0" w:line="285" w:lineRule="auto"/>
        <w:tabs>
          <w:tab w:leader="none" w:pos="18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After an Initial Public Offering, the Corporation shall (i) use reasonable best efforts to file the reports required to be filed by it under the Securities Act and the Exchange Act in a timely manner (including the reports under Sections 13 and 15(d) of the Exchange Act referred to in subparagraph (c)(1) of Rule 144), (ii) take such further action as any holder of Registrable Securities may reasonably request, and (iii) furnish to each holder of Registrable Securities forthwith upon written request, (A) a written statement by the Corporation as to its compliance with the reporting requirements of Rule 144, the Securities Act and the Exchange Act, (B) a copy of the most recent annual or quarterly report of the Corporation, and</w:t>
      </w:r>
    </w:p>
    <w:p>
      <w:pPr>
        <w:spacing w:after="0" w:line="1" w:lineRule="exact"/>
        <w:rPr>
          <w:rFonts w:ascii="Arial" w:cs="Arial" w:eastAsia="Arial" w:hAnsi="Arial"/>
          <w:sz w:val="16"/>
          <w:szCs w:val="16"/>
          <w:color w:val="auto"/>
        </w:rPr>
      </w:pPr>
    </w:p>
    <w:p>
      <w:pPr>
        <w:jc w:val="both"/>
        <w:ind w:left="4" w:right="80" w:hanging="4"/>
        <w:spacing w:after="0" w:line="253" w:lineRule="auto"/>
        <w:tabs>
          <w:tab w:leader="none" w:pos="2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 Upon the request of any holder of Registrable Securities, the Corporation shall deliver to such holder a written statement as to whether it has complied with such requirements.</w:t>
      </w:r>
    </w:p>
    <w:p>
      <w:pPr>
        <w:spacing w:after="0" w:line="192" w:lineRule="exact"/>
        <w:rPr>
          <w:rFonts w:ascii="Arial" w:cs="Arial" w:eastAsia="Arial" w:hAnsi="Arial"/>
          <w:sz w:val="18"/>
          <w:szCs w:val="18"/>
          <w:color w:val="auto"/>
        </w:rPr>
      </w:pPr>
    </w:p>
    <w:p>
      <w:pPr>
        <w:ind w:left="4" w:right="500" w:firstLine="1428"/>
        <w:spacing w:after="0" w:line="277" w:lineRule="auto"/>
        <w:tabs>
          <w:tab w:leader="none" w:pos="182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foregoing provisions of this Section 9 are not intended to modify or otherwise affect any restrictions on transfers of securities contained in the LLC Agreement.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4"/>
          </w:cols>
          <w:pgMar w:left="436" w:top="274" w:right="519" w:bottom="1440" w:gutter="0" w:footer="0" w:header="0"/>
        </w:sectPr>
      </w:pPr>
    </w:p>
    <w:bookmarkStart w:id="109" w:name="page110"/>
    <w:bookmarkEnd w:id="109"/>
    <w:p>
      <w:pPr>
        <w:ind w:left="444"/>
        <w:spacing w:after="0"/>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w:t>
      </w:r>
      <w:r>
        <w:rPr>
          <w:sz w:val="20"/>
          <w:szCs w:val="20"/>
          <w:color w:val="auto"/>
        </w:rPr>
        <w:tab/>
      </w:r>
      <w:r>
        <w:rPr>
          <w:rFonts w:ascii="Arial" w:cs="Arial" w:eastAsia="Arial" w:hAnsi="Arial"/>
          <w:sz w:val="16"/>
          <w:szCs w:val="16"/>
          <w:u w:val="single" w:color="auto"/>
          <w:color w:val="auto"/>
        </w:rPr>
        <w:t>Underwritten Registrations</w:t>
      </w:r>
      <w:r>
        <w:rPr>
          <w:rFonts w:ascii="Arial" w:cs="Arial" w:eastAsia="Arial" w:hAnsi="Arial"/>
          <w:sz w:val="16"/>
          <w:szCs w:val="16"/>
          <w:color w:val="auto"/>
        </w:rPr>
        <w:t>.</w:t>
      </w:r>
    </w:p>
    <w:p>
      <w:pPr>
        <w:spacing w:after="0" w:line="117" w:lineRule="exact"/>
        <w:rPr>
          <w:sz w:val="20"/>
          <w:szCs w:val="20"/>
          <w:color w:val="auto"/>
        </w:rPr>
      </w:pPr>
    </w:p>
    <w:p>
      <w:pPr>
        <w:ind w:left="1804" w:hanging="372"/>
        <w:spacing w:after="0"/>
        <w:tabs>
          <w:tab w:leader="none" w:pos="1804"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connection with any underwritten offering, the investment banker or investment bankers and managers shall be selected by</w:t>
      </w:r>
    </w:p>
    <w:p>
      <w:pPr>
        <w:spacing w:after="0" w:line="46" w:lineRule="exact"/>
        <w:rPr>
          <w:rFonts w:ascii="Arial" w:cs="Arial" w:eastAsia="Arial" w:hAnsi="Arial"/>
          <w:sz w:val="16"/>
          <w:szCs w:val="16"/>
          <w:color w:val="auto"/>
        </w:rPr>
      </w:pPr>
    </w:p>
    <w:p>
      <w:pPr>
        <w:ind w:left="4" w:hanging="4"/>
        <w:spacing w:after="0" w:line="255" w:lineRule="auto"/>
        <w:tabs>
          <w:tab w:leader="none" w:pos="21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KKR Shareholder(s) in any Demand Registration or in the Initial Public Offering, which selection shall be subject to approval by the Corporation, not to be unreasonably withheld, and (ii) the Corporation to administer any other offering, including any Piggyback Registration (other than the Initial Public Offering).</w:t>
      </w:r>
    </w:p>
    <w:p>
      <w:pPr>
        <w:spacing w:after="0" w:line="189" w:lineRule="exact"/>
        <w:rPr>
          <w:rFonts w:ascii="Arial" w:cs="Arial" w:eastAsia="Arial" w:hAnsi="Arial"/>
          <w:sz w:val="18"/>
          <w:szCs w:val="18"/>
          <w:color w:val="auto"/>
        </w:rPr>
      </w:pPr>
    </w:p>
    <w:p>
      <w:pPr>
        <w:ind w:left="4" w:right="460" w:firstLine="1428"/>
        <w:spacing w:after="0" w:line="291" w:lineRule="auto"/>
        <w:tabs>
          <w:tab w:leader="none" w:pos="1826"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 Person may participate in any underwritten registration hereunder unless such Person (i) agrees to sell the Registrable Securities it desires to have covered by a Registration Statement on the basis provided in any underwriting arrangements in customary form and</w:t>
      </w:r>
    </w:p>
    <w:p>
      <w:pPr>
        <w:ind w:left="4" w:right="60" w:hanging="4"/>
        <w:spacing w:after="0" w:line="253" w:lineRule="auto"/>
        <w:tabs>
          <w:tab w:leader="none" w:pos="2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completes and executes all questionnaires, powers of attorney, indemnities, underwriting agreements and other documents required under the terms of such underwriting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Person shall not be required to make any representations or warranties other than those related to title and ownership of such Person’s Registrable Securities being sold and as to the accuracy and completeness of statements made in a Registration Statement, Prospectus, offering circular, or other document in reliance upon and in conformity with written information furnished to the Corporation or the managing underwriter by such Person for use therein.</w:t>
      </w:r>
    </w:p>
    <w:p>
      <w:pPr>
        <w:spacing w:after="0" w:line="299"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left="4" w:firstLine="1428"/>
        <w:spacing w:after="0" w:line="285" w:lineRule="auto"/>
        <w:tabs>
          <w:tab w:leader="none" w:pos="1816"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without the written consent of the KKR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any amendment, modification, supplement, waiver or consent to departures from the provisions of this Agreement that would subject a Shareholder to adverse differential treatment relative to the other Shareholders shall require the prior written agreement of the differentially treated Shareholder and (ii) any amendment, modification, supplement, waiver or consent to departures from the provisions of this Agreement that would be adverse to a right specifically granted to a specific Shareholder herein (but not to other Shareholders) shall require the prior written agreement of that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amendments, modifications, supplements, restatements or waivers to the following provisions of this Agreement that would adversely affect any Gochman Shareholder (or any other provision of this Agreement if such amendment, modification, supplement, restatement or waiver would be inconsistent with or conflict with the following provisions of this Agreement in a manner adverse to a Gochman Shareholder) shall not be effective as to such Gochman Shareholder without such Gochman Shareholder’s prior written consent: Sections 1, 3, 4, 7, 8(a), 8(e) and this Section 11(a). Notwithstanding the foregoing, a waiver or consent to depart from the provisions hereof with respect to a matter that relates exclusively to the rights of holders of Registrable Securities whose securities are being sold pursuant to a Registration Statement (other than, for the avoidance of doubt, the right of any Shareholder to exercise its right to participate in such offering) and that does not directly or indirectly affect the rights of other holders of Registrable Securities may be given by holders of at least a majority of the Registrable Securities being sold by such holders pursuant to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right that is personal to a specific Shareholder may not be waived by such majority and shall require the waiver of such specific Shareholder (it being understood that a right specific to the Gochman Shareholders as a group shall be considered to be specific to each Gochman Shareholder).</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110" w:name="page111"/>
    <w:bookmarkEnd w:id="110"/>
    <w:p>
      <w:pPr>
        <w:ind w:right="40" w:firstLine="1428"/>
        <w:spacing w:after="0" w:line="286" w:lineRule="auto"/>
        <w:tabs>
          <w:tab w:leader="none" w:pos="1822"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7"/>
          <w:szCs w:val="17"/>
          <w:color w:val="auto"/>
        </w:rPr>
        <w:t>. All notices required to be given hereunder shall be in writing and shall be deemed to be duly given if personally delivered, telecopied and confirmed, or mailed by certified mail, return receipt requested, or overnight delivery service with proof of receipt maintained, at the following address (or any other address that any such party may designate by written notice to the other parties):</w:t>
      </w:r>
    </w:p>
    <w:p>
      <w:pPr>
        <w:spacing w:after="0" w:line="16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If to the Corporation, to the address of its principal executive offices. If to any Shareholder, at such Shareholder’s address as set forth on the records of the Corporation. Any such notice shall, if delivered personally, be deemed received upon delivery; shall, if delivered by telecopy, be deemed received on the first business day following confirmation; shall, if delivered by overnight delivery service, be deemed received the first business day after being sent; and shall, if delivered by mail, be deemed received upon the earlier of actual receipt thereof or five business days after the date of deposit in the United States mail.</w:t>
      </w:r>
    </w:p>
    <w:p>
      <w:pPr>
        <w:spacing w:after="0" w:line="188" w:lineRule="exact"/>
        <w:rPr>
          <w:sz w:val="20"/>
          <w:szCs w:val="20"/>
          <w:color w:val="auto"/>
        </w:rPr>
      </w:pPr>
    </w:p>
    <w:p>
      <w:pPr>
        <w:ind w:firstLine="1428"/>
        <w:spacing w:after="0" w:line="290" w:lineRule="auto"/>
        <w:tabs>
          <w:tab w:leader="none" w:pos="1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Successors and Assigns; Shareholder Status</w:t>
      </w:r>
      <w:r>
        <w:rPr>
          <w:rFonts w:ascii="Arial" w:cs="Arial" w:eastAsia="Arial" w:hAnsi="Arial"/>
          <w:sz w:val="16"/>
          <w:szCs w:val="16"/>
          <w:color w:val="auto"/>
        </w:rPr>
        <w:t xml:space="preserve">. This Agreement shall inure to the benefit of and be binding upon the successors and permitted assigns of each of the parties, including the Corporation and subsequent holders of Registrable Securities acquired, directly or indirectly, from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successor or assign shall not be entitled to such rights unless the successor or assign shall have executed and delivered to the Corporation an Addendum Agreement substantially in the form of Exhibit A hereto (which shall also be executed by the Corporation) promptly following the acquisition of such Registrable Securities, in which event such successor or assign shall be deemed a Shareholder for purposes of this Agreement. Except as provided in Section 8 with respect to an Indemnified Party, nothing expressed or mentioned in this Agreement is intended or shall be construed to give any Person other than the parties hereto and their respective successors and permitted assigns any legal or equitable right, remedy or claim under, in or in respect of this Agreement or any provision herein contained.</w:t>
      </w:r>
    </w:p>
    <w:p>
      <w:pPr>
        <w:spacing w:after="0" w:line="165" w:lineRule="exact"/>
        <w:rPr>
          <w:rFonts w:ascii="Arial" w:cs="Arial" w:eastAsia="Arial" w:hAnsi="Arial"/>
          <w:sz w:val="16"/>
          <w:szCs w:val="16"/>
          <w:color w:val="auto"/>
        </w:rPr>
      </w:pPr>
    </w:p>
    <w:p>
      <w:pPr>
        <w:ind w:firstLine="1428"/>
        <w:spacing w:after="0" w:line="255" w:lineRule="auto"/>
        <w:tabs>
          <w:tab w:leader="none" w:pos="182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2" w:lineRule="exact"/>
        <w:rPr>
          <w:rFonts w:ascii="Arial" w:cs="Arial" w:eastAsia="Arial" w:hAnsi="Arial"/>
          <w:sz w:val="18"/>
          <w:szCs w:val="18"/>
          <w:color w:val="auto"/>
        </w:rPr>
      </w:pPr>
    </w:p>
    <w:p>
      <w:pPr>
        <w:ind w:right="140" w:firstLine="1428"/>
        <w:spacing w:after="0" w:line="279" w:lineRule="auto"/>
        <w:tabs>
          <w:tab w:leader="none" w:pos="181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Headings; Construction</w:t>
      </w:r>
      <w:r>
        <w:rPr>
          <w:rFonts w:ascii="Arial" w:cs="Arial" w:eastAsia="Arial" w:hAnsi="Arial"/>
          <w:sz w:val="17"/>
          <w:szCs w:val="17"/>
          <w:color w:val="auto"/>
        </w:rPr>
        <w:t>. The section and paragraph headings contained in this Agreement are for reference purposes only and shall not affect in any way the meaning or interpretation of this Agreement. Unless the context requires otherwise: (a) pronouns in the masculine, feminine and neuter genders shall be construed to include any other gender, and words in the singular form shall be construed to include the plural and vice versa; (b) the term “including” shall be construed to be expansive rather than limiting in nature and to mean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11" w:name="page112"/>
    <w:bookmarkEnd w:id="111"/>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without limitation,”; (c) references to sections and paragraphs refer to sections and paragraphs of this Agreement; and (d) the words “this Agreement,” “herein,” “hereof,” “hereby,” “hereunder” and words of similar import refer to this Agreement as a whole, including Exhibit A hereto, and not to any particular subdivision unless expressly so limited.</w:t>
      </w:r>
    </w:p>
    <w:p>
      <w:pPr>
        <w:spacing w:after="0" w:line="184" w:lineRule="exact"/>
        <w:rPr>
          <w:sz w:val="20"/>
          <w:szCs w:val="20"/>
          <w:color w:val="auto"/>
        </w:rPr>
      </w:pPr>
    </w:p>
    <w:p>
      <w:pPr>
        <w:ind w:right="220" w:firstLine="1428"/>
        <w:spacing w:after="0" w:line="263" w:lineRule="auto"/>
        <w:tabs>
          <w:tab w:leader="none" w:pos="179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and any claim, controversy or dispute arising out of or relating to this Agreement shall be governed by and construed in accordance with the internal laws of the State of New York, without reference to the choice-of-law or conflicts of law principles that would result in the application of the laws of a different jurisdiction.</w:t>
      </w:r>
    </w:p>
    <w:p>
      <w:pPr>
        <w:spacing w:after="0" w:line="183" w:lineRule="exact"/>
        <w:rPr>
          <w:rFonts w:ascii="Arial" w:cs="Arial" w:eastAsia="Arial" w:hAnsi="Arial"/>
          <w:sz w:val="18"/>
          <w:szCs w:val="18"/>
          <w:color w:val="auto"/>
        </w:rPr>
      </w:pPr>
    </w:p>
    <w:p>
      <w:pPr>
        <w:ind w:right="40" w:firstLine="1428"/>
        <w:spacing w:after="0" w:line="273" w:lineRule="auto"/>
        <w:tabs>
          <w:tab w:leader="none" w:pos="1822"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7" w:lineRule="exact"/>
        <w:rPr>
          <w:rFonts w:ascii="Arial" w:cs="Arial" w:eastAsia="Arial" w:hAnsi="Arial"/>
          <w:sz w:val="17"/>
          <w:szCs w:val="17"/>
          <w:color w:val="auto"/>
        </w:rPr>
      </w:pPr>
    </w:p>
    <w:p>
      <w:pPr>
        <w:ind w:right="40" w:firstLine="1428"/>
        <w:spacing w:after="0" w:line="257" w:lineRule="auto"/>
        <w:tabs>
          <w:tab w:leader="none" w:pos="182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are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Corporation with respect to Registrable Securities. This Agreement supersedes all prior agreements and understandings between the parties with respect to such subject matter.</w:t>
      </w:r>
    </w:p>
    <w:p>
      <w:pPr>
        <w:spacing w:after="0" w:line="187" w:lineRule="exact"/>
        <w:rPr>
          <w:rFonts w:ascii="Arial" w:cs="Arial" w:eastAsia="Arial" w:hAnsi="Arial"/>
          <w:sz w:val="18"/>
          <w:szCs w:val="18"/>
          <w:color w:val="auto"/>
        </w:rPr>
      </w:pPr>
    </w:p>
    <w:p>
      <w:pPr>
        <w:ind w:firstLine="1428"/>
        <w:spacing w:after="0" w:line="263" w:lineRule="auto"/>
        <w:tabs>
          <w:tab w:leader="none" w:pos="178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Securities Held by the Corporation or its Subsidiaries</w:t>
      </w:r>
      <w:r>
        <w:rPr>
          <w:rFonts w:ascii="Arial" w:cs="Arial" w:eastAsia="Arial" w:hAnsi="Arial"/>
          <w:sz w:val="18"/>
          <w:szCs w:val="18"/>
          <w:color w:val="auto"/>
        </w:rPr>
        <w:t>. Whenever the consent or approval of holders of a specified percentage of Registrable Securities is required hereunder, Registrable Securities held by the Corporation or its subsidiaries shall not be counted in determining whether such consent or approval was given by the holders of such required percentage.</w:t>
      </w:r>
    </w:p>
    <w:p>
      <w:pPr>
        <w:spacing w:after="0" w:line="183" w:lineRule="exact"/>
        <w:rPr>
          <w:rFonts w:ascii="Arial" w:cs="Arial" w:eastAsia="Arial" w:hAnsi="Arial"/>
          <w:sz w:val="18"/>
          <w:szCs w:val="18"/>
          <w:color w:val="auto"/>
        </w:rPr>
      </w:pPr>
    </w:p>
    <w:p>
      <w:pPr>
        <w:ind w:right="20" w:firstLine="1428"/>
        <w:spacing w:after="0" w:line="257" w:lineRule="auto"/>
        <w:tabs>
          <w:tab w:leader="none" w:pos="178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parties hereto recognize and agree that money damages are insufficient to compensate the holders of any Registrable Securities for breaches by the Corporation of the terms hereof and, consequently, that the equitable remedies of specific performance of the terms hereof and of injunctive relief will be available in the event of any such breach, in addition to all rights provided in this Agreement and granted by Law, and that any defense or objection in any action for specific performance or injunctive relief for which a remedy at Law would be adequate is waived.</w:t>
      </w:r>
    </w:p>
    <w:p>
      <w:pPr>
        <w:spacing w:after="0" w:line="187" w:lineRule="exact"/>
        <w:rPr>
          <w:rFonts w:ascii="Arial" w:cs="Arial" w:eastAsia="Arial" w:hAnsi="Arial"/>
          <w:sz w:val="18"/>
          <w:szCs w:val="18"/>
          <w:color w:val="auto"/>
        </w:rPr>
      </w:pPr>
    </w:p>
    <w:p>
      <w:pPr>
        <w:ind w:left="1860" w:hanging="432"/>
        <w:spacing w:after="0"/>
        <w:tabs>
          <w:tab w:leader="none" w:pos="18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with respect to a Shareholder on the date on which such Shareholder ceases to hold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Registrable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12" w:name="page113"/>
    <w:bookmarkEnd w:id="112"/>
    <w:p>
      <w:pPr>
        <w:ind w:right="1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that such Shareholder’s rights and obligations pursuant to Section 8, as well as the Corporation’s obligations to pay expenses pursuant to Section 7, shall survive with respect to any Registration Statement in which any Registrable Securities of such Shareholders were included and, for the avoidance of doubt, any underwriter lock-up agreement that a Shareholder has executed prior to a Shareholder’s termination in accordance with this clause shall remain in effect in accordance with its terms.</w:t>
      </w:r>
    </w:p>
    <w:p>
      <w:pPr>
        <w:spacing w:after="0" w:line="187" w:lineRule="exact"/>
        <w:rPr>
          <w:sz w:val="20"/>
          <w:szCs w:val="20"/>
          <w:color w:val="auto"/>
        </w:rPr>
      </w:pPr>
    </w:p>
    <w:p>
      <w:pPr>
        <w:ind w:firstLine="1428"/>
        <w:spacing w:after="0" w:line="289" w:lineRule="auto"/>
        <w:tabs>
          <w:tab w:leader="none" w:pos="187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The parties hereto hereby irrevocably submit to the exclusive jurisdiction of the courts of the State of New York and the federal courts of the United States of America located in New York, and appropriate appellate courts therefrom, over any claim, controversy or dispute arising out of or relating to this Agreement or any of the transactions contemplated hereby, and each party hereby irrevocably agrees that all claims in respect of such claim, controversy, dispute or proceeding may be heard and determined in such federal or state courts. The parties hereby irrevocably waive, to the fullest extent permitted by applicable Law, any objection which they may now or hereafter have to the laying of venue of any claim, controversy or dispute arising out of or relating to this Agreement or any of the transactions contemplated hereby brought in such courts or any defense of inconvenient forum for the maintenance of such claim, controversy or dispute. Each of the parties hereto agrees that a final and unappealable judgment in any such claim, controversy or dispute shall be conclusive and may be enforced in other jurisdictions by suit on the judgment, a certified copy of which shall be conclusive evidence of the fact and amount of such judgment, or in any other manner provided by Law.</w:t>
      </w:r>
    </w:p>
    <w:p>
      <w:pPr>
        <w:spacing w:after="0" w:line="166"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Each of the parties hereto hereby consents to process being served by any party to this Agreement in any suit, action, or Proceeding of the nature specified in the paragraph above by the mailing of a copy thereof in the manner specified by the provisions of subsection (b) of this Section 11.</w:t>
      </w:r>
    </w:p>
    <w:p>
      <w:pPr>
        <w:spacing w:after="0" w:line="12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EACH OF THE PARTIES HERETO HEREBY IRREVOCABLY WAIVES ALL RIGHT TO TRIAL BY JURY IN ANY ACTION, PROCEEDING OR COUNTERCLAIM ARISING OUT OF OR RELATING TO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AGREEMENT</w:t>
      </w:r>
    </w:p>
    <w:p>
      <w:pPr>
        <w:spacing w:after="0" w:line="225" w:lineRule="exact"/>
        <w:rPr>
          <w:sz w:val="20"/>
          <w:szCs w:val="20"/>
          <w:color w:val="auto"/>
        </w:rPr>
      </w:pPr>
    </w:p>
    <w:p>
      <w:pPr>
        <w:ind w:left="440"/>
        <w:spacing w:after="0"/>
        <w:tabs>
          <w:tab w:leader="none" w:pos="3540" w:val="left"/>
          <w:tab w:leader="none" w:pos="4580" w:val="left"/>
          <w:tab w:leader="none" w:pos="5040" w:val="left"/>
          <w:tab w:leader="none" w:pos="7200" w:val="left"/>
        </w:tabs>
        <w:rPr>
          <w:sz w:val="20"/>
          <w:szCs w:val="20"/>
          <w:color w:val="auto"/>
        </w:rPr>
      </w:pPr>
      <w:r>
        <w:rPr>
          <w:rFonts w:ascii="Arial" w:cs="Arial" w:eastAsia="Arial" w:hAnsi="Arial"/>
          <w:sz w:val="18"/>
          <w:szCs w:val="18"/>
          <w:color w:val="auto"/>
        </w:rPr>
        <w:t>This Addendum Agreement is made this</w:t>
        <w:tab/>
        <w:t>day of</w:t>
      </w:r>
      <w:r>
        <w:rPr>
          <w:sz w:val="20"/>
          <w:szCs w:val="20"/>
          <w:color w:val="auto"/>
        </w:rPr>
        <w:tab/>
      </w:r>
      <w:r>
        <w:rPr>
          <w:rFonts w:ascii="Arial" w:cs="Arial" w:eastAsia="Arial" w:hAnsi="Arial"/>
          <w:sz w:val="18"/>
          <w:szCs w:val="18"/>
          <w:color w:val="auto"/>
        </w:rPr>
        <w:t>, 20</w:t>
        <w:tab/>
        <w:t>, by and between</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New Shareholder</w:t>
      </w:r>
      <w:r>
        <w:rPr>
          <w:rFonts w:ascii="Arial" w:cs="Arial" w:eastAsia="Arial" w:hAnsi="Arial"/>
          <w:sz w:val="16"/>
          <w:szCs w:val="16"/>
          <w:color w:val="auto"/>
        </w:rPr>
        <w:t>”) and Academy Sports and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Outdoors,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pursuant to an Amended and Restated Registration Rights Agreement dated as of October 6, 2020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Corporation and the Shareholders. Capitalized terms used herein but not otherwise defined herein shall have the meanings ascribed to such terms in the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Corporation has agreed to provide registration rights with respect to the Registrable Securities as set forth in the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New Shareholder has acquired Registrable Securities directly or indirectly from a Shareholder; and</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WHEREAS, the Corporation and the Shareholders have required in the Agreement that all persons desiring registration rights must enter into an Addendum Agreement binding the New Shareholder to the Agreement to the same extent as if it were an original party thereto;</w:t>
      </w:r>
    </w:p>
    <w:p>
      <w:pPr>
        <w:spacing w:after="0" w:line="146"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NOW, THEREFORE, in consideration of the mutual promises of the parties, the New Shareholder acknowledges that it has received and read the Agreement and that the New Shareholder shall be bound by, and shall have the benefit of, all of the terms and conditions set out in the Agreement to the same extent as if it were an original party to the Agreement and shall be deemed to be a Shareholder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268605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580390</wp:posOffset>
            </wp:positionV>
            <wp:extent cx="2794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000"/>
          </w:cols>
          <w:pgMar w:left="440" w:top="274"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TO on behalf of the Corporation pursuant to Section 11(c) of the Agreement.</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ACADEMY SPORTS AND OUTDOORS, INC.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306070</wp:posOffset>
            </wp:positionV>
            <wp:extent cx="27946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Printed Name and Title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9680"/>
          </w:cols>
          <w:pgMar w:left="880" w:top="274" w:right="1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ACADEMY SPORTS AND OUTDOORS, INC.</w:t>
      </w:r>
    </w:p>
    <w:p>
      <w:pPr>
        <w:spacing w:after="0" w:line="23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October 6, 2020</w:t>
      </w:r>
    </w:p>
    <w:p>
      <w:pPr>
        <w:sectPr>
          <w:pgSz w:w="11900" w:h="16838" w:orient="portrait"/>
          <w:cols w:equalWidth="0" w:num="1">
            <w:col w:w="10020"/>
          </w:cols>
          <w:pgMar w:left="1440" w:top="121" w:right="4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674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07"/>
        </w:trPr>
        <w:tc>
          <w:tcPr>
            <w:tcW w:w="18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1840" w:type="dxa"/>
            <w:vAlign w:val="bottom"/>
          </w:tcPr>
          <w:p>
            <w:pPr>
              <w:spacing w:after="0"/>
              <w:rPr>
                <w:sz w:val="20"/>
                <w:szCs w:val="20"/>
                <w:color w:val="auto"/>
              </w:rPr>
            </w:pPr>
            <w:r>
              <w:rPr>
                <w:rFonts w:ascii="Arial" w:cs="Arial" w:eastAsia="Arial" w:hAnsi="Arial"/>
                <w:sz w:val="18"/>
                <w:szCs w:val="18"/>
                <w:color w:val="auto"/>
              </w:rPr>
              <w:t>Article I Definitions</w:t>
            </w: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6740" w:type="dxa"/>
            <w:vAlign w:val="bottom"/>
          </w:tcPr>
          <w:p>
            <w:pPr>
              <w:spacing w:after="0"/>
              <w:rPr>
                <w:sz w:val="20"/>
                <w:szCs w:val="20"/>
                <w:color w:val="auto"/>
              </w:rPr>
            </w:pPr>
            <w:r>
              <w:rPr>
                <w:rFonts w:ascii="Arial" w:cs="Arial" w:eastAsia="Arial" w:hAnsi="Arial"/>
                <w:sz w:val="18"/>
                <w:szCs w:val="18"/>
                <w:color w:val="auto"/>
              </w:rPr>
              <w:t>Definitions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6740" w:type="dxa"/>
            <w:vAlign w:val="bottom"/>
          </w:tcPr>
          <w:p>
            <w:pPr>
              <w:spacing w:after="0"/>
              <w:rPr>
                <w:sz w:val="20"/>
                <w:szCs w:val="20"/>
                <w:color w:val="auto"/>
              </w:rPr>
            </w:pPr>
            <w:r>
              <w:rPr>
                <w:rFonts w:ascii="Arial" w:cs="Arial" w:eastAsia="Arial" w:hAnsi="Arial"/>
                <w:sz w:val="18"/>
                <w:szCs w:val="18"/>
                <w:color w:val="auto"/>
              </w:rPr>
              <w:t>Construction</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II Corporate Governance</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6740" w:type="dxa"/>
            <w:vAlign w:val="bottom"/>
          </w:tcPr>
          <w:p>
            <w:pPr>
              <w:spacing w:after="0"/>
              <w:rPr>
                <w:sz w:val="20"/>
                <w:szCs w:val="20"/>
                <w:color w:val="auto"/>
              </w:rPr>
            </w:pPr>
            <w:r>
              <w:rPr>
                <w:rFonts w:ascii="Arial" w:cs="Arial" w:eastAsia="Arial" w:hAnsi="Arial"/>
                <w:sz w:val="18"/>
                <w:szCs w:val="18"/>
                <w:color w:val="auto"/>
              </w:rPr>
              <w:t>Board of Directors</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6740" w:type="dxa"/>
            <w:vAlign w:val="bottom"/>
          </w:tcPr>
          <w:p>
            <w:pPr>
              <w:spacing w:after="0"/>
              <w:rPr>
                <w:sz w:val="20"/>
                <w:szCs w:val="20"/>
                <w:color w:val="auto"/>
              </w:rPr>
            </w:pPr>
            <w:r>
              <w:rPr>
                <w:rFonts w:ascii="Arial" w:cs="Arial" w:eastAsia="Arial" w:hAnsi="Arial"/>
                <w:sz w:val="18"/>
                <w:szCs w:val="18"/>
                <w:color w:val="auto"/>
              </w:rPr>
              <w:t>Committees</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6740" w:type="dxa"/>
            <w:vAlign w:val="bottom"/>
          </w:tcPr>
          <w:p>
            <w:pPr>
              <w:spacing w:after="0"/>
              <w:rPr>
                <w:sz w:val="20"/>
                <w:szCs w:val="20"/>
                <w:color w:val="auto"/>
              </w:rPr>
            </w:pPr>
            <w:r>
              <w:rPr>
                <w:rFonts w:ascii="Arial" w:cs="Arial" w:eastAsia="Arial" w:hAnsi="Arial"/>
                <w:sz w:val="18"/>
                <w:szCs w:val="18"/>
                <w:color w:val="auto"/>
              </w:rPr>
              <w:t>Consent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6740" w:type="dxa"/>
            <w:vAlign w:val="bottom"/>
          </w:tcPr>
          <w:p>
            <w:pPr>
              <w:spacing w:after="0"/>
              <w:rPr>
                <w:sz w:val="20"/>
                <w:szCs w:val="20"/>
                <w:color w:val="auto"/>
              </w:rPr>
            </w:pPr>
            <w:r>
              <w:rPr>
                <w:rFonts w:ascii="Arial" w:cs="Arial" w:eastAsia="Arial" w:hAnsi="Arial"/>
                <w:sz w:val="18"/>
                <w:szCs w:val="18"/>
                <w:color w:val="auto"/>
              </w:rPr>
              <w:t>Controlled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6740" w:type="dxa"/>
            <w:vAlign w:val="bottom"/>
          </w:tcPr>
          <w:p>
            <w:pPr>
              <w:spacing w:after="0"/>
              <w:rPr>
                <w:sz w:val="20"/>
                <w:szCs w:val="20"/>
                <w:color w:val="auto"/>
              </w:rPr>
            </w:pPr>
            <w:r>
              <w:rPr>
                <w:rFonts w:ascii="Arial" w:cs="Arial" w:eastAsia="Arial" w:hAnsi="Arial"/>
                <w:sz w:val="18"/>
                <w:szCs w:val="18"/>
                <w:color w:val="auto"/>
              </w:rPr>
              <w:t>Permitted Disclosure</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Article III Information</w:t>
            </w: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8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6740" w:type="dxa"/>
            <w:vAlign w:val="bottom"/>
          </w:tcPr>
          <w:p>
            <w:pPr>
              <w:spacing w:after="0"/>
              <w:rPr>
                <w:sz w:val="20"/>
                <w:szCs w:val="20"/>
                <w:color w:val="auto"/>
              </w:rPr>
            </w:pPr>
            <w:r>
              <w:rPr>
                <w:rFonts w:ascii="Arial" w:cs="Arial" w:eastAsia="Arial" w:hAnsi="Arial"/>
                <w:sz w:val="18"/>
                <w:szCs w:val="18"/>
                <w:color w:val="auto"/>
              </w:rPr>
              <w:t>Books and Records; Access; Certain Reports</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w w:val="95"/>
              </w:rPr>
              <w:t>Article IV Miscellaneous</w:t>
            </w: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740" w:type="dxa"/>
            <w:vAlign w:val="bottom"/>
          </w:tcPr>
          <w:p>
            <w:pPr>
              <w:spacing w:after="0"/>
              <w:rPr>
                <w:sz w:val="20"/>
                <w:szCs w:val="20"/>
                <w:color w:val="auto"/>
              </w:rPr>
            </w:pPr>
            <w:r>
              <w:rPr>
                <w:rFonts w:ascii="Arial" w:cs="Arial" w:eastAsia="Arial" w:hAnsi="Arial"/>
                <w:sz w:val="18"/>
                <w:szCs w:val="18"/>
                <w:color w:val="auto"/>
              </w:rPr>
              <w:t>Termination</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6740" w:type="dxa"/>
            <w:vAlign w:val="bottom"/>
          </w:tcPr>
          <w:p>
            <w:pPr>
              <w:spacing w:after="0"/>
              <w:rPr>
                <w:sz w:val="20"/>
                <w:szCs w:val="20"/>
                <w:color w:val="auto"/>
              </w:rPr>
            </w:pPr>
            <w:r>
              <w:rPr>
                <w:rFonts w:ascii="Arial" w:cs="Arial" w:eastAsia="Arial" w:hAnsi="Arial"/>
                <w:sz w:val="18"/>
                <w:szCs w:val="18"/>
                <w:color w:val="auto"/>
              </w:rPr>
              <w:t>Indemnification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6740" w:type="dxa"/>
            <w:vAlign w:val="bottom"/>
          </w:tcPr>
          <w:p>
            <w:pPr>
              <w:spacing w:after="0"/>
              <w:rPr>
                <w:sz w:val="20"/>
                <w:szCs w:val="20"/>
                <w:color w:val="auto"/>
              </w:rPr>
            </w:pPr>
            <w:r>
              <w:rPr>
                <w:rFonts w:ascii="Arial" w:cs="Arial" w:eastAsia="Arial" w:hAnsi="Arial"/>
                <w:sz w:val="18"/>
                <w:szCs w:val="18"/>
                <w:color w:val="auto"/>
              </w:rPr>
              <w:t>Amendments and Waivers</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6740" w:type="dxa"/>
            <w:vAlign w:val="bottom"/>
          </w:tcPr>
          <w:p>
            <w:pPr>
              <w:spacing w:after="0"/>
              <w:rPr>
                <w:sz w:val="20"/>
                <w:szCs w:val="20"/>
                <w:color w:val="auto"/>
              </w:rPr>
            </w:pPr>
            <w:r>
              <w:rPr>
                <w:rFonts w:ascii="Arial" w:cs="Arial" w:eastAsia="Arial" w:hAnsi="Arial"/>
                <w:sz w:val="18"/>
                <w:szCs w:val="18"/>
                <w:color w:val="auto"/>
              </w:rPr>
              <w:t>Successors, Assigns and Transferees</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6740" w:type="dxa"/>
            <w:vAlign w:val="bottom"/>
          </w:tcPr>
          <w:p>
            <w:pPr>
              <w:spacing w:after="0"/>
              <w:rPr>
                <w:sz w:val="20"/>
                <w:szCs w:val="20"/>
                <w:color w:val="auto"/>
              </w:rPr>
            </w:pPr>
            <w:r>
              <w:rPr>
                <w:rFonts w:ascii="Arial" w:cs="Arial" w:eastAsia="Arial" w:hAnsi="Arial"/>
                <w:sz w:val="18"/>
                <w:szCs w:val="18"/>
                <w:color w:val="auto"/>
              </w:rPr>
              <w:t>Third Parties</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6740" w:type="dxa"/>
            <w:vAlign w:val="bottom"/>
          </w:tcPr>
          <w:p>
            <w:pPr>
              <w:spacing w:after="0"/>
              <w:rPr>
                <w:sz w:val="20"/>
                <w:szCs w:val="20"/>
                <w:color w:val="auto"/>
              </w:rPr>
            </w:pPr>
            <w:r>
              <w:rPr>
                <w:rFonts w:ascii="Arial" w:cs="Arial" w:eastAsia="Arial" w:hAnsi="Arial"/>
                <w:sz w:val="18"/>
                <w:szCs w:val="18"/>
                <w:color w:val="auto"/>
              </w:rPr>
              <w:t>Notices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6740" w:type="dxa"/>
            <w:vAlign w:val="bottom"/>
          </w:tcPr>
          <w:p>
            <w:pPr>
              <w:spacing w:after="0"/>
              <w:rPr>
                <w:sz w:val="20"/>
                <w:szCs w:val="20"/>
                <w:color w:val="auto"/>
              </w:rPr>
            </w:pPr>
            <w:r>
              <w:rPr>
                <w:rFonts w:ascii="Arial" w:cs="Arial" w:eastAsia="Arial" w:hAnsi="Arial"/>
                <w:sz w:val="18"/>
                <w:szCs w:val="18"/>
                <w:color w:val="auto"/>
              </w:rPr>
              <w:t>Further Assurances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6740" w:type="dxa"/>
            <w:vAlign w:val="bottom"/>
          </w:tcPr>
          <w:p>
            <w:pPr>
              <w:spacing w:after="0"/>
              <w:rPr>
                <w:sz w:val="20"/>
                <w:szCs w:val="20"/>
                <w:color w:val="auto"/>
              </w:rPr>
            </w:pPr>
            <w:r>
              <w:rPr>
                <w:rFonts w:ascii="Arial" w:cs="Arial" w:eastAsia="Arial" w:hAnsi="Arial"/>
                <w:sz w:val="18"/>
                <w:szCs w:val="18"/>
                <w:color w:val="auto"/>
              </w:rPr>
              <w:t>Entire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6740" w:type="dxa"/>
            <w:vAlign w:val="bottom"/>
          </w:tcPr>
          <w:p>
            <w:pPr>
              <w:spacing w:after="0"/>
              <w:rPr>
                <w:sz w:val="20"/>
                <w:szCs w:val="20"/>
                <w:color w:val="auto"/>
              </w:rPr>
            </w:pPr>
            <w:r>
              <w:rPr>
                <w:rFonts w:ascii="Arial" w:cs="Arial" w:eastAsia="Arial" w:hAnsi="Arial"/>
                <w:sz w:val="18"/>
                <w:szCs w:val="18"/>
                <w:color w:val="auto"/>
              </w:rPr>
              <w:t>Restrictions on Other Agreements; Bylaws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6740" w:type="dxa"/>
            <w:vAlign w:val="bottom"/>
          </w:tcPr>
          <w:p>
            <w:pPr>
              <w:spacing w:after="0"/>
              <w:rPr>
                <w:sz w:val="20"/>
                <w:szCs w:val="20"/>
                <w:color w:val="auto"/>
              </w:rPr>
            </w:pPr>
            <w:r>
              <w:rPr>
                <w:rFonts w:ascii="Arial" w:cs="Arial" w:eastAsia="Arial" w:hAnsi="Arial"/>
                <w:sz w:val="18"/>
                <w:szCs w:val="18"/>
                <w:color w:val="auto"/>
              </w:rPr>
              <w:t>Delays or Omissions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6740" w:type="dxa"/>
            <w:vAlign w:val="bottom"/>
          </w:tcPr>
          <w:p>
            <w:pPr>
              <w:spacing w:after="0"/>
              <w:rPr>
                <w:sz w:val="20"/>
                <w:szCs w:val="20"/>
                <w:color w:val="auto"/>
              </w:rPr>
            </w:pPr>
            <w:r>
              <w:rPr>
                <w:rFonts w:ascii="Arial" w:cs="Arial" w:eastAsia="Arial" w:hAnsi="Arial"/>
                <w:sz w:val="18"/>
                <w:szCs w:val="18"/>
                <w:color w:val="auto"/>
              </w:rPr>
              <w:t>Governing Law; Jurisdiction; Waiver of Jury Trial</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6740" w:type="dxa"/>
            <w:vAlign w:val="bottom"/>
          </w:tcPr>
          <w:p>
            <w:pPr>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6740" w:type="dxa"/>
            <w:vAlign w:val="bottom"/>
          </w:tcPr>
          <w:p>
            <w:pPr>
              <w:spacing w:after="0"/>
              <w:rPr>
                <w:sz w:val="20"/>
                <w:szCs w:val="20"/>
                <w:color w:val="auto"/>
              </w:rPr>
            </w:pPr>
            <w:r>
              <w:rPr>
                <w:rFonts w:ascii="Arial" w:cs="Arial" w:eastAsia="Arial" w:hAnsi="Arial"/>
                <w:sz w:val="18"/>
                <w:szCs w:val="18"/>
                <w:color w:val="auto"/>
              </w:rPr>
              <w:t>Enforcement</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6740" w:type="dxa"/>
            <w:vAlign w:val="bottom"/>
          </w:tcPr>
          <w:p>
            <w:pPr>
              <w:spacing w:after="0"/>
              <w:rPr>
                <w:sz w:val="20"/>
                <w:szCs w:val="20"/>
                <w:color w:val="auto"/>
              </w:rPr>
            </w:pPr>
            <w:r>
              <w:rPr>
                <w:rFonts w:ascii="Arial" w:cs="Arial" w:eastAsia="Arial" w:hAnsi="Arial"/>
                <w:sz w:val="18"/>
                <w:szCs w:val="18"/>
                <w:color w:val="auto"/>
              </w:rPr>
              <w:t>Titles and Subtitles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6740" w:type="dxa"/>
            <w:vAlign w:val="bottom"/>
          </w:tcPr>
          <w:p>
            <w:pPr>
              <w:spacing w:after="0"/>
              <w:rPr>
                <w:sz w:val="20"/>
                <w:szCs w:val="20"/>
                <w:color w:val="auto"/>
              </w:rPr>
            </w:pPr>
            <w:r>
              <w:rPr>
                <w:rFonts w:ascii="Arial" w:cs="Arial" w:eastAsia="Arial" w:hAnsi="Arial"/>
                <w:sz w:val="18"/>
                <w:szCs w:val="18"/>
                <w:color w:val="auto"/>
              </w:rPr>
              <w:t>No Recourse</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4.16.</w:t>
            </w:r>
          </w:p>
        </w:tc>
        <w:tc>
          <w:tcPr>
            <w:tcW w:w="6740" w:type="dxa"/>
            <w:vAlign w:val="bottom"/>
          </w:tcPr>
          <w:p>
            <w:pPr>
              <w:spacing w:after="0"/>
              <w:rPr>
                <w:sz w:val="20"/>
                <w:szCs w:val="20"/>
                <w:color w:val="auto"/>
              </w:rPr>
            </w:pPr>
            <w:r>
              <w:rPr>
                <w:rFonts w:ascii="Arial" w:cs="Arial" w:eastAsia="Arial" w:hAnsi="Arial"/>
                <w:sz w:val="18"/>
                <w:szCs w:val="18"/>
                <w:color w:val="auto"/>
              </w:rPr>
              <w:t>Counterparts; Facsimile Signatures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4.17.</w:t>
            </w:r>
          </w:p>
        </w:tc>
        <w:tc>
          <w:tcPr>
            <w:tcW w:w="6740" w:type="dxa"/>
            <w:vAlign w:val="bottom"/>
          </w:tcPr>
          <w:p>
            <w:pPr>
              <w:spacing w:after="0"/>
              <w:rPr>
                <w:sz w:val="20"/>
                <w:szCs w:val="20"/>
                <w:color w:val="auto"/>
              </w:rPr>
            </w:pPr>
            <w:r>
              <w:rPr>
                <w:rFonts w:ascii="Arial" w:cs="Arial" w:eastAsia="Arial" w:hAnsi="Arial"/>
                <w:sz w:val="18"/>
                <w:szCs w:val="18"/>
                <w:color w:val="auto"/>
              </w:rPr>
              <w:t>Effectiveness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 Assignment and Assumption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60"/>
          </w:cols>
          <w:pgMar w:left="440" w:top="270" w:right="4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29" w:lineRule="exact"/>
        <w:rPr>
          <w:sz w:val="20"/>
          <w:szCs w:val="20"/>
          <w:color w:val="auto"/>
        </w:rPr>
      </w:pPr>
    </w:p>
    <w:p>
      <w:pPr>
        <w:ind w:right="460" w:firstLine="440"/>
        <w:spacing w:after="0" w:line="311" w:lineRule="auto"/>
        <w:rPr>
          <w:sz w:val="20"/>
          <w:szCs w:val="20"/>
          <w:color w:val="auto"/>
        </w:rPr>
      </w:pPr>
      <w:r>
        <w:rPr>
          <w:rFonts w:ascii="Arial" w:cs="Arial" w:eastAsia="Arial" w:hAnsi="Arial"/>
          <w:sz w:val="16"/>
          <w:szCs w:val="16"/>
          <w:color w:val="auto"/>
        </w:rPr>
        <w:t>This STOCKHOLDERS’ AGREEMENT (as the same may be amended from time to time in accordance with its terms,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October 6, 2020, by and among Academy Sports and Outdoors,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stockholders of the Company whose name appears on the signature pages hereto (each, a “</w:t>
      </w:r>
      <w:r>
        <w:rPr>
          <w:rFonts w:ascii="Arial" w:cs="Arial" w:eastAsia="Arial" w:hAnsi="Arial"/>
          <w:sz w:val="16"/>
          <w:szCs w:val="16"/>
          <w:u w:val="single" w:color="auto"/>
          <w:color w:val="auto"/>
        </w:rPr>
        <w:t>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Stockholders</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WHEREAS, the Company is currently contemplating an underwritten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shares of its Common Stock (as defined below);</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in connection with the IPO, each Stockholder that is a unitholder of New Academy Holding Company, LLC (“</w:t>
      </w:r>
      <w:r>
        <w:rPr>
          <w:rFonts w:ascii="Arial" w:cs="Arial" w:eastAsia="Arial" w:hAnsi="Arial"/>
          <w:sz w:val="18"/>
          <w:szCs w:val="18"/>
          <w:u w:val="single" w:color="auto"/>
          <w:color w:val="auto"/>
        </w:rPr>
        <w:t>NAHC</w:t>
      </w:r>
      <w:r>
        <w:rPr>
          <w:rFonts w:ascii="Arial" w:cs="Arial" w:eastAsia="Arial" w:hAnsi="Arial"/>
          <w:sz w:val="18"/>
          <w:szCs w:val="18"/>
          <w:color w:val="auto"/>
        </w:rPr>
        <w:t>”) will contribute its equity interests in NAHC to the Company in exchange for shares of Common Stock and NAHC will become a wholly owned subsidiary of the Company;</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WHEREAS, Section 4.8(a) of the Amended and Restated Limited Liability Company Agreement of NAHC (as amended, supplemented or modified from time to time, the “</w:t>
      </w:r>
      <w:r>
        <w:rPr>
          <w:rFonts w:ascii="Arial" w:cs="Arial" w:eastAsia="Arial" w:hAnsi="Arial"/>
          <w:sz w:val="18"/>
          <w:szCs w:val="18"/>
          <w:u w:val="single" w:color="auto"/>
          <w:color w:val="auto"/>
        </w:rPr>
        <w:t>LLC Agreement</w:t>
      </w:r>
      <w:r>
        <w:rPr>
          <w:rFonts w:ascii="Arial" w:cs="Arial" w:eastAsia="Arial" w:hAnsi="Arial"/>
          <w:sz w:val="18"/>
          <w:szCs w:val="18"/>
          <w:color w:val="auto"/>
        </w:rPr>
        <w:t>”) provides that the board of managers of NAHC (the “</w:t>
      </w:r>
      <w:r>
        <w:rPr>
          <w:rFonts w:ascii="Arial" w:cs="Arial" w:eastAsia="Arial" w:hAnsi="Arial"/>
          <w:sz w:val="18"/>
          <w:szCs w:val="18"/>
          <w:u w:val="single" w:color="auto"/>
          <w:color w:val="auto"/>
        </w:rPr>
        <w:t>NAHC Board</w:t>
      </w:r>
      <w:r>
        <w:rPr>
          <w:rFonts w:ascii="Arial" w:cs="Arial" w:eastAsia="Arial" w:hAnsi="Arial"/>
          <w:sz w:val="18"/>
          <w:szCs w:val="18"/>
          <w:color w:val="auto"/>
        </w:rPr>
        <w:t>”) may, without the need for any action or consent of any Person (as defined in the LLC Agreement), including any Members (as defined in the LLC Agreement), take any and all actions reasonably necessary or advisable to create and implement the IPO of the Company, subject to the requirements of Section 4.8 and Section 14.5 of the LLC Agreement;</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the NAHC Board has determined that the IPO of the Company complies with the requirements of Section 4.8 and Section 14.5 of the LLC Agreement; and</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in connection with, and effective upon, the date of completion of the IPO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hereto desire to enter into this Agreement to govern certain of their rights, duties and obligations with respect to their ownership of Common Stock after consummation of the IPO.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0" w:right="459" w:bottom="1440" w:gutter="0" w:footer="0" w:header="0"/>
        </w:sectPr>
      </w:pPr>
    </w:p>
    <w:bookmarkStart w:id="118" w:name="page119"/>
    <w:bookmarkEnd w:id="118"/>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mutual covenants contained herein and other good and valuable consideration, the receipt and sufficiency of which are hereby acknowledged, the parties to this Agreement hereby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shall have the following meanings:</w:t>
      </w:r>
    </w:p>
    <w:p>
      <w:pPr>
        <w:spacing w:after="0" w:line="11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shall mean, (i) with respect to any Person (other than the KKR Investor), an “affiliate” as defined in Rule 405 of the regulations promulgated under the Securities Act, and (ii) with respect to the KKR Investor, an “affiliate” as defined in Rule 405 of the regulations promulgated under the Securities Act and any investment fund, vehicle or holding company of which the KKR Investor or an Affiliate of the KKR Investor serves as the general partner, managing member or discretionary manager or advisor;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except as used in </w:t>
      </w:r>
      <w:r>
        <w:rPr>
          <w:rFonts w:ascii="Arial" w:cs="Arial" w:eastAsia="Arial" w:hAnsi="Arial"/>
          <w:sz w:val="16"/>
          <w:szCs w:val="16"/>
          <w:u w:val="single" w:color="auto"/>
          <w:color w:val="auto"/>
        </w:rPr>
        <w:t>Section 4.2</w:t>
      </w:r>
      <w:r>
        <w:rPr>
          <w:rFonts w:ascii="Arial" w:cs="Arial" w:eastAsia="Arial" w:hAnsi="Arial"/>
          <w:sz w:val="16"/>
          <w:szCs w:val="16"/>
          <w:color w:val="auto"/>
        </w:rPr>
        <w:t>, an Affiliate of the KKR Investor shall not include any Portfolio Company or other investment of any Person or the KKR Investor or any investment fund, vehicle or holding company or any investment fund, vehicle or holding company or any limited partners of the KKR Investor.</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or “</w:t>
      </w:r>
      <w:r>
        <w:rPr>
          <w:rFonts w:ascii="Arial" w:cs="Arial" w:eastAsia="Arial" w:hAnsi="Arial"/>
          <w:sz w:val="17"/>
          <w:szCs w:val="17"/>
          <w:u w:val="single" w:color="auto"/>
          <w:color w:val="auto"/>
        </w:rPr>
        <w:t>beneficially own</w:t>
      </w:r>
      <w:r>
        <w:rPr>
          <w:rFonts w:ascii="Arial" w:cs="Arial" w:eastAsia="Arial" w:hAnsi="Arial"/>
          <w:sz w:val="17"/>
          <w:szCs w:val="17"/>
          <w:color w:val="auto"/>
        </w:rPr>
        <w:t xml:space="preserve">” shall have the meaning set forth in Rule 13d-3 under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Stockholder shall be deemed to beneficially own any securities of the Company held by any other Stockholder solely by virtue of the provisions of this Agreement (other than this definition which shall be deemed to be read for this purpose without the proviso hereto).</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a Sunday or other day on which banks are required or authorized by Law to be closed in the City of New York.</w:t>
      </w:r>
    </w:p>
    <w:p>
      <w:pPr>
        <w:spacing w:after="0" w:line="170"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shall mean the Amended and Restated Bylaws of the Company, as in effect on the date hereof and as the same may be amended, supplemented or otherwise modified from time to time in accordance with the terms thereof, the terms of the Charter and the terms of this Agreement.</w:t>
      </w:r>
    </w:p>
    <w:p>
      <w:pPr>
        <w:spacing w:after="0" w:line="124"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any transaction or series of related transactions (whether by merger, consolidation, recapitalization, liquidation or sale or transfer of Common Stock or assets (including equity securities of the Subsidiaries) or otherwise) as a result of which any Person or group, within the meaning of Section 13(d)(3) of the Exchange Act (other than (x) the KKR Investor and its Affiliates, any group of which the foregoing are members and any other members of such a group and (y) an employee benefit plan (or trust forming a part thereof) maintained by the Company or its controlled Affiliates), obtains ownership, directly or indirectly, of (i) Common Stock that represent more than 50% of the total voting power of the outstanding capital stock of the Company or applicable successor entity or (ii) all or substantially all of the assets of the Company and its Subsidiaries on a consolidated basis. For purposes of this definition, the term “Affiliates” shall include Portfolio Companies.</w:t>
      </w:r>
    </w:p>
    <w:p>
      <w:pPr>
        <w:spacing w:after="0" w:line="166" w:lineRule="exact"/>
        <w:rPr>
          <w:sz w:val="20"/>
          <w:szCs w:val="20"/>
          <w:color w:val="auto"/>
        </w:rPr>
      </w:pPr>
    </w:p>
    <w:p>
      <w:pPr>
        <w:jc w:val="both"/>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shall mean the Amended and Restated Certificate of Incorporation of the Company, as in effect on the date hereof and as the same may be amended, supplemented or otherwise modified from time to time in accordance with the terms thereof and the terms of this Agreement.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Recitals.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119" w:name="page120"/>
    <w:bookmarkEnd w:id="119"/>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with respect to the relationship between or among two or more Persons, shall mean the possession, directly or indirectly, of the power to direct or cause the direction of the affairs or management of a Person, whether through the ownership of voting securities, as trustee or executor, by contract or otherwise.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any member of the Board.</w:t>
      </w:r>
    </w:p>
    <w:p>
      <w:pPr>
        <w:spacing w:after="0" w:line="225"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shall mean any and all shares of (i) Common Stock, (ii) preferred stock of the Company, and (iii) any equity securities (including, without limitation, preferred stock) of the Company convertible into, or exchangeable or exercisable for, any of the foregoing shares, and options, warrants or other rights to acquire any of the foregoing shares or other securities. In the event any direct or indirect Subsidiary of the Company issues directly to any Stockholder any common stock of such Subsidiary or any equity securities of the type described in clauses (ii) and (iii), the term “Equity Securities” shall also include the common stock and equity securities of the type described in clauses (ii) and (iii) of such Subsidiary.</w:t>
      </w:r>
    </w:p>
    <w:p>
      <w:pPr>
        <w:spacing w:after="0" w:line="161" w:lineRule="exact"/>
        <w:rPr>
          <w:sz w:val="20"/>
          <w:szCs w:val="20"/>
          <w:color w:val="auto"/>
        </w:rPr>
      </w:pPr>
    </w:p>
    <w:p>
      <w:pPr>
        <w:ind w:right="9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 and the rules and regulations promulgated pursuant thereto.</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 Designee(s)</w:t>
      </w:r>
      <w:r>
        <w:rPr>
          <w:rFonts w:ascii="Arial" w:cs="Arial" w:eastAsia="Arial" w:hAnsi="Arial"/>
          <w:sz w:val="18"/>
          <w:szCs w:val="18"/>
          <w:color w:val="auto"/>
        </w:rPr>
        <w:t xml:space="preserve">” shall mean any Director designated by the KKR Investor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 Investor</w:t>
      </w:r>
      <w:r>
        <w:rPr>
          <w:rFonts w:ascii="Arial" w:cs="Arial" w:eastAsia="Arial" w:hAnsi="Arial"/>
          <w:sz w:val="18"/>
          <w:szCs w:val="18"/>
          <w:color w:val="auto"/>
        </w:rPr>
        <w:t>” shall mean, collectively, Allstar LLC, Allstar Co-Invest Blocker L.P. and KKR 2006 Allstar Blocker L.P., and their Permitted Transferees.</w:t>
      </w:r>
    </w:p>
    <w:p>
      <w:pPr>
        <w:spacing w:after="0" w:line="170" w:lineRule="exact"/>
        <w:rPr>
          <w:sz w:val="20"/>
          <w:szCs w:val="20"/>
          <w:color w:val="auto"/>
        </w:rPr>
      </w:pPr>
    </w:p>
    <w:p>
      <w:pPr>
        <w:ind w:right="6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applicable constitutional provision, statute, act, code, law, regulation, rule, ordinance, order, decree, ruling, proclamation, resolution, judgment, decision, declaration, or interpretative or advisory opinion or letter of a Governmental Authority.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4" w:right="479" w:bottom="1440" w:gutter="0" w:footer="0" w:header="0"/>
        </w:sectPr>
      </w:pPr>
    </w:p>
    <w:bookmarkStart w:id="120" w:name="page121"/>
    <w:bookmarkEnd w:id="1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LLC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NAHC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shall mean, with respect to the KKR Investor, any Transferee that is an Affiliate of the KKR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Transferee shall agree in a writing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 be bound by and to comply with all applicable provisions of this Agreement.</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trust, joint stock company, business trust, unincorporated association, joint venture or other entity of any nature whatsoever.</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rPr>
        <w:t>” shall mean, with respect to any Person, a “portfolio company” (as such term is customarily used among institutional investors), or any entity controlled by any “portfolio company”, of such Person or one of its Affiliates.</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shall mean the Amendment to the Registration Rights Agreement, dated as of , 2020, among the Company, New Academy Holding Company, LLC, the KKR Investor, and each of the other stockholders party thereto, as the same may be amended from time to time in accordance with its terms.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 from time to time, and the rules and regulations promulgated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shall mean The NASDAQ Global Select Market or such other securities exchange or interdealer quotation system on which shares of Common Stock are then listed or quoted.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 entity, (i) any corporation of which a majority of the securities entitled to vote generally in the election of directors thereof, at the time as of which any determination is being made, are owned by such entity, either directly or indirectly, and (ii) any joint venture, general or limited partnership, limited liability company or other legal entity in which the entity is the record or beneficial owner, directly or indirectly, of a majority of the voting interests or the general partner.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Number of Directors</w:t>
      </w:r>
      <w:r>
        <w:rPr>
          <w:rFonts w:ascii="Arial" w:cs="Arial" w:eastAsia="Arial" w:hAnsi="Arial"/>
          <w:sz w:val="18"/>
          <w:szCs w:val="18"/>
          <w:color w:val="auto"/>
        </w:rPr>
        <w:t>” shall mean, at any time of determination, the total number of Directors comprising the Board.</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mean, directly or indirectly, to sell, transfer, assign, encumber, hypothecate or similarly dispose of, either voluntarily or involuntarily, or to enter into any contract, option or other arrangement or understanding with respect to the sale, transfer, assignment, encumbrance, hypothecation or similar disposition of, any shares of Equity Securities beneficially owned by a Person or any interest in any shares of Equity Securities beneficially owned by 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440" w:top="274" w:right="519" w:bottom="1440" w:gutter="0" w:footer="0" w:header="0"/>
        </w:sectPr>
      </w:pPr>
    </w:p>
    <w:bookmarkStart w:id="121" w:name="page122"/>
    <w:bookmarkEnd w:id="121"/>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In the event that the KKR Investor that is a corporation, partnership, limited liability company or other legal entity (other than an individual, trust or estate) ceases to be controlled by the Person controlling the KKR Investor or a Permitted Transferee thereof, such event shall be deemed to constitute a “Transfer” subject to the restrictions on Transfer contained or referenced herein.</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shall mean any Person to whom any Stockholder or any Transferee thereof Transfers Equity Securities of the Company in accordance with the terms hereof.</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at any time of determination, shares of any class of Equity Securities of the Company that are then entitled to vote generally in the election of Directors.</w:t>
      </w:r>
    </w:p>
    <w:p>
      <w:pPr>
        <w:spacing w:after="0" w:line="170"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Construction</w:t>
      </w:r>
      <w:r>
        <w:rPr>
          <w:rFonts w:ascii="Arial" w:cs="Arial" w:eastAsia="Arial" w:hAnsi="Arial"/>
          <w:sz w:val="17"/>
          <w:szCs w:val="17"/>
          <w:color w:val="auto"/>
        </w:rPr>
        <w:t>. Whenever the context requires, the gender of all words used in this Agreement includes the masculine, feminine and neuter forms and the singular form of words shall include the plural and vice versa. All references to Articles and Sections refer to articles and sections of this Agreement. Whenever the words “include,” “includes” or “including” are used in this Agreement, they shall be deemed to be followed by the words “without limitation.” This Agreement shall be construed without regard to any presumption or rule requiring construction or interpretation against the party drafting or causing any instrument to be drafted. Any percentage set forth herein shall be deemed to be automatically adjusted without any action on the part of any party hereto to take into account any stock split, stock dividend or similar transaction occurring after the date of this Agreement so that the rights provided to the Stockholders shall continue to apply to the same extent such rights would have applied absent such stock split, stock dividend or similar transaction.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CORPORATE GOVERNANCE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Following the Closing Date, the KKR Investor shall have the right, but not the obligation, to nominate to the Board a number of designees equal to at least: (i) a majority of the Total Number of Directors, so long as the KKR Investor and its Affiliates collectively beneficially own 50% or more of the outstanding shares of Common Stock; (ii) 40% of the Total Number of Directors, in the event that the KKR Investor and its Affiliates collectively beneficially own 40% or more, but less than 50%, of the outstanding shares of Common Stock; (iii) 30% of the Total Number of Directors, in the event that the KKR Investor and its Affiliates collectively beneficially own 30% or more, but less than 40%, of the outstanding shares of Common Stock; (iv) 20% of the Total Number of Directors, in the event that the KKR Investor and its Affiliates collectively beneficially own 20% or more, but less than 30%, of the outstanding shares of Common Stock; and (v) 10% of the Total Number of Directors, in the event that the KKR Investor and its Affiliates collectively beneficially own 5% or more, but less than 20%, of the outstanding shares of Common Stock. For purposes of calculating the number of Directors that the KKR Investor is entitled to designate pursuant to the immediately preceding sentence, any fractional amounts shall automatically be rounded up to the nearest whole number (e.g., one and one quarter (1 and 1/4) Directors shall equate to two (2) Directors), and any such calculations shall be made after taking into account any increase in the Total Number of Directors.</w:t>
      </w:r>
    </w:p>
    <w:p>
      <w:pPr>
        <w:spacing w:after="0" w:line="114" w:lineRule="exact"/>
        <w:rPr>
          <w:rFonts w:ascii="Arial" w:cs="Arial" w:eastAsia="Arial" w:hAnsi="Arial"/>
          <w:sz w:val="17"/>
          <w:szCs w:val="17"/>
          <w:color w:val="auto"/>
        </w:rPr>
      </w:pPr>
    </w:p>
    <w:p>
      <w:pPr>
        <w:ind w:left="5460" w:hanging="106"/>
        <w:spacing w:after="0"/>
        <w:tabs>
          <w:tab w:leader="none" w:pos="54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0"/>
          </w:cols>
          <w:pgMar w:left="440" w:top="274" w:right="479" w:bottom="1440" w:gutter="0" w:footer="0" w:header="0"/>
        </w:sectPr>
      </w:pPr>
    </w:p>
    <w:bookmarkStart w:id="122" w:name="page123"/>
    <w:bookmarkEnd w:id="122"/>
    <w:p>
      <w:pPr>
        <w:ind w:left="-436" w:firstLine="436"/>
        <w:spacing w:after="0" w:line="277" w:lineRule="auto"/>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as of the Closing Date, the KKR Designees shall initially be Nathaniel H. Taylor, Vishal V. Patel, Aileen X. Yan, Brian T. Marley and William S. Simon.</w:t>
      </w:r>
    </w:p>
    <w:p>
      <w:pPr>
        <w:spacing w:after="0" w:line="170" w:lineRule="exact"/>
        <w:rPr>
          <w:rFonts w:ascii="Arial" w:cs="Arial" w:eastAsia="Arial" w:hAnsi="Arial"/>
          <w:sz w:val="18"/>
          <w:szCs w:val="18"/>
          <w:color w:val="auto"/>
        </w:rPr>
      </w:pPr>
    </w:p>
    <w:p>
      <w:pPr>
        <w:ind w:left="-436" w:right="300" w:firstLine="436"/>
        <w:spacing w:after="0" w:line="257" w:lineRule="auto"/>
        <w:tabs>
          <w:tab w:leader="none" w:pos="2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Company agrees, to the fullest extent permitted by applicable Law (including with respect to fiduciary duties under Delaware law), to include the individuals designated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 the slate of nominees recommended by the Board for election at any meeting of stockholders called for the purpose of electing Directors and to use its best efforts to cause the election of each such designee to the Board, including nominating each such individual to be elected as a Director as provided herein, recommending such individual’s election and soliciting proxies or consents in favor thereof.</w:t>
      </w:r>
    </w:p>
    <w:p>
      <w:pPr>
        <w:spacing w:after="0" w:line="187" w:lineRule="exact"/>
        <w:rPr>
          <w:rFonts w:ascii="Arial" w:cs="Arial" w:eastAsia="Arial" w:hAnsi="Arial"/>
          <w:sz w:val="18"/>
          <w:szCs w:val="18"/>
          <w:color w:val="auto"/>
        </w:rPr>
      </w:pPr>
    </w:p>
    <w:p>
      <w:pPr>
        <w:ind w:left="-436" w:right="80" w:firstLine="436"/>
        <w:spacing w:after="0" w:line="255" w:lineRule="auto"/>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In the event that the KKR Investor has nominated less than the total number of designees that it shall be entitled to nominate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then the KKR Investor shall have the right, at any time, to nominate such additional designee(s) to which it is entitled, in which case, the Company and the Directors shall take all necessary corporate action, to the fullest extent permitted by applicable Law (including with respect to fiduciary duties under Delaware law), to (x) enable the KKR Investor to nominate and effect the election or appointment of such additional individuals, whether by increasing the size of the Board or otherwise, and (y) designate such additional individuals nominated by the KKR Investor to fill such newly created vacancies or to fill any other existing vacancies.</w:t>
      </w:r>
    </w:p>
    <w:p>
      <w:pPr>
        <w:spacing w:after="0" w:line="192" w:lineRule="exact"/>
        <w:rPr>
          <w:rFonts w:ascii="Arial" w:cs="Arial" w:eastAsia="Arial" w:hAnsi="Arial"/>
          <w:sz w:val="18"/>
          <w:szCs w:val="18"/>
          <w:color w:val="auto"/>
        </w:rPr>
      </w:pPr>
    </w:p>
    <w:p>
      <w:pPr>
        <w:ind w:left="-436" w:right="100" w:firstLine="436"/>
        <w:spacing w:after="0" w:line="296" w:lineRule="auto"/>
        <w:tabs>
          <w:tab w:leader="none" w:pos="24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In the event that a vacancy is created at any time by the death, disability, retirement, resignation or removal (with or without cause) of any Director designated by the KKR Investor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the remaining Directors and the Company shall, to the fullest extent permitted by applicable Law (including with respect to fiduciary duties under Delaware law), cause the vacancy created thereby to be filled by a new designee of the KKR Investor as soon as possible, and the Company hereby agrees to take, to the fullest extent permitted by applicable Law (including with respect to fiduciary duties under Delaware law), at any time and from time to time, all actions necessary to accomplish the same.</w:t>
      </w:r>
    </w:p>
    <w:p>
      <w:pPr>
        <w:spacing w:after="0" w:line="161" w:lineRule="exact"/>
        <w:rPr>
          <w:rFonts w:ascii="Arial" w:cs="Arial" w:eastAsia="Arial" w:hAnsi="Arial"/>
          <w:sz w:val="16"/>
          <w:szCs w:val="16"/>
          <w:color w:val="auto"/>
        </w:rPr>
      </w:pPr>
    </w:p>
    <w:p>
      <w:pPr>
        <w:ind w:left="-436" w:firstLine="436"/>
        <w:spacing w:after="0" w:line="273" w:lineRule="auto"/>
        <w:tabs>
          <w:tab w:leader="none" w:pos="22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In the event that the KKR Investor shall cease to have the right to designate a Director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designee of the KKR Investor selected by the KKR Investor shall (i) at the request of a majority of the Directors then in office or the Chairman of the Board resign immediately or the KKR Investor shall take all action necessary to remove such designee or (ii) if no such request is made, continue to serve until his or her term expires at the next annual meeting of stockholders of the Company. In the event such designee resigns or is removed at the request of a majority of the Directors then in office or the Chairman of the Board, the Directors remaining in office shall be entitled to decrease the size of the Board to eliminate such vacancy and no consent under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be required in connection with such decrease.</w:t>
      </w:r>
    </w:p>
    <w:p>
      <w:pPr>
        <w:spacing w:after="0" w:line="177" w:lineRule="exact"/>
        <w:rPr>
          <w:rFonts w:ascii="Arial" w:cs="Arial" w:eastAsia="Arial" w:hAnsi="Arial"/>
          <w:sz w:val="17"/>
          <w:szCs w:val="17"/>
          <w:color w:val="auto"/>
        </w:rPr>
      </w:pPr>
    </w:p>
    <w:p>
      <w:pPr>
        <w:ind w:left="-436" w:right="180" w:firstLine="436"/>
        <w:spacing w:after="0" w:line="277" w:lineRule="auto"/>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KKR Investor shall have the right to representation on the board of directors or other similar governing body (or any committee thereof) of any Subsidiary of the Company in proportion to its representation on the Board.</w:t>
      </w:r>
    </w:p>
    <w:p>
      <w:pPr>
        <w:spacing w:after="0" w:line="102" w:lineRule="exact"/>
        <w:rPr>
          <w:rFonts w:ascii="Arial" w:cs="Arial" w:eastAsia="Arial" w:hAnsi="Arial"/>
          <w:sz w:val="18"/>
          <w:szCs w:val="18"/>
          <w:color w:val="auto"/>
        </w:rPr>
      </w:pPr>
    </w:p>
    <w:p>
      <w:pPr>
        <w:ind w:left="5024" w:hanging="106"/>
        <w:spacing w:after="0"/>
        <w:tabs>
          <w:tab w:leader="none" w:pos="502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64"/>
          </w:cols>
          <w:pgMar w:left="876" w:top="274" w:right="459" w:bottom="1440" w:gutter="0" w:footer="0" w:header="0"/>
        </w:sectPr>
      </w:pPr>
    </w:p>
    <w:bookmarkStart w:id="123" w:name="page124"/>
    <w:bookmarkEnd w:id="123"/>
    <w:p>
      <w:pPr>
        <w:ind w:right="100" w:firstLine="436"/>
        <w:spacing w:after="0" w:line="259"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reimburse the KKR Designee(s) for their reasonable out-of-pocket expenses incurred by them in connection with performing his or her duties as a member of the Board (or any committee thereof), including the reasonable out-of-pocket expenses incurred by such person for attending meetings of the Board (or any committee thereof), or in connection with their service on the board or other similar governing body of any Subsidiary of the Company (or any committee thereof).</w:t>
      </w:r>
    </w:p>
    <w:p>
      <w:pPr>
        <w:spacing w:after="0" w:line="186" w:lineRule="exact"/>
        <w:rPr>
          <w:rFonts w:ascii="Arial" w:cs="Arial" w:eastAsia="Arial" w:hAnsi="Arial"/>
          <w:sz w:val="18"/>
          <w:szCs w:val="18"/>
          <w:color w:val="auto"/>
        </w:rPr>
      </w:pPr>
    </w:p>
    <w:p>
      <w:pPr>
        <w:ind w:right="160" w:firstLine="436"/>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rights of the Stockholders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are personal to the Stockholders and shall not be exercised by any Transferee other than a Permitted Transferee.</w:t>
      </w:r>
    </w:p>
    <w:p>
      <w:pPr>
        <w:spacing w:after="0" w:line="170"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For so long as the KKR Investor has the right to designate at least one (1) Director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KKR Investor shall have the right, but not the obligation, to designate one member of each committee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of any Director to serve on a committee shall be subject to applicable Law and the Company’s obligation to comply with any applicable independence requirements of the Stock Exchange.</w:t>
      </w:r>
    </w:p>
    <w:p>
      <w:pPr>
        <w:spacing w:after="0" w:line="187" w:lineRule="exact"/>
        <w:rPr>
          <w:sz w:val="20"/>
          <w:szCs w:val="20"/>
          <w:color w:val="auto"/>
        </w:rPr>
      </w:pPr>
    </w:p>
    <w:p>
      <w:pPr>
        <w:ind w:right="400" w:firstLine="99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Consent Rights</w:t>
      </w:r>
      <w:r>
        <w:rPr>
          <w:rFonts w:ascii="Arial" w:cs="Arial" w:eastAsia="Arial" w:hAnsi="Arial"/>
          <w:sz w:val="18"/>
          <w:szCs w:val="18"/>
          <w:color w:val="auto"/>
        </w:rPr>
        <w:t>. For so long as the KKR Investor and its Affiliates collectively beneficially own at least 25% of the outstanding shares of Common Stock, the following actions by the Company or any of its Subsidiaries shall require the approval, in addition to any approval by the stockholders of the Company or the Board’s approval (or the approval of the required governing body of any Subsidiary of the Company), of the KKR Investor:</w:t>
      </w:r>
    </w:p>
    <w:p>
      <w:pPr>
        <w:spacing w:after="0" w:line="79" w:lineRule="exact"/>
        <w:rPr>
          <w:sz w:val="20"/>
          <w:szCs w:val="20"/>
          <w:color w:val="auto"/>
        </w:rPr>
      </w:pPr>
    </w:p>
    <w:p>
      <w:pPr>
        <w:ind w:left="680" w:hanging="244"/>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entering into or effecting a Change in Control;</w:t>
      </w:r>
    </w:p>
    <w:p>
      <w:pPr>
        <w:spacing w:after="0" w:line="225"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entering into any agreement providing for the acquisition or divestiture of assets or equity security of any Person, in each case providing for aggregate consideration in excess of $100 million;</w:t>
      </w:r>
    </w:p>
    <w:p>
      <w:pPr>
        <w:spacing w:after="0" w:line="170" w:lineRule="exact"/>
        <w:rPr>
          <w:rFonts w:ascii="Arial" w:cs="Arial" w:eastAsia="Arial" w:hAnsi="Arial"/>
          <w:sz w:val="18"/>
          <w:szCs w:val="18"/>
          <w:color w:val="auto"/>
        </w:rPr>
      </w:pPr>
    </w:p>
    <w:p>
      <w:pPr>
        <w:ind w:right="620" w:firstLine="436"/>
        <w:spacing w:after="0" w:line="277" w:lineRule="auto"/>
        <w:tabs>
          <w:tab w:leader="none" w:pos="6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entering into any joint venture or similar business alliance having a fair market value as of the date of formation thereof (as reasonably determined by the Board) in excess of $100 million;</w:t>
      </w:r>
    </w:p>
    <w:p>
      <w:pPr>
        <w:spacing w:after="0" w:line="170" w:lineRule="exact"/>
        <w:rPr>
          <w:rFonts w:ascii="Arial" w:cs="Arial" w:eastAsia="Arial" w:hAnsi="Arial"/>
          <w:sz w:val="18"/>
          <w:szCs w:val="18"/>
          <w:color w:val="auto"/>
        </w:rPr>
      </w:pPr>
    </w:p>
    <w:p>
      <w:pPr>
        <w:ind w:right="700" w:firstLine="436"/>
        <w:spacing w:after="0" w:line="308"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initiating a voluntary liquidation, dissolution, receivership, bankruptcy or other insolvency proceeding involving the Company or any Subsidiary of the Company that is a “significant subsidiary” as defined in Rule 1-02 of Regulation S-X under the Exchange Act;</w:t>
      </w:r>
    </w:p>
    <w:p>
      <w:pPr>
        <w:spacing w:after="0" w:line="146" w:lineRule="exact"/>
        <w:rPr>
          <w:rFonts w:ascii="Arial" w:cs="Arial" w:eastAsia="Arial" w:hAnsi="Arial"/>
          <w:sz w:val="17"/>
          <w:szCs w:val="17"/>
          <w:color w:val="auto"/>
        </w:rPr>
      </w:pPr>
    </w:p>
    <w:p>
      <w:pPr>
        <w:ind w:left="680" w:hanging="244"/>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material change in the nature of the business of the Company and its Subsidiaries, taken as a whole;</w:t>
      </w:r>
    </w:p>
    <w:p>
      <w:pPr>
        <w:spacing w:after="0" w:line="225" w:lineRule="exact"/>
        <w:rPr>
          <w:rFonts w:ascii="Arial" w:cs="Arial" w:eastAsia="Arial" w:hAnsi="Arial"/>
          <w:sz w:val="18"/>
          <w:szCs w:val="18"/>
          <w:color w:val="auto"/>
        </w:rPr>
      </w:pPr>
    </w:p>
    <w:p>
      <w:pPr>
        <w:ind w:firstLine="436"/>
        <w:spacing w:after="0" w:line="301" w:lineRule="auto"/>
        <w:tabs>
          <w:tab w:leader="none" w:pos="66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redemption, acquisition or other purchase of any shares of Equity Securities (a “</w:t>
      </w:r>
      <w:r>
        <w:rPr>
          <w:rFonts w:ascii="Arial" w:cs="Arial" w:eastAsia="Arial" w:hAnsi="Arial"/>
          <w:sz w:val="16"/>
          <w:szCs w:val="16"/>
          <w:u w:val="single" w:color="auto"/>
          <w:color w:val="auto"/>
        </w:rPr>
        <w:t>Repurchase</w:t>
      </w:r>
      <w:r>
        <w:rPr>
          <w:rFonts w:ascii="Arial" w:cs="Arial" w:eastAsia="Arial" w:hAnsi="Arial"/>
          <w:sz w:val="16"/>
          <w:szCs w:val="16"/>
          <w:color w:val="auto"/>
        </w:rPr>
        <w:t>”) other than (x) open market Repurchases made pursuant to a share repurchase plan approved by the Board or (y) Repurchases in accordance with any existing compensation plan of the Company or any Subsidiary of the Company or a Repurchase from an employee in connection with such employee’s termination of employment with the Company or any Subsidiary of the Company or otherwise in accordance with such employee’s management stockholder’s agreement with the Company;</w:t>
      </w:r>
    </w:p>
    <w:p>
      <w:pPr>
        <w:spacing w:after="0" w:line="89" w:lineRule="exact"/>
        <w:rPr>
          <w:rFonts w:ascii="Arial" w:cs="Arial" w:eastAsia="Arial" w:hAnsi="Arial"/>
          <w:sz w:val="16"/>
          <w:szCs w:val="16"/>
          <w:color w:val="auto"/>
        </w:rPr>
      </w:pPr>
    </w:p>
    <w:p>
      <w:pPr>
        <w:ind w:left="5460" w:hanging="106"/>
        <w:spacing w:after="0"/>
        <w:tabs>
          <w:tab w:leader="none" w:pos="5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0"/>
          </w:cols>
          <w:pgMar w:left="440" w:top="274" w:right="459" w:bottom="1440" w:gutter="0" w:footer="0" w:header="0"/>
        </w:sectPr>
      </w:pPr>
    </w:p>
    <w:bookmarkStart w:id="124" w:name="page125"/>
    <w:bookmarkEnd w:id="124"/>
    <w:p>
      <w:pPr>
        <w:ind w:right="300" w:firstLine="436"/>
        <w:spacing w:after="0" w:line="286" w:lineRule="auto"/>
        <w:tabs>
          <w:tab w:leader="none" w:pos="6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incurrence of indebtedness for borrowed money (including through the issuance of debt securities or the guarantee of indebtedness of another Person) in an aggregate principal amount in excess of $100 million in any transaction or series of related transactions, other than borrowings under the Company’s revolving credit facility (or amendments, extensions, or replacements thereof);</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terminating the employment of the Chief Executive Officer of the Company or hiring a new Chief Executive Officer of the Company;</w:t>
      </w:r>
    </w:p>
    <w:p>
      <w:pPr>
        <w:spacing w:after="0" w:line="236" w:lineRule="exact"/>
        <w:rPr>
          <w:rFonts w:ascii="Arial" w:cs="Arial" w:eastAsia="Arial" w:hAnsi="Arial"/>
          <w:sz w:val="17"/>
          <w:szCs w:val="17"/>
          <w:color w:val="auto"/>
        </w:rPr>
      </w:pPr>
    </w:p>
    <w:p>
      <w:pPr>
        <w:ind w:firstLine="436"/>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any increase or decrease in the size or composition of the Board, committees of the Board, and boards and committees of Subsidiaries of the Company; and</w:t>
      </w:r>
    </w:p>
    <w:p>
      <w:pPr>
        <w:spacing w:after="0" w:line="170" w:lineRule="exact"/>
        <w:rPr>
          <w:rFonts w:ascii="Arial" w:cs="Arial" w:eastAsia="Arial" w:hAnsi="Arial"/>
          <w:sz w:val="18"/>
          <w:szCs w:val="18"/>
          <w:color w:val="auto"/>
        </w:rPr>
      </w:pPr>
    </w:p>
    <w:p>
      <w:pPr>
        <w:ind w:right="60" w:firstLine="436"/>
        <w:spacing w:after="0" w:line="273" w:lineRule="auto"/>
        <w:tabs>
          <w:tab w:leader="none" w:pos="65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any transaction with or involving any Affiliate of the Company (other than the KKR Investor and its Affiliates), other than (A) a Transfer to a Permitted Transferee, (B) transactions pursuant to any agreement in effect on the Closing Date, including, without limitation, the Registration Rights Agreement and this Agreement, and any amendment, termination or material waiver under such agreements, (C) customary indemnification agreements with Directors and officers of the Company or any Subsidiary, (D) transactions permitted by </w:t>
      </w:r>
      <w:r>
        <w:rPr>
          <w:rFonts w:ascii="Arial" w:cs="Arial" w:eastAsia="Arial" w:hAnsi="Arial"/>
          <w:sz w:val="17"/>
          <w:szCs w:val="17"/>
          <w:u w:val="single" w:color="auto"/>
          <w:color w:val="auto"/>
        </w:rPr>
        <w:t>Section 2.3(f)(y)</w:t>
      </w:r>
      <w:r>
        <w:rPr>
          <w:rFonts w:ascii="Arial" w:cs="Arial" w:eastAsia="Arial" w:hAnsi="Arial"/>
          <w:sz w:val="17"/>
          <w:szCs w:val="17"/>
          <w:color w:val="auto"/>
        </w:rPr>
        <w:t xml:space="preserve"> above and other customary compensation arrangements with employees of the Company; and (E) any transaction or series of related transactions in the ordinary course of business and on arms-length third-party terms and not involving amounts in excess of $25 million per annum.</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Controlled Company</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59" w:lineRule="auto"/>
        <w:tabs>
          <w:tab w:leader="none" w:pos="6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entities who fall under the definition of “KKR Investor” acknowledge and agree that, (i) by virtue of this Article II, they are acting as a “group” within the meaning of the Stock Exchange rules as of the date hereof, and (ii) by virtue of the combined voting power of Common Stock held by them representing more than 50% of the total voting power of the Common Stock outstanding as of the Closing Date, the Company qualifies as a “controlled company” within the meaning of Stock Exchange rules as of the Closing Date.</w:t>
      </w:r>
    </w:p>
    <w:p>
      <w:pPr>
        <w:spacing w:after="0" w:line="186" w:lineRule="exact"/>
        <w:rPr>
          <w:rFonts w:ascii="Arial" w:cs="Arial" w:eastAsia="Arial" w:hAnsi="Arial"/>
          <w:sz w:val="18"/>
          <w:szCs w:val="18"/>
          <w:color w:val="auto"/>
        </w:rPr>
      </w:pPr>
    </w:p>
    <w:p>
      <w:pPr>
        <w:ind w:right="40" w:firstLine="436"/>
        <w:spacing w:after="0" w:line="275" w:lineRule="auto"/>
        <w:tabs>
          <w:tab w:leader="none" w:pos="69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So long as the Company qualifies as a “controlled company” for purposes of Stock Exchange rules, the Company will elect to be a “controlled company” for purposes of Stock Exchange rules, and will disclose in its annual meeting proxy statement that it is a “controlled company” and the basis for that determination. If the Company ceases to qualify as a “controlled company” for purposes of Stock Exchange rules, the KKR Investor and the Company will take whatever action may be reasonably necessary in relation to such party, if any, to cause the Company to comply with Stock Exchange rules as then in effect within the timeframe for compliance available under such rules.</w:t>
      </w:r>
    </w:p>
    <w:p>
      <w:pPr>
        <w:spacing w:after="0" w:line="176"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Permitted Disclosure</w:t>
      </w:r>
      <w:r>
        <w:rPr>
          <w:rFonts w:ascii="Arial" w:cs="Arial" w:eastAsia="Arial" w:hAnsi="Arial"/>
          <w:sz w:val="17"/>
          <w:szCs w:val="17"/>
          <w:color w:val="auto"/>
        </w:rPr>
        <w:t>. Each KKR Designee is permitted to disclose to the KKR Investor information about the Company and its Affiliates that he or she receives as a result of being a Director, subject to his or her fiduciary duties under Delaware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Books and Records; Access; Certain Reports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90"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For so long as the KKR Investor has the right to designate at least one (1) Director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Company shall, and shall cause its Subsidiaries to, permit the KKR Investor and its designated representatives,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disclose any privileged information of the Company so long as the Company has used its best efforts to provide such information to the KKR Investor, without the loss of any such privilege, and notified the KKR Investor that such information has not been provided.</w:t>
      </w:r>
    </w:p>
    <w:p>
      <w:pPr>
        <w:spacing w:after="0" w:line="165" w:lineRule="exact"/>
        <w:rPr>
          <w:rFonts w:ascii="Arial" w:cs="Arial" w:eastAsia="Arial" w:hAnsi="Arial"/>
          <w:sz w:val="16"/>
          <w:szCs w:val="16"/>
          <w:color w:val="auto"/>
        </w:rPr>
      </w:pPr>
    </w:p>
    <w:p>
      <w:pPr>
        <w:ind w:right="120" w:firstLine="436"/>
        <w:spacing w:after="0" w:line="277"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So long as the KKR Investor has the right to designate at least one (1) Director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the Company shall deliver or cause to be delivered to the KKR Investor at its request:</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0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such other reports and information as may be reasonably requested by the KKR Investor;</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disclose any privileged information of the Company so long as the Company has used its best efforts to provide such information to the KKR Investor, without the loss of any such privilege, and notified the KKR Investor that such information has not been provided.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Subject to the early termination of any provision as a result of an amendment to this Agreement agreed to by the Board and the Stockholders as provided under </w:t>
      </w:r>
      <w:r>
        <w:rPr>
          <w:rFonts w:ascii="Arial" w:cs="Arial" w:eastAsia="Arial" w:hAnsi="Arial"/>
          <w:sz w:val="18"/>
          <w:szCs w:val="18"/>
          <w:u w:val="single" w:color="auto"/>
          <w:color w:val="auto"/>
        </w:rPr>
        <w:t>Section 4.3</w:t>
      </w:r>
      <w:r>
        <w:rPr>
          <w:rFonts w:ascii="Arial" w:cs="Arial" w:eastAsia="Arial" w:hAnsi="Arial"/>
          <w:sz w:val="18"/>
          <w:szCs w:val="18"/>
          <w:color w:val="auto"/>
        </w:rPr>
        <w:t>, (i) the provisions of Article II shall, with respect to each Stockholder, terminate as provided in the applicable Section of Article II, (ii) the provisions of Article III shall, with respect to each Stockholder, terminate as provided in the applicable Section of Article III, and (iii) this Article IV shall not terminate. Nothing herein shall relieve any party from any liability for the breach of any of the agreements set forth in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126" w:name="page127"/>
    <w:bookmarkEnd w:id="126"/>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36" w:firstLine="436"/>
        <w:spacing w:after="0" w:line="283" w:lineRule="auto"/>
        <w:tabs>
          <w:tab w:leader="none" w:pos="24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Stockholder, their respective directors, officers, partners, members, direct and indirect owners, managers, Affiliates and controlling persons (each, an “</w:t>
      </w:r>
      <w:r>
        <w:rPr>
          <w:rFonts w:ascii="Arial" w:cs="Arial" w:eastAsia="Arial" w:hAnsi="Arial"/>
          <w:sz w:val="16"/>
          <w:szCs w:val="16"/>
          <w:u w:val="single" w:color="auto"/>
          <w:color w:val="auto"/>
        </w:rPr>
        <w:t>Stockholder Indemnitee</w:t>
      </w:r>
      <w:r>
        <w:rPr>
          <w:rFonts w:ascii="Arial" w:cs="Arial" w:eastAsia="Arial" w:hAnsi="Arial"/>
          <w:sz w:val="16"/>
          <w:szCs w:val="16"/>
          <w:color w:val="auto"/>
        </w:rPr>
        <w:t>”) from and against any and all liability, including, without limitation, all obligations, costs, fines, claims, actions, injuries, demands, suits, judgments, proceedings, investigations, arbitrations (including stockholder claims, actions, injuries, demands, suits, judgments, proceedings, investigations or arbitrations) and reasonable expenses, including reasonable accountant’s and reasonable attorney’s fees and expenses (together the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incurred by such Stockholder Indemnitee before or after the date of this Agreement to the extent arising out of, resulting from, or relating to (i) such Stockholder Indemnitee’s purchase and/or ownership of any Equity Securities or (ii) any litigation to which any Stockholder Indemnitee is made a party in its capacity as a stockholder or owner of securities (or as a director, officer, partner, member, manager, Affiliate or controlling person of any Stockholder)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indemnification rights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not be available to the extent that (a) any such Losses are incurred as a result of such Stockholder Indemnitee’s willful misconduct or gross negligence; (b) any such Losses are incurred as a result of non-compliance by such Stockholder Indemnitee with any laws or regulations applicable to any of them; or (c) subject to the rights of contribution provided for below, indemnification for any Losses would violate any applicable Law or public policy. For purposes of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none of the circumstances described in the limitations contained in the proviso in the immediately preceding sentence shall be deemed to apply absent a final non-appealable judgment of a court of competent jurisdiction to such effect, in which case to the extent any such limitation is so determined to apply to any Stockholder Indemnitee as to any previously advanced indemnity payments made by the Company under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then such payments shall be promptly repaid by such Stockholder Indemnitee to the Company. The rights of any Stockholder Indemnitee to indemnification hereunder will be in addition to any other rights any such party may have under any other agreement or instrument to which such Stockholder Indemnitee is or becomes a party or is or otherwise becomes a beneficiary or under law or regulation. In the event of any payment of indemnification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to the extent that any Stockholder Indemnitee is indemnified for Losses, the Company will be subrogated to the extent of such payment to all of the related rights of recovery of the Stockholder Indemnitee to which such payment is made against all other Persons. Such Stockholder Indemnitee shall execute all papers reasonably required to evidence such rights. The Company will be entitled at its election to participate in the defense of any third party claim upon which indemnification is due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to assume the defense thereof, with counsel reasonably satisfactory to such Stockholder Indemnitee unless, in the reasonable judgment of the Stockholder Indemnitee, a conflict of interest between the Company and such Stockholder Indemnitee may exist, in which case such Stockholder Indemnitee shall have the right to assume its own defense and the Company shall be liable for all reasonable expenses therefor. Except as set forth above, should the Company assume such defense all further defense costs of the Stockholder Indemnitee in respect of such third party claim shall be for the sole account of such party and not subject to indemnification hereunder. The Company will not without the prior written consent of the Stockholder Indemnitee (which consent shall not be unreasonably withheld) effect any settlement of any threatened or pending third party claim in which such Stockholder Indemnitee is or could have been a party and be entitled to indemnification hereunder unless such settlement solely involves the payment of money and includes an unconditional release of such Stockholder Indemnitee from all liability and claims that are the subject matter of such claim. If the indemnification provided for above is unavailable in respect of any Losses, then the Company, in lieu of indemnifying a Stockholder Indemnitee, shall, if and to the extent permitted by Law, contribute to the amount paid or payable by such Stockholder Indemnitee in such proportion as is appropriate to reflect the relative fault of the Company and such Stockholder Indemnitee in connection with the actions which resulted in such Losses, as well as any other equitable considerations.</w:t>
      </w:r>
    </w:p>
    <w:p>
      <w:pPr>
        <w:spacing w:after="0" w:line="334" w:lineRule="exact"/>
        <w:rPr>
          <w:rFonts w:ascii="Arial" w:cs="Arial" w:eastAsia="Arial" w:hAnsi="Arial"/>
          <w:sz w:val="16"/>
          <w:szCs w:val="16"/>
          <w:color w:val="auto"/>
        </w:rPr>
      </w:pPr>
    </w:p>
    <w:p>
      <w:pPr>
        <w:ind w:left="4984" w:hanging="111"/>
        <w:spacing w:after="0"/>
        <w:tabs>
          <w:tab w:leader="none" w:pos="498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64"/>
          </w:cols>
          <w:pgMar w:left="876" w:top="274" w:right="459" w:bottom="1440" w:gutter="0" w:footer="0" w:header="0"/>
        </w:sectPr>
      </w:pPr>
    </w:p>
    <w:bookmarkStart w:id="127" w:name="page128"/>
    <w:bookmarkEnd w:id="127"/>
    <w:p>
      <w:pPr>
        <w:ind w:left="4" w:right="60" w:firstLine="436"/>
        <w:spacing w:after="0" w:line="284" w:lineRule="auto"/>
        <w:tabs>
          <w:tab w:leader="none" w:pos="699" w:val="left"/>
        </w:tabs>
        <w:numPr>
          <w:ilvl w:val="1"/>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to pay or reimburse (i) the Stockholders for (A) all reasonable costs and expenses (including reasonable attorneys’ fees, charges, disbursement and expenses) incurred in connection with any amendment, supplement, modification or waiver of or to any of the terms or provisions of this Agreement or any related agreements and (B) in connection with any stamp, transfer, documentary or other similar taxes, assessments or charges levied by any governmental or revenue authority in respect of this Agreement or any related agreements; and (ii) each Stockholder for all costs and expenses of such Stockholder (including reasonable attorneys’ fees, charges, disbursement and expenses) incurred in connection with (1) the consent to any departure by the Company or any of its Subsidiaries from the terms of any provision of this Agreement or any related agreements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enforcement or exercise by such Stockholder of any right granted to it or provided for hereunder.</w:t>
      </w:r>
    </w:p>
    <w:p>
      <w:pPr>
        <w:spacing w:after="0" w:line="211"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Except as otherwise provided herein, no modification, amendment, restatement, amendment and restatement, or waiver of any provision of this Agreement shall be effective without the approval of the Board and the KKR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Stockholder may waive (in writing) the benefit of any provision of this Agreement with respect to itself for any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modification, amendment, restatement, amendment and restatement or waiver that would disproportionately and adversely affect the rights of any Stockholder hereunder (in its capacity as a Stockholder) without similarly affecting the rights hereunder of all Stockholders (in their capacities as Stockholders) having the same rights or obligations under this Agreement to which such modification, amendment, restatement, amendment and restatement or waiver relates, as the case may be, shall not be effective as to such Stockholder without such Stockholder</w:t>
      </w:r>
      <w:r>
        <w:rPr>
          <w:rFonts w:ascii="Arial" w:cs="Arial" w:eastAsia="Arial" w:hAnsi="Arial"/>
          <w:sz w:val="17"/>
          <w:szCs w:val="17"/>
          <w:u w:val="single" w:color="auto"/>
          <w:color w:val="auto"/>
        </w:rPr>
        <w:t>’</w:t>
      </w:r>
      <w:r>
        <w:rPr>
          <w:rFonts w:ascii="Arial" w:cs="Arial" w:eastAsia="Arial" w:hAnsi="Arial"/>
          <w:sz w:val="17"/>
          <w:szCs w:val="17"/>
          <w:color w:val="auto"/>
        </w:rPr>
        <w:t>s prior written consent. The failure of any party to enforce any of the provisions of this Agreement shall in no way be construed as a waiver of such provisions and shall not affect the right of such party thereafter to enforce each and every provision of this Agreement in accordance with its terms. Any written amendment, restatement, amendment and restatement, or waiver to this Agreement that receives the vote or consent of the Stockholders provided herein need not be signed by all Stockholders, but shall be effective in accordance with its terms and shall be binding upon all Stockholders and any Transferees.</w:t>
      </w:r>
    </w:p>
    <w:p>
      <w:pPr>
        <w:spacing w:after="0" w:line="179" w:lineRule="exact"/>
        <w:rPr>
          <w:sz w:val="20"/>
          <w:szCs w:val="20"/>
          <w:color w:val="auto"/>
        </w:rPr>
      </w:pPr>
    </w:p>
    <w:p>
      <w:pPr>
        <w:ind w:left="4" w:right="100" w:firstLine="991"/>
        <w:spacing w:after="0" w:line="301"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Successors, Assigns and Transferees</w:t>
      </w:r>
      <w:r>
        <w:rPr>
          <w:rFonts w:ascii="Arial" w:cs="Arial" w:eastAsia="Arial" w:hAnsi="Arial"/>
          <w:sz w:val="16"/>
          <w:szCs w:val="16"/>
          <w:color w:val="auto"/>
        </w:rPr>
        <w:t xml:space="preserve">. This Agreement shall bind and inure to the benefit of and be enforceable by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KKR Investor shall be entitled to assign, in whole or in part, any of its rights hereunder to any of its Permitted Transferees without such prior written consent.</w:t>
      </w:r>
    </w:p>
    <w:p>
      <w:pPr>
        <w:spacing w:after="0" w:line="157" w:lineRule="exact"/>
        <w:rPr>
          <w:sz w:val="20"/>
          <w:szCs w:val="20"/>
          <w:color w:val="auto"/>
        </w:rPr>
      </w:pPr>
    </w:p>
    <w:p>
      <w:pPr>
        <w:ind w:left="4" w:firstLine="991"/>
        <w:spacing w:after="0" w:line="30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Third Parties</w:t>
      </w:r>
      <w:r>
        <w:rPr>
          <w:rFonts w:ascii="Arial" w:cs="Arial" w:eastAsia="Arial" w:hAnsi="Arial"/>
          <w:sz w:val="17"/>
          <w:szCs w:val="17"/>
          <w:color w:val="auto"/>
        </w:rPr>
        <w:t>. Except as may otherwise be expressly provided in this Agreement, this Agreement does not create any rights, claims or benefits inuring to any person that is not a party hereto nor create or establish any third party beneficiary hereto.</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28" w:name="page129"/>
    <w:bookmarkEnd w:id="128"/>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under this Agreement shall be in writing and shall be deemed effectively given: (a) when delivered personally by hand to the party to be notified (with written confirmation of receipt), (b) when sent by e-mail (with written confirmation of transmission), (c) when received or rejected by the addressee if sent by registered or certified mail, postage prepaid, return receipt requested, or (d) one Business Day following the day sent by reputable overnight courier (with written confirmation of receipt), in each case at the following addresses (or to such other address as a party may have specified by notice given to the other party pursuant to this provision):</w:t>
      </w:r>
    </w:p>
    <w:p>
      <w:pPr>
        <w:spacing w:after="0" w:line="67" w:lineRule="exact"/>
        <w:rPr>
          <w:sz w:val="20"/>
          <w:szCs w:val="20"/>
          <w:color w:val="auto"/>
        </w:rPr>
      </w:pPr>
    </w:p>
    <w:p>
      <w:pPr>
        <w:ind w:left="1420" w:hanging="439"/>
        <w:spacing w:after="0"/>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420" w:right="6980"/>
        <w:spacing w:after="0" w:line="258" w:lineRule="auto"/>
        <w:rPr>
          <w:rFonts w:ascii="Arial" w:cs="Arial" w:eastAsia="Arial" w:hAnsi="Arial"/>
          <w:sz w:val="18"/>
          <w:szCs w:val="18"/>
          <w:color w:val="auto"/>
        </w:rPr>
      </w:pPr>
      <w:r>
        <w:rPr>
          <w:rFonts w:ascii="Arial" w:cs="Arial" w:eastAsia="Arial" w:hAnsi="Arial"/>
          <w:sz w:val="18"/>
          <w:szCs w:val="18"/>
          <w:color w:val="auto"/>
        </w:rPr>
        <w:t>Academy Sports and Outdoors, Inc. 1800 North Mason Road</w:t>
      </w:r>
    </w:p>
    <w:p>
      <w:pPr>
        <w:spacing w:after="0" w:line="1" w:lineRule="exact"/>
        <w:rPr>
          <w:rFonts w:ascii="Arial" w:cs="Arial" w:eastAsia="Arial" w:hAnsi="Arial"/>
          <w:sz w:val="18"/>
          <w:szCs w:val="18"/>
          <w:color w:val="auto"/>
        </w:rPr>
      </w:pPr>
    </w:p>
    <w:p>
      <w:pPr>
        <w:ind w:left="1420" w:right="7520"/>
        <w:spacing w:after="0" w:line="302" w:lineRule="auto"/>
        <w:rPr>
          <w:rFonts w:ascii="Arial" w:cs="Arial" w:eastAsia="Arial" w:hAnsi="Arial"/>
          <w:sz w:val="18"/>
          <w:szCs w:val="18"/>
          <w:color w:val="auto"/>
        </w:rPr>
      </w:pPr>
      <w:r>
        <w:rPr>
          <w:rFonts w:ascii="Arial" w:cs="Arial" w:eastAsia="Arial" w:hAnsi="Arial"/>
          <w:sz w:val="16"/>
          <w:szCs w:val="16"/>
          <w:color w:val="auto"/>
        </w:rPr>
        <w:t>Katy, Texas 77449 Attention: General Counsel Email: legal@academy.com</w:t>
      </w:r>
    </w:p>
    <w:p>
      <w:pPr>
        <w:spacing w:after="0" w:line="60" w:lineRule="exact"/>
        <w:rPr>
          <w:rFonts w:ascii="Arial" w:cs="Arial" w:eastAsia="Arial" w:hAnsi="Arial"/>
          <w:sz w:val="18"/>
          <w:szCs w:val="18"/>
          <w:color w:val="auto"/>
        </w:rPr>
      </w:pPr>
    </w:p>
    <w:p>
      <w:pPr>
        <w:ind w:left="1420" w:hanging="439"/>
        <w:spacing w:after="0"/>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to the KKR Investor, to:</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Allstar LLC</w:t>
      </w:r>
    </w:p>
    <w:p>
      <w:pPr>
        <w:spacing w:after="0" w:line="23" w:lineRule="exact"/>
        <w:rPr>
          <w:rFonts w:ascii="Arial" w:cs="Arial" w:eastAsia="Arial" w:hAnsi="Arial"/>
          <w:sz w:val="18"/>
          <w:szCs w:val="18"/>
          <w:color w:val="auto"/>
        </w:rPr>
      </w:pPr>
    </w:p>
    <w:p>
      <w:pPr>
        <w:ind w:left="1420" w:right="7300"/>
        <w:spacing w:after="0" w:line="265" w:lineRule="auto"/>
        <w:rPr>
          <w:rFonts w:ascii="Arial" w:cs="Arial" w:eastAsia="Arial" w:hAnsi="Arial"/>
          <w:sz w:val="18"/>
          <w:szCs w:val="18"/>
          <w:color w:val="auto"/>
        </w:rPr>
      </w:pPr>
      <w:r>
        <w:rPr>
          <w:rFonts w:ascii="Arial" w:cs="Arial" w:eastAsia="Arial" w:hAnsi="Arial"/>
          <w:sz w:val="17"/>
          <w:szCs w:val="17"/>
          <w:color w:val="auto"/>
        </w:rPr>
        <w:t>Allstar Co-Invest Block L.P. KKR 2006 Allstar Blocker L.P.</w:t>
      </w:r>
    </w:p>
    <w:p>
      <w:pPr>
        <w:ind w:left="1420" w:right="6680"/>
        <w:spacing w:after="0" w:line="250" w:lineRule="auto"/>
        <w:rPr>
          <w:rFonts w:ascii="Arial" w:cs="Arial" w:eastAsia="Arial" w:hAnsi="Arial"/>
          <w:sz w:val="18"/>
          <w:szCs w:val="18"/>
          <w:color w:val="auto"/>
        </w:rPr>
      </w:pPr>
      <w:r>
        <w:rPr>
          <w:rFonts w:ascii="Arial" w:cs="Arial" w:eastAsia="Arial" w:hAnsi="Arial"/>
          <w:sz w:val="18"/>
          <w:szCs w:val="18"/>
          <w:color w:val="auto"/>
        </w:rPr>
        <w:t>c/o Kohlberg Kravis Roberts &amp; Co. L.P. 9 West 57th Street</w:t>
      </w:r>
    </w:p>
    <w:p>
      <w:pPr>
        <w:ind w:left="1420" w:right="7500"/>
        <w:spacing w:after="0" w:line="250" w:lineRule="auto"/>
        <w:rPr>
          <w:rFonts w:ascii="Arial" w:cs="Arial" w:eastAsia="Arial" w:hAnsi="Arial"/>
          <w:sz w:val="18"/>
          <w:szCs w:val="18"/>
          <w:color w:val="auto"/>
        </w:rPr>
      </w:pPr>
      <w:r>
        <w:rPr>
          <w:rFonts w:ascii="Arial" w:cs="Arial" w:eastAsia="Arial" w:hAnsi="Arial"/>
          <w:sz w:val="18"/>
          <w:szCs w:val="18"/>
          <w:color w:val="auto"/>
        </w:rPr>
        <w:t>New York, New York 10019 Attention:</w:t>
      </w:r>
    </w:p>
    <w:p>
      <w:pPr>
        <w:ind w:left="142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11"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87"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29" w:name="page130"/>
    <w:bookmarkEnd w:id="1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4.9. </w:t>
      </w:r>
      <w:r>
        <w:rPr>
          <w:rFonts w:ascii="Arial" w:cs="Arial" w:eastAsia="Arial" w:hAnsi="Arial"/>
          <w:sz w:val="18"/>
          <w:szCs w:val="18"/>
          <w:u w:val="single" w:color="auto"/>
          <w:color w:val="auto"/>
        </w:rPr>
        <w:t>Restrictions on Other Agreements; Bylaws</w:t>
      </w:r>
      <w:r>
        <w:rPr>
          <w:rFonts w:ascii="Arial" w:cs="Arial" w:eastAsia="Arial" w:hAnsi="Arial"/>
          <w:sz w:val="18"/>
          <w:szCs w:val="18"/>
          <w:color w:val="auto"/>
        </w:rPr>
        <w:t>.</w:t>
      </w:r>
    </w:p>
    <w:p>
      <w:pPr>
        <w:spacing w:after="0" w:line="225" w:lineRule="exact"/>
        <w:rPr>
          <w:sz w:val="20"/>
          <w:szCs w:val="20"/>
          <w:color w:val="auto"/>
        </w:rPr>
      </w:pPr>
    </w:p>
    <w:p>
      <w:pPr>
        <w:ind w:right="680" w:firstLine="436"/>
        <w:spacing w:after="0" w:line="263" w:lineRule="auto"/>
        <w:tabs>
          <w:tab w:leader="none" w:pos="6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Following the date hereof, no Stockholder or any of its Permitted Transferees shall enter into or agree to be bound by any stockholder agreements or arrangements of any kind with any Person with respect to any Equity Securities except pursuant to the agreements specifically contemplated herein and the Registration Rights Agreement.</w:t>
      </w:r>
    </w:p>
    <w:p>
      <w:pPr>
        <w:spacing w:after="0" w:line="183" w:lineRule="exact"/>
        <w:rPr>
          <w:rFonts w:ascii="Arial" w:cs="Arial" w:eastAsia="Arial" w:hAnsi="Arial"/>
          <w:sz w:val="18"/>
          <w:szCs w:val="18"/>
          <w:color w:val="auto"/>
        </w:rPr>
      </w:pPr>
    </w:p>
    <w:p>
      <w:pPr>
        <w:ind w:right="300" w:firstLine="436"/>
        <w:spacing w:after="0" w:line="286" w:lineRule="auto"/>
        <w:tabs>
          <w:tab w:leader="none" w:pos="6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provisions of this Agreement shall be controlling if any such provisions or the operation thereof conflict with the provisions of the Company’s Bylaws. Each of the parties covenants and agrees to vote their Equity Securities and to take any other action reasonably requested by the Company or any Stockholder to amend the Company’s Bylaws so as to avoid any conflict with the provisions hereof.</w:t>
      </w:r>
    </w:p>
    <w:p>
      <w:pPr>
        <w:spacing w:after="0" w:line="16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5" w:lineRule="exact"/>
        <w:rPr>
          <w:sz w:val="20"/>
          <w:szCs w:val="20"/>
          <w:color w:val="auto"/>
        </w:rPr>
      </w:pPr>
    </w:p>
    <w:p>
      <w:pPr>
        <w:ind w:right="640" w:firstLine="436"/>
        <w:spacing w:after="0" w:line="342" w:lineRule="auto"/>
        <w:tabs>
          <w:tab w:leader="none" w:pos="68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Delaware, applicable to contracts executed in and to be performed entirely within that State, without giving effect to principles or rules of conflict of laws.</w:t>
      </w:r>
    </w:p>
    <w:p>
      <w:pPr>
        <w:spacing w:after="0" w:line="123" w:lineRule="exact"/>
        <w:rPr>
          <w:rFonts w:ascii="Arial" w:cs="Arial" w:eastAsia="Arial" w:hAnsi="Arial"/>
          <w:sz w:val="16"/>
          <w:szCs w:val="16"/>
          <w:color w:val="auto"/>
        </w:rPr>
      </w:pPr>
    </w:p>
    <w:p>
      <w:pPr>
        <w:ind w:firstLine="436"/>
        <w:spacing w:after="0" w:line="254"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any judicial proceeding involving any dispute, controversy or claim arising out of or relating to this Agreement, each of the parties unconditionally accepts the jurisdiction and venue of the Delaware Court of Chancery or, if the Delaware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160" w:firstLine="436"/>
        <w:spacing w:after="0" w:line="263" w:lineRule="auto"/>
        <w:tabs>
          <w:tab w:leader="none" w:pos="6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PARTIES HEREBY WAIVES TO THE FULLEST EXTENT PERMITTED BY APPLICABLE LAW TRIAL BY JURY IN ANY JUDICIAL PROCEEDING INVOLVING ANY DISPUTE, CONTROVERSY OR CLAIM ARISING OUT OF OR RELATING TO THIS AGREEMENT.</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0"/>
          </w:cols>
          <w:pgMar w:left="440" w:top="274" w:right="479" w:bottom="1440" w:gutter="0" w:footer="0" w:header="0"/>
        </w:sectPr>
      </w:pPr>
    </w:p>
    <w:bookmarkStart w:id="130" w:name="page131"/>
    <w:bookmarkEnd w:id="130"/>
    <w:p>
      <w:pPr>
        <w:ind w:right="4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4.12.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57"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Enforcement</w:t>
      </w:r>
      <w:r>
        <w:rPr>
          <w:rFonts w:ascii="Arial" w:cs="Arial" w:eastAsia="Arial" w:hAnsi="Arial"/>
          <w:sz w:val="16"/>
          <w:szCs w:val="16"/>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15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 or relate to this Agreement, or the negotiation, execution or performance of this Agreement, may be made only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176"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Counterparts; Electronic Signatures</w:t>
      </w:r>
      <w:r>
        <w:rPr>
          <w:rFonts w:ascii="Arial" w:cs="Arial" w:eastAsia="Arial" w:hAnsi="Arial"/>
          <w:sz w:val="17"/>
          <w:szCs w:val="17"/>
          <w:color w:val="auto"/>
        </w:rPr>
        <w:t>. This Agreement may be executed in any number of counterparts, each of which shall be an original, but all of which together shall constitute one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upon the Closing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Stockholders’ Agreement as of the date set forth in the first paragraph hereof.</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ACADEMY SPORTS AND OUTDOORS,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Academy Sports and Outdoors, Inc. Stockholders’ Agreement</w:t>
      </w:r>
      <w:r>
        <w:rPr>
          <w:rFonts w:ascii="Arial" w:cs="Arial" w:eastAsia="Arial" w:hAnsi="Arial"/>
          <w:sz w:val="18"/>
          <w:szCs w:val="18"/>
          <w:color w:val="auto"/>
        </w:rPr>
        <w:t>]</w:t>
      </w:r>
    </w:p>
    <w:p>
      <w:pPr>
        <w:sectPr>
          <w:pgSz w:w="11900" w:h="16838" w:orient="portrait"/>
          <w:cols w:equalWidth="0" w:num="1">
            <w:col w:w="10260"/>
          </w:cols>
          <w:pgMar w:left="880" w:top="274" w:right="759" w:bottom="1440" w:gutter="0" w:footer="0" w:header="0"/>
        </w:sectPr>
      </w:pPr>
    </w:p>
    <w:bookmarkStart w:id="132" w:name="page133"/>
    <w:bookmarkEnd w:id="13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ALLSTAR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Finance</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ALLSTAR CO-INVEST BLOCKER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Title:  Vice President, Finance</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KKR 2006 ALLSTAR BLOCKER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Gallagher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Finance</w:t>
      </w:r>
    </w:p>
    <w:p>
      <w:pPr>
        <w:spacing w:after="0" w:line="14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Academy Sports and Outdoors, Inc. Stockholders’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133" w:name="page134"/>
    <w:bookmarkEnd w:id="133"/>
    <w:p>
      <w:pPr>
        <w:ind w:left="1026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right="240" w:firstLine="991"/>
        <w:spacing w:after="0" w:line="287" w:lineRule="auto"/>
        <w:rPr>
          <w:sz w:val="20"/>
          <w:szCs w:val="20"/>
          <w:color w:val="auto"/>
        </w:rPr>
      </w:pPr>
      <w:r>
        <w:rPr>
          <w:rFonts w:ascii="Arial" w:cs="Arial" w:eastAsia="Arial" w:hAnsi="Arial"/>
          <w:sz w:val="16"/>
          <w:szCs w:val="16"/>
          <w:color w:val="auto"/>
        </w:rPr>
        <w:t>Pursuant to the Stockholders’ Agreement, dated as of October 6, 2020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among Academy Sports and Outdoors,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stockholders of the Company whose name appears on the signature pages listed therein (each, a “</w:t>
      </w:r>
      <w:r>
        <w:rPr>
          <w:rFonts w:ascii="Arial" w:cs="Arial" w:eastAsia="Arial" w:hAnsi="Arial"/>
          <w:sz w:val="16"/>
          <w:szCs w:val="16"/>
          <w:u w:val="single" w:color="auto"/>
          <w:color w:val="auto"/>
        </w:rPr>
        <w:t>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Stockholders</w:t>
      </w:r>
      <w:r>
        <w:rPr>
          <w:rFonts w:ascii="Arial" w:cs="Arial" w:eastAsia="Arial" w:hAnsi="Arial"/>
          <w:sz w:val="16"/>
          <w:szCs w:val="16"/>
          <w:color w:val="auto"/>
        </w:rPr>
        <w:t>”), 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hereby assigns to the undersigned the rights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may be assigned thereunder, and the undersigned hereby agrees that, having acquired Equity Securities as permitted by the terms of the Stockholders’ Agreement, the undersigned shall assume the obligations of the Transferor under the Stockholders’ Agreement. Capitalized terms used but not defined herein shall have the meanings assigned to them in the Stockholders’ Agreement.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Listed below is information regarding the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 Shares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134" w:name="page135"/>
    <w:bookmarkEnd w:id="13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executed this Assumption Agreement as of __________ ___, ________.</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TRANSFEROR]</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TRANSFEREE]</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ACADEMY SPORTS AND OUTDOORS,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lowerLetter"/>
      <w:start w:val="4"/>
    </w:lvl>
  </w:abstractNum>
  <w:abstractNum w:abstractNumId="3">
    <w:nsid w:val="10233C99"/>
    <w:multiLevelType w:val="hybridMultilevel"/>
    <w:lvl w:ilvl="0">
      <w:lvlJc w:val="left"/>
      <w:lvlText w:val="(%1)"/>
      <w:numFmt w:val="lowerLetter"/>
      <w:start w:val="1"/>
    </w:lvl>
  </w:abstractNum>
  <w:abstractNum w:abstractNumId="4">
    <w:nsid w:val="3F6AB60F"/>
    <w:multiLevelType w:val="hybridMultilevel"/>
    <w:lvl w:ilvl="0">
      <w:lvlJc w:val="left"/>
      <w:lvlText w:val="(%1)"/>
      <w:numFmt w:val="lowerLetter"/>
      <w:start w:val="5"/>
    </w:lvl>
  </w:abstractNum>
  <w:abstractNum w:abstractNumId="5">
    <w:nsid w:val="61574095"/>
    <w:multiLevelType w:val="hybridMultilevel"/>
    <w:lvl w:ilvl="0">
      <w:lvlJc w:val="left"/>
      <w:lvlText w:val="%1"/>
      <w:numFmt w:val="lowerLetter"/>
      <w:start w:val="1"/>
    </w:lvl>
    <w:lvl w:ilvl="1">
      <w:lvlJc w:val="left"/>
      <w:lvlText w:val="(%2)"/>
      <w:numFmt w:val="lowerLetter"/>
      <w:start w:val="11"/>
    </w:lvl>
  </w:abstractNum>
  <w:abstractNum w:abstractNumId="6">
    <w:nsid w:val="7E0C57B1"/>
    <w:multiLevelType w:val="hybridMultilevel"/>
    <w:lvl w:ilvl="0">
      <w:lvlJc w:val="left"/>
      <w:lvlText w:val="(%1)"/>
      <w:numFmt w:val="lowerLetter"/>
      <w:start w:val="35"/>
    </w:lvl>
    <w:lvl w:ilvl="1">
      <w:lvlJc w:val="left"/>
      <w:lvlText w:val="(%2)"/>
      <w:numFmt w:val="lowerLetter"/>
      <w:start w:val="13"/>
    </w:lvl>
  </w:abstractNum>
  <w:abstractNum w:abstractNumId="7">
    <w:nsid w:val="77AE35EB"/>
    <w:multiLevelType w:val="hybridMultilevel"/>
    <w:lvl w:ilvl="0">
      <w:lvlJc w:val="left"/>
      <w:lvlText w:val="(%1)"/>
      <w:numFmt w:val="lowerLetter"/>
      <w:start w:val="15"/>
    </w:lvl>
  </w:abstractNum>
  <w:abstractNum w:abstractNumId="8">
    <w:nsid w:val="579BE4F1"/>
    <w:multiLevelType w:val="hybridMultilevel"/>
    <w:lvl w:ilvl="0">
      <w:lvlJc w:val="left"/>
      <w:lvlText w:val="%1"/>
      <w:numFmt w:val="lowerLetter"/>
      <w:start w:val="1"/>
    </w:lvl>
    <w:lvl w:ilvl="1">
      <w:lvlJc w:val="left"/>
      <w:lvlText w:val="(%2)"/>
      <w:numFmt w:val="lowerLetter"/>
      <w:start w:val="19"/>
    </w:lvl>
  </w:abstractNum>
  <w:abstractNum w:abstractNumId="9">
    <w:nsid w:val="310C50B3"/>
    <w:multiLevelType w:val="hybridMultilevel"/>
    <w:lvl w:ilvl="0">
      <w:lvlJc w:val="left"/>
      <w:lvlText w:val="(%1)"/>
      <w:numFmt w:val="lowerLetter"/>
      <w:start w:val="9"/>
    </w:lvl>
    <w:lvl w:ilvl="1">
      <w:lvlJc w:val="left"/>
      <w:lvlText w:val="(%2)"/>
      <w:numFmt w:val="lowerLetter"/>
      <w:start w:val="20"/>
    </w:lvl>
  </w:abstractNum>
  <w:abstractNum w:abstractNumId="10">
    <w:nsid w:val="5FF87E05"/>
    <w:multiLevelType w:val="hybridMultilevel"/>
    <w:lvl w:ilvl="0">
      <w:lvlJc w:val="left"/>
      <w:lvlText w:val="(%1)"/>
      <w:numFmt w:val="lowerLetter"/>
      <w:start w:val="24"/>
    </w:lvl>
  </w:abstractNum>
  <w:abstractNum w:abstractNumId="11">
    <w:nsid w:val="2F305DEF"/>
    <w:multiLevelType w:val="hybridMultilevel"/>
    <w:lvl w:ilvl="0">
      <w:lvlJc w:val="left"/>
      <w:lvlText w:val="(%1)"/>
      <w:numFmt w:val="lowerLetter"/>
      <w:start w:val="27"/>
    </w:lvl>
  </w:abstractNum>
  <w:abstractNum w:abstractNumId="12">
    <w:nsid w:val="25A70BF7"/>
    <w:multiLevelType w:val="hybridMultilevel"/>
    <w:lvl w:ilvl="0">
      <w:lvlJc w:val="left"/>
      <w:lvlText w:val="%1"/>
      <w:numFmt w:val="lowerLetter"/>
      <w:start w:val="1"/>
    </w:lvl>
    <w:lvl w:ilvl="1">
      <w:lvlJc w:val="left"/>
      <w:lvlText w:val="(%2)"/>
      <w:numFmt w:val="lowerLetter"/>
      <w:start w:val="29"/>
    </w:lvl>
  </w:abstractNum>
  <w:abstractNum w:abstractNumId="13">
    <w:nsid w:val="1DBABF00"/>
    <w:multiLevelType w:val="hybridMultilevel"/>
    <w:lvl w:ilvl="0">
      <w:lvlJc w:val="left"/>
      <w:lvlText w:val="(%1)"/>
      <w:numFmt w:val="lowerLetter"/>
      <w:start w:val="9"/>
    </w:lvl>
    <w:lvl w:ilvl="1">
      <w:lvlJc w:val="left"/>
      <w:lvlText w:val="(%2)"/>
      <w:numFmt w:val="lowerLetter"/>
      <w:start w:val="30"/>
    </w:lvl>
  </w:abstractNum>
  <w:abstractNum w:abstractNumId="14">
    <w:nsid w:val="4AD084E9"/>
    <w:multiLevelType w:val="hybridMultilevel"/>
    <w:lvl w:ilvl="0">
      <w:lvlJc w:val="left"/>
      <w:lvlText w:val="(%1)"/>
      <w:numFmt w:val="lowerLetter"/>
      <w:start w:val="35"/>
    </w:lvl>
    <w:lvl w:ilvl="1">
      <w:lvlJc w:val="left"/>
      <w:lvlText w:val="(%2)"/>
      <w:numFmt w:val="lowerLetter"/>
      <w:start w:val="32"/>
    </w:lvl>
  </w:abstractNum>
  <w:abstractNum w:abstractNumId="15">
    <w:nsid w:val="1F48EAA1"/>
    <w:multiLevelType w:val="hybridMultilevel"/>
    <w:lvl w:ilvl="0">
      <w:lvlJc w:val="left"/>
      <w:lvlText w:val="(%1)"/>
      <w:numFmt w:val="lowerLetter"/>
      <w:start w:val="34"/>
    </w:lvl>
  </w:abstractNum>
  <w:abstractNum w:abstractNumId="16">
    <w:nsid w:val="1381823A"/>
    <w:multiLevelType w:val="hybridMultilevel"/>
    <w:lvl w:ilvl="0">
      <w:lvlJc w:val="left"/>
      <w:lvlText w:val="(%1)"/>
      <w:numFmt w:val="lowerLetter"/>
      <w:start w:val="35"/>
    </w:lvl>
    <w:lvl w:ilvl="1">
      <w:lvlJc w:val="left"/>
      <w:lvlText w:val="(%2)"/>
      <w:numFmt w:val="lowerLetter"/>
      <w:start w:val="39"/>
    </w:lvl>
  </w:abstractNum>
  <w:abstractNum w:abstractNumId="17">
    <w:nsid w:val="5DB70AE5"/>
    <w:multiLevelType w:val="hybridMultilevel"/>
    <w:lvl w:ilvl="0">
      <w:lvlJc w:val="left"/>
      <w:lvlText w:val="(%1)"/>
      <w:numFmt w:val="decimal"/>
      <w:start w:val="1"/>
    </w:lvl>
    <w:lvl w:ilvl="1">
      <w:lvlJc w:val="left"/>
      <w:lvlText w:val="(%2)"/>
      <w:numFmt w:val="lowerLetter"/>
      <w:start w:val="41"/>
    </w:lvl>
  </w:abstractNum>
  <w:abstractNum w:abstractNumId="18">
    <w:nsid w:val="100F8FCA"/>
    <w:multiLevelType w:val="hybridMultilevel"/>
    <w:lvl w:ilvl="0">
      <w:lvlJc w:val="left"/>
      <w:lvlText w:val="%1"/>
      <w:numFmt w:val="lowerLetter"/>
      <w:start w:val="1"/>
    </w:lvl>
    <w:lvl w:ilvl="1">
      <w:lvlJc w:val="left"/>
      <w:lvlText w:val="%2."/>
      <w:numFmt w:val="decimal"/>
      <w:start w:val="2"/>
    </w:lvl>
  </w:abstractNum>
  <w:abstractNum w:abstractNumId="19">
    <w:nsid w:val="6590700B"/>
    <w:multiLevelType w:val="hybridMultilevel"/>
    <w:lvl w:ilvl="0">
      <w:lvlJc w:val="left"/>
      <w:lvlText w:val="(%1)"/>
      <w:numFmt w:val="lowerLetter"/>
      <w:start w:val="1"/>
    </w:lvl>
    <w:lvl w:ilvl="1">
      <w:lvlJc w:val="left"/>
      <w:lvlText w:val="%2."/>
      <w:numFmt w:val="decimal"/>
      <w:start w:val="3"/>
    </w:lvl>
  </w:abstractNum>
  <w:abstractNum w:abstractNumId="20">
    <w:nsid w:val="15014ACB"/>
    <w:multiLevelType w:val="hybridMultilevel"/>
    <w:lvl w:ilvl="0">
      <w:lvlJc w:val="left"/>
      <w:lvlText w:val="%1"/>
      <w:numFmt w:val="lowerLetter"/>
      <w:start w:val="1"/>
    </w:lvl>
    <w:lvl w:ilvl="1">
      <w:lvlJc w:val="left"/>
      <w:lvlText w:val="%2."/>
      <w:numFmt w:val="decimal"/>
      <w:start w:val="4"/>
    </w:lvl>
  </w:abstractNum>
  <w:abstractNum w:abstractNumId="21">
    <w:nsid w:val="5F5E7FD0"/>
    <w:multiLevelType w:val="hybridMultilevel"/>
    <w:lvl w:ilvl="0">
      <w:lvlJc w:val="left"/>
      <w:lvlText w:val="(%1)"/>
      <w:numFmt w:val="lowerLetter"/>
      <w:start w:val="1"/>
    </w:lvl>
    <w:lvl w:ilvl="1">
      <w:lvlJc w:val="left"/>
      <w:lvlText w:val="%2"/>
      <w:numFmt w:val="decimal"/>
      <w:start w:val="1"/>
    </w:lvl>
  </w:abstractNum>
  <w:abstractNum w:abstractNumId="22">
    <w:nsid w:val="98A3148"/>
    <w:multiLevelType w:val="hybridMultilevel"/>
    <w:lvl w:ilvl="0">
      <w:lvlJc w:val="left"/>
      <w:lvlText w:val="(%1)"/>
      <w:numFmt w:val="lowerLetter"/>
      <w:start w:val="3"/>
    </w:lvl>
  </w:abstractNum>
  <w:abstractNum w:abstractNumId="23">
    <w:nsid w:val="799D0247"/>
    <w:multiLevelType w:val="hybridMultilevel"/>
    <w:lvl w:ilvl="0">
      <w:lvlJc w:val="left"/>
      <w:lvlText w:val="(%1)"/>
      <w:numFmt w:val="lowerLetter"/>
      <w:start w:val="8"/>
    </w:lvl>
  </w:abstractNum>
  <w:abstractNum w:abstractNumId="24">
    <w:nsid w:val="6B94764"/>
    <w:multiLevelType w:val="hybridMultilevel"/>
    <w:lvl w:ilvl="0">
      <w:lvlJc w:val="left"/>
      <w:lvlText w:val="%1"/>
      <w:numFmt w:val="lowerRoman"/>
      <w:start w:val="1"/>
    </w:lvl>
    <w:lvl w:ilvl="1">
      <w:lvlJc w:val="left"/>
      <w:lvlText w:val="(%2)"/>
      <w:numFmt w:val="lowerLetter"/>
      <w:start w:val="10"/>
    </w:lvl>
  </w:abstractNum>
  <w:abstractNum w:abstractNumId="25">
    <w:nsid w:val="42C296BD"/>
    <w:multiLevelType w:val="hybridMultilevel"/>
    <w:lvl w:ilvl="0">
      <w:lvlJc w:val="left"/>
      <w:lvlText w:val="(%1)"/>
      <w:numFmt w:val="lowerRoman"/>
      <w:start w:val="8"/>
    </w:lvl>
    <w:lvl w:ilvl="1">
      <w:lvlJc w:val="left"/>
      <w:lvlText w:val="%2"/>
      <w:numFmt w:val="lowerLetter"/>
      <w:start w:val="1"/>
    </w:lvl>
  </w:abstractNum>
  <w:abstractNum w:abstractNumId="26">
    <w:nsid w:val="168E121F"/>
    <w:multiLevelType w:val="hybridMultilevel"/>
    <w:lvl w:ilvl="0">
      <w:lvlJc w:val="left"/>
      <w:lvlText w:val="(%1)"/>
      <w:numFmt w:val="lowerLetter"/>
      <w:start w:val="13"/>
    </w:lvl>
    <w:lvl w:ilvl="1">
      <w:lvlJc w:val="left"/>
      <w:lvlText w:val="%2."/>
      <w:numFmt w:val="decimal"/>
      <w:start w:val="6"/>
    </w:lvl>
  </w:abstractNum>
  <w:abstractNum w:abstractNumId="27">
    <w:nsid w:val="1EBA5D23"/>
    <w:multiLevelType w:val="hybridMultilevel"/>
    <w:lvl w:ilvl="0">
      <w:lvlJc w:val="left"/>
      <w:lvlText w:val="(%1)"/>
      <w:numFmt w:val="lowerLetter"/>
      <w:start w:val="1"/>
    </w:lvl>
  </w:abstractNum>
  <w:abstractNum w:abstractNumId="28">
    <w:nsid w:val="661E3F1E"/>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29">
    <w:nsid w:val="5DC79EA8"/>
    <w:multiLevelType w:val="hybridMultilevel"/>
    <w:lvl w:ilvl="0">
      <w:lvlJc w:val="left"/>
      <w:lvlText w:val="(%1)"/>
      <w:numFmt w:val="lowerLetter"/>
      <w:start w:val="5"/>
    </w:lvl>
  </w:abstractNum>
  <w:abstractNum w:abstractNumId="30">
    <w:nsid w:val="540A471C"/>
    <w:multiLevelType w:val="hybridMultilevel"/>
    <w:lvl w:ilvl="0">
      <w:lvlJc w:val="left"/>
      <w:lvlText w:val="%1"/>
      <w:numFmt w:val="lowerLetter"/>
      <w:start w:val="1"/>
    </w:lvl>
    <w:lvl w:ilvl="1">
      <w:lvlJc w:val="left"/>
      <w:lvlText w:val="%2."/>
      <w:numFmt w:val="decimal"/>
      <w:start w:val="7"/>
    </w:lvl>
  </w:abstractNum>
  <w:abstractNum w:abstractNumId="31">
    <w:nsid w:val="7BD3EE7B"/>
    <w:multiLevelType w:val="hybridMultilevel"/>
    <w:lvl w:ilvl="0">
      <w:lvlJc w:val="left"/>
      <w:lvlText w:val="(%1)"/>
      <w:numFmt w:val="lowerLetter"/>
      <w:start w:val="1"/>
    </w:lvl>
    <w:lvl w:ilvl="1">
      <w:lvlJc w:val="left"/>
      <w:lvlText w:val="%2"/>
      <w:numFmt w:val="decimal"/>
      <w:start w:val="1"/>
    </w:lvl>
  </w:abstractNum>
  <w:abstractNum w:abstractNumId="32">
    <w:nsid w:val="51D9C564"/>
    <w:multiLevelType w:val="hybridMultilevel"/>
    <w:lvl w:ilvl="0">
      <w:lvlJc w:val="left"/>
      <w:lvlText w:val="(%1)"/>
      <w:numFmt w:val="lowerLetter"/>
      <w:start w:val="2"/>
    </w:lvl>
  </w:abstractNum>
  <w:abstractNum w:abstractNumId="33">
    <w:nsid w:val="613EFDC5"/>
    <w:multiLevelType w:val="hybridMultilevel"/>
    <w:lvl w:ilvl="0">
      <w:lvlJc w:val="left"/>
      <w:lvlText w:val="(%1)"/>
      <w:numFmt w:val="lowerLetter"/>
      <w:start w:val="4"/>
    </w:lvl>
  </w:abstractNum>
  <w:abstractNum w:abstractNumId="34">
    <w:nsid w:val="BF72B14"/>
    <w:multiLevelType w:val="hybridMultilevel"/>
    <w:lvl w:ilvl="0">
      <w:lvlJc w:val="left"/>
      <w:lvlText w:val="%1."/>
      <w:numFmt w:val="decimal"/>
      <w:start w:val="9"/>
    </w:lvl>
  </w:abstractNum>
  <w:abstractNum w:abstractNumId="35">
    <w:nsid w:val="11447B73"/>
    <w:multiLevelType w:val="hybridMultilevel"/>
    <w:lvl w:ilvl="0">
      <w:lvlJc w:val="left"/>
      <w:lvlText w:val="%1."/>
      <w:numFmt w:val="decimal"/>
      <w:start w:val="11"/>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decimal"/>
      <w:start w:val="15"/>
    </w:lvl>
  </w:abstractNum>
  <w:abstractNum w:abstractNumId="38">
    <w:nsid w:val="8F2B15E"/>
    <w:multiLevelType w:val="hybridMultilevel"/>
    <w:lvl w:ilvl="0">
      <w:lvlJc w:val="left"/>
      <w:lvlText w:val="%1."/>
      <w:numFmt w:val="decimal"/>
      <w:start w:val="17"/>
    </w:lvl>
  </w:abstractNum>
  <w:abstractNum w:abstractNumId="39">
    <w:nsid w:val="1A32234B"/>
    <w:multiLevelType w:val="hybridMultilevel"/>
    <w:lvl w:ilvl="0">
      <w:lvlJc w:val="left"/>
      <w:lvlText w:val="%1."/>
      <w:numFmt w:val="decimal"/>
      <w:start w:val="21"/>
    </w:lvl>
  </w:abstractNum>
  <w:abstractNum w:abstractNumId="40">
    <w:nsid w:val="3B0FD379"/>
    <w:multiLevelType w:val="hybridMultilevel"/>
    <w:lvl w:ilvl="0">
      <w:lvlJc w:val="left"/>
      <w:lvlText w:val="(%1)"/>
      <w:numFmt w:val="lowerRoman"/>
      <w:start w:val="2"/>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1)"/>
      <w:numFmt w:val="lowerRoman"/>
      <w:start w:val="1"/>
    </w:lvl>
  </w:abstractNum>
  <w:abstractNum w:abstractNumId="44">
    <w:nsid w:val="6A5EE64"/>
    <w:multiLevelType w:val="hybridMultilevel"/>
    <w:lvl w:ilvl="0">
      <w:lvlJc w:val="left"/>
      <w:lvlText w:val="(%1)"/>
      <w:numFmt w:val="lowerRoman"/>
      <w:start w:val="7"/>
    </w:lvl>
  </w:abstractNum>
  <w:abstractNum w:abstractNumId="45">
    <w:nsid w:val="14330624"/>
    <w:multiLevelType w:val="hybridMultilevel"/>
    <w:lvl w:ilvl="0">
      <w:lvlJc w:val="left"/>
      <w:lvlText w:val="(%1)"/>
      <w:numFmt w:val="lowerRoman"/>
      <w:start w:val="12"/>
    </w:lvl>
  </w:abstractNum>
  <w:abstractNum w:abstractNumId="46">
    <w:nsid w:val="7FFFCA11"/>
    <w:multiLevelType w:val="hybridMultilevel"/>
    <w:lvl w:ilvl="0">
      <w:lvlJc w:val="left"/>
      <w:lvlText w:val="%1."/>
      <w:numFmt w:val="upperLetter"/>
      <w:start w:val="1"/>
    </w:lvl>
  </w:abstractNum>
  <w:abstractNum w:abstractNumId="47">
    <w:nsid w:val="1A27709E"/>
    <w:multiLevelType w:val="hybridMultilevel"/>
    <w:lvl w:ilvl="0">
      <w:lvlJc w:val="left"/>
      <w:lvlText w:val="(%1)"/>
      <w:numFmt w:val="lowerRoman"/>
      <w:start w:val="2"/>
    </w:lvl>
  </w:abstractNum>
  <w:abstractNum w:abstractNumId="48">
    <w:nsid w:val="71EA1109"/>
    <w:multiLevelType w:val="hybridMultilevel"/>
    <w:lvl w:ilvl="0">
      <w:lvlJc w:val="left"/>
      <w:lvlText w:val="(%1)"/>
      <w:numFmt w:val="lowerRoman"/>
      <w:start w:val="2"/>
    </w:lvl>
    <w:lvl w:ilvl="1">
      <w:lvlJc w:val="left"/>
      <w:lvlText w:val="%2."/>
      <w:numFmt w:val="upperLetter"/>
      <w:start w:val="7"/>
    </w:lvl>
  </w:abstractNum>
  <w:abstractNum w:abstractNumId="49">
    <w:nsid w:val="100F59DC"/>
    <w:multiLevelType w:val="hybridMultilevel"/>
    <w:lvl w:ilvl="0">
      <w:lvlJc w:val="left"/>
      <w:lvlText w:val="%1"/>
      <w:numFmt w:val="upperLetter"/>
      <w:start w:val="1"/>
    </w:lvl>
    <w:lvl w:ilvl="1">
      <w:lvlJc w:val="left"/>
      <w:lvlText w:val="%2."/>
      <w:numFmt w:val="decimal"/>
      <w:start w:val="1"/>
    </w:lvl>
  </w:abstractNum>
  <w:abstractNum w:abstractNumId="50">
    <w:nsid w:val="7FB7E0AA"/>
    <w:multiLevelType w:val="hybridMultilevel"/>
    <w:lvl w:ilvl="0">
      <w:lvlJc w:val="left"/>
      <w:lvlText w:val="%1."/>
      <w:numFmt w:val="upperLetter"/>
      <w:start w:val="3"/>
    </w:lvl>
    <w:lvl w:ilvl="1">
      <w:lvlJc w:val="left"/>
      <w:lvlText w:val="%2."/>
      <w:numFmt w:val="decimal"/>
      <w:start w:val="1"/>
    </w:lvl>
  </w:abstractNum>
  <w:abstractNum w:abstractNumId="51">
    <w:nsid w:val="6EB5BD4"/>
    <w:multiLevelType w:val="hybridMultilevel"/>
    <w:lvl w:ilvl="0">
      <w:lvlJc w:val="left"/>
      <w:lvlText w:val="%1."/>
      <w:numFmt w:val="decimal"/>
      <w:start w:val="4"/>
    </w:lvl>
  </w:abstractNum>
  <w:abstractNum w:abstractNumId="52">
    <w:nsid w:val="6F6DD9AC"/>
    <w:multiLevelType w:val="hybridMultilevel"/>
    <w:lvl w:ilvl="0">
      <w:lvlJc w:val="left"/>
      <w:lvlText w:val="(%1)"/>
      <w:numFmt w:val="lowerLetter"/>
      <w:start w:val="9"/>
    </w:lvl>
  </w:abstractNum>
  <w:abstractNum w:abstractNumId="53">
    <w:nsid w:val="94211F2"/>
    <w:multiLevelType w:val="hybridMultilevel"/>
    <w:lvl w:ilvl="0">
      <w:lvlJc w:val="left"/>
      <w:lvlText w:val="(%1)"/>
      <w:numFmt w:val="lowerRoman"/>
      <w:start w:val="2"/>
    </w:lvl>
  </w:abstractNum>
  <w:abstractNum w:abstractNumId="54">
    <w:nsid w:val="885E1B"/>
    <w:multiLevelType w:val="hybridMultilevel"/>
    <w:lvl w:ilvl="0">
      <w:lvlJc w:val="left"/>
      <w:lvlText w:val="%1"/>
      <w:numFmt w:val="decimal"/>
      <w:start w:val="1"/>
    </w:lvl>
    <w:lvl w:ilvl="1">
      <w:lvlJc w:val="left"/>
      <w:lvlText w:val="%2"/>
      <w:numFmt w:val="decimal"/>
      <w:start w:val="1"/>
    </w:lvl>
    <w:lvl w:ilvl="2">
      <w:lvlJc w:val="left"/>
      <w:lvlText w:val="(%3)"/>
      <w:numFmt w:val="lowerRoman"/>
      <w:start w:val="4"/>
    </w:lvl>
  </w:abstractNum>
  <w:abstractNum w:abstractNumId="55">
    <w:nsid w:val="76272110"/>
    <w:multiLevelType w:val="hybridMultilevel"/>
    <w:lvl w:ilvl="0">
      <w:lvlJc w:val="left"/>
      <w:lvlText w:val="%1."/>
      <w:numFmt w:val="decimal"/>
      <w:start w:val="6"/>
    </w:lvl>
    <w:lvl w:ilvl="1">
      <w:lvlJc w:val="left"/>
      <w:lvlText w:val="(%2)"/>
      <w:numFmt w:val="decimal"/>
      <w:start w:val="3"/>
    </w:lvl>
    <w:lvl w:ilvl="2">
      <w:lvlJc w:val="left"/>
      <w:lvlText w:val="%3"/>
      <w:numFmt w:val="lowerRoman"/>
      <w:start w:val="1"/>
    </w:lvl>
  </w:abstractNum>
  <w:abstractNum w:abstractNumId="56">
    <w:nsid w:val="4C04A8AF"/>
    <w:multiLevelType w:val="hybridMultilevel"/>
    <w:lvl w:ilvl="0">
      <w:lvlJc w:val="left"/>
      <w:lvlText w:val="%1."/>
      <w:numFmt w:val="decimal"/>
      <w:start w:val="8"/>
    </w:lvl>
    <w:lvl w:ilvl="1">
      <w:lvlJc w:val="left"/>
      <w:lvlText w:val="(%2)"/>
      <w:numFmt w:val="lowerRoman"/>
      <w:start w:val="1"/>
    </w:lvl>
  </w:abstractNum>
  <w:abstractNum w:abstractNumId="57">
    <w:nsid w:val="1716703B"/>
    <w:multiLevelType w:val="hybridMultilevel"/>
    <w:lvl w:ilvl="0">
      <w:lvlJc w:val="left"/>
      <w:lvlText w:val="(%1)"/>
      <w:numFmt w:val="upperLetter"/>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decimal"/>
      <w:start w:val="3"/>
    </w:lvl>
  </w:abstractNum>
  <w:abstractNum w:abstractNumId="60">
    <w:nsid w:val="74DE0EE3"/>
    <w:multiLevelType w:val="hybridMultilevel"/>
    <w:lvl w:ilvl="0">
      <w:lvlJc w:val="left"/>
      <w:lvlText w:val="(%1)"/>
      <w:numFmt w:val="upperLetter"/>
      <w:start w:val="2"/>
    </w:lvl>
  </w:abstractNum>
  <w:abstractNum w:abstractNumId="61">
    <w:nsid w:val="68EBC550"/>
    <w:multiLevelType w:val="hybridMultilevel"/>
    <w:lvl w:ilvl="0">
      <w:lvlJc w:val="left"/>
      <w:lvlText w:val="(%1)"/>
      <w:numFmt w:val="upperLetter"/>
      <w:start w:val="3"/>
    </w:lvl>
  </w:abstractNum>
  <w:abstractNum w:abstractNumId="62">
    <w:nsid w:val="2DF6D648"/>
    <w:multiLevelType w:val="hybridMultilevel"/>
    <w:lvl w:ilvl="0">
      <w:lvlJc w:val="left"/>
      <w:lvlText w:val="%1"/>
      <w:numFmt w:val="lowerLetter"/>
      <w:start w:val="1"/>
    </w:lvl>
    <w:lvl w:ilvl="1">
      <w:lvlJc w:val="left"/>
      <w:lvlText w:val="(%2)"/>
      <w:numFmt w:val="decimal"/>
      <w:start w:val="2"/>
    </w:lvl>
  </w:abstractNum>
  <w:abstractNum w:abstractNumId="63">
    <w:nsid w:val="46B7D447"/>
    <w:multiLevelType w:val="hybridMultilevel"/>
    <w:lvl w:ilvl="0">
      <w:lvlJc w:val="left"/>
      <w:lvlText w:val="(%1)"/>
      <w:numFmt w:val="lowerLetter"/>
      <w:start w:val="4"/>
    </w:lvl>
    <w:lvl w:ilvl="1">
      <w:lvlJc w:val="left"/>
      <w:lvlText w:val="(%2)"/>
      <w:numFmt w:val="decimal"/>
      <w:start w:val="4"/>
    </w:lvl>
  </w:abstractNum>
  <w:abstractNum w:abstractNumId="64">
    <w:nsid w:val="4A2AC315"/>
    <w:multiLevelType w:val="hybridMultilevel"/>
    <w:lvl w:ilvl="0">
      <w:lvlJc w:val="left"/>
      <w:lvlText w:val="(%1)"/>
      <w:numFmt w:val="upperLetter"/>
      <w:start w:val="1"/>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upperLetter"/>
      <w:start w:val="1"/>
    </w:lvl>
  </w:abstractNum>
  <w:abstractNum w:abstractNumId="67">
    <w:nsid w:val="CC1016F"/>
    <w:multiLevelType w:val="hybridMultilevel"/>
    <w:lvl w:ilvl="0">
      <w:lvlJc w:val="left"/>
      <w:lvlText w:val="(%1)"/>
      <w:numFmt w:val="upperLetter"/>
      <w:start w:val="3"/>
    </w:lvl>
  </w:abstractNum>
  <w:abstractNum w:abstractNumId="68">
    <w:nsid w:val="43F18422"/>
    <w:multiLevelType w:val="hybridMultilevel"/>
    <w:lvl w:ilvl="0">
      <w:lvlJc w:val="left"/>
      <w:lvlText w:val="(%1)"/>
      <w:numFmt w:val="upperLetter"/>
      <w:start w:val="1"/>
    </w:lvl>
  </w:abstractNum>
  <w:abstractNum w:abstractNumId="69">
    <w:nsid w:val="60EF0119"/>
    <w:multiLevelType w:val="hybridMultilevel"/>
    <w:lvl w:ilvl="0">
      <w:lvlJc w:val="left"/>
      <w:lvlText w:val="(%1)"/>
      <w:numFmt w:val="upperLetter"/>
      <w:start w:val="2"/>
    </w:lvl>
  </w:abstractNum>
  <w:abstractNum w:abstractNumId="70">
    <w:nsid w:val="26F324BA"/>
    <w:multiLevelType w:val="hybridMultilevel"/>
    <w:lvl w:ilvl="0">
      <w:lvlJc w:val="left"/>
      <w:lvlText w:val="(%1)"/>
      <w:numFmt w:val="upperLetter"/>
      <w:start w:val="1"/>
    </w:lvl>
  </w:abstractNum>
  <w:abstractNum w:abstractNumId="71">
    <w:nsid w:val="7F01579B"/>
    <w:multiLevelType w:val="hybridMultilevel"/>
    <w:lvl w:ilvl="0">
      <w:lvlJc w:val="left"/>
      <w:lvlText w:val="(%1)"/>
      <w:numFmt w:val="upperLetter"/>
      <w:start w:val="2"/>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1)"/>
      <w:numFmt w:val="decimal"/>
      <w:start w:val="2"/>
    </w:lvl>
  </w:abstractNum>
  <w:abstractNum w:abstractNumId="74">
    <w:nsid w:val="5FB8370B"/>
    <w:multiLevelType w:val="hybridMultilevel"/>
    <w:lvl w:ilvl="0">
      <w:lvlJc w:val="left"/>
      <w:lvlText w:val="(%1)"/>
      <w:numFmt w:val="lowerLetter"/>
      <w:start w:val="23"/>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1"/>
    </w:lvl>
    <w:lvl w:ilvl="1">
      <w:lvlJc w:val="left"/>
      <w:lvlText w:val="(%2)"/>
      <w:numFmt w:val="lowerLetter"/>
      <w:start w:val="2"/>
    </w:lvl>
  </w:abstractNum>
  <w:abstractNum w:abstractNumId="77">
    <w:nsid w:val="5FB8011C"/>
    <w:multiLevelType w:val="hybridMultilevel"/>
    <w:lvl w:ilvl="0">
      <w:lvlJc w:val="left"/>
      <w:lvlText w:val="(%1)"/>
      <w:numFmt w:val="lowerLetter"/>
      <w:start w:val="9"/>
    </w:lvl>
    <w:lvl w:ilvl="1">
      <w:lvlJc w:val="left"/>
      <w:lvlText w:val="%2"/>
      <w:numFmt w:val="lowerLetter"/>
      <w:start w:val="1"/>
    </w:lvl>
  </w:abstractNum>
  <w:abstractNum w:abstractNumId="78">
    <w:nsid w:val="6AA78F7F"/>
    <w:multiLevelType w:val="hybridMultilevel"/>
    <w:lvl w:ilvl="0">
      <w:lvlJc w:val="left"/>
      <w:lvlText w:val="(%1)"/>
      <w:numFmt w:val="lowerRoman"/>
      <w:start w:val="2"/>
    </w:lvl>
  </w:abstractNum>
  <w:abstractNum w:abstractNumId="79">
    <w:nsid w:val="7672BD23"/>
    <w:multiLevelType w:val="hybridMultilevel"/>
    <w:lvl w:ilvl="0">
      <w:lvlJc w:val="left"/>
      <w:lvlText w:val="(%1)"/>
      <w:numFmt w:val="lowerLetter"/>
      <w:start w:val="3"/>
    </w:lvl>
  </w:abstractNum>
  <w:abstractNum w:abstractNumId="80">
    <w:nsid w:val="6FC75AF8"/>
    <w:multiLevelType w:val="hybridMultilevel"/>
    <w:lvl w:ilvl="0">
      <w:lvlJc w:val="left"/>
      <w:lvlText w:val="(%1)"/>
      <w:numFmt w:val="lowerLetter"/>
      <w:start w:val="5"/>
    </w:lvl>
  </w:abstractNum>
  <w:abstractNum w:abstractNumId="81">
    <w:nsid w:val="6A5F7029"/>
    <w:multiLevelType w:val="hybridMultilevel"/>
    <w:lvl w:ilvl="0">
      <w:lvlJc w:val="left"/>
      <w:lvlText w:val="(%1)"/>
      <w:numFmt w:val="lowerLetter"/>
      <w:start w:val="1"/>
    </w:lvl>
  </w:abstractNum>
  <w:abstractNum w:abstractNumId="82">
    <w:nsid w:val="7D5E18F8"/>
    <w:multiLevelType w:val="hybridMultilevel"/>
    <w:lvl w:ilvl="0">
      <w:lvlJc w:val="left"/>
      <w:lvlText w:val="%1"/>
      <w:numFmt w:val="lowerLetter"/>
      <w:start w:val="1"/>
    </w:lvl>
    <w:lvl w:ilvl="1">
      <w:lvlJc w:val="left"/>
      <w:lvlText w:val="(%2)"/>
      <w:numFmt w:val="lowerLetter"/>
      <w:start w:val="2"/>
    </w:lvl>
  </w:abstractNum>
  <w:abstractNum w:abstractNumId="83">
    <w:nsid w:val="5F3534A4"/>
    <w:multiLevelType w:val="hybridMultilevel"/>
    <w:lvl w:ilvl="0">
      <w:lvlJc w:val="left"/>
      <w:lvlText w:val="(%1)"/>
      <w:numFmt w:val="lowerLetter"/>
      <w:start w:val="9"/>
    </w:lvl>
    <w:lvl w:ilvl="1">
      <w:lvlJc w:val="left"/>
      <w:lvlText w:val="%2"/>
      <w:numFmt w:val="lowerLetter"/>
      <w:start w:val="1"/>
    </w:lvl>
  </w:abstractNum>
  <w:abstractNum w:abstractNumId="84">
    <w:nsid w:val="73A1821B"/>
    <w:multiLevelType w:val="hybridMultilevel"/>
    <w:lvl w:ilvl="0">
      <w:lvlJc w:val="left"/>
      <w:lvlText w:val="(%1)"/>
      <w:numFmt w:val="lowerRoman"/>
      <w:start w:val="2"/>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lowerRoman"/>
      <w:start w:val="4"/>
    </w:lvl>
    <w:lvl w:ilvl="1">
      <w:lvlJc w:val="left"/>
      <w:lvlText w:val="(%2)"/>
      <w:numFmt w:val="lowerLetter"/>
      <w:start w:val="4"/>
    </w:lvl>
  </w:abstractNum>
  <w:abstractNum w:abstractNumId="87">
    <w:nsid w:val="3FA62ACA"/>
    <w:multiLevelType w:val="hybridMultilevel"/>
    <w:lvl w:ilvl="0">
      <w:lvlJc w:val="left"/>
      <w:lvlText w:val="(%1)"/>
      <w:numFmt w:val="lowerLetter"/>
      <w:start w:val="7"/>
    </w:lvl>
  </w:abstractNum>
  <w:abstractNum w:abstractNumId="88">
    <w:nsid w:val="14FCE74E"/>
    <w:multiLevelType w:val="hybridMultilevel"/>
    <w:lvl w:ilvl="0">
      <w:lvlJc w:val="left"/>
      <w:lvlText w:val="(%1)"/>
      <w:numFmt w:val="lowerLetter"/>
      <w:start w:val="11"/>
    </w:lvl>
  </w:abstractNum>
  <w:abstractNum w:abstractNumId="89">
    <w:nsid w:val="6A3DD3E8"/>
    <w:multiLevelType w:val="hybridMultilevel"/>
    <w:lvl w:ilvl="0">
      <w:lvlJc w:val="left"/>
      <w:lvlText w:val="(%1)"/>
      <w:numFmt w:val="lowerLetter"/>
      <w:start w:val="16"/>
    </w:lvl>
  </w:abstractNum>
  <w:abstractNum w:abstractNumId="90">
    <w:nsid w:val="71C91298"/>
    <w:multiLevelType w:val="hybridMultilevel"/>
    <w:lvl w:ilvl="0">
      <w:lvlJc w:val="left"/>
      <w:lvlText w:val="(%1)"/>
      <w:numFmt w:val="lowerLetter"/>
      <w:start w:val="18"/>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lowerLetter"/>
      <w:start w:val="2"/>
    </w:lvl>
  </w:abstractNum>
  <w:abstractNum w:abstractNumId="93">
    <w:nsid w:val="1FBFE8E0"/>
    <w:multiLevelType w:val="hybridMultilevel"/>
    <w:lvl w:ilvl="0">
      <w:lvlJc w:val="left"/>
      <w:lvlText w:val="(%1)"/>
      <w:numFmt w:val="lowerLetter"/>
      <w:start w:val="3"/>
    </w:lvl>
  </w:abstractNum>
  <w:abstractNum w:abstractNumId="94">
    <w:nsid w:val="5092CA79"/>
    <w:multiLevelType w:val="hybridMultilevel"/>
    <w:lvl w:ilvl="0">
      <w:lvlJc w:val="left"/>
      <w:lvlText w:val="(%1)"/>
      <w:numFmt w:val="lowerLetter"/>
      <w:start w:val="5"/>
    </w:lvl>
  </w:abstractNum>
  <w:abstractNum w:abstractNumId="95">
    <w:nsid w:val="1D545C4D"/>
    <w:multiLevelType w:val="hybridMultilevel"/>
    <w:lvl w:ilvl="0">
      <w:lvlJc w:val="left"/>
      <w:lvlText w:val="%1"/>
      <w:numFmt w:val="upperLetter"/>
      <w:start w:val="1"/>
    </w:lvl>
    <w:lvl w:ilvl="1">
      <w:lvlJc w:val="left"/>
      <w:lvlText w:val="(%2)"/>
      <w:numFmt w:val="lowerLetter"/>
      <w:start w:val="1"/>
    </w:lvl>
  </w:abstractNum>
  <w:abstractNum w:abstractNumId="96">
    <w:nsid w:val="59ADEA3D"/>
    <w:multiLevelType w:val="hybridMultilevel"/>
    <w:lvl w:ilvl="0">
      <w:lvlJc w:val="left"/>
      <w:lvlText w:val="(%1)"/>
      <w:numFmt w:val="upperLetter"/>
      <w:start w:val="3"/>
    </w:lvl>
    <w:lvl w:ilvl="1">
      <w:lvlJc w:val="left"/>
      <w:lvlText w:val="(%2)"/>
      <w:numFmt w:val="lowerLetter"/>
      <w:start w:val="2"/>
    </w:lvl>
  </w:abstractNum>
  <w:abstractNum w:abstractNumId="97">
    <w:nsid w:val="288F1A34"/>
    <w:multiLevelType w:val="hybridMultilevel"/>
    <w:lvl w:ilvl="0">
      <w:lvlJc w:val="left"/>
      <w:lvlText w:val="%1"/>
      <w:numFmt w:val="lowerLetter"/>
      <w:start w:val="1"/>
    </w:lvl>
    <w:lvl w:ilvl="1">
      <w:lvlJc w:val="left"/>
      <w:lvlText w:val="(%2)"/>
      <w:numFmt w:val="lowerLetter"/>
      <w:start w:val="1"/>
    </w:lvl>
  </w:abstractNum>
  <w:abstractNum w:abstractNumId="98">
    <w:nsid w:val="2A155DBC"/>
    <w:multiLevelType w:val="hybridMultilevel"/>
    <w:lvl w:ilvl="0">
      <w:lvlJc w:val="left"/>
      <w:lvlText w:val="(%1)"/>
      <w:numFmt w:val="lowerLetter"/>
      <w:start w:val="9"/>
    </w:lvl>
    <w:lvl w:ilvl="1">
      <w:lvlJc w:val="left"/>
      <w:lvlText w:val="(%2)"/>
      <w:numFmt w:val="lowerLetter"/>
      <w:start w:val="2"/>
    </w:lvl>
  </w:abstractNum>
  <w:abstractNum w:abstractNumId="99">
    <w:nsid w:val="1D9F6E5F"/>
    <w:multiLevelType w:val="hybridMultilevel"/>
    <w:lvl w:ilvl="0">
      <w:lvlJc w:val="left"/>
      <w:lvlText w:val="(%1)"/>
      <w:numFmt w:val="lowerLetter"/>
      <w:start w:val="35"/>
    </w:lvl>
    <w:lvl w:ilvl="1">
      <w:lvlJc w:val="left"/>
      <w:lvlText w:val="%2"/>
      <w:numFmt w:val="lowerLetter"/>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2"/>
    </w:lvl>
  </w:abstractNum>
  <w:abstractNum w:abstractNumId="102">
    <w:nsid w:val="1CA0C5FA"/>
    <w:multiLevelType w:val="hybridMultilevel"/>
    <w:lvl w:ilvl="0">
      <w:lvlJc w:val="left"/>
      <w:lvlText w:val="(%1)"/>
      <w:numFmt w:val="lowerLetter"/>
      <w:start w:val="3"/>
    </w:lvl>
  </w:abstractNum>
  <w:abstractNum w:abstractNumId="103">
    <w:nsid w:val="53584BCB"/>
    <w:multiLevelType w:val="hybridMultilevel"/>
    <w:lvl w:ilvl="0">
      <w:lvlJc w:val="left"/>
      <w:lvlText w:val="(%1)"/>
      <w:numFmt w:val="lowerLetter"/>
      <w:start w:val="6"/>
    </w:lvl>
  </w:abstractNum>
  <w:abstractNum w:abstractNumId="104">
    <w:nsid w:val="415E286C"/>
    <w:multiLevelType w:val="hybridMultilevel"/>
    <w:lvl w:ilvl="0">
      <w:lvlJc w:val="left"/>
      <w:lvlText w:val="(%1)"/>
      <w:numFmt w:val="lowerLetter"/>
      <w:start w:val="13"/>
    </w:lvl>
  </w:abstractNum>
  <w:abstractNum w:abstractNumId="105">
    <w:nsid w:val="7C58FD05"/>
    <w:multiLevelType w:val="hybridMultilevel"/>
    <w:lvl w:ilvl="0">
      <w:lvlJc w:val="left"/>
      <w:lvlText w:val="(%1)"/>
      <w:numFmt w:val="lowerLetter"/>
      <w:start w:val="1"/>
    </w:lvl>
    <w:lvl w:ilvl="1">
      <w:lvlJc w:val="left"/>
      <w:lvlText w:val="-"/>
      <w:numFmt w:val="bullet"/>
      <w:start w:val="1"/>
    </w:lvl>
  </w:abstractNum>
  <w:abstractNum w:abstractNumId="106">
    <w:nsid w:val="23D86AAC"/>
    <w:multiLevelType w:val="hybridMultilevel"/>
    <w:lvl w:ilvl="0">
      <w:lvlJc w:val="left"/>
      <w:lvlText w:val="(%1)"/>
      <w:numFmt w:val="lowerLetter"/>
      <w:start w:val="2"/>
    </w:lvl>
    <w:lvl w:ilvl="1">
      <w:lvlJc w:val="left"/>
      <w:lvlText w:val="-"/>
      <w:numFmt w:val="bullet"/>
      <w:start w:val="1"/>
    </w:lvl>
  </w:abstractNum>
  <w:abstractNum w:abstractNumId="107">
    <w:nsid w:val="45E6D486"/>
    <w:multiLevelType w:val="hybridMultilevel"/>
    <w:lvl w:ilvl="0">
      <w:lvlJc w:val="left"/>
      <w:lvlText w:val="(%1)"/>
      <w:numFmt w:val="lowerLetter"/>
      <w:start w:val="8"/>
    </w:lvl>
  </w:abstractNum>
  <w:abstractNum w:abstractNumId="108">
    <w:nsid w:val="5C10FE21"/>
    <w:multiLevelType w:val="hybridMultilevel"/>
    <w:lvl w:ilvl="0">
      <w:lvlJc w:val="left"/>
      <w:lvlText w:val="(%1)"/>
      <w:numFmt w:val="lowerLetter"/>
      <w:start w:val="1"/>
    </w:lvl>
    <w:lvl w:ilvl="1">
      <w:lvlJc w:val="left"/>
      <w:lvlText w:val="-"/>
      <w:numFmt w:val="bullet"/>
      <w:start w:val="1"/>
    </w:lvl>
  </w:abstractNum>
  <w:abstractNum w:abstractNumId="109">
    <w:nsid w:val="E7FFA2B"/>
    <w:multiLevelType w:val="hybridMultilevel"/>
    <w:lvl w:ilvl="0">
      <w:lvlJc w:val="left"/>
      <w:lvlText w:val="(%1)"/>
      <w:numFmt w:val="lowerLetter"/>
      <w:start w:val="7"/>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1"/>
    </w:lvl>
    <w:lvl w:ilvl="1">
      <w:lvlJc w:val="left"/>
      <w:lvlText w:val="(%2)"/>
      <w:numFmt w:val="lowerRoman"/>
      <w:start w:val="1"/>
    </w:lvl>
  </w:abstractNum>
  <w:abstractNum w:abstractNumId="112">
    <w:nsid w:val="78DF6A55"/>
    <w:multiLevelType w:val="hybridMultilevel"/>
    <w:lvl w:ilvl="0">
      <w:lvlJc w:val="left"/>
      <w:lvlText w:val="(%1)"/>
      <w:numFmt w:val="lowerLetter"/>
      <w:start w:val="1"/>
    </w:lvl>
    <w:lvl w:ilvl="1">
      <w:lvlJc w:val="left"/>
      <w:lvlText w:val="-"/>
      <w:numFmt w:val="bullet"/>
      <w:start w:val="1"/>
    </w:lvl>
  </w:abstractNum>
  <w:abstractNum w:abstractNumId="113">
    <w:nsid w:val="39B7AAA2"/>
    <w:multiLevelType w:val="hybridMultilevel"/>
    <w:lvl w:ilvl="0">
      <w:lvlJc w:val="left"/>
      <w:lvlText w:val="%1"/>
      <w:numFmt w:val="decimal"/>
      <w:start w:val="1"/>
    </w:lvl>
    <w:lvl w:ilvl="1">
      <w:lvlJc w:val="left"/>
      <w:lvlText w:val="(%2)"/>
      <w:numFmt w:val="lowerLetter"/>
      <w:start w:val="2"/>
    </w:lvl>
  </w:abstractNum>
  <w:abstractNum w:abstractNumId="114">
    <w:nsid w:val="2B0D8DBE"/>
    <w:multiLevelType w:val="hybridMultilevel"/>
    <w:lvl w:ilvl="0">
      <w:lvlJc w:val="left"/>
      <w:lvlText w:val="(%1)"/>
      <w:numFmt w:val="decimal"/>
      <w:start w:val="2"/>
    </w:lvl>
    <w:lvl w:ilvl="1">
      <w:lvlJc w:val="left"/>
      <w:lvlText w:val="%2"/>
      <w:numFmt w:val="lowerLetter"/>
      <w:start w:val="1"/>
    </w:lvl>
  </w:abstractNum>
  <w:abstractNum w:abstractNumId="115">
    <w:nsid w:val="6C80EC70"/>
    <w:multiLevelType w:val="hybridMultilevel"/>
    <w:lvl w:ilvl="0">
      <w:lvlJc w:val="left"/>
      <w:lvlText w:val="(%1)"/>
      <w:numFmt w:val="lowerRoman"/>
      <w:start w:val="1"/>
    </w:lvl>
  </w:abstractNum>
  <w:abstractNum w:abstractNumId="116">
    <w:nsid w:val="379E21B5"/>
    <w:multiLevelType w:val="hybridMultilevel"/>
    <w:lvl w:ilvl="0">
      <w:lvlJc w:val="left"/>
      <w:lvlText w:val="(%1)"/>
      <w:numFmt w:val="lowerLetter"/>
      <w:start w:val="1"/>
    </w:lvl>
  </w:abstractNum>
  <w:abstractNum w:abstractNumId="117">
    <w:nsid w:val="69E37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2020-10-06T15:18:55Z</dcterms:created>
  <dcterms:modified xsi:type="dcterms:W3CDTF">2020-10-06T15:18:55Z</dcterms:modified>
</cp:coreProperties>
</file>