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333-255720</w:t>
      </w:r>
    </w:p>
    <w:p>
      <w:pPr>
        <w:spacing w:after="0" w:line="234" w:lineRule="exact"/>
        <w:rPr>
          <w:sz w:val="24"/>
          <w:szCs w:val="24"/>
          <w:color w:val="auto"/>
        </w:rPr>
      </w:pPr>
    </w:p>
    <w:p>
      <w:pPr>
        <w:ind w:left="8"/>
        <w:spacing w:after="0"/>
        <w:rPr>
          <w:sz w:val="20"/>
          <w:szCs w:val="20"/>
          <w:color w:val="auto"/>
        </w:rPr>
      </w:pPr>
      <w:r>
        <w:rPr>
          <w:rFonts w:ascii="Arial" w:cs="Arial" w:eastAsia="Arial" w:hAnsi="Arial"/>
          <w:sz w:val="18"/>
          <w:szCs w:val="18"/>
          <w:b w:val="1"/>
          <w:bCs w:val="1"/>
          <w:color w:val="auto"/>
        </w:rPr>
        <w:t>Prospectus</w:t>
      </w:r>
    </w:p>
    <w:p>
      <w:pPr>
        <w:spacing w:after="0" w:line="112" w:lineRule="exact"/>
        <w:rPr>
          <w:sz w:val="24"/>
          <w:szCs w:val="24"/>
          <w:color w:val="auto"/>
        </w:rPr>
      </w:pPr>
    </w:p>
    <w:p>
      <w:pPr>
        <w:jc w:val="center"/>
        <w:ind w:right="-7"/>
        <w:spacing w:after="0"/>
        <w:rPr>
          <w:sz w:val="20"/>
          <w:szCs w:val="20"/>
          <w:color w:val="auto"/>
        </w:rPr>
      </w:pPr>
      <w:r>
        <w:rPr>
          <w:rFonts w:ascii="Arial" w:cs="Arial" w:eastAsia="Arial" w:hAnsi="Arial"/>
          <w:sz w:val="25"/>
          <w:szCs w:val="25"/>
          <w:b w:val="1"/>
          <w:bCs w:val="1"/>
          <w:color w:val="auto"/>
        </w:rPr>
        <w:t>14,000,000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252095</wp:posOffset>
            </wp:positionV>
            <wp:extent cx="166306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2"/>
        <w:spacing w:after="0"/>
        <w:rPr>
          <w:sz w:val="20"/>
          <w:szCs w:val="20"/>
          <w:color w:val="auto"/>
        </w:rPr>
      </w:pPr>
      <w:r>
        <w:rPr>
          <w:rFonts w:ascii="Arial" w:cs="Arial" w:eastAsia="Arial" w:hAnsi="Arial"/>
          <w:sz w:val="27"/>
          <w:szCs w:val="27"/>
          <w:b w:val="1"/>
          <w:bCs w:val="1"/>
          <w:color w:val="auto"/>
        </w:rPr>
        <w:t>Academy Sports and Outdoors, Inc.</w:t>
      </w:r>
    </w:p>
    <w:p>
      <w:pPr>
        <w:spacing w:after="0" w:line="216" w:lineRule="exact"/>
        <w:rPr>
          <w:sz w:val="24"/>
          <w:szCs w:val="24"/>
          <w:color w:val="auto"/>
        </w:rPr>
      </w:pPr>
    </w:p>
    <w:p>
      <w:pPr>
        <w:jc w:val="center"/>
        <w:ind w:right="-7"/>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172085</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8" w:right="300" w:firstLine="360"/>
        <w:spacing w:after="0" w:line="342" w:lineRule="auto"/>
        <w:rPr>
          <w:sz w:val="20"/>
          <w:szCs w:val="20"/>
          <w:color w:val="auto"/>
        </w:rPr>
      </w:pPr>
      <w:r>
        <w:rPr>
          <w:rFonts w:ascii="Arial" w:cs="Arial" w:eastAsia="Arial" w:hAnsi="Arial"/>
          <w:sz w:val="16"/>
          <w:szCs w:val="16"/>
          <w:color w:val="auto"/>
        </w:rPr>
        <w:t>The selling stockholders named in this prospectus are offering 14,000,000 shares of common stock of Academy Sports and Outdoors, Inc. We will not receive any proceeds from the sale of our common stock by the selling stockholders.</w:t>
      </w:r>
    </w:p>
    <w:p>
      <w:pPr>
        <w:spacing w:after="0" w:line="16" w:lineRule="exact"/>
        <w:rPr>
          <w:sz w:val="24"/>
          <w:szCs w:val="24"/>
          <w:color w:val="auto"/>
        </w:rPr>
      </w:pPr>
    </w:p>
    <w:p>
      <w:pPr>
        <w:ind w:left="8" w:right="6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“ASO.” On April 30, 2021, the closing sales price of our common stock as reported on the Nasdaq was $30.81 per share.</w:t>
      </w:r>
    </w:p>
    <w:p>
      <w:pPr>
        <w:spacing w:after="0" w:line="62" w:lineRule="exact"/>
        <w:rPr>
          <w:sz w:val="24"/>
          <w:szCs w:val="24"/>
          <w:color w:val="auto"/>
        </w:rPr>
      </w:pPr>
    </w:p>
    <w:p>
      <w:pPr>
        <w:ind w:left="8" w:right="80" w:firstLine="360"/>
        <w:spacing w:after="0" w:line="301" w:lineRule="auto"/>
        <w:rPr>
          <w:sz w:val="20"/>
          <w:szCs w:val="20"/>
          <w:color w:val="auto"/>
        </w:rPr>
      </w:pPr>
      <w:r>
        <w:rPr>
          <w:rFonts w:ascii="Arial" w:cs="Arial" w:eastAsia="Arial" w:hAnsi="Arial"/>
          <w:sz w:val="16"/>
          <w:szCs w:val="16"/>
          <w:color w:val="auto"/>
        </w:rPr>
        <w:t>To the extent that the underwriters sell more than 14,000,000 shares of our common stock, the underwriters have the option to purchase up to an additional 2,100,000 shares from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49" w:lineRule="exact"/>
        <w:rPr>
          <w:sz w:val="24"/>
          <w:szCs w:val="24"/>
          <w:color w:val="auto"/>
        </w:rPr>
      </w:pPr>
    </w:p>
    <w:p>
      <w:pPr>
        <w:ind w:left="8" w:right="60" w:firstLine="360"/>
        <w:spacing w:after="0" w:line="257"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out of the aggregate 14,000,000 shares of our common stock that are the subject of the offering, a number of shares (rounded down to the nearest whole share) having an aggregate purchase price of up to $100 million. The price per share to be paid by us will equal the price at which the underwriter will purchase the shares from the selling stockholder in the offering. The offering is not conditioned upon the completion of the share repurchase.</w:t>
      </w:r>
    </w:p>
    <w:p>
      <w:pPr>
        <w:spacing w:after="0" w:line="76" w:lineRule="exact"/>
        <w:rPr>
          <w:sz w:val="24"/>
          <w:szCs w:val="24"/>
          <w:color w:val="auto"/>
        </w:rPr>
      </w:pPr>
    </w:p>
    <w:p>
      <w:pPr>
        <w:ind w:left="8" w:right="50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“Risk Factors” beginning on page </w:t>
      </w:r>
      <w:hyperlink w:anchor="page26">
        <w:r>
          <w:rPr>
            <w:rFonts w:ascii="Arial" w:cs="Arial" w:eastAsia="Arial" w:hAnsi="Arial"/>
            <w:sz w:val="18"/>
            <w:szCs w:val="18"/>
            <w:b w:val="1"/>
            <w:bCs w:val="1"/>
            <w:u w:val="single" w:color="auto"/>
            <w:color w:val="0000EE"/>
          </w:rPr>
          <w:t>20</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common stock.</w:t>
      </w:r>
    </w:p>
    <w:p>
      <w:pPr>
        <w:spacing w:after="0" w:line="54" w:lineRule="exact"/>
        <w:rPr>
          <w:sz w:val="24"/>
          <w:szCs w:val="24"/>
          <w:color w:val="auto"/>
        </w:rPr>
      </w:pPr>
    </w:p>
    <w:p>
      <w:pPr>
        <w:ind w:left="8" w:right="34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Underwriting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5"/>
        </w:trPr>
        <w:tc>
          <w:tcPr>
            <w:tcW w:w="4880" w:type="dxa"/>
            <w:vAlign w:val="bottom"/>
          </w:tcPr>
          <w:p>
            <w:pPr>
              <w:spacing w:after="0"/>
              <w:rPr>
                <w:sz w:val="12"/>
                <w:szCs w:val="12"/>
                <w:color w:val="auto"/>
              </w:rPr>
            </w:pPr>
          </w:p>
        </w:tc>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to Public</w:t>
            </w:r>
            <w:r>
              <w:rPr>
                <w:rFonts w:ascii="Arial" w:cs="Arial" w:eastAsia="Arial" w:hAnsi="Arial"/>
                <w:sz w:val="23"/>
                <w:szCs w:val="23"/>
                <w:b w:val="1"/>
                <w:bCs w:val="1"/>
                <w:color w:val="auto"/>
                <w:vertAlign w:val="superscript"/>
              </w:rPr>
              <w:t>(1)</w:t>
            </w:r>
          </w:p>
        </w:tc>
        <w:tc>
          <w:tcPr>
            <w:tcW w:w="1880" w:type="dxa"/>
            <w:vAlign w:val="bottom"/>
            <w:gridSpan w:val="3"/>
          </w:tcPr>
          <w:p>
            <w:pPr>
              <w:ind w:left="100"/>
              <w:spacing w:after="0" w:line="145" w:lineRule="exact"/>
              <w:rPr>
                <w:sz w:val="20"/>
                <w:szCs w:val="20"/>
                <w:color w:val="auto"/>
              </w:rPr>
            </w:pPr>
            <w:r>
              <w:rPr>
                <w:rFonts w:ascii="Arial" w:cs="Arial" w:eastAsia="Arial" w:hAnsi="Arial"/>
                <w:sz w:val="14"/>
                <w:szCs w:val="14"/>
                <w:b w:val="1"/>
                <w:bCs w:val="1"/>
                <w:color w:val="auto"/>
              </w:rPr>
              <w:t>Discounts and</w:t>
            </w:r>
          </w:p>
        </w:tc>
        <w:tc>
          <w:tcPr>
            <w:tcW w:w="80" w:type="dxa"/>
            <w:vAlign w:val="bottom"/>
          </w:tcPr>
          <w:p>
            <w:pPr>
              <w:spacing w:after="0"/>
              <w:rPr>
                <w:sz w:val="12"/>
                <w:szCs w:val="12"/>
                <w:color w:val="auto"/>
              </w:rPr>
            </w:pPr>
          </w:p>
        </w:tc>
        <w:tc>
          <w:tcPr>
            <w:tcW w:w="820" w:type="dxa"/>
            <w:vAlign w:val="bottom"/>
          </w:tcPr>
          <w:p>
            <w:pPr>
              <w:jc w:val="center"/>
              <w:ind w:right="22"/>
              <w:spacing w:after="0" w:line="145"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880" w:type="dxa"/>
            <w:vAlign w:val="bottom"/>
            <w:gridSpan w:val="3"/>
          </w:tcPr>
          <w:p>
            <w:pPr>
              <w:spacing w:after="0" w:line="242" w:lineRule="exact"/>
              <w:rPr>
                <w:sz w:val="20"/>
                <w:szCs w:val="20"/>
                <w:color w:val="auto"/>
              </w:rPr>
            </w:pPr>
            <w:r>
              <w:rPr>
                <w:rFonts w:ascii="Arial" w:cs="Arial" w:eastAsia="Arial" w:hAnsi="Arial"/>
                <w:sz w:val="14"/>
                <w:szCs w:val="14"/>
                <w:b w:val="1"/>
                <w:bCs w:val="1"/>
                <w:color w:val="auto"/>
              </w:rPr>
              <w:t>Commissions</w:t>
            </w:r>
            <w:r>
              <w:rPr>
                <w:rFonts w:ascii="Arial" w:cs="Arial" w:eastAsia="Arial" w:hAnsi="Arial"/>
                <w:sz w:val="23"/>
                <w:szCs w:val="23"/>
                <w:b w:val="1"/>
                <w:bCs w:val="1"/>
                <w:color w:val="auto"/>
                <w:vertAlign w:val="superscript"/>
              </w:rPr>
              <w:t>(2)(3)</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57"/>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7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c>
          <w:tcPr>
            <w:tcW w:w="7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60"/>
        </w:trPr>
        <w:tc>
          <w:tcPr>
            <w:tcW w:w="4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89"/>
              </w:rPr>
              <w:t>448,000,000</w:t>
            </w:r>
          </w:p>
        </w:tc>
        <w:tc>
          <w:tcPr>
            <w:tcW w:w="780" w:type="dxa"/>
            <w:vAlign w:val="bottom"/>
          </w:tcPr>
          <w:p>
            <w:pPr>
              <w:spacing w:after="0"/>
              <w:rPr>
                <w:sz w:val="21"/>
                <w:szCs w:val="21"/>
                <w:color w:val="auto"/>
              </w:rPr>
            </w:pP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w w:val="89"/>
              </w:rPr>
              <w:t>14,560,000</w:t>
            </w:r>
          </w:p>
        </w:tc>
        <w:tc>
          <w:tcPr>
            <w:tcW w:w="7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433,440,000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4972050</wp:posOffset>
            </wp:positionH>
            <wp:positionV relativeFrom="paragraph">
              <wp:posOffset>-372745</wp:posOffset>
            </wp:positionV>
            <wp:extent cx="4972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-372745</wp:posOffset>
            </wp:positionV>
            <wp:extent cx="497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-372745</wp:posOffset>
            </wp:positionV>
            <wp:extent cx="24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184150</wp:posOffset>
            </wp:positionV>
            <wp:extent cx="822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8" w:lineRule="exact"/>
        <w:rPr>
          <w:sz w:val="24"/>
          <w:szCs w:val="24"/>
          <w:color w:val="auto"/>
        </w:rPr>
      </w:pPr>
    </w:p>
    <w:p>
      <w:pPr>
        <w:ind w:left="348" w:hanging="348"/>
        <w:spacing w:after="0" w:line="253" w:lineRule="auto"/>
        <w:tabs>
          <w:tab w:leader="none" w:pos="34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for the 10,770,026 shares offered to the public was $32.00 per share. The price for the 3,229,974 shares we intend to repurchase from the underwriters was $30.96 per share.</w:t>
      </w:r>
    </w:p>
    <w:p>
      <w:pPr>
        <w:spacing w:after="0" w:line="11" w:lineRule="exact"/>
        <w:rPr>
          <w:rFonts w:ascii="Arial" w:cs="Arial" w:eastAsia="Arial" w:hAnsi="Arial"/>
          <w:sz w:val="14"/>
          <w:szCs w:val="14"/>
          <w:color w:val="auto"/>
        </w:rPr>
      </w:pPr>
    </w:p>
    <w:p>
      <w:pPr>
        <w:ind w:left="348" w:right="180" w:hanging="348"/>
        <w:spacing w:after="0" w:line="253" w:lineRule="auto"/>
        <w:tabs>
          <w:tab w:leader="none" w:pos="34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underwriting discount for the 10,770,026 shares offered to the public was $1.04 per share. No underwriting discount or commissions will be paid to the underwriters with respect to the 3,229,974 shares we intend to repurchase.</w:t>
      </w:r>
    </w:p>
    <w:p>
      <w:pPr>
        <w:spacing w:after="0" w:line="11" w:lineRule="exact"/>
        <w:rPr>
          <w:rFonts w:ascii="Arial" w:cs="Arial" w:eastAsia="Arial" w:hAnsi="Arial"/>
          <w:sz w:val="14"/>
          <w:szCs w:val="14"/>
          <w:color w:val="auto"/>
        </w:rPr>
      </w:pPr>
    </w:p>
    <w:p>
      <w:pPr>
        <w:ind w:left="348" w:hanging="348"/>
        <w:spacing w:after="0"/>
        <w:tabs>
          <w:tab w:leader="none" w:pos="348"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35" w:lineRule="exact"/>
        <w:rPr>
          <w:sz w:val="24"/>
          <w:szCs w:val="24"/>
          <w:color w:val="auto"/>
        </w:rPr>
      </w:pPr>
    </w:p>
    <w:p>
      <w:pPr>
        <w:jc w:val="center"/>
        <w:ind w:right="-7"/>
        <w:spacing w:after="0"/>
        <w:rPr>
          <w:sz w:val="20"/>
          <w:szCs w:val="20"/>
          <w:color w:val="auto"/>
        </w:rPr>
      </w:pPr>
      <w:r>
        <w:rPr>
          <w:rFonts w:ascii="Arial" w:cs="Arial" w:eastAsia="Arial" w:hAnsi="Arial"/>
          <w:sz w:val="18"/>
          <w:szCs w:val="18"/>
          <w:color w:val="auto"/>
        </w:rPr>
        <w:t>The underwriters expect to deliver the shares on or about May 10, 2021.</w:t>
      </w:r>
    </w:p>
    <w:p>
      <w:pPr>
        <w:spacing w:after="0" w:line="144" w:lineRule="exact"/>
        <w:rPr>
          <w:sz w:val="24"/>
          <w:szCs w:val="24"/>
          <w:color w:val="auto"/>
        </w:rPr>
      </w:pPr>
    </w:p>
    <w:p>
      <w:pPr>
        <w:jc w:val="center"/>
        <w:ind w:right="-7"/>
        <w:spacing w:after="0"/>
        <w:rPr>
          <w:sz w:val="20"/>
          <w:szCs w:val="20"/>
          <w:color w:val="auto"/>
        </w:rPr>
      </w:pPr>
      <w:r>
        <w:rPr>
          <w:rFonts w:ascii="Arial" w:cs="Arial" w:eastAsia="Arial" w:hAnsi="Arial"/>
          <w:sz w:val="18"/>
          <w:szCs w:val="18"/>
          <w:i w:val="1"/>
          <w:iCs w:val="1"/>
          <w:color w:val="auto"/>
        </w:rPr>
        <w:t>Joint Book-Running Managers</w:t>
      </w:r>
    </w:p>
    <w:p>
      <w:pPr>
        <w:spacing w:after="0" w:line="185" w:lineRule="exact"/>
        <w:rPr>
          <w:sz w:val="24"/>
          <w:szCs w:val="24"/>
          <w:color w:val="auto"/>
        </w:rPr>
      </w:pPr>
    </w:p>
    <w:tbl>
      <w:tblPr>
        <w:tblLayout w:type="fixed"/>
        <w:tblInd w:w="8" w:type="dxa"/>
        <w:tblCellMar>
          <w:top w:w="0" w:type="dxa"/>
          <w:left w:w="0" w:type="dxa"/>
          <w:bottom w:w="0" w:type="dxa"/>
          <w:right w:w="0" w:type="dxa"/>
        </w:tblCellMar>
      </w:tblPr>
      <w:tr>
        <w:trPr>
          <w:trHeight w:val="280"/>
        </w:trPr>
        <w:tc>
          <w:tcPr>
            <w:tcW w:w="1380" w:type="dxa"/>
            <w:vAlign w:val="bottom"/>
          </w:tcPr>
          <w:p>
            <w:pPr>
              <w:spacing w:after="0"/>
              <w:rPr>
                <w:sz w:val="20"/>
                <w:szCs w:val="20"/>
                <w:color w:val="auto"/>
              </w:rPr>
            </w:pPr>
            <w:r>
              <w:rPr>
                <w:rFonts w:ascii="Arial" w:cs="Arial" w:eastAsia="Arial" w:hAnsi="Arial"/>
                <w:sz w:val="22"/>
                <w:szCs w:val="22"/>
                <w:b w:val="1"/>
                <w:bCs w:val="1"/>
                <w:color w:val="auto"/>
                <w:w w:val="96"/>
              </w:rPr>
              <w:t>Credit Suisse</w:t>
            </w:r>
          </w:p>
        </w:tc>
        <w:tc>
          <w:tcPr>
            <w:tcW w:w="2420" w:type="dxa"/>
            <w:vAlign w:val="bottom"/>
          </w:tcPr>
          <w:p>
            <w:pPr>
              <w:ind w:left="1040"/>
              <w:spacing w:after="0"/>
              <w:rPr>
                <w:sz w:val="20"/>
                <w:szCs w:val="20"/>
                <w:color w:val="auto"/>
              </w:rPr>
            </w:pPr>
            <w:r>
              <w:rPr>
                <w:rFonts w:ascii="Arial" w:cs="Arial" w:eastAsia="Arial" w:hAnsi="Arial"/>
                <w:sz w:val="22"/>
                <w:szCs w:val="22"/>
                <w:b w:val="1"/>
                <w:bCs w:val="1"/>
                <w:color w:val="auto"/>
              </w:rPr>
              <w:t>J.P. Morgan</w:t>
            </w:r>
          </w:p>
        </w:tc>
        <w:tc>
          <w:tcPr>
            <w:tcW w:w="3280" w:type="dxa"/>
            <w:vAlign w:val="bottom"/>
          </w:tcPr>
          <w:p>
            <w:pPr>
              <w:ind w:left="1060"/>
              <w:spacing w:after="0"/>
              <w:rPr>
                <w:sz w:val="20"/>
                <w:szCs w:val="20"/>
                <w:color w:val="auto"/>
              </w:rPr>
            </w:pPr>
            <w:r>
              <w:rPr>
                <w:rFonts w:ascii="Arial" w:cs="Arial" w:eastAsia="Arial" w:hAnsi="Arial"/>
                <w:sz w:val="22"/>
                <w:szCs w:val="22"/>
                <w:b w:val="1"/>
                <w:bCs w:val="1"/>
                <w:color w:val="auto"/>
              </w:rPr>
              <w:t>KKR</w:t>
            </w:r>
          </w:p>
        </w:tc>
        <w:tc>
          <w:tcPr>
            <w:tcW w:w="2420" w:type="dxa"/>
            <w:vAlign w:val="bottom"/>
          </w:tcPr>
          <w:p>
            <w:pPr>
              <w:jc w:val="right"/>
              <w:spacing w:after="0"/>
              <w:rPr>
                <w:sz w:val="20"/>
                <w:szCs w:val="20"/>
                <w:color w:val="auto"/>
              </w:rPr>
            </w:pPr>
            <w:r>
              <w:rPr>
                <w:rFonts w:ascii="Arial" w:cs="Arial" w:eastAsia="Arial" w:hAnsi="Arial"/>
                <w:sz w:val="22"/>
                <w:szCs w:val="22"/>
                <w:b w:val="1"/>
                <w:bCs w:val="1"/>
                <w:color w:val="auto"/>
              </w:rPr>
              <w:t>BofA Securities</w:t>
            </w:r>
          </w:p>
        </w:tc>
      </w:tr>
      <w:tr>
        <w:trPr>
          <w:trHeight w:val="368"/>
        </w:trPr>
        <w:tc>
          <w:tcPr>
            <w:tcW w:w="1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80" w:type="dxa"/>
            <w:vAlign w:val="bottom"/>
          </w:tcPr>
          <w:p>
            <w:pPr>
              <w:jc w:val="center"/>
              <w:ind w:right="1298"/>
              <w:spacing w:after="0"/>
              <w:rPr>
                <w:sz w:val="20"/>
                <w:szCs w:val="20"/>
                <w:color w:val="auto"/>
              </w:rPr>
            </w:pPr>
            <w:r>
              <w:rPr>
                <w:rFonts w:ascii="Arial" w:cs="Arial" w:eastAsia="Arial" w:hAnsi="Arial"/>
                <w:sz w:val="18"/>
                <w:szCs w:val="18"/>
                <w:i w:val="1"/>
                <w:iCs w:val="1"/>
                <w:color w:val="auto"/>
                <w:w w:val="90"/>
              </w:rPr>
              <w:t>Bookrunners</w:t>
            </w:r>
          </w:p>
        </w:tc>
        <w:tc>
          <w:tcPr>
            <w:tcW w:w="2420" w:type="dxa"/>
            <w:vAlign w:val="bottom"/>
          </w:tcPr>
          <w:p>
            <w:pPr>
              <w:spacing w:after="0"/>
              <w:rPr>
                <w:sz w:val="24"/>
                <w:szCs w:val="24"/>
                <w:color w:val="auto"/>
              </w:rPr>
            </w:pPr>
          </w:p>
        </w:tc>
      </w:tr>
      <w:tr>
        <w:trPr>
          <w:trHeight w:val="375"/>
        </w:trPr>
        <w:tc>
          <w:tcPr>
            <w:tcW w:w="1380" w:type="dxa"/>
            <w:vAlign w:val="bottom"/>
          </w:tcPr>
          <w:p>
            <w:pPr>
              <w:spacing w:after="0"/>
              <w:rPr>
                <w:sz w:val="20"/>
                <w:szCs w:val="20"/>
                <w:color w:val="auto"/>
              </w:rPr>
            </w:pPr>
            <w:r>
              <w:rPr>
                <w:rFonts w:ascii="Arial" w:cs="Arial" w:eastAsia="Arial" w:hAnsi="Arial"/>
                <w:sz w:val="22"/>
                <w:szCs w:val="22"/>
                <w:b w:val="1"/>
                <w:bCs w:val="1"/>
                <w:color w:val="auto"/>
              </w:rPr>
              <w:t>Evercore ISI</w:t>
            </w:r>
          </w:p>
        </w:tc>
        <w:tc>
          <w:tcPr>
            <w:tcW w:w="2420" w:type="dxa"/>
            <w:vAlign w:val="bottom"/>
          </w:tcPr>
          <w:p>
            <w:pPr>
              <w:ind w:left="160"/>
              <w:spacing w:after="0"/>
              <w:rPr>
                <w:sz w:val="20"/>
                <w:szCs w:val="20"/>
                <w:color w:val="auto"/>
              </w:rPr>
            </w:pPr>
            <w:r>
              <w:rPr>
                <w:rFonts w:ascii="Arial" w:cs="Arial" w:eastAsia="Arial" w:hAnsi="Arial"/>
                <w:sz w:val="22"/>
                <w:szCs w:val="22"/>
                <w:b w:val="1"/>
                <w:bCs w:val="1"/>
                <w:color w:val="auto"/>
                <w:w w:val="91"/>
              </w:rPr>
              <w:t>Guggenheim Securities</w:t>
            </w:r>
          </w:p>
        </w:tc>
        <w:tc>
          <w:tcPr>
            <w:tcW w:w="3280" w:type="dxa"/>
            <w:vAlign w:val="bottom"/>
          </w:tcPr>
          <w:p>
            <w:pPr>
              <w:ind w:left="680"/>
              <w:spacing w:after="0"/>
              <w:rPr>
                <w:sz w:val="20"/>
                <w:szCs w:val="20"/>
                <w:color w:val="auto"/>
              </w:rPr>
            </w:pPr>
            <w:r>
              <w:rPr>
                <w:rFonts w:ascii="Arial" w:cs="Arial" w:eastAsia="Arial" w:hAnsi="Arial"/>
                <w:sz w:val="22"/>
                <w:szCs w:val="22"/>
                <w:b w:val="1"/>
                <w:bCs w:val="1"/>
                <w:color w:val="auto"/>
              </w:rPr>
              <w:t>UBS Investment Bank</w:t>
            </w:r>
          </w:p>
        </w:tc>
        <w:tc>
          <w:tcPr>
            <w:tcW w:w="242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368"/>
        </w:trPr>
        <w:tc>
          <w:tcPr>
            <w:tcW w:w="1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80" w:type="dxa"/>
            <w:vAlign w:val="bottom"/>
          </w:tcPr>
          <w:p>
            <w:pPr>
              <w:jc w:val="center"/>
              <w:ind w:right="1298"/>
              <w:spacing w:after="0"/>
              <w:rPr>
                <w:sz w:val="20"/>
                <w:szCs w:val="20"/>
                <w:color w:val="auto"/>
              </w:rPr>
            </w:pPr>
            <w:r>
              <w:rPr>
                <w:rFonts w:ascii="Arial" w:cs="Arial" w:eastAsia="Arial" w:hAnsi="Arial"/>
                <w:sz w:val="18"/>
                <w:szCs w:val="18"/>
                <w:i w:val="1"/>
                <w:iCs w:val="1"/>
                <w:color w:val="auto"/>
                <w:w w:val="91"/>
              </w:rPr>
              <w:t>Co-Managers</w:t>
            </w:r>
          </w:p>
        </w:tc>
        <w:tc>
          <w:tcPr>
            <w:tcW w:w="2420" w:type="dxa"/>
            <w:vAlign w:val="bottom"/>
          </w:tcPr>
          <w:p>
            <w:pPr>
              <w:spacing w:after="0"/>
              <w:rPr>
                <w:sz w:val="24"/>
                <w:szCs w:val="24"/>
                <w:color w:val="auto"/>
              </w:rPr>
            </w:pPr>
          </w:p>
        </w:tc>
      </w:tr>
      <w:tr>
        <w:trPr>
          <w:trHeight w:val="375"/>
        </w:trPr>
        <w:tc>
          <w:tcPr>
            <w:tcW w:w="1380" w:type="dxa"/>
            <w:vAlign w:val="bottom"/>
          </w:tcPr>
          <w:p>
            <w:pPr>
              <w:spacing w:after="0"/>
              <w:rPr>
                <w:sz w:val="20"/>
                <w:szCs w:val="20"/>
                <w:color w:val="auto"/>
              </w:rPr>
            </w:pPr>
            <w:r>
              <w:rPr>
                <w:rFonts w:ascii="Arial" w:cs="Arial" w:eastAsia="Arial" w:hAnsi="Arial"/>
                <w:sz w:val="22"/>
                <w:szCs w:val="22"/>
                <w:b w:val="1"/>
                <w:bCs w:val="1"/>
                <w:color w:val="auto"/>
                <w:w w:val="95"/>
              </w:rPr>
              <w:t>Stephens Inc.</w:t>
            </w:r>
          </w:p>
        </w:tc>
        <w:tc>
          <w:tcPr>
            <w:tcW w:w="2420" w:type="dxa"/>
            <w:vAlign w:val="bottom"/>
          </w:tcPr>
          <w:p>
            <w:pPr>
              <w:ind w:left="360"/>
              <w:spacing w:after="0"/>
              <w:rPr>
                <w:sz w:val="20"/>
                <w:szCs w:val="20"/>
                <w:color w:val="auto"/>
              </w:rPr>
            </w:pPr>
            <w:r>
              <w:rPr>
                <w:rFonts w:ascii="Arial" w:cs="Arial" w:eastAsia="Arial" w:hAnsi="Arial"/>
                <w:sz w:val="22"/>
                <w:szCs w:val="22"/>
                <w:b w:val="1"/>
                <w:bCs w:val="1"/>
                <w:color w:val="auto"/>
                <w:w w:val="91"/>
              </w:rPr>
              <w:t>Loop Capital Markets</w:t>
            </w:r>
          </w:p>
        </w:tc>
        <w:tc>
          <w:tcPr>
            <w:tcW w:w="3280" w:type="dxa"/>
            <w:vAlign w:val="bottom"/>
          </w:tcPr>
          <w:p>
            <w:pPr>
              <w:ind w:left="600"/>
              <w:spacing w:after="0"/>
              <w:rPr>
                <w:sz w:val="20"/>
                <w:szCs w:val="20"/>
                <w:color w:val="auto"/>
              </w:rPr>
            </w:pPr>
            <w:r>
              <w:rPr>
                <w:rFonts w:ascii="Arial" w:cs="Arial" w:eastAsia="Arial" w:hAnsi="Arial"/>
                <w:sz w:val="22"/>
                <w:szCs w:val="22"/>
                <w:b w:val="1"/>
                <w:bCs w:val="1"/>
                <w:color w:val="auto"/>
                <w:w w:val="97"/>
              </w:rPr>
              <w:t>CastleOak Securities, L.P.</w:t>
            </w:r>
          </w:p>
        </w:tc>
        <w:tc>
          <w:tcPr>
            <w:tcW w:w="2420" w:type="dxa"/>
            <w:vAlign w:val="bottom"/>
          </w:tcPr>
          <w:p>
            <w:pPr>
              <w:jc w:val="right"/>
              <w:spacing w:after="0"/>
              <w:rPr>
                <w:sz w:val="20"/>
                <w:szCs w:val="20"/>
                <w:color w:val="auto"/>
              </w:rPr>
            </w:pPr>
            <w:r>
              <w:rPr>
                <w:rFonts w:ascii="Arial" w:cs="Arial" w:eastAsia="Arial" w:hAnsi="Arial"/>
                <w:sz w:val="22"/>
                <w:szCs w:val="22"/>
                <w:b w:val="1"/>
                <w:bCs w:val="1"/>
                <w:color w:val="auto"/>
              </w:rPr>
              <w:t>Blaylock Van, LLC</w:t>
            </w:r>
          </w:p>
        </w:tc>
      </w:tr>
      <w:tr>
        <w:trPr>
          <w:trHeight w:val="486"/>
        </w:trPr>
        <w:tc>
          <w:tcPr>
            <w:tcW w:w="3800" w:type="dxa"/>
            <w:vAlign w:val="bottom"/>
            <w:gridSpan w:val="2"/>
          </w:tcPr>
          <w:p>
            <w:pPr>
              <w:spacing w:after="0"/>
              <w:rPr>
                <w:sz w:val="20"/>
                <w:szCs w:val="20"/>
                <w:color w:val="auto"/>
              </w:rPr>
            </w:pPr>
            <w:r>
              <w:rPr>
                <w:rFonts w:ascii="Arial" w:cs="Arial" w:eastAsia="Arial" w:hAnsi="Arial"/>
                <w:sz w:val="22"/>
                <w:szCs w:val="22"/>
                <w:b w:val="1"/>
                <w:bCs w:val="1"/>
                <w:color w:val="auto"/>
              </w:rPr>
              <w:t>Cabrera Capital Markets LLC</w:t>
            </w:r>
          </w:p>
        </w:tc>
        <w:tc>
          <w:tcPr>
            <w:tcW w:w="3280" w:type="dxa"/>
            <w:vAlign w:val="bottom"/>
          </w:tcPr>
          <w:p>
            <w:pPr>
              <w:jc w:val="center"/>
              <w:ind w:right="1278"/>
              <w:spacing w:after="0"/>
              <w:rPr>
                <w:sz w:val="20"/>
                <w:szCs w:val="20"/>
                <w:color w:val="auto"/>
              </w:rPr>
            </w:pPr>
            <w:r>
              <w:rPr>
                <w:rFonts w:ascii="Arial" w:cs="Arial" w:eastAsia="Arial" w:hAnsi="Arial"/>
                <w:sz w:val="22"/>
                <w:szCs w:val="22"/>
                <w:b w:val="1"/>
                <w:bCs w:val="1"/>
                <w:color w:val="auto"/>
                <w:w w:val="93"/>
              </w:rPr>
              <w:t>Ramirez &amp; Co., Inc.</w:t>
            </w:r>
          </w:p>
        </w:tc>
        <w:tc>
          <w:tcPr>
            <w:tcW w:w="2420" w:type="dxa"/>
            <w:vAlign w:val="bottom"/>
          </w:tcPr>
          <w:p>
            <w:pPr>
              <w:jc w:val="right"/>
              <w:spacing w:after="0"/>
              <w:rPr>
                <w:sz w:val="20"/>
                <w:szCs w:val="20"/>
                <w:color w:val="auto"/>
              </w:rPr>
            </w:pPr>
            <w:r>
              <w:rPr>
                <w:rFonts w:ascii="Arial" w:cs="Arial" w:eastAsia="Arial" w:hAnsi="Arial"/>
                <w:sz w:val="22"/>
                <w:szCs w:val="22"/>
                <w:b w:val="1"/>
                <w:bCs w:val="1"/>
                <w:color w:val="auto"/>
                <w:w w:val="99"/>
              </w:rPr>
              <w:t>Telsey Advisory Group</w:t>
            </w:r>
          </w:p>
        </w:tc>
      </w:tr>
    </w:tbl>
    <w:p>
      <w:pPr>
        <w:spacing w:after="0" w:line="138" w:lineRule="exact"/>
        <w:rPr>
          <w:sz w:val="24"/>
          <w:szCs w:val="24"/>
          <w:color w:val="auto"/>
        </w:rPr>
      </w:pPr>
    </w:p>
    <w:p>
      <w:pPr>
        <w:sectPr>
          <w:pgSz w:w="11900" w:h="16838" w:orient="portrait"/>
          <w:cols w:equalWidth="0" w:num="1">
            <w:col w:w="9508"/>
          </w:cols>
          <w:pgMar w:left="1192" w:top="225" w:right="1199" w:bottom="1440" w:gutter="0" w:footer="0" w:header="0"/>
        </w:sectPr>
      </w:pPr>
    </w:p>
    <w:p>
      <w:pPr>
        <w:jc w:val="center"/>
        <w:ind w:right="12"/>
        <w:spacing w:after="0"/>
        <w:rPr>
          <w:sz w:val="20"/>
          <w:szCs w:val="20"/>
          <w:color w:val="auto"/>
        </w:rPr>
      </w:pPr>
      <w:r>
        <w:rPr>
          <w:rFonts w:ascii="Arial" w:cs="Arial" w:eastAsia="Arial" w:hAnsi="Arial"/>
          <w:sz w:val="16"/>
          <w:szCs w:val="16"/>
          <w:color w:val="auto"/>
        </w:rPr>
        <w:t>The date of this prospectus is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140970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25" w:right="1199" w:bottom="1440" w:gutter="0" w:footer="0" w:header="0"/>
          <w:type w:val="continuous"/>
        </w:sectPr>
      </w:pPr>
    </w:p>
    <w:bookmarkStart w:id="1" w:name="page2"/>
    <w:bookmarkEnd w:id="1"/>
    <w:tbl>
      <w:tblPr>
        <w:tblLayout w:type="fixed"/>
        <w:tblInd w:w="300" w:type="dxa"/>
        <w:tblCellMar>
          <w:top w:w="0" w:type="dxa"/>
          <w:left w:w="0" w:type="dxa"/>
          <w:bottom w:w="0" w:type="dxa"/>
          <w:right w:w="0" w:type="dxa"/>
        </w:tblCellMar>
      </w:tblPr>
      <w:tr>
        <w:trPr>
          <w:trHeight w:val="161"/>
        </w:trPr>
        <w:tc>
          <w:tcPr>
            <w:tcW w:w="8300" w:type="dxa"/>
            <w:vAlign w:val="bottom"/>
            <w:gridSpan w:val="19"/>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and Market Data</w:t>
              </w:r>
            </w:hyperlink>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Trademarks, Tradenames, Service Marks and Copyrights</w:t>
              </w:r>
            </w:hyperlink>
          </w:p>
        </w:tc>
        <w:tc>
          <w:tcPr>
            <w:tcW w:w="120" w:type="dxa"/>
            <w:vAlign w:val="bottom"/>
            <w:gridSpan w:val="2"/>
          </w:tcPr>
          <w:p>
            <w:pPr>
              <w:jc w:val="right"/>
              <w:ind w:right="2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Basis of Presentation</w:t>
              </w:r>
            </w:hyperlink>
          </w:p>
        </w:tc>
        <w:tc>
          <w:tcPr>
            <w:tcW w:w="120" w:type="dxa"/>
            <w:vAlign w:val="bottom"/>
            <w:gridSpan w:val="2"/>
            <w:shd w:val="clear" w:color="auto" w:fill="CCEEFF"/>
          </w:tcPr>
          <w:p>
            <w:pPr>
              <w:jc w:val="right"/>
              <w:ind w:right="20"/>
              <w:spacing w:after="0"/>
              <w:rPr>
                <w:rFonts w:ascii="Arial" w:cs="Arial" w:eastAsia="Arial" w:hAnsi="Arial"/>
                <w:sz w:val="17"/>
                <w:szCs w:val="17"/>
                <w:color w:val="0000EE"/>
                <w:w w:val="70"/>
              </w:rPr>
            </w:pPr>
            <w:hyperlink w:anchor="page4">
              <w:r>
                <w:rPr>
                  <w:rFonts w:ascii="Arial" w:cs="Arial" w:eastAsia="Arial" w:hAnsi="Arial"/>
                  <w:sz w:val="17"/>
                  <w:szCs w:val="17"/>
                  <w:color w:val="0000EE"/>
                  <w:w w:val="70"/>
                </w:rPr>
                <w:t>iii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Non-GAAP Financial Measures</w:t>
              </w:r>
            </w:hyperlink>
          </w:p>
        </w:tc>
        <w:tc>
          <w:tcPr>
            <w:tcW w:w="120" w:type="dxa"/>
            <w:vAlign w:val="bottom"/>
            <w:gridSpan w:val="2"/>
          </w:tcPr>
          <w:p>
            <w:pPr>
              <w:jc w:val="right"/>
              <w:ind w:right="20"/>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00" w:type="dxa"/>
            <w:vAlign w:val="bottom"/>
            <w:shd w:val="clear" w:color="auto" w:fill="CCEEFF"/>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20</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2">
              <w:r>
                <w:rPr>
                  <w:rFonts w:ascii="Arial" w:cs="Arial" w:eastAsia="Arial" w:hAnsi="Arial"/>
                  <w:sz w:val="10"/>
                  <w:szCs w:val="10"/>
                  <w:color w:val="0000EE"/>
                  <w:w w:val="71"/>
                </w:rPr>
                <w:t>26</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28</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Dividend Policy</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5">
              <w:r>
                <w:rPr>
                  <w:rFonts w:ascii="Arial" w:cs="Arial" w:eastAsia="Arial" w:hAnsi="Arial"/>
                  <w:sz w:val="10"/>
                  <w:szCs w:val="10"/>
                  <w:color w:val="0000EE"/>
                  <w:w w:val="71"/>
                </w:rPr>
                <w:t>29</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Selling Stockholders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36">
              <w:r>
                <w:rPr>
                  <w:rFonts w:ascii="Arial" w:cs="Arial" w:eastAsia="Arial" w:hAnsi="Arial"/>
                  <w:sz w:val="10"/>
                  <w:szCs w:val="10"/>
                  <w:color w:val="0000EE"/>
                  <w:w w:val="71"/>
                </w:rPr>
                <w:t>30</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Description of Capital Stock</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31</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Shares Eligible for Future Sale</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38</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Material U.S. Federal Income and Estate Tax Consequences to Non-U.S. Holders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46">
              <w:r>
                <w:rPr>
                  <w:rFonts w:ascii="Arial" w:cs="Arial" w:eastAsia="Arial" w:hAnsi="Arial"/>
                  <w:sz w:val="10"/>
                  <w:szCs w:val="10"/>
                  <w:color w:val="0000EE"/>
                  <w:w w:val="71"/>
                </w:rPr>
                <w:t>40</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3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Underwriting (Conflicts of Interest)</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43</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49</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30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120" w:type="dxa"/>
            <w:vAlign w:val="bottom"/>
            <w:gridSpan w:val="2"/>
          </w:tcPr>
          <w:p>
            <w:pPr>
              <w:jc w:val="right"/>
              <w:ind w:right="20"/>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49</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300" w:type="dxa"/>
            <w:vAlign w:val="bottom"/>
            <w:tcBorders>
              <w:right w:val="single" w:sz="8" w:color="CCEEFF"/>
            </w:tcBorders>
            <w:gridSpan w:val="19"/>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120" w:type="dxa"/>
            <w:vAlign w:val="bottom"/>
            <w:gridSpan w:val="2"/>
            <w:shd w:val="clear" w:color="auto" w:fill="CCEEFF"/>
          </w:tcPr>
          <w:p>
            <w:pPr>
              <w:jc w:val="right"/>
              <w:ind w:right="20"/>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49</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46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980" w:type="dxa"/>
            <w:vAlign w:val="bottom"/>
            <w:gridSpan w:val="10"/>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Incorporation by Reference</w:t>
              </w:r>
            </w:hyperlink>
          </w:p>
        </w:tc>
        <w:tc>
          <w:tcPr>
            <w:tcW w:w="6320" w:type="dxa"/>
            <w:vAlign w:val="bottom"/>
            <w:gridSpan w:val="9"/>
          </w:tcPr>
          <w:p>
            <w:pPr>
              <w:spacing w:after="0"/>
              <w:rPr>
                <w:sz w:val="19"/>
                <w:szCs w:val="19"/>
                <w:color w:val="auto"/>
              </w:rPr>
            </w:pPr>
          </w:p>
        </w:tc>
        <w:tc>
          <w:tcPr>
            <w:tcW w:w="120" w:type="dxa"/>
            <w:vAlign w:val="bottom"/>
            <w:gridSpan w:val="2"/>
          </w:tcPr>
          <w:p>
            <w:pPr>
              <w:jc w:val="right"/>
              <w:ind w:right="20"/>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205740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in any free writing prospectus we may authorize to be delivered or made available to you. None of us, the selling stockholders or the underwriters have authorized anyone to provide you with different information. The information contained, or incorporated by reference,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70"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Within this prospectus and the documents incorporated by reference herein,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including Allied Market Research and Sporting Goods Intelligence, Inc. Some data and other information contained, or incorporated by reference,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in this prospectus and “Risk Factors” in our Annual Report (as defined herein) incorporated by reference in this prospectus.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We own and license a number of registered and common law trademarks and pending applications for trademark registrations in the United States, primarily through our subsidiaries, including, for example: Academy Sports + Outdoors®, Magellan Outdoors®, BCG®, O’rageous® and Outdoor Gourmet®. Unless otherwise indicated, all trademarks appearing in this prospectus are proprietary to us, our affiliates and/or licensors. This prospectus and the documents incorporated by reference herein also contain trademarks, tradenames, service marks and copyrights of other companies, which are the property of their respective owners. Solely for convenience, certain trademarks, tradenames, service marks and copyrights referred to in this prospectus (or in documents incorporated by reference herein) may appear without the ©, ® and ™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17" w:lineRule="exact"/>
        <w:rPr>
          <w:sz w:val="20"/>
          <w:szCs w:val="20"/>
          <w:color w:val="auto"/>
        </w:rPr>
      </w:pPr>
    </w:p>
    <w:p>
      <w:pPr>
        <w:ind w:left="1000" w:right="33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479" w:hanging="348"/>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“ABL Facility” means our senior secured asset-based revolving credit facility, as described under Note 4 to our audited consolidated financial statements in our Annual Report incorporated by reference herein;</w:t>
      </w:r>
    </w:p>
    <w:p>
      <w:pPr>
        <w:spacing w:after="0" w:line="15" w:lineRule="exact"/>
        <w:rPr>
          <w:rFonts w:ascii="Arial" w:cs="Arial" w:eastAsia="Arial" w:hAnsi="Arial"/>
          <w:sz w:val="16"/>
          <w:szCs w:val="16"/>
          <w:color w:val="auto"/>
        </w:rPr>
      </w:pPr>
    </w:p>
    <w:p>
      <w:pPr>
        <w:ind w:left="1000" w:right="559" w:hanging="348"/>
        <w:spacing w:after="0" w:line="275"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“Adviser” means Kohlberg Kravis Roberts &amp; Co. L.P.;</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January 30, 2021, filed on April 7, 2021;</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17" w:lineRule="exact"/>
        <w:rPr>
          <w:rFonts w:ascii="Arial" w:cs="Arial" w:eastAsia="Arial" w:hAnsi="Arial"/>
          <w:sz w:val="18"/>
          <w:szCs w:val="18"/>
          <w:color w:val="auto"/>
        </w:rPr>
      </w:pPr>
    </w:p>
    <w:p>
      <w:pPr>
        <w:ind w:left="1000" w:right="419" w:hanging="348"/>
        <w:spacing w:after="0" w:line="291"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in our Annual Report incorporated by reference herein. There may be variations in the way in which some of our competitors and other retailers calculate comparable sales. As a result, data included, or incorporated by reference, in this prospectus regarding our comparable sales may not be comparable to similar data made available by other retailers;</w:t>
      </w:r>
    </w:p>
    <w:p>
      <w:pPr>
        <w:spacing w:after="0" w:line="58"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78" w:lineRule="exact"/>
        <w:rPr>
          <w:rFonts w:ascii="Arial" w:cs="Arial" w:eastAsia="Arial" w:hAnsi="Arial"/>
          <w:sz w:val="18"/>
          <w:szCs w:val="18"/>
          <w:color w:val="auto"/>
        </w:rPr>
      </w:pPr>
    </w:p>
    <w:p>
      <w:pPr>
        <w:ind w:left="1000" w:right="339" w:hanging="348"/>
        <w:spacing w:after="0" w:line="272"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2020 is the second highest;</w:t>
      </w:r>
    </w:p>
    <w:p>
      <w:pPr>
        <w:spacing w:after="0" w:line="69" w:lineRule="exact"/>
        <w:rPr>
          <w:rFonts w:ascii="Arial" w:cs="Arial" w:eastAsia="Arial" w:hAnsi="Arial"/>
          <w:sz w:val="17"/>
          <w:szCs w:val="17"/>
          <w:color w:val="auto"/>
        </w:rPr>
      </w:pPr>
    </w:p>
    <w:p>
      <w:pPr>
        <w:ind w:left="1000" w:right="57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“Gochman Investors” means, collectively, certain investors who are family descendants of our founder, Max Gochman;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17" w:lineRule="exact"/>
        <w:rPr>
          <w:rFonts w:ascii="Arial" w:cs="Arial" w:eastAsia="Arial" w:hAnsi="Arial"/>
          <w:sz w:val="18"/>
          <w:szCs w:val="18"/>
          <w:color w:val="auto"/>
        </w:rPr>
      </w:pPr>
    </w:p>
    <w:p>
      <w:pPr>
        <w:ind w:left="1000" w:right="339" w:hanging="348"/>
        <w:spacing w:after="0" w:line="273"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62" w:lineRule="exact"/>
        <w:rPr>
          <w:rFonts w:ascii="Arial" w:cs="Arial" w:eastAsia="Arial" w:hAnsi="Arial"/>
          <w:sz w:val="18"/>
          <w:szCs w:val="18"/>
          <w:color w:val="auto"/>
        </w:rPr>
      </w:pPr>
    </w:p>
    <w:p>
      <w:pPr>
        <w:ind w:left="1000" w:right="9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“Proxy Statement” means our Proxy Statement on Schedule 14A for our 2021 Annual Meeting of Stockholders filed on April 23, 2021; and</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“Term Loan Facility” means our senior secured term loan facility, as described under Note 4 to our audited consolidated financial statements in our Annual Report incorporated by reference herein.</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300" w:right="799" w:firstLine="360"/>
        <w:spacing w:after="0" w:line="342" w:lineRule="auto"/>
        <w:rPr>
          <w:sz w:val="20"/>
          <w:szCs w:val="20"/>
          <w:color w:val="auto"/>
        </w:rPr>
      </w:pPr>
      <w:r>
        <w:rPr>
          <w:rFonts w:ascii="Arial" w:cs="Arial" w:eastAsia="Arial" w:hAnsi="Arial"/>
          <w:sz w:val="16"/>
          <w:szCs w:val="16"/>
          <w:color w:val="auto"/>
        </w:rPr>
        <w:t>Academy Sports and Outdoors, Inc. conducts its operations through its subsidiaries, including its indirect subsidiary, Academy, Ltd., an operating company which is doing business as “Academy Sports + Outdoors.”</w:t>
      </w:r>
    </w:p>
    <w:p>
      <w:pPr>
        <w:spacing w:after="0" w:line="16"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“2017,” “2018,” “2019,” “2020” and “2021” relate to our fiscal years ended February 3, 2018, February 2, 2019, February 1, 2020, January 30, 2021 and January 29, 2022, respectively, unless the context requires otherwise.</w:t>
      </w:r>
    </w:p>
    <w:p>
      <w:pPr>
        <w:spacing w:after="0" w:line="70"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Numerical figures included, or incorporated by reference, in this prospectus have been subject to rounding adjustments. Accordingly, numerical figures shown as totals in various tables may not be arithmetic aggregations of the figures that precede them.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This prospectus and the documents incorporated by reference herein contain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and “Adjusted Free Cash Flow.”</w:t>
      </w:r>
    </w:p>
    <w:p>
      <w:pPr>
        <w:spacing w:after="0" w:line="68"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Adjusted EBITDA, Adjusted Net Income and Adjusted Free Cash Flow have been presented in this prospectus and the documents incorporated by reference herein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6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 Summary Historical Consolidated Financial and Other Data.”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0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7108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herein from our filings with the SEC listed under “Incorporation by Reference.” This summary does not contain all of the information that you should consider before deciding to invest in our common stock. You should carefully read this entire prospectus and the information incorporated by reference in this prospectus, including any free writing prospectus prepared by us or on our behalf, including the sections entitled “Risk Factors” and “Forward-Looking Statements” included elsewhere in this prospectus and “Risk Factors,” “Management’s Discussion and Analysis of Financial Condition and Results of Operations” and our audited consolidated financial statements and related notes thereto in our Annual Report incorporated by reference herein, before making an investment decision. This summary contains forward-looking statements that involve risks and uncertainties.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approximately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17" w:lineRule="exact"/>
        <w:rPr>
          <w:sz w:val="20"/>
          <w:szCs w:val="20"/>
          <w:color w:val="auto"/>
        </w:rPr>
      </w:pPr>
    </w:p>
    <w:p>
      <w:pPr>
        <w:ind w:left="1020" w:hanging="350"/>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Value-based assortment that enables our customers to participate and have fun, no matter their budget.</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17"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rapidly growing and profitable omnichannel strategy that leverages our strong BOPIS and shipping fulfillment capabilities.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1020" w:right="9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(“MSAs”).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117" w:lineRule="exact"/>
        <w:rPr>
          <w:sz w:val="20"/>
          <w:szCs w:val="20"/>
          <w:color w:val="auto"/>
        </w:rPr>
      </w:pPr>
    </w:p>
    <w:p>
      <w:pPr>
        <w:ind w:left="320" w:right="339" w:firstLine="360"/>
        <w:spacing w:after="0" w:line="293" w:lineRule="auto"/>
        <w:rPr>
          <w:sz w:val="20"/>
          <w:szCs w:val="20"/>
          <w:color w:val="auto"/>
        </w:rPr>
      </w:pPr>
      <w:r>
        <w:rPr>
          <w:rFonts w:ascii="Arial" w:cs="Arial" w:eastAsia="Arial" w:hAnsi="Arial"/>
          <w:sz w:val="16"/>
          <w:szCs w:val="16"/>
          <w:color w:val="auto"/>
        </w:rPr>
        <w:t>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w:t>
      </w:r>
    </w:p>
    <w:p>
      <w:pPr>
        <w:spacing w:after="0" w:line="56" w:lineRule="exact"/>
        <w:rPr>
          <w:sz w:val="20"/>
          <w:szCs w:val="20"/>
          <w:color w:val="auto"/>
        </w:rPr>
      </w:pPr>
    </w:p>
    <w:p>
      <w:pPr>
        <w:ind w:left="320" w:right="319" w:firstLine="360"/>
        <w:spacing w:after="0" w:line="288" w:lineRule="auto"/>
        <w:rPr>
          <w:sz w:val="20"/>
          <w:szCs w:val="20"/>
          <w:color w:val="auto"/>
        </w:rPr>
      </w:pPr>
      <w:r>
        <w:rPr>
          <w:rFonts w:ascii="Arial" w:cs="Arial" w:eastAsia="Arial" w:hAnsi="Arial"/>
          <w:sz w:val="16"/>
          <w:szCs w:val="16"/>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2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57" w:lineRule="exact"/>
        <w:rPr>
          <w:sz w:val="20"/>
          <w:szCs w:val="20"/>
          <w:color w:val="auto"/>
        </w:rPr>
      </w:pPr>
    </w:p>
    <w:p>
      <w:pPr>
        <w:ind w:left="320" w:right="379" w:firstLine="360"/>
        <w:spacing w:after="0" w:line="271"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70" w:lineRule="exact"/>
        <w:rPr>
          <w:sz w:val="20"/>
          <w:szCs w:val="20"/>
          <w:color w:val="auto"/>
        </w:rPr>
      </w:pPr>
    </w:p>
    <w:p>
      <w:pPr>
        <w:ind w:left="320" w:right="299" w:firstLine="360"/>
        <w:spacing w:after="0" w:line="287" w:lineRule="auto"/>
        <w:rPr>
          <w:sz w:val="20"/>
          <w:szCs w:val="20"/>
          <w:color w:val="auto"/>
        </w:rPr>
      </w:pPr>
      <w:r>
        <w:rPr>
          <w:rFonts w:ascii="Arial" w:cs="Arial" w:eastAsia="Arial" w:hAnsi="Arial"/>
          <w:sz w:val="16"/>
          <w:szCs w:val="16"/>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stores deliver industry-leading unit sales and profitability, including 2020 net sales per store of</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$22.0 million, average total sales per square foot of $311, and average EBITDA per store of $2.3 million. Our</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customers love the Academy store shopping experience because they are able to easily find, learn about, feel, try 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walk out with their favorite items. Our one-stop, convenient store layout, together with our highly trained team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members offering value-added customer services, drive strong and consistent store foot traffic and transaction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volume, with our average customers visiting our stores two to three times per year and our best customers visiting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stores nine times per year. The majority of our stores are located in high-traffic shopping centers, while none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stores are located in, or anchored to, malls.</w:t>
      </w:r>
    </w:p>
    <w:p>
      <w:pPr>
        <w:spacing w:after="0" w:line="103" w:lineRule="exact"/>
        <w:rPr>
          <w:sz w:val="20"/>
          <w:szCs w:val="20"/>
          <w:color w:val="auto"/>
        </w:rPr>
      </w:pPr>
    </w:p>
    <w:p>
      <w:pPr>
        <w:ind w:left="320" w:right="299" w:firstLine="360"/>
        <w:spacing w:after="0" w:line="270" w:lineRule="auto"/>
        <w:rPr>
          <w:sz w:val="20"/>
          <w:szCs w:val="20"/>
          <w:color w:val="auto"/>
        </w:rPr>
      </w:pPr>
      <w:r>
        <w:rPr>
          <w:rFonts w:ascii="Arial" w:cs="Arial" w:eastAsia="Arial" w:hAnsi="Arial"/>
          <w:sz w:val="17"/>
          <w:szCs w:val="17"/>
          <w:color w:val="auto"/>
        </w:rPr>
        <w:t>Our emerging, profitable e-commerce platform that leverages our strong BOPIS and shipping fulfillment capabilities has achieved year-over-year sales growth of 138% and 8% during 2020 and 2019, respectively. Our e-commerce sales represented 10.4% and 5.1%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39% of our e-commerce sales during 2020 coming from new households.</w:t>
      </w:r>
    </w:p>
    <w:p>
      <w:pPr>
        <w:spacing w:after="0" w:line="73" w:lineRule="exact"/>
        <w:rPr>
          <w:sz w:val="20"/>
          <w:szCs w:val="20"/>
          <w:color w:val="auto"/>
        </w:rPr>
      </w:pPr>
    </w:p>
    <w:p>
      <w:pPr>
        <w:ind w:left="320" w:right="379" w:firstLine="360"/>
        <w:spacing w:after="0" w:line="255"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finished 2020 with approximately $5.7 billion in sales, $308.8 million of net income and $607.0 million in</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Adjusted EBITDA. Although comparable sales were negative for 2017, 2018 and 2019, we have seen six</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consecutive quarters of positive comparable sales and Adjusted EBITDA growth. We earned net income of</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$308.8 million, $120.0 million and $21.4 million during 2020, 2019 and 2018, respectively. See “—Summary</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Historical Consolidated Financial and Other Data” for definitions of Adjusted EBITDA and Adjusted Free Cash</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Flow and reconciliations of Adjusted EBITDA to net income and Adjusted Free Cash Flow to net cash provided by</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activities.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93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jc w:val="both"/>
        <w:ind w:left="320" w:right="599" w:firstLine="36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p>
      <w:pPr>
        <w:spacing w:after="0" w:line="76" w:lineRule="exact"/>
        <w:rPr>
          <w:sz w:val="20"/>
          <w:szCs w:val="20"/>
          <w:color w:val="auto"/>
        </w:rPr>
      </w:pPr>
    </w:p>
    <w:p>
      <w:pPr>
        <w:ind w:left="1020" w:right="319" w:hanging="350"/>
        <w:spacing w:after="0" w:line="27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seven of whom joined Academy 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70" w:lineRule="exact"/>
        <w:rPr>
          <w:rFonts w:ascii="Arial" w:cs="Arial" w:eastAsia="Arial" w:hAnsi="Arial"/>
          <w:sz w:val="17"/>
          <w:szCs w:val="17"/>
          <w:color w:val="auto"/>
        </w:rPr>
      </w:pPr>
    </w:p>
    <w:p>
      <w:pPr>
        <w:ind w:left="1020" w:right="299" w:hanging="350"/>
        <w:spacing w:after="0" w:line="25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in our omnichannel capabilities from 2017</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2019, we launched several new omnichannel initiatives in 2019, including our BOPIS program, ship-to-store program and new website design, content and functionality. While still early in our omnichannel strategy, we have built a profitable omnichannel business that is poised for continued growth and improvement of capabilities.</w:t>
      </w:r>
    </w:p>
    <w:p>
      <w:pPr>
        <w:spacing w:after="0" w:line="79" w:lineRule="exact"/>
        <w:rPr>
          <w:rFonts w:ascii="Arial" w:cs="Arial" w:eastAsia="Arial" w:hAnsi="Arial"/>
          <w:sz w:val="18"/>
          <w:szCs w:val="18"/>
          <w:color w:val="auto"/>
        </w:rPr>
      </w:pPr>
    </w:p>
    <w:p>
      <w:pPr>
        <w:ind w:left="1020" w:right="51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offerings. This initiative resulted in an improved customer shopping experience and increased sales.</w:t>
      </w:r>
    </w:p>
    <w:p>
      <w:pPr>
        <w:spacing w:after="0" w:line="75" w:lineRule="exact"/>
        <w:rPr>
          <w:rFonts w:ascii="Arial" w:cs="Arial" w:eastAsia="Arial" w:hAnsi="Arial"/>
          <w:sz w:val="18"/>
          <w:szCs w:val="18"/>
          <w:color w:val="auto"/>
        </w:rPr>
      </w:pPr>
    </w:p>
    <w:p>
      <w:pPr>
        <w:ind w:left="1020" w:right="379" w:hanging="350"/>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and continuing into 2020, we improved and focused our assortments in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categories, such as team sports, fishing and 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Arial" w:cs="Arial" w:eastAsia="Arial" w:hAnsi="Arial"/>
          <w:sz w:val="18"/>
          <w:szCs w:val="18"/>
          <w:color w:val="auto"/>
        </w:rPr>
      </w:pPr>
    </w:p>
    <w:p>
      <w:pPr>
        <w:ind w:left="1020" w:right="33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Enhance store optimization </w:t>
      </w:r>
      <w:r>
        <w:rPr>
          <w:rFonts w:ascii="Arial" w:cs="Arial" w:eastAsia="Arial" w:hAnsi="Arial"/>
          <w:sz w:val="18"/>
          <w:szCs w:val="18"/>
          <w:color w:val="auto"/>
        </w:rPr>
        <w:t>– We leverage technology to enable our store team members to better manage,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 and reduce tasks to give them more time to engage in customer service, thereby increasing our productivity and sales conversion.</w:t>
      </w:r>
    </w:p>
    <w:p>
      <w:pPr>
        <w:spacing w:after="0" w:line="75" w:lineRule="exact"/>
        <w:rPr>
          <w:rFonts w:ascii="Arial" w:cs="Arial" w:eastAsia="Arial" w:hAnsi="Arial"/>
          <w:sz w:val="18"/>
          <w:szCs w:val="18"/>
          <w:color w:val="auto"/>
        </w:rPr>
      </w:pPr>
    </w:p>
    <w:p>
      <w:pPr>
        <w:jc w:val="both"/>
        <w:ind w:left="1020" w:right="339" w:hanging="350"/>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Digital marketing program </w:t>
      </w:r>
      <w:r>
        <w:rPr>
          <w:rFonts w:ascii="Arial" w:cs="Arial" w:eastAsia="Arial" w:hAnsi="Arial"/>
          <w:sz w:val="17"/>
          <w:szCs w:val="17"/>
          <w:color w:val="auto"/>
        </w:rPr>
        <w:t>– During the last two years, we shifted our primary marketing focus from print</w:t>
      </w:r>
      <w:r>
        <w:rPr>
          <w:rFonts w:ascii="Arial" w:cs="Arial" w:eastAsia="Arial" w:hAnsi="Arial"/>
          <w:sz w:val="17"/>
          <w:szCs w:val="17"/>
          <w:i w:val="1"/>
          <w:iCs w:val="1"/>
          <w:color w:val="auto"/>
        </w:rPr>
        <w:t xml:space="preserve"> </w:t>
      </w:r>
      <w:r>
        <w:rPr>
          <w:rFonts w:ascii="Arial" w:cs="Arial" w:eastAsia="Arial" w:hAnsi="Arial"/>
          <w:sz w:val="17"/>
          <w:szCs w:val="17"/>
          <w:color w:val="auto"/>
        </w:rPr>
        <w:t>to digital marketing. Our improved website also supports our stores with digital marketing and our BOPIS program. Each of these initiatives has given us a closer connection with our customers.</w:t>
      </w:r>
    </w:p>
    <w:p>
      <w:pPr>
        <w:spacing w:after="0" w:line="57" w:lineRule="exact"/>
        <w:rPr>
          <w:rFonts w:ascii="Arial" w:cs="Arial" w:eastAsia="Arial" w:hAnsi="Arial"/>
          <w:sz w:val="17"/>
          <w:szCs w:val="17"/>
          <w:color w:val="auto"/>
        </w:rPr>
      </w:pPr>
    </w:p>
    <w:p>
      <w:pPr>
        <w:ind w:left="1020" w:right="579" w:hanging="350"/>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approximately 4.5% of 2020 net sales. Academy Credit Card represents a significant opportunity to build customer loyalty, as our Academy Credit Card customers both spend more per trip and visit our stores more often.</w:t>
      </w:r>
    </w:p>
    <w:p>
      <w:pPr>
        <w:spacing w:after="0" w:line="78" w:lineRule="exact"/>
        <w:rPr>
          <w:rFonts w:ascii="Arial" w:cs="Arial" w:eastAsia="Arial" w:hAnsi="Arial"/>
          <w:sz w:val="18"/>
          <w:szCs w:val="18"/>
          <w:color w:val="auto"/>
        </w:rPr>
      </w:pPr>
    </w:p>
    <w:p>
      <w:pPr>
        <w:ind w:left="1020" w:right="419" w:hanging="350"/>
        <w:spacing w:after="0" w:line="27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w:t>
      </w:r>
      <w:r>
        <w:rPr>
          <w:rFonts w:ascii="Arial" w:cs="Arial" w:eastAsia="Arial" w:hAnsi="Arial"/>
          <w:sz w:val="17"/>
          <w:szCs w:val="17"/>
          <w:i w:val="1"/>
          <w:iCs w:val="1"/>
          <w:color w:val="auto"/>
        </w:rPr>
        <w:t xml:space="preserve"> </w:t>
      </w:r>
      <w:r>
        <w:rPr>
          <w:rFonts w:ascii="Arial" w:cs="Arial" w:eastAsia="Arial" w:hAnsi="Arial"/>
          <w:sz w:val="17"/>
          <w:szCs w:val="17"/>
          <w:color w:val="auto"/>
        </w:rPr>
        <w:t>has improved our margins 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p>
      <w:pPr>
        <w:spacing w:after="0" w:line="68" w:lineRule="exact"/>
        <w:rPr>
          <w:rFonts w:ascii="Arial" w:cs="Arial" w:eastAsia="Arial" w:hAnsi="Arial"/>
          <w:sz w:val="17"/>
          <w:szCs w:val="17"/>
          <w:color w:val="auto"/>
        </w:rPr>
      </w:pPr>
    </w:p>
    <w:p>
      <w:pPr>
        <w:ind w:left="1020" w:right="319" w:hanging="350"/>
        <w:spacing w:after="0" w:line="29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Develop small box format </w:t>
      </w:r>
      <w:r>
        <w:rPr>
          <w:rFonts w:ascii="Arial" w:cs="Arial" w:eastAsia="Arial" w:hAnsi="Arial"/>
          <w:sz w:val="16"/>
          <w:szCs w:val="16"/>
          <w:color w:val="auto"/>
        </w:rPr>
        <w:t>– We opened our first small format store (approximately 40,000 square feet) in</w:t>
      </w:r>
      <w:r>
        <w:rPr>
          <w:rFonts w:ascii="Arial" w:cs="Arial" w:eastAsia="Arial" w:hAnsi="Arial"/>
          <w:sz w:val="16"/>
          <w:szCs w:val="16"/>
          <w:i w:val="1"/>
          <w:iCs w:val="1"/>
          <w:color w:val="auto"/>
        </w:rPr>
        <w:t xml:space="preserve"> </w:t>
      </w:r>
      <w:r>
        <w:rPr>
          <w:rFonts w:ascii="Arial" w:cs="Arial" w:eastAsia="Arial" w:hAnsi="Arial"/>
          <w:sz w:val="16"/>
          <w:szCs w:val="16"/>
          <w:color w:val="auto"/>
        </w:rPr>
        <w:t>Dallas, Texas in 2019. We believe this 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p>
      <w:pPr>
        <w:spacing w:after="0" w:line="56" w:lineRule="exact"/>
        <w:rPr>
          <w:sz w:val="20"/>
          <w:szCs w:val="20"/>
          <w:color w:val="auto"/>
        </w:rPr>
      </w:pPr>
    </w:p>
    <w:p>
      <w:pPr>
        <w:ind w:left="320" w:right="299" w:firstLine="360"/>
        <w:spacing w:after="0" w:line="275"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 to facilitate social distancing. We expect that this will continue throughout the duration of the pandemic and will</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76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299"/>
        <w:spacing w:after="0" w:line="269" w:lineRule="auto"/>
        <w:rPr>
          <w:sz w:val="20"/>
          <w:szCs w:val="20"/>
          <w:color w:val="auto"/>
        </w:rPr>
      </w:pPr>
      <w:r>
        <w:rPr>
          <w:rFonts w:ascii="Arial" w:cs="Arial" w:eastAsia="Arial" w:hAnsi="Arial"/>
          <w:sz w:val="17"/>
          <w:szCs w:val="17"/>
          <w:color w:val="auto"/>
        </w:rPr>
        <w:t>result in a long-term increase to our customer base. The industry has seen unprecedented increases in participation across several categories which we consider to be some of our “power categories.” This includes camping/hiking/kayaking,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spacing w:after="0" w:line="33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20" w:right="379" w:firstLine="360"/>
        <w:spacing w:after="0" w:line="275" w:lineRule="auto"/>
        <w:rPr>
          <w:sz w:val="20"/>
          <w:szCs w:val="20"/>
          <w:color w:val="auto"/>
        </w:rPr>
      </w:pPr>
      <w:r>
        <w:rPr>
          <w:rFonts w:ascii="Arial" w:cs="Arial" w:eastAsia="Arial" w:hAnsi="Arial"/>
          <w:sz w:val="17"/>
          <w:szCs w:val="17"/>
          <w:color w:val="auto"/>
        </w:rPr>
        <w:t>We compete in a $110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retail sporting goods and outdoor recreation retail industry comprises six principal categories of retailers:</w:t>
      </w:r>
    </w:p>
    <w:p>
      <w:pPr>
        <w:spacing w:after="0" w:line="140" w:lineRule="exact"/>
        <w:rPr>
          <w:sz w:val="20"/>
          <w:szCs w:val="20"/>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Mass general merchants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Large format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Traditional sporting goods stores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Specialty outdoor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Specialty footwear retailers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Catalogue &amp; Internet retailers</w:t>
      </w:r>
    </w:p>
    <w:p>
      <w:pPr>
        <w:spacing w:after="0" w:line="117" w:lineRule="exact"/>
        <w:rPr>
          <w:sz w:val="20"/>
          <w:szCs w:val="20"/>
          <w:color w:val="auto"/>
        </w:rPr>
      </w:pPr>
    </w:p>
    <w:p>
      <w:pPr>
        <w:ind w:left="320" w:right="379" w:firstLine="36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62" w:lineRule="exact"/>
        <w:rPr>
          <w:sz w:val="20"/>
          <w:szCs w:val="20"/>
          <w:color w:val="auto"/>
        </w:rPr>
      </w:pPr>
    </w:p>
    <w:p>
      <w:pPr>
        <w:ind w:left="320" w:right="319" w:firstLine="360"/>
        <w:spacing w:after="0" w:line="268"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74"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99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the second largest full-line sporting goods and outdoor recreation retailer in the United States, with</w:t>
      </w:r>
    </w:p>
    <w:p>
      <w:pPr>
        <w:spacing w:after="0" w:line="35" w:lineRule="exact"/>
        <w:rPr>
          <w:sz w:val="20"/>
          <w:szCs w:val="20"/>
          <w:color w:val="auto"/>
        </w:rPr>
      </w:pPr>
    </w:p>
    <w:p>
      <w:pPr>
        <w:ind w:left="320" w:right="359"/>
        <w:spacing w:after="0" w:line="253" w:lineRule="auto"/>
        <w:rPr>
          <w:sz w:val="20"/>
          <w:szCs w:val="20"/>
          <w:color w:val="auto"/>
        </w:rPr>
      </w:pPr>
      <w:r>
        <w:rPr>
          <w:rFonts w:ascii="Arial" w:cs="Arial" w:eastAsia="Arial" w:hAnsi="Arial"/>
          <w:sz w:val="18"/>
          <w:szCs w:val="18"/>
          <w:color w:val="auto"/>
        </w:rPr>
        <w:t>2020 net sales of $5.7 billion. We believe our stores are well positioned geographically, with a strong and growing presence in six of the top 10 fastest-growing MSAs, including Dallas, Houston, Atlanta, Austin, Charlotte and San Antonio. As of January 30, 2021, 29% of our stores are in four of the top five fastest-growing MSAs. This deep penetration of our established markets results in high customer awareness of, and loyalty to, the Academy name and frequent visits to our conveniently located stores.</w:t>
      </w:r>
    </w:p>
    <w:p>
      <w:pPr>
        <w:spacing w:after="0" w:line="83" w:lineRule="exact"/>
        <w:rPr>
          <w:sz w:val="20"/>
          <w:szCs w:val="20"/>
          <w:color w:val="auto"/>
        </w:rPr>
      </w:pPr>
    </w:p>
    <w:p>
      <w:pPr>
        <w:ind w:left="320" w:right="319" w:firstLine="360"/>
        <w:spacing w:after="0" w:line="257" w:lineRule="auto"/>
        <w:rPr>
          <w:sz w:val="20"/>
          <w:szCs w:val="20"/>
          <w:color w:val="auto"/>
        </w:rPr>
      </w:pPr>
      <w:r>
        <w:rPr>
          <w:rFonts w:ascii="Arial" w:cs="Arial" w:eastAsia="Arial" w:hAnsi="Arial"/>
          <w:sz w:val="18"/>
          <w:szCs w:val="18"/>
          <w:color w:val="auto"/>
        </w:rPr>
        <w:t>The size of the sporting goods and outdoor recreation industry was estimated at $110 billion in the United States in 2020, based on SGI Market Facts—Athletic Footwear &amp; Apparel 2020 and SGI Market Facts—Sports Equipment 2020 by Sporting Goods Intelligence, Inc., and it is growing. According to Allied Market Research, sales growth from 2019 through 2027 in categories we participate, such as outdoor, team sports, apparel and footwear, is expected to grow approximately 6% per annum.</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20" w:right="279" w:firstLine="360"/>
        <w:spacing w:after="0" w:line="285"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20" w:right="359" w:firstLine="360"/>
        <w:spacing w:after="0" w:line="293" w:lineRule="auto"/>
        <w:rPr>
          <w:sz w:val="20"/>
          <w:szCs w:val="20"/>
          <w:color w:val="auto"/>
        </w:rPr>
      </w:pPr>
      <w:r>
        <w:rPr>
          <w:rFonts w:ascii="Arial" w:cs="Arial" w:eastAsia="Arial" w:hAnsi="Arial"/>
          <w:sz w:val="16"/>
          <w:szCs w:val="16"/>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w:t>
      </w:r>
    </w:p>
    <w:p>
      <w:pPr>
        <w:spacing w:after="0" w:line="56" w:lineRule="exact"/>
        <w:rPr>
          <w:sz w:val="20"/>
          <w:szCs w:val="20"/>
          <w:color w:val="auto"/>
        </w:rPr>
      </w:pPr>
    </w:p>
    <w:p>
      <w:pPr>
        <w:ind w:left="320" w:right="319" w:firstLine="360"/>
        <w:spacing w:after="0" w:line="271"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30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830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19" w:firstLine="360"/>
        <w:spacing w:after="0" w:line="269" w:lineRule="auto"/>
        <w:rPr>
          <w:sz w:val="20"/>
          <w:szCs w:val="20"/>
          <w:color w:val="auto"/>
        </w:rPr>
      </w:pPr>
      <w:r>
        <w:rPr>
          <w:rFonts w:ascii="Arial" w:cs="Arial" w:eastAsia="Arial" w:hAnsi="Arial"/>
          <w:sz w:val="17"/>
          <w:szCs w:val="17"/>
          <w:color w:val="auto"/>
        </w:rPr>
        <w:t>Our owned brand portfolio consists of 19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20" w:right="319" w:firstLine="360"/>
        <w:spacing w:after="0" w:line="286"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66" w:lineRule="exact"/>
        <w:rPr>
          <w:sz w:val="20"/>
          <w:szCs w:val="20"/>
          <w:color w:val="auto"/>
        </w:rPr>
      </w:pPr>
    </w:p>
    <w:p>
      <w:pPr>
        <w:ind w:left="320" w:right="339" w:firstLine="360"/>
        <w:spacing w:after="0" w:line="286"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320" w:right="499" w:firstLine="360"/>
        <w:spacing w:after="0" w:line="30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2020, we estimate we served approximately 30 million unique customers and we completed approximately 80 million transactions, resulting in strong household penetration in our core markets.</w:t>
      </w:r>
    </w:p>
    <w:p>
      <w:pPr>
        <w:spacing w:after="0" w:line="49" w:lineRule="exact"/>
        <w:rPr>
          <w:sz w:val="20"/>
          <w:szCs w:val="20"/>
          <w:color w:val="auto"/>
        </w:rPr>
      </w:pPr>
    </w:p>
    <w:p>
      <w:pPr>
        <w:ind w:left="320" w:right="399" w:firstLine="360"/>
        <w:spacing w:after="0" w:line="273" w:lineRule="auto"/>
        <w:rPr>
          <w:sz w:val="20"/>
          <w:szCs w:val="20"/>
          <w:color w:val="auto"/>
        </w:rPr>
      </w:pPr>
      <w:r>
        <w:rPr>
          <w:rFonts w:ascii="Arial" w:cs="Arial" w:eastAsia="Arial" w:hAnsi="Arial"/>
          <w:sz w:val="17"/>
          <w:szCs w:val="17"/>
          <w:color w:val="auto"/>
        </w:rPr>
        <w:t>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76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19" w:firstLine="360"/>
        <w:spacing w:after="0" w:line="254" w:lineRule="auto"/>
        <w:rPr>
          <w:sz w:val="20"/>
          <w:szCs w:val="20"/>
          <w:color w:val="auto"/>
        </w:rPr>
      </w:pPr>
      <w:r>
        <w:rPr>
          <w:rFonts w:ascii="Arial" w:cs="Arial" w:eastAsia="Arial" w:hAnsi="Arial"/>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87" w:lineRule="exact"/>
        <w:rPr>
          <w:sz w:val="20"/>
          <w:szCs w:val="20"/>
          <w:color w:val="auto"/>
        </w:rPr>
      </w:pPr>
    </w:p>
    <w:p>
      <w:pPr>
        <w:ind w:left="320" w:right="459" w:firstLine="360"/>
        <w:spacing w:after="0" w:line="271"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20" w:right="299" w:firstLine="360"/>
        <w:spacing w:after="0" w:line="269" w:lineRule="auto"/>
        <w:rPr>
          <w:sz w:val="20"/>
          <w:szCs w:val="20"/>
          <w:color w:val="auto"/>
        </w:rPr>
      </w:pPr>
      <w:r>
        <w:rPr>
          <w:rFonts w:ascii="Arial" w:cs="Arial" w:eastAsia="Arial" w:hAnsi="Arial"/>
          <w:sz w:val="17"/>
          <w:szCs w:val="17"/>
          <w:color w:val="auto"/>
        </w:rPr>
        <w:t>Our company is led by a highly 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20" w:right="279" w:firstLine="360"/>
        <w:spacing w:after="0" w:line="272" w:lineRule="auto"/>
        <w:rPr>
          <w:sz w:val="20"/>
          <w:szCs w:val="20"/>
          <w:color w:val="auto"/>
        </w:rPr>
      </w:pPr>
      <w:r>
        <w:rPr>
          <w:rFonts w:ascii="Arial" w:cs="Arial" w:eastAsia="Arial" w:hAnsi="Arial"/>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69" w:lineRule="exact"/>
        <w:rPr>
          <w:sz w:val="20"/>
          <w:szCs w:val="20"/>
          <w:color w:val="auto"/>
        </w:rPr>
      </w:pPr>
    </w:p>
    <w:p>
      <w:pPr>
        <w:ind w:left="320" w:right="439" w:firstLine="360"/>
        <w:spacing w:after="0" w:line="255" w:lineRule="auto"/>
        <w:rPr>
          <w:sz w:val="20"/>
          <w:szCs w:val="20"/>
          <w:color w:val="auto"/>
        </w:rPr>
      </w:pPr>
      <w:r>
        <w:rPr>
          <w:rFonts w:ascii="Arial" w:cs="Arial" w:eastAsia="Arial" w:hAnsi="Arial"/>
          <w:sz w:val="18"/>
          <w:szCs w:val="18"/>
          <w:color w:val="auto"/>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spacing w:after="0" w:line="84"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focused on the following four growth drivers: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jc w:val="both"/>
        <w:ind w:left="320" w:right="379" w:firstLine="360"/>
        <w:spacing w:after="0" w:line="286" w:lineRule="auto"/>
        <w:rPr>
          <w:sz w:val="20"/>
          <w:szCs w:val="20"/>
          <w:color w:val="auto"/>
        </w:rPr>
      </w:pPr>
      <w:r>
        <w:rPr>
          <w:rFonts w:ascii="Arial" w:cs="Arial" w:eastAsia="Arial" w:hAnsi="Arial"/>
          <w:sz w:val="17"/>
          <w:szCs w:val="17"/>
          <w:color w:val="auto"/>
        </w:rPr>
        <w:t>Our e-commerce sales represented 10.4% and 5.1% of our merchandise sales for 2020 and 2019, respectively. E-commerce sales compared to the same quarter of the prior year increased 406% in the first quarter of 2020, 210% in the second quarter of 2020, 96% in the third quarter of 2020 and 61% in the</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07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459"/>
        <w:spacing w:after="0" w:line="273" w:lineRule="auto"/>
        <w:rPr>
          <w:sz w:val="20"/>
          <w:szCs w:val="20"/>
          <w:color w:val="auto"/>
        </w:rPr>
      </w:pPr>
      <w:r>
        <w:rPr>
          <w:rFonts w:ascii="Arial" w:cs="Arial" w:eastAsia="Arial" w:hAnsi="Arial"/>
          <w:sz w:val="17"/>
          <w:szCs w:val="17"/>
          <w:color w:val="auto"/>
        </w:rPr>
        <w:t>fourth quarter of 2020. Our goal is to increase our omnichannel penetration quickly and significantly. To meet this goal, since 2011, we have invested $230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70"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third quarter of 2020, which will continue to give our customers more options on how to shop Academy.</w:t>
      </w:r>
    </w:p>
    <w:p>
      <w:pPr>
        <w:spacing w:after="0" w:line="77" w:lineRule="exact"/>
        <w:rPr>
          <w:sz w:val="20"/>
          <w:szCs w:val="20"/>
          <w:color w:val="auto"/>
        </w:rPr>
      </w:pPr>
    </w:p>
    <w:p>
      <w:pPr>
        <w:ind w:left="320" w:right="299" w:firstLine="360"/>
        <w:spacing w:after="0" w:line="290" w:lineRule="auto"/>
        <w:rPr>
          <w:sz w:val="20"/>
          <w:szCs w:val="20"/>
          <w:color w:val="auto"/>
        </w:rPr>
      </w:pPr>
      <w:r>
        <w:rPr>
          <w:rFonts w:ascii="Arial" w:cs="Arial" w:eastAsia="Arial" w:hAnsi="Arial"/>
          <w:sz w:val="16"/>
          <w:szCs w:val="16"/>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20" w:right="339" w:firstLine="360"/>
        <w:spacing w:after="0" w:line="279"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approximately 40 million unique customers, and we continue to grow this through increased penetration of e-commerce sales and through the success of our Academy Credit Card program.</w:t>
      </w:r>
    </w:p>
    <w:p>
      <w:pPr>
        <w:spacing w:after="0" w:line="63" w:lineRule="exact"/>
        <w:rPr>
          <w:sz w:val="20"/>
          <w:szCs w:val="20"/>
          <w:color w:val="auto"/>
        </w:rPr>
      </w:pPr>
    </w:p>
    <w:p>
      <w:pPr>
        <w:ind w:left="320" w:right="599" w:firstLine="360"/>
        <w:spacing w:after="0" w:line="271" w:lineRule="auto"/>
        <w:rPr>
          <w:sz w:val="20"/>
          <w:szCs w:val="20"/>
          <w:color w:val="auto"/>
        </w:rPr>
      </w:pPr>
      <w:r>
        <w:rPr>
          <w:rFonts w:ascii="Arial" w:cs="Arial" w:eastAsia="Arial" w:hAnsi="Arial"/>
          <w:sz w:val="17"/>
          <w:szCs w:val="17"/>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approximately 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w:t>
      </w:r>
    </w:p>
    <w:p>
      <w:pPr>
        <w:spacing w:after="0" w:line="70" w:lineRule="exact"/>
        <w:rPr>
          <w:sz w:val="20"/>
          <w:szCs w:val="20"/>
          <w:color w:val="auto"/>
        </w:rPr>
      </w:pPr>
    </w:p>
    <w:p>
      <w:pPr>
        <w:ind w:left="320" w:right="359" w:firstLine="360"/>
        <w:spacing w:after="0" w:line="289"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58" w:lineRule="exact"/>
        <w:rPr>
          <w:sz w:val="20"/>
          <w:szCs w:val="20"/>
          <w:color w:val="auto"/>
        </w:rPr>
      </w:pPr>
    </w:p>
    <w:p>
      <w:pPr>
        <w:ind w:left="320" w:right="499" w:firstLine="36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90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8905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79" w:lineRule="exact"/>
        <w:rPr>
          <w:sz w:val="20"/>
          <w:szCs w:val="20"/>
          <w:color w:val="auto"/>
        </w:rPr>
      </w:pPr>
    </w:p>
    <w:p>
      <w:pPr>
        <w:ind w:left="320" w:right="339" w:firstLine="360"/>
        <w:spacing w:after="0" w:line="271" w:lineRule="auto"/>
        <w:rPr>
          <w:sz w:val="20"/>
          <w:szCs w:val="20"/>
          <w:color w:val="auto"/>
        </w:rPr>
      </w:pPr>
      <w:r>
        <w:rPr>
          <w:rFonts w:ascii="Arial" w:cs="Arial" w:eastAsia="Arial" w:hAnsi="Arial"/>
          <w:sz w:val="17"/>
          <w:szCs w:val="17"/>
          <w:color w:val="auto"/>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spacing w:after="0" w:line="70"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79" w:lineRule="exact"/>
        <w:rPr>
          <w:sz w:val="20"/>
          <w:szCs w:val="20"/>
          <w:color w:val="auto"/>
        </w:rPr>
      </w:pPr>
    </w:p>
    <w:p>
      <w:pPr>
        <w:ind w:left="320" w:right="319" w:firstLine="360"/>
        <w:spacing w:after="0" w:line="290" w:lineRule="auto"/>
        <w:rPr>
          <w:sz w:val="20"/>
          <w:szCs w:val="20"/>
          <w:color w:val="auto"/>
        </w:rPr>
      </w:pPr>
      <w:r>
        <w:rPr>
          <w:rFonts w:ascii="Arial" w:cs="Arial" w:eastAsia="Arial" w:hAnsi="Arial"/>
          <w:sz w:val="16"/>
          <w:szCs w:val="16"/>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of 2020 as a result of a shift in consumer preferences due to the COVID-19 pandemic and the related increased popularity in our isolated recreation, outdoor and leisure activity products, which are generally lower margin goods.</w:t>
      </w:r>
    </w:p>
    <w:p>
      <w:pPr>
        <w:spacing w:after="0" w:line="57" w:lineRule="exact"/>
        <w:rPr>
          <w:sz w:val="20"/>
          <w:szCs w:val="20"/>
          <w:color w:val="auto"/>
        </w:rPr>
      </w:pPr>
    </w:p>
    <w:p>
      <w:pPr>
        <w:ind w:left="320" w:right="459" w:firstLine="360"/>
        <w:spacing w:after="0" w:line="311" w:lineRule="auto"/>
        <w:rPr>
          <w:sz w:val="20"/>
          <w:szCs w:val="20"/>
          <w:color w:val="auto"/>
        </w:rPr>
      </w:pPr>
      <w:r>
        <w:rPr>
          <w:rFonts w:ascii="Arial" w:cs="Arial" w:eastAsia="Arial" w:hAnsi="Arial"/>
          <w:sz w:val="16"/>
          <w:szCs w:val="16"/>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20" w:right="319" w:firstLine="360"/>
        <w:spacing w:after="0" w:line="273" w:lineRule="auto"/>
        <w:rPr>
          <w:sz w:val="20"/>
          <w:szCs w:val="20"/>
          <w:color w:val="auto"/>
        </w:rPr>
      </w:pPr>
      <w:r>
        <w:rPr>
          <w:rFonts w:ascii="Arial" w:cs="Arial" w:eastAsia="Arial" w:hAnsi="Arial"/>
          <w:sz w:val="17"/>
          <w:szCs w:val="17"/>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20" w:right="299" w:firstLine="360"/>
        <w:spacing w:after="0" w:line="259"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22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20" w:right="499" w:firstLine="360"/>
        <w:spacing w:after="0" w:line="259"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right="379" w:firstLine="360"/>
        <w:spacing w:after="0" w:line="286" w:lineRule="auto"/>
        <w:rPr>
          <w:sz w:val="20"/>
          <w:szCs w:val="20"/>
          <w:color w:val="auto"/>
        </w:rPr>
      </w:pPr>
      <w:r>
        <w:rPr>
          <w:rFonts w:ascii="Arial" w:cs="Arial" w:eastAsia="Arial" w:hAnsi="Arial"/>
          <w:sz w:val="17"/>
          <w:szCs w:val="17"/>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57"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Preliminary, Unaudited Estimates for the First Quarter of 2021</w:t>
      </w:r>
    </w:p>
    <w:p>
      <w:pPr>
        <w:spacing w:after="0" w:line="117" w:lineRule="exact"/>
        <w:rPr>
          <w:sz w:val="20"/>
          <w:szCs w:val="20"/>
          <w:color w:val="auto"/>
        </w:rPr>
      </w:pPr>
    </w:p>
    <w:p>
      <w:pPr>
        <w:ind w:left="320" w:right="299" w:firstLine="360"/>
        <w:spacing w:after="0" w:line="311" w:lineRule="auto"/>
        <w:rPr>
          <w:sz w:val="20"/>
          <w:szCs w:val="20"/>
          <w:color w:val="auto"/>
        </w:rPr>
      </w:pPr>
      <w:r>
        <w:rPr>
          <w:rFonts w:ascii="Arial" w:cs="Arial" w:eastAsia="Arial" w:hAnsi="Arial"/>
          <w:sz w:val="16"/>
          <w:szCs w:val="16"/>
          <w:color w:val="auto"/>
        </w:rPr>
        <w:t>We estimate that our comparable sales increased approximately 38.9% during the thirteen-week period ended May 1, 2021 (the “first quarter of 2021”). This comparable sales increase was driven primarily by double digit sales growth in all merchandise categories and markets, an increase in average unit retails, an increase in total transactions</w:t>
      </w:r>
    </w:p>
    <w:p>
      <w:pPr>
        <w:sectPr>
          <w:pgSz w:w="11900" w:h="16838" w:orient="portrait"/>
          <w:cols w:equalWidth="0" w:num="1">
            <w:col w:w="9019"/>
          </w:cols>
          <w:pgMar w:left="1440" w:top="265"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76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79762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right="339"/>
        <w:spacing w:after="0" w:line="259" w:lineRule="auto"/>
        <w:rPr>
          <w:sz w:val="20"/>
          <w:szCs w:val="20"/>
          <w:color w:val="auto"/>
        </w:rPr>
      </w:pPr>
      <w:r>
        <w:rPr>
          <w:rFonts w:ascii="Arial" w:cs="Arial" w:eastAsia="Arial" w:hAnsi="Arial"/>
          <w:sz w:val="18"/>
          <w:szCs w:val="18"/>
          <w:color w:val="auto"/>
        </w:rPr>
        <w:t>and the positive impact of government issued stimulus checks. Other business trends during the quarter include our sales mix shifting to a more normalized level compared to the first quarter of 2020, continuing to operate in a less promotional environment and fewer clearance sales resulting in continued strong margin performance. As of May 1, 2021, we operated 259 retail locations in 16 states.</w:t>
      </w:r>
    </w:p>
    <w:p>
      <w:pPr>
        <w:spacing w:after="0" w:line="79" w:lineRule="exact"/>
        <w:rPr>
          <w:sz w:val="20"/>
          <w:szCs w:val="20"/>
          <w:color w:val="auto"/>
        </w:rPr>
      </w:pPr>
    </w:p>
    <w:p>
      <w:pPr>
        <w:ind w:left="320" w:right="439" w:firstLine="360"/>
        <w:spacing w:after="0" w:line="286" w:lineRule="auto"/>
        <w:rPr>
          <w:sz w:val="20"/>
          <w:szCs w:val="20"/>
          <w:color w:val="auto"/>
        </w:rPr>
      </w:pPr>
      <w:r>
        <w:rPr>
          <w:rFonts w:ascii="Arial" w:cs="Arial" w:eastAsia="Arial" w:hAnsi="Arial"/>
          <w:sz w:val="16"/>
          <w:szCs w:val="16"/>
          <w:color w:val="auto"/>
        </w:rPr>
        <w:t>This preliminary financial information is for the first quarter of 2021. The unaudited, estimated results for the first quarter of 2021 are preliminary, based upon our estimates and currently available information, and are subject to revision based upon, among other things, quarter-end closing procedures and/or adjustments, the completion of our interim consolidated financial statements and other operational procedures. This preliminary financial information should not be viewed as a substitute for full interim financial statements prepared in accordance with GAAP and reviewed by our auditors. These preliminary results are not necessarily indicative of the results to be achieved for the first quarter of 2021 or any future period. Our actual results may be materially different from our estimates, which should not be regarded as a representation by us, our management, the selling stockholders or the underwriters as to our actual results for the first quarter of 2021. You should not place undue reliance on these estimates. This preliminary financial data has been prepared by, and is the responsibility of, our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32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Cessation of Controlled Company Status</w:t>
      </w:r>
    </w:p>
    <w:p>
      <w:pPr>
        <w:spacing w:after="0" w:line="117"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On April 12, 2021, certain of our stockholders completed a sale (the “April 2021 Sale”) of 9,000,000 shares of our common stock pursuant to Rule 144 under the Securities Act of 1933, as amended (the “Securities Act”). 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from the date of the April 2021 Sale. See “Risk Factors—Risks Related to this Offering and Ownership of Our Common Stock—As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74" w:lineRule="exact"/>
        <w:rPr>
          <w:sz w:val="20"/>
          <w:szCs w:val="20"/>
          <w:color w:val="auto"/>
        </w:rPr>
      </w:pPr>
    </w:p>
    <w:p>
      <w:pPr>
        <w:ind w:left="320" w:right="559" w:firstLine="360"/>
        <w:spacing w:after="0" w:line="259" w:lineRule="auto"/>
        <w:rPr>
          <w:sz w:val="20"/>
          <w:szCs w:val="20"/>
          <w:color w:val="auto"/>
        </w:rPr>
      </w:pPr>
      <w:r>
        <w:rPr>
          <w:rFonts w:ascii="Arial" w:cs="Arial" w:eastAsia="Arial" w:hAnsi="Arial"/>
          <w:sz w:val="18"/>
          <w:szCs w:val="18"/>
          <w:color w:val="auto"/>
        </w:rPr>
        <w:t>In addition, following the completion of this offering and in connection with the loss of controlled company status noted above, we expect certain changes to the composition of our board of directors to occur, including the resignation of one or more directors and the appointment of one or more independent directors to fill in the vacancies created by such resignations.</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3,229,974 of the aggregate 14,000,000 shares of our common stock that are the subject of the offering. The price per share to be paid by us will equal the price at which the underwriters will purchase the shares from the selling stockholders in the offering. We refer to this transaction as the “concurrent share repurchase.” At a purchase price of $30.96 per share, the aggregate share repurchase price would be approximately $100 million. The closing of the concurrent share repurchase is conditioned on the closing of the offering and therefore there can be no assurance that the concurrent share repurchase will be completed. The offering is not conditioned upon the completion of the concurrent share repurchase.</w:t>
      </w:r>
    </w:p>
    <w:p>
      <w:pPr>
        <w:spacing w:after="0" w:line="84" w:lineRule="exact"/>
        <w:rPr>
          <w:sz w:val="20"/>
          <w:szCs w:val="20"/>
          <w:color w:val="auto"/>
        </w:rPr>
      </w:pPr>
    </w:p>
    <w:p>
      <w:pPr>
        <w:jc w:val="both"/>
        <w:ind w:left="320" w:right="379" w:firstLine="360"/>
        <w:spacing w:after="0" w:line="263" w:lineRule="auto"/>
        <w:rPr>
          <w:sz w:val="20"/>
          <w:szCs w:val="20"/>
          <w:color w:val="auto"/>
        </w:rPr>
      </w:pPr>
      <w:r>
        <w:rPr>
          <w:rFonts w:ascii="Arial" w:cs="Arial" w:eastAsia="Arial" w:hAnsi="Arial"/>
          <w:sz w:val="18"/>
          <w:szCs w:val="18"/>
          <w:color w:val="auto"/>
        </w:rPr>
        <w:t>The concurrent share repurchase was approved by our board of directors and its audit committee. We intend to fund the concurrent share repurchase with cash on hand. Any shares of our common stock that we repurchase in the concurrent share repurchase will be retired.</w:t>
      </w:r>
    </w:p>
    <w:p>
      <w:pPr>
        <w:spacing w:after="0" w:line="76" w:lineRule="exact"/>
        <w:rPr>
          <w:sz w:val="20"/>
          <w:szCs w:val="20"/>
          <w:color w:val="auto"/>
        </w:rPr>
      </w:pPr>
    </w:p>
    <w:p>
      <w:pPr>
        <w:ind w:left="320" w:right="439" w:firstLine="360"/>
        <w:spacing w:after="0" w:line="259" w:lineRule="auto"/>
        <w:rPr>
          <w:sz w:val="20"/>
          <w:szCs w:val="20"/>
          <w:color w:val="auto"/>
        </w:rPr>
      </w:pPr>
      <w:r>
        <w:rPr>
          <w:rFonts w:ascii="Arial" w:cs="Arial" w:eastAsia="Arial" w:hAnsi="Arial"/>
          <w:sz w:val="18"/>
          <w:szCs w:val="18"/>
          <w:color w:val="auto"/>
        </w:rPr>
        <w:t>The description of, and the other information in this prospectus regarding, the concurrent share repurchase are included in this prospectus for informational purposes only. Nothing in this prospectus should be construed as an offer to sell, or the solicitation of an offer to buy, any of our common stock subject to the concurrent share repurchase.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579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65792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included elsewhere in this prospectus and “Risk Factors” in our Annual Report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4" w:lineRule="exact"/>
        <w:rPr>
          <w:sz w:val="20"/>
          <w:szCs w:val="20"/>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20" w:right="359" w:hanging="350"/>
        <w:spacing w:after="0" w:line="308"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20" w:right="3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20" w:right="35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20" w:right="73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disruptions in our supply chain and losses of merchandise purchasing incentives;</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020" w:right="439" w:hanging="350"/>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qualification for exemptions from certain corporate governance requirements during the one-year transition period after our loss of “controlled company” status within the meaning of Nasdaq listing rules upon completion of the April 2021 Sale; and</w:t>
      </w:r>
    </w:p>
    <w:p>
      <w:pPr>
        <w:spacing w:after="0" w:line="75" w:lineRule="exact"/>
        <w:rPr>
          <w:rFonts w:ascii="Arial" w:cs="Arial" w:eastAsia="Arial" w:hAnsi="Arial"/>
          <w:sz w:val="18"/>
          <w:szCs w:val="18"/>
          <w:color w:val="auto"/>
        </w:rPr>
      </w:pPr>
    </w:p>
    <w:p>
      <w:pPr>
        <w:ind w:left="1020" w:right="4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KKR Stockholders having the ability to exert substantial influence over us and their interests conflicting with ours or yours in the future.</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20" w:right="1279" w:firstLine="360"/>
        <w:spacing w:after="0" w:line="277" w:lineRule="auto"/>
        <w:rPr>
          <w:sz w:val="20"/>
          <w:szCs w:val="20"/>
          <w:color w:val="auto"/>
        </w:rPr>
      </w:pPr>
      <w:r>
        <w:rPr>
          <w:rFonts w:ascii="Arial" w:cs="Arial" w:eastAsia="Arial" w:hAnsi="Arial"/>
          <w:sz w:val="18"/>
          <w:szCs w:val="18"/>
          <w:color w:val="auto"/>
        </w:rPr>
        <w:t>Our common stock began trading on Nasdaq under the symbol “ASO” on October 2, 2020 and we consummated the IPO on October 6, 2020.</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principal offices are located at 1800 North Mason Road, Katy, Texas 77449. Our telephone number is</w:t>
      </w:r>
    </w:p>
    <w:p>
      <w:pPr>
        <w:spacing w:after="0" w:line="23" w:lineRule="exact"/>
        <w:rPr>
          <w:sz w:val="20"/>
          <w:szCs w:val="20"/>
          <w:color w:val="auto"/>
        </w:rPr>
      </w:pPr>
    </w:p>
    <w:p>
      <w:pPr>
        <w:jc w:val="both"/>
        <w:ind w:left="320" w:right="439" w:hanging="10"/>
        <w:spacing w:after="0" w:line="255"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 can be accessed through, our website is not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019"/>
          </w:cols>
          <w:pgMar w:left="1440" w:top="265" w:right="1440" w:bottom="1440" w:gutter="0" w:footer="0" w:header="0"/>
          <w:type w:val="continuous"/>
        </w:sectPr>
      </w:pPr>
    </w:p>
    <w:p>
      <w:pPr>
        <w:spacing w:after="0" w:line="14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Common stock offered by the selling stockholders</w:t>
      </w:r>
    </w:p>
    <w:p>
      <w:pPr>
        <w:spacing w:after="0" w:line="179" w:lineRule="exact"/>
        <w:rPr>
          <w:sz w:val="20"/>
          <w:szCs w:val="20"/>
          <w:color w:val="auto"/>
        </w:rPr>
      </w:pPr>
    </w:p>
    <w:p>
      <w:pPr>
        <w:ind w:left="480" w:right="80" w:hanging="179"/>
        <w:spacing w:after="0" w:line="282" w:lineRule="auto"/>
        <w:rPr>
          <w:sz w:val="20"/>
          <w:szCs w:val="20"/>
          <w:color w:val="auto"/>
        </w:rPr>
      </w:pPr>
      <w:r>
        <w:rPr>
          <w:rFonts w:ascii="Arial" w:cs="Arial" w:eastAsia="Arial" w:hAnsi="Arial"/>
          <w:sz w:val="18"/>
          <w:szCs w:val="18"/>
          <w:b w:val="1"/>
          <w:bCs w:val="1"/>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14,000,000 shares.</w:t>
      </w:r>
    </w:p>
    <w:p>
      <w:pPr>
        <w:spacing w:after="0" w:line="333" w:lineRule="exact"/>
        <w:rPr>
          <w:sz w:val="20"/>
          <w:szCs w:val="20"/>
          <w:color w:val="auto"/>
        </w:rPr>
      </w:pPr>
    </w:p>
    <w:p>
      <w:pPr>
        <w:ind w:right="319"/>
        <w:spacing w:after="0" w:line="275" w:lineRule="auto"/>
        <w:rPr>
          <w:sz w:val="20"/>
          <w:szCs w:val="20"/>
          <w:color w:val="auto"/>
        </w:rPr>
      </w:pPr>
      <w:r>
        <w:rPr>
          <w:rFonts w:ascii="Arial" w:cs="Arial" w:eastAsia="Arial" w:hAnsi="Arial"/>
          <w:sz w:val="17"/>
          <w:szCs w:val="17"/>
          <w:color w:val="auto"/>
        </w:rPr>
        <w:t>The selling stockholders have granted the underwriters a 30-day option from the date of this prospectus to purchase up to 2,100,000 additional shares of our common stock at the public offering price, less underwriting discounts and commissions.</w:t>
      </w:r>
    </w:p>
    <w:p>
      <w:pPr>
        <w:spacing w:after="0" w:line="105" w:lineRule="exact"/>
        <w:rPr>
          <w:sz w:val="20"/>
          <w:szCs w:val="20"/>
          <w:color w:val="auto"/>
        </w:rPr>
      </w:pPr>
    </w:p>
    <w:p>
      <w:pPr>
        <w:sectPr>
          <w:pgSz w:w="11900" w:h="16838" w:orient="portrait"/>
          <w:cols w:equalWidth="0" w:num="2">
            <w:col w:w="4120" w:space="5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8"/>
          <w:szCs w:val="18"/>
          <w:b w:val="1"/>
          <w:bCs w:val="1"/>
          <w:color w:val="auto"/>
        </w:rPr>
        <w:t>Common stock outstanding</w:t>
      </w:r>
    </w:p>
    <w:p>
      <w:pPr>
        <w:spacing w:after="0" w:line="158" w:lineRule="exact"/>
        <w:rPr>
          <w:sz w:val="20"/>
          <w:szCs w:val="20"/>
          <w:color w:val="auto"/>
        </w:rPr>
      </w:pPr>
    </w:p>
    <w:p>
      <w:pPr>
        <w:ind w:left="480" w:hanging="179"/>
        <w:spacing w:after="0" w:line="312" w:lineRule="auto"/>
        <w:rPr>
          <w:sz w:val="20"/>
          <w:szCs w:val="20"/>
          <w:color w:val="auto"/>
        </w:rPr>
      </w:pPr>
      <w:r>
        <w:rPr>
          <w:rFonts w:ascii="Arial" w:cs="Arial" w:eastAsia="Arial" w:hAnsi="Arial"/>
          <w:sz w:val="17"/>
          <w:szCs w:val="17"/>
          <w:b w:val="1"/>
          <w:bCs w:val="1"/>
          <w:color w:val="auto"/>
        </w:rPr>
        <w:t>Common stock outstanding after the offering and the concurrent share repurchase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Conflicts of Interest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93,800,559 shares (as of April 12, 2021).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90,570,585 shares.</w:t>
      </w:r>
    </w:p>
    <w:p>
      <w:pPr>
        <w:spacing w:after="0" w:line="158" w:lineRule="exact"/>
        <w:rPr>
          <w:sz w:val="20"/>
          <w:szCs w:val="20"/>
          <w:color w:val="auto"/>
        </w:rPr>
      </w:pPr>
    </w:p>
    <w:p>
      <w:pPr>
        <w:ind w:right="319"/>
        <w:spacing w:after="0" w:line="290" w:lineRule="auto"/>
        <w:rPr>
          <w:sz w:val="20"/>
          <w:szCs w:val="20"/>
          <w:color w:val="auto"/>
        </w:rPr>
      </w:pPr>
      <w:r>
        <w:rPr>
          <w:rFonts w:ascii="Arial" w:cs="Arial" w:eastAsia="Arial" w:hAnsi="Arial"/>
          <w:sz w:val="16"/>
          <w:szCs w:val="16"/>
          <w:color w:val="auto"/>
        </w:rPr>
        <w:t>We will not receive any proceeds from the sale of shares being sold in this offering including from any exercise by the underwriters of their option to purchase additional shares. The selling stockholders will receive all of the net proceeds and bear all commissions and discounts, if any, from the sale of our common stock pursuant to this prospectus. See “Use of Proceeds” and “Principal and Selling Stockholders.”</w:t>
      </w:r>
    </w:p>
    <w:p>
      <w:pPr>
        <w:spacing w:after="0" w:line="57" w:lineRule="exact"/>
        <w:rPr>
          <w:sz w:val="20"/>
          <w:szCs w:val="20"/>
          <w:color w:val="auto"/>
        </w:rPr>
      </w:pPr>
    </w:p>
    <w:p>
      <w:pPr>
        <w:ind w:right="339"/>
        <w:spacing w:after="0" w:line="287" w:lineRule="auto"/>
        <w:rPr>
          <w:sz w:val="20"/>
          <w:szCs w:val="20"/>
          <w:color w:val="auto"/>
        </w:rPr>
      </w:pPr>
      <w:r>
        <w:rPr>
          <w:rFonts w:ascii="Arial" w:cs="Arial" w:eastAsia="Arial" w:hAnsi="Arial"/>
          <w:sz w:val="16"/>
          <w:szCs w:val="16"/>
          <w:color w:val="auto"/>
        </w:rPr>
        <w:t>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w:t>
      </w:r>
    </w:p>
    <w:p>
      <w:pPr>
        <w:spacing w:after="0" w:line="100" w:lineRule="exact"/>
        <w:rPr>
          <w:sz w:val="20"/>
          <w:szCs w:val="20"/>
          <w:color w:val="auto"/>
        </w:rPr>
      </w:pPr>
    </w:p>
    <w:p>
      <w:pPr>
        <w:ind w:right="299"/>
        <w:spacing w:after="0" w:line="270" w:lineRule="auto"/>
        <w:rPr>
          <w:sz w:val="20"/>
          <w:szCs w:val="20"/>
          <w:color w:val="auto"/>
        </w:rPr>
      </w:pPr>
      <w:r>
        <w:rPr>
          <w:rFonts w:ascii="Arial" w:cs="Arial" w:eastAsia="Arial" w:hAnsi="Arial"/>
          <w:sz w:val="17"/>
          <w:szCs w:val="17"/>
          <w:color w:val="auto"/>
        </w:rPr>
        <w:t>Subject to the completion of the offering, we intend to concurrently repurchase from the underwriters, 3,229,974 of the aggregate 14,000,000 shares of our common stock that are the subject of the offering. The price per share to be paid by us will equal the price at which the underwriters will purchase the shares from the selling stockholders in the offering. The offering is not conditioned upon the completion of the share repurchase. See “—Concurrent Share Repurchase.”</w:t>
      </w:r>
    </w:p>
    <w:p>
      <w:pPr>
        <w:spacing w:after="0" w:line="100" w:lineRule="exact"/>
        <w:rPr>
          <w:sz w:val="20"/>
          <w:szCs w:val="20"/>
          <w:color w:val="auto"/>
        </w:rPr>
      </w:pPr>
    </w:p>
    <w:p>
      <w:pPr>
        <w:ind w:right="299"/>
        <w:spacing w:after="0" w:line="269" w:lineRule="auto"/>
        <w:rPr>
          <w:sz w:val="20"/>
          <w:szCs w:val="20"/>
          <w:color w:val="auto"/>
        </w:rPr>
      </w:pPr>
      <w:r>
        <w:rPr>
          <w:rFonts w:ascii="Arial" w:cs="Arial" w:eastAsia="Arial" w:hAnsi="Arial"/>
          <w:sz w:val="17"/>
          <w:szCs w:val="17"/>
          <w:color w:val="auto"/>
        </w:rPr>
        <w:t>The KKR Stockholders beneficially own in excess of 10% of our issued and outstanding common stock and will be selling stockholders in this offering and, as such, will receive in excess of 5% of the net proceeds of the offering. Because KKR Capital Markets LLC, an affiliate of the KKR Stockholders, is an underwriter in this offering, KKR Capital Markets LLC is deemed to have a “conflict of interest” under Rule 5121, or Rule 5121, of the Financial Industry Regulatory Authority, Inc., or FINRA. Accordingly, this offering is being made in compliance with the requirements of</w:t>
      </w:r>
    </w:p>
    <w:p>
      <w:pPr>
        <w:spacing w:after="0" w:line="200" w:lineRule="exact"/>
        <w:rPr>
          <w:sz w:val="20"/>
          <w:szCs w:val="20"/>
          <w:color w:val="auto"/>
        </w:rPr>
      </w:pPr>
    </w:p>
    <w:p>
      <w:pPr>
        <w:sectPr>
          <w:pgSz w:w="11900" w:h="16838" w:orient="portrait"/>
          <w:cols w:equalWidth="0" w:num="2">
            <w:col w:w="4100" w:space="540"/>
            <w:col w:w="4379"/>
          </w:cols>
          <w:pgMar w:left="1440" w:top="265" w:right="1440"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647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66478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Rule 5121. Pursuant to that rule, the appointment of a</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“qualified independent underwriter” is not required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connection with this offering, because a bona fide public</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market exists in the shares, as that term is defined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Rule 5121. See “Principal and Selling Stockholders”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“Underwriting (Conflicts of Interest).”</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Dividend policy</w:t>
      </w:r>
      <w:r>
        <w:rPr>
          <w:sz w:val="20"/>
          <w:szCs w:val="20"/>
          <w:color w:val="auto"/>
        </w:rPr>
        <w:tab/>
      </w:r>
      <w:r>
        <w:rPr>
          <w:rFonts w:ascii="Arial" w:cs="Arial" w:eastAsia="Arial" w:hAnsi="Arial"/>
          <w:sz w:val="16"/>
          <w:szCs w:val="16"/>
          <w:color w:val="auto"/>
        </w:rPr>
        <w:t>We have no current plans to pay dividends on our</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common stock. Any decision to declare and pay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dividends in the future will be made at the sole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discretion of our board of directors and will depend 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among other things, our results of operations, cash</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requirements, financial condition, legal, tax, regulatory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contractual restrictions, including restrictions in the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agreements governing our indebtedness, and other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factors that our board of directors may deem relevant.</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See “Dividend Policy.”</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0" w:right="300" w:hanging="179"/>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95" w:lineRule="exact"/>
        <w:rPr>
          <w:sz w:val="20"/>
          <w:szCs w:val="20"/>
          <w:color w:val="auto"/>
        </w:rPr>
      </w:pPr>
    </w:p>
    <w:p>
      <w:pPr>
        <w:ind w:right="299"/>
        <w:spacing w:after="0" w:line="279"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“Material U.S. Federal Income and Estate Tax Consequences to Non-U.S. Holders.”</w:t>
      </w:r>
    </w:p>
    <w:p>
      <w:pPr>
        <w:spacing w:after="0" w:line="1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8"/>
          <w:szCs w:val="18"/>
          <w:color w:val="auto"/>
        </w:rPr>
        <w:t>“ASO.”</w:t>
      </w:r>
    </w:p>
    <w:p>
      <w:pPr>
        <w:spacing w:after="0" w:line="148" w:lineRule="exact"/>
        <w:rPr>
          <w:sz w:val="20"/>
          <w:szCs w:val="20"/>
          <w:color w:val="auto"/>
        </w:rPr>
      </w:pPr>
    </w:p>
    <w:p>
      <w:pPr>
        <w:ind w:left="320" w:right="279" w:firstLine="360"/>
        <w:spacing w:after="0" w:line="268" w:lineRule="auto"/>
        <w:rPr>
          <w:sz w:val="20"/>
          <w:szCs w:val="20"/>
          <w:color w:val="auto"/>
        </w:rPr>
      </w:pPr>
      <w:r>
        <w:rPr>
          <w:rFonts w:ascii="Arial" w:cs="Arial" w:eastAsia="Arial" w:hAnsi="Arial"/>
          <w:sz w:val="17"/>
          <w:szCs w:val="17"/>
          <w:color w:val="auto"/>
        </w:rPr>
        <w:t>The completion of this offering will result in a Change of Control (as defined under the New Academy Holding Company, LLC 2011 Unit Incentive Plan, or the 2011 Equity Plan) that will cause all equity awards granted under the 2011 Equity Plan (other than performance-based awards granted in 2018) to vest in full, permitting the holders of such awards to sell the underlying shares of our common stock they receive upon exercise of any options or settlement of any restricted stock units that will vest as a result of such Change of Control, and all performance-based awards granted in 2018 under the 2011 Equity Plan to be forfeited due to the Company’s failure to meet certain performance targets prior to such Change of Control. In addition, as a result of such vesting events, we will owe certain cash payments to the holders of vesting equity awards granted under the 2011 Equity Plan that were outstanding as of the date of the distribution made by us to our members of record as of August 25, 2020 (see “Distribution” in Note 9 to our audited consolidated financial statements in our Annual Report incorporated by reference herein). We anticipate that, as a result of such vesting events, during the second quarter of 2021, we will recognize (i) non-cash expenses related to equity-based compensation of $26.4 million, (ii) cash expenses related to taxes on equity-based compensation of $13.7 million and (iii) cash payments related to equity-based compensation distributions of $8.2 million.</w:t>
      </w:r>
    </w:p>
    <w:p>
      <w:pPr>
        <w:spacing w:after="0" w:line="76" w:lineRule="exact"/>
        <w:rPr>
          <w:sz w:val="20"/>
          <w:szCs w:val="20"/>
          <w:color w:val="auto"/>
        </w:rPr>
      </w:pPr>
    </w:p>
    <w:p>
      <w:pPr>
        <w:ind w:left="320" w:right="299" w:firstLine="360"/>
        <w:spacing w:after="0" w:line="308" w:lineRule="auto"/>
        <w:rPr>
          <w:sz w:val="20"/>
          <w:szCs w:val="20"/>
          <w:color w:val="auto"/>
        </w:rPr>
      </w:pPr>
      <w:r>
        <w:rPr>
          <w:rFonts w:ascii="Arial" w:cs="Arial" w:eastAsia="Arial" w:hAnsi="Arial"/>
          <w:sz w:val="17"/>
          <w:szCs w:val="17"/>
          <w:color w:val="auto"/>
        </w:rPr>
        <w:t>Unless we indicate otherwise or the context otherwise requires, this prospectus reflects and assumes no exercise of the underwriters’ option to purchase 2,100,000 additional shares of our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849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3405" cy="2849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39" w:firstLine="360"/>
        <w:spacing w:after="0" w:line="259" w:lineRule="auto"/>
        <w:rPr>
          <w:sz w:val="20"/>
          <w:szCs w:val="20"/>
          <w:color w:val="auto"/>
        </w:rPr>
      </w:pPr>
      <w:r>
        <w:rPr>
          <w:rFonts w:ascii="Arial" w:cs="Arial" w:eastAsia="Arial" w:hAnsi="Arial"/>
          <w:sz w:val="18"/>
          <w:szCs w:val="18"/>
          <w:color w:val="auto"/>
        </w:rPr>
        <w:t>The number of shares of common stock to be outstanding after giving effect to this offering and the concurrent share repurchase is based on 93,800,559 shares of our common stock outstanding as of April 12, 2021 and (i) reflects the retirement of 3,229,974 shares of our common stock in the concurrent share repurchase and (ii) excludes as of such date:</w:t>
      </w:r>
    </w:p>
    <w:p>
      <w:pPr>
        <w:spacing w:after="0" w:line="79" w:lineRule="exact"/>
        <w:rPr>
          <w:sz w:val="20"/>
          <w:szCs w:val="20"/>
          <w:color w:val="auto"/>
        </w:rPr>
      </w:pPr>
    </w:p>
    <w:p>
      <w:pPr>
        <w:ind w:left="1020" w:right="339" w:hanging="350"/>
        <w:spacing w:after="0" w:line="25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6,139,680 shares of common stock issuable upon exercise of outstanding options, all of which would be vested with a weighted-average exercise price of $14.08 per share, and 1,251,529 shares of common stock issuable upon settlement of outstanding restricted stock units, all of which would be vested, in each case, granted under the 2011 Equity Plan;</w:t>
      </w:r>
    </w:p>
    <w:p>
      <w:pPr>
        <w:spacing w:after="0" w:line="78" w:lineRule="exact"/>
        <w:rPr>
          <w:rFonts w:ascii="Arial" w:cs="Arial" w:eastAsia="Arial" w:hAnsi="Arial"/>
          <w:sz w:val="18"/>
          <w:szCs w:val="18"/>
          <w:color w:val="auto"/>
        </w:rPr>
      </w:pPr>
    </w:p>
    <w:p>
      <w:pPr>
        <w:ind w:left="1020" w:right="319" w:hanging="350"/>
        <w:spacing w:after="0" w:line="275"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1,058,374 shares of common stock issuable upon exercise of outstanding options, 5,989 of which would be vested, with a weighted-average exercise price of $26.99 and 1,052,385 of which would not be vested, with a weighted-average exercise price of $24.85 per share, and 381,091 shares of common stock issuable upon settlement of outstanding restricted stock units, none of which would be vested, in each case, granted under our 2020 Omnibus Incentive Plan, or the 2020 Equity Plan;</w:t>
      </w:r>
    </w:p>
    <w:p>
      <w:pPr>
        <w:spacing w:after="0" w:line="68" w:lineRule="exact"/>
        <w:rPr>
          <w:rFonts w:ascii="Arial" w:cs="Arial" w:eastAsia="Arial" w:hAnsi="Arial"/>
          <w:sz w:val="17"/>
          <w:szCs w:val="17"/>
          <w:color w:val="auto"/>
        </w:rPr>
      </w:pPr>
    </w:p>
    <w:p>
      <w:pPr>
        <w:ind w:left="1020" w:hanging="350"/>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3,706,456 shares of common stock reserved for future issuance or grant, under the 2020 Equity Plan; and</w:t>
      </w:r>
    </w:p>
    <w:p>
      <w:pPr>
        <w:spacing w:after="0" w:line="140" w:lineRule="exact"/>
        <w:rPr>
          <w:rFonts w:ascii="Arial" w:cs="Arial" w:eastAsia="Arial" w:hAnsi="Arial"/>
          <w:sz w:val="16"/>
          <w:szCs w:val="16"/>
          <w:color w:val="auto"/>
        </w:rPr>
      </w:pPr>
    </w:p>
    <w:p>
      <w:pPr>
        <w:ind w:left="1020" w:right="379" w:hanging="350"/>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2,000,000 shares of common stock reserved for future issuance under our 2020 Employee Stock Purchase Plan, or the ESPP.</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013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9013825"/>
                    </a:xfrm>
                    <a:prstGeom prst="rect">
                      <a:avLst/>
                    </a:prstGeom>
                    <a:noFill/>
                  </pic:spPr>
                </pic:pic>
              </a:graphicData>
            </a:graphic>
          </wp:anchor>
        </w:drawing>
      </w:r>
    </w:p>
    <w:p>
      <w:pPr>
        <w:sectPr>
          <w:pgSz w:w="11900" w:h="16838" w:orient="portrait"/>
          <w:cols w:equalWidth="0" w:num="1">
            <w:col w:w="9019"/>
          </w:cols>
          <w:pgMar w:left="1440" w:top="265" w:right="1440" w:bottom="1128"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320" w:right="399" w:firstLine="360"/>
        <w:spacing w:after="0" w:line="254" w:lineRule="auto"/>
        <w:rPr>
          <w:sz w:val="20"/>
          <w:szCs w:val="20"/>
          <w:color w:val="auto"/>
        </w:rPr>
      </w:pPr>
      <w:r>
        <w:rPr>
          <w:rFonts w:ascii="Arial" w:cs="Arial" w:eastAsia="Arial" w:hAnsi="Arial"/>
          <w:sz w:val="18"/>
          <w:szCs w:val="18"/>
          <w:color w:val="auto"/>
        </w:rPr>
        <w:t>Set forth below is our summary historical consolidated financial and other data as of the dates and for the periods indicated. The summary historical financial data as of January 30, 2021 and February 1, 2020 and for 2020, 2019 and 2018 has been derived from our audited consolidated financial statements and related notes thereto incorporated by reference in this prospectus. The summary historical financial data as of February 2, 2019 has been derived from our consolidated financial statements and related notes thereto not included or incorporated by reference in this prospectus. The results of operations for any period are not necessarily indicative of our future financial condition or results of operations.</w:t>
      </w:r>
    </w:p>
    <w:p>
      <w:pPr>
        <w:spacing w:after="0" w:line="87" w:lineRule="exact"/>
        <w:rPr>
          <w:sz w:val="20"/>
          <w:szCs w:val="20"/>
          <w:color w:val="auto"/>
        </w:rPr>
      </w:pPr>
    </w:p>
    <w:p>
      <w:pPr>
        <w:ind w:left="320" w:right="479" w:firstLine="360"/>
        <w:spacing w:after="0" w:line="279" w:lineRule="auto"/>
        <w:rPr>
          <w:sz w:val="20"/>
          <w:szCs w:val="20"/>
          <w:color w:val="auto"/>
        </w:rPr>
      </w:pPr>
      <w:r>
        <w:rPr>
          <w:rFonts w:ascii="Arial" w:cs="Arial" w:eastAsia="Arial" w:hAnsi="Arial"/>
          <w:sz w:val="17"/>
          <w:szCs w:val="17"/>
          <w:color w:val="auto"/>
        </w:rPr>
        <w:t>You should read the following summary financial and other data below together with the information under “Capitalization” in this prospectus, as well as the sections entitled “Selected Financial Data,” “Management’s Discussion and Analysis of Financial Condition and Results of Operations” and our audited consolidated financial statements and related notes in our Annual Report incorporated by reference herein.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6"/>
          </w:tcPr>
          <w:p>
            <w:pPr>
              <w:jc w:val="center"/>
              <w:ind w:right="37"/>
              <w:spacing w:after="0"/>
              <w:rPr>
                <w:sz w:val="20"/>
                <w:szCs w:val="20"/>
                <w:color w:val="auto"/>
              </w:rPr>
            </w:pPr>
            <w:r>
              <w:rPr>
                <w:rFonts w:ascii="Arial" w:cs="Arial" w:eastAsia="Arial" w:hAnsi="Arial"/>
                <w:sz w:val="14"/>
                <w:szCs w:val="14"/>
                <w:b w:val="1"/>
                <w:bCs w:val="1"/>
                <w:color w:val="auto"/>
                <w:w w:val="91"/>
              </w:rPr>
              <w:t>Fiscal Year Ended</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52 weeks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52 weeks</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52 weeks</w:t>
            </w: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$5,689,233</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$4,829,897</w:t>
            </w:r>
          </w:p>
        </w:tc>
        <w:tc>
          <w:tcPr>
            <w:tcW w:w="12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$4,783,893</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goods sold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3,955,188</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3,398,743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3,415,941</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1,734,045</w:t>
            </w:r>
          </w:p>
        </w:tc>
        <w:tc>
          <w:tcPr>
            <w:tcW w:w="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1,431,154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1,367,952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1,313,647</w:t>
            </w:r>
          </w:p>
        </w:tc>
        <w:tc>
          <w:tcPr>
            <w:tcW w:w="6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1,251,733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1,239,002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420,398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179,421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128,950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0"/>
              <w:spacing w:after="0" w:line="324" w:lineRule="exact"/>
              <w:rPr>
                <w:sz w:val="20"/>
                <w:szCs w:val="20"/>
                <w:color w:val="auto"/>
              </w:rPr>
            </w:pPr>
            <w:r>
              <w:rPr>
                <w:rFonts w:ascii="Arial" w:cs="Arial" w:eastAsia="Arial" w:hAnsi="Arial"/>
                <w:sz w:val="18"/>
                <w:szCs w:val="18"/>
                <w:color w:val="auto"/>
              </w:rPr>
              <w:t>Gain on early retirement of debt, net</w:t>
            </w:r>
            <w:r>
              <w:rPr>
                <w:rFonts w:ascii="Arial" w:cs="Arial" w:eastAsia="Arial" w:hAnsi="Arial"/>
                <w:sz w:val="29"/>
                <w:szCs w:val="29"/>
                <w:color w:val="auto"/>
                <w:vertAlign w:val="superscript"/>
              </w:rPr>
              <w:t>(1)</w:t>
            </w: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(42,265)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5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339,120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122,860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61"/>
        </w:trPr>
        <w:tc>
          <w:tcPr>
            <w:tcW w:w="5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308,764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6"/>
          </w:tcPr>
          <w:p>
            <w:pPr>
              <w:jc w:val="center"/>
              <w:ind w:right="37"/>
              <w:spacing w:after="0"/>
              <w:rPr>
                <w:sz w:val="20"/>
                <w:szCs w:val="20"/>
                <w:color w:val="auto"/>
              </w:rPr>
            </w:pPr>
            <w:r>
              <w:rPr>
                <w:rFonts w:ascii="Arial" w:cs="Arial" w:eastAsia="Arial" w:hAnsi="Arial"/>
                <w:sz w:val="14"/>
                <w:szCs w:val="14"/>
                <w:b w:val="1"/>
                <w:bCs w:val="1"/>
                <w:color w:val="auto"/>
                <w:w w:val="91"/>
              </w:rPr>
              <w:t>Fiscal Year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80" w:type="dxa"/>
            <w:vAlign w:val="bottom"/>
          </w:tcPr>
          <w:p>
            <w:pPr>
              <w:ind w:left="20"/>
              <w:spacing w:after="0"/>
              <w:rPr>
                <w:sz w:val="20"/>
                <w:szCs w:val="20"/>
                <w:color w:val="auto"/>
              </w:rPr>
            </w:pPr>
            <w:r>
              <w:rPr>
                <w:rFonts w:ascii="Arial" w:cs="Arial" w:eastAsia="Arial" w:hAnsi="Arial"/>
                <w:sz w:val="14"/>
                <w:szCs w:val="14"/>
                <w:color w:val="auto"/>
              </w:rPr>
              <w:t>(In thousands, except store data and per share data)</w:t>
            </w:r>
          </w:p>
        </w:tc>
        <w:tc>
          <w:tcPr>
            <w:tcW w:w="10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52 weeks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color w:val="auto"/>
                <w:w w:val="91"/>
              </w:rPr>
              <w:t>52 weeks</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52 weeks</w:t>
            </w:r>
          </w:p>
        </w:tc>
        <w:tc>
          <w:tcPr>
            <w:tcW w:w="0" w:type="dxa"/>
            <w:vAlign w:val="bottom"/>
          </w:tcPr>
          <w:p>
            <w:pPr>
              <w:spacing w:after="0"/>
              <w:rPr>
                <w:sz w:val="1"/>
                <w:szCs w:val="1"/>
                <w:color w:val="auto"/>
              </w:rPr>
            </w:pPr>
          </w:p>
        </w:tc>
      </w:tr>
      <w:tr>
        <w:trPr>
          <w:trHeight w:val="52"/>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 (end of period):</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377,604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149,385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75,691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Merchandise inventories,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990,034</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1,134,156</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ind w:left="20"/>
              <w:spacing w:after="0" w:line="324"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(2)</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247,927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538,795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582,789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4,384,482</w:t>
            </w:r>
          </w:p>
        </w:tc>
        <w:tc>
          <w:tcPr>
            <w:tcW w:w="6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3,238,957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Total debt, net of deferred loan costs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785,489</w:t>
            </w:r>
          </w:p>
        </w:tc>
        <w:tc>
          <w:tcPr>
            <w:tcW w:w="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1,462,658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1,625,060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1,111,983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988,219</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857,039</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6"/>
              </w:rPr>
              <w:t>$1,011,597</w:t>
            </w:r>
          </w:p>
        </w:tc>
        <w:tc>
          <w:tcPr>
            <w:tcW w:w="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263,669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198,481</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(66,783)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(99,027)</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(750,234)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(123,192)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(54,808)</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128"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128" w:gutter="0" w:footer="0" w:header="0"/>
          <w:type w:val="continuous"/>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Fiscal Year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February 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6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53"/>
        </w:trPr>
        <w:tc>
          <w:tcPr>
            <w:tcW w:w="5400" w:type="dxa"/>
            <w:vAlign w:val="bottom"/>
            <w:vMerge w:val="restart"/>
          </w:tcPr>
          <w:p>
            <w:pPr>
              <w:ind w:left="20"/>
              <w:spacing w:after="0"/>
              <w:rPr>
                <w:sz w:val="20"/>
                <w:szCs w:val="20"/>
                <w:color w:val="auto"/>
              </w:rPr>
            </w:pPr>
            <w:r>
              <w:rPr>
                <w:rFonts w:ascii="Arial" w:cs="Arial" w:eastAsia="Arial" w:hAnsi="Arial"/>
                <w:sz w:val="14"/>
                <w:szCs w:val="14"/>
                <w:color w:val="auto"/>
              </w:rPr>
              <w:t>Period length</w:t>
            </w: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4"/>
                <w:szCs w:val="14"/>
                <w:color w:val="auto"/>
              </w:rPr>
              <w:t>(In thousands, except store data and per share data)</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52 weeks</w:t>
            </w:r>
          </w:p>
        </w:tc>
        <w:tc>
          <w:tcPr>
            <w:tcW w:w="10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52 weeks</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52 weeks</w:t>
            </w:r>
          </w:p>
        </w:tc>
        <w:tc>
          <w:tcPr>
            <w:tcW w:w="0" w:type="dxa"/>
            <w:vAlign w:val="bottom"/>
          </w:tcPr>
          <w:p>
            <w:pPr>
              <w:spacing w:after="0"/>
              <w:rPr>
                <w:sz w:val="1"/>
                <w:szCs w:val="1"/>
                <w:color w:val="auto"/>
              </w:rPr>
            </w:pPr>
          </w:p>
        </w:tc>
      </w:tr>
      <w:tr>
        <w:trPr>
          <w:trHeight w:val="53"/>
        </w:trPr>
        <w:tc>
          <w:tcPr>
            <w:tcW w:w="5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5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Store Data (unaudited):</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increase (decrease)</w:t>
            </w:r>
          </w:p>
        </w:tc>
        <w:tc>
          <w:tcPr>
            <w:tcW w:w="1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color w:val="auto"/>
              </w:rPr>
              <w:t>Number of stores at end of period</w:t>
            </w:r>
          </w:p>
        </w:tc>
        <w:tc>
          <w:tcPr>
            <w:tcW w:w="128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3"/>
                <w:szCs w:val="23"/>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253</w:t>
            </w:r>
          </w:p>
        </w:tc>
      </w:tr>
      <w:tr>
        <w:trPr>
          <w:trHeight w:val="54"/>
        </w:trPr>
        <w:tc>
          <w:tcPr>
            <w:tcW w:w="4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square feet at end of period (in millions)</w:t>
            </w:r>
          </w:p>
        </w:tc>
        <w:tc>
          <w:tcPr>
            <w:tcW w:w="12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r>
      <w:tr>
        <w:trPr>
          <w:trHeight w:val="324"/>
        </w:trPr>
        <w:tc>
          <w:tcPr>
            <w:tcW w:w="4400" w:type="dxa"/>
            <w:vAlign w:val="bottom"/>
          </w:tcPr>
          <w:p>
            <w:pPr>
              <w:ind w:left="20"/>
              <w:spacing w:after="0" w:line="324" w:lineRule="exact"/>
              <w:rPr>
                <w:sz w:val="20"/>
                <w:szCs w:val="20"/>
                <w:color w:val="auto"/>
              </w:rPr>
            </w:pPr>
            <w:r>
              <w:rPr>
                <w:rFonts w:ascii="Arial" w:cs="Arial" w:eastAsia="Arial" w:hAnsi="Arial"/>
                <w:sz w:val="18"/>
                <w:szCs w:val="18"/>
                <w:color w:val="auto"/>
              </w:rPr>
              <w:t>Net sales per square foot</w:t>
            </w:r>
            <w:r>
              <w:rPr>
                <w:rFonts w:ascii="Arial" w:cs="Arial" w:eastAsia="Arial" w:hAnsi="Arial"/>
                <w:sz w:val="29"/>
                <w:szCs w:val="29"/>
                <w:color w:val="auto"/>
                <w:vertAlign w:val="superscript"/>
              </w:rPr>
              <w:t>(3)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311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267</w:t>
            </w:r>
          </w:p>
        </w:tc>
      </w:tr>
      <w:tr>
        <w:trPr>
          <w:trHeight w:val="324"/>
        </w:trPr>
        <w:tc>
          <w:tcPr>
            <w:tcW w:w="4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 (unaudited):</w:t>
            </w: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54"/>
        </w:trPr>
        <w:tc>
          <w:tcPr>
            <w:tcW w:w="4400" w:type="dxa"/>
            <w:vAlign w:val="bottom"/>
          </w:tcPr>
          <w:p>
            <w:pPr>
              <w:spacing w:after="0"/>
              <w:rPr>
                <w:sz w:val="4"/>
                <w:szCs w:val="4"/>
                <w:color w:val="auto"/>
              </w:rPr>
            </w:pPr>
          </w:p>
        </w:tc>
        <w:tc>
          <w:tcPr>
            <w:tcW w:w="198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r>
      <w:tr>
        <w:trPr>
          <w:trHeight w:val="324"/>
        </w:trPr>
        <w:tc>
          <w:tcPr>
            <w:tcW w:w="44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(4)</w:t>
            </w:r>
          </w:p>
        </w:tc>
        <w:tc>
          <w:tcPr>
            <w:tcW w:w="1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$607,023</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$322,814</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$300,259</w:t>
            </w:r>
          </w:p>
        </w:tc>
      </w:tr>
      <w:tr>
        <w:trPr>
          <w:trHeight w:val="324"/>
        </w:trPr>
        <w:tc>
          <w:tcPr>
            <w:tcW w:w="4400" w:type="dxa"/>
            <w:vAlign w:val="bottom"/>
          </w:tcPr>
          <w:p>
            <w:pPr>
              <w:ind w:left="20"/>
              <w:spacing w:after="0" w:line="32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9"/>
                <w:szCs w:val="29"/>
                <w:color w:val="auto"/>
                <w:vertAlign w:val="superscript"/>
              </w:rPr>
              <w:t>(4)</w:t>
            </w:r>
          </w:p>
        </w:tc>
        <w:tc>
          <w:tcPr>
            <w:tcW w:w="1980" w:type="dxa"/>
            <w:vAlign w:val="bottom"/>
            <w:gridSpan w:val="2"/>
          </w:tcPr>
          <w:p>
            <w:pPr>
              <w:jc w:val="right"/>
              <w:ind w:right="170"/>
              <w:spacing w:after="0"/>
              <w:rPr>
                <w:sz w:val="20"/>
                <w:szCs w:val="20"/>
                <w:color w:val="auto"/>
              </w:rPr>
            </w:pPr>
            <w:r>
              <w:rPr>
                <w:rFonts w:ascii="Arial" w:cs="Arial" w:eastAsia="Arial" w:hAnsi="Arial"/>
                <w:sz w:val="18"/>
                <w:szCs w:val="18"/>
                <w:color w:val="auto"/>
              </w:rPr>
              <w:t>384,536</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101,469</w:t>
            </w:r>
          </w:p>
        </w:tc>
        <w:tc>
          <w:tcPr>
            <w:tcW w:w="240" w:type="dxa"/>
            <w:vAlign w:val="bottom"/>
          </w:tcPr>
          <w:p>
            <w:pPr>
              <w:spacing w:after="0"/>
              <w:rPr>
                <w:sz w:val="24"/>
                <w:szCs w:val="24"/>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55,405</w:t>
            </w:r>
          </w:p>
        </w:tc>
      </w:tr>
      <w:tr>
        <w:trPr>
          <w:trHeight w:val="324"/>
        </w:trPr>
        <w:tc>
          <w:tcPr>
            <w:tcW w:w="4400" w:type="dxa"/>
            <w:vAlign w:val="bottom"/>
            <w:shd w:val="clear" w:color="auto" w:fill="CCEEFF"/>
          </w:tcPr>
          <w:p>
            <w:pPr>
              <w:ind w:left="20"/>
              <w:spacing w:after="0" w:line="324"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9"/>
                <w:szCs w:val="29"/>
                <w:color w:val="auto"/>
                <w:vertAlign w:val="superscript"/>
              </w:rPr>
              <w:t>(4)</w:t>
            </w:r>
          </w:p>
        </w:tc>
        <w:tc>
          <w:tcPr>
            <w:tcW w:w="1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978,453</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196,886</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4"/>
              </w:rPr>
              <w:t>99,454</w:t>
            </w:r>
          </w:p>
        </w:tc>
      </w:tr>
    </w:tbl>
    <w:p>
      <w:pPr>
        <w:spacing w:after="0" w:line="346" w:lineRule="exact"/>
        <w:rPr>
          <w:sz w:val="20"/>
          <w:szCs w:val="20"/>
          <w:color w:val="auto"/>
        </w:rPr>
      </w:pPr>
    </w:p>
    <w:p>
      <w:pPr>
        <w:ind w:left="660" w:right="379" w:hanging="350"/>
        <w:spacing w:after="0" w:line="247"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first half 2020 and in 2019,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connection with the Refinancing Transaction, we repaid in full outstanding borrowings under our 2015 Term Loan Facility, in the amount of $1,431.4 million and recognized a non-cash loss on early retirement of debt of $4.2 million from the write-off of deferred loan costs and expenses related to the original issuance discount associated with our 2015 Term Loan Facility.</w:t>
      </w:r>
    </w:p>
    <w:p>
      <w:pPr>
        <w:spacing w:after="0" w:line="16" w:lineRule="exact"/>
        <w:rPr>
          <w:rFonts w:ascii="Arial" w:cs="Arial" w:eastAsia="Arial" w:hAnsi="Arial"/>
          <w:sz w:val="13"/>
          <w:szCs w:val="13"/>
          <w:color w:val="auto"/>
        </w:rPr>
      </w:pPr>
    </w:p>
    <w:p>
      <w:pPr>
        <w:ind w:left="660" w:right="499" w:hanging="350"/>
        <w:spacing w:after="0" w:line="248"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w:t>
      </w:r>
    </w:p>
    <w:p>
      <w:pPr>
        <w:ind w:left="660"/>
        <w:spacing w:after="0"/>
        <w:rPr>
          <w:rFonts w:ascii="Arial" w:cs="Arial" w:eastAsia="Arial" w:hAnsi="Arial"/>
          <w:sz w:val="13"/>
          <w:szCs w:val="13"/>
          <w:color w:val="auto"/>
        </w:rPr>
      </w:pPr>
      <w:r>
        <w:rPr>
          <w:rFonts w:ascii="Arial" w:cs="Arial" w:eastAsia="Arial" w:hAnsi="Arial"/>
          <w:sz w:val="14"/>
          <w:szCs w:val="14"/>
          <w:color w:val="auto"/>
        </w:rPr>
        <w:t>$1.2 billion between current lease liabilities and long-term lease liabilities included on the balance sheet as of February 3, 2019.</w:t>
      </w:r>
    </w:p>
    <w:p>
      <w:pPr>
        <w:spacing w:after="0" w:line="29" w:lineRule="exact"/>
        <w:rPr>
          <w:rFonts w:ascii="Arial" w:cs="Arial" w:eastAsia="Arial" w:hAnsi="Arial"/>
          <w:sz w:val="13"/>
          <w:szCs w:val="13"/>
          <w:color w:val="auto"/>
        </w:rPr>
      </w:pPr>
    </w:p>
    <w:p>
      <w:pPr>
        <w:ind w:left="660" w:right="599" w:hanging="350"/>
        <w:spacing w:after="0" w:line="25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11" w:lineRule="exact"/>
        <w:rPr>
          <w:rFonts w:ascii="Arial" w:cs="Arial" w:eastAsia="Arial" w:hAnsi="Arial"/>
          <w:sz w:val="14"/>
          <w:szCs w:val="14"/>
          <w:color w:val="auto"/>
        </w:rPr>
      </w:pPr>
    </w:p>
    <w:p>
      <w:pPr>
        <w:ind w:left="660" w:right="319" w:hanging="350"/>
        <w:spacing w:after="0" w:line="22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define Adjusted EBITDA as net income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to Adjusted EBITDA in the applicable table below. We define Adjusted Net Income as net income,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describe these adjustments reconciling net income to Adjusted Net Income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27" w:lineRule="exact"/>
        <w:rPr>
          <w:rFonts w:ascii="Arial" w:cs="Arial" w:eastAsia="Arial" w:hAnsi="Arial"/>
          <w:sz w:val="14"/>
          <w:szCs w:val="14"/>
          <w:color w:val="auto"/>
        </w:rPr>
      </w:pPr>
    </w:p>
    <w:p>
      <w:pPr>
        <w:ind w:left="660" w:right="279"/>
        <w:spacing w:after="0" w:line="244" w:lineRule="auto"/>
        <w:rPr>
          <w:rFonts w:ascii="Arial" w:cs="Arial" w:eastAsia="Arial" w:hAnsi="Arial"/>
          <w:sz w:val="14"/>
          <w:szCs w:val="14"/>
          <w:color w:val="auto"/>
        </w:rPr>
      </w:pPr>
      <w:r>
        <w:rPr>
          <w:rFonts w:ascii="Arial" w:cs="Arial" w:eastAsia="Arial" w:hAnsi="Arial"/>
          <w:sz w:val="13"/>
          <w:szCs w:val="13"/>
          <w:color w:val="auto"/>
        </w:rPr>
        <w:t>Adjusted EBITDA, Adjusted Net Income and Adjusted Free Cash Flow have been presented in this prospectus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9" w:lineRule="exact"/>
        <w:rPr>
          <w:rFonts w:ascii="Arial" w:cs="Arial" w:eastAsia="Arial" w:hAnsi="Arial"/>
          <w:sz w:val="14"/>
          <w:szCs w:val="14"/>
          <w:color w:val="auto"/>
        </w:rPr>
      </w:pPr>
    </w:p>
    <w:p>
      <w:pPr>
        <w:ind w:left="660" w:right="319"/>
        <w:spacing w:after="0" w:line="243" w:lineRule="auto"/>
        <w:rPr>
          <w:rFonts w:ascii="Arial" w:cs="Arial" w:eastAsia="Arial" w:hAnsi="Arial"/>
          <w:sz w:val="14"/>
          <w:szCs w:val="14"/>
          <w:color w:val="auto"/>
        </w:rPr>
      </w:pPr>
      <w:r>
        <w:rPr>
          <w:rFonts w:ascii="Arial" w:cs="Arial" w:eastAsia="Arial" w:hAnsi="Arial"/>
          <w:sz w:val="13"/>
          <w:szCs w:val="13"/>
          <w:color w:val="auto"/>
        </w:rPr>
        <w:t>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should not be construed to imply that our future results will be unaffected by unusual or non-recurring items. In evaluating Adjusted EBITDA, Adjusted Net Income and Adjusted Free Cash Flow, you should be aware that in the future we may incur expenses that are the same as or similar to some of the adjustments in this presentation. Our presentation of Adjusted EBITDA, Adjusted Net Income and Adjusted Free Cash Flow should not be construed to imply that our future results will be unaffected by any such adjustments. Management compensates for these limitations by primarily relying on our GAAP results in addition to using Adjusted EBITDA, Adjusted Net Income and Adjusted Free Cash Flow supplementally.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5721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5721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60" w:right="1420"/>
        <w:spacing w:after="0" w:line="281" w:lineRule="auto"/>
        <w:rPr>
          <w:sz w:val="20"/>
          <w:szCs w:val="20"/>
          <w:color w:val="auto"/>
        </w:rPr>
      </w:pPr>
      <w:r>
        <w:rPr>
          <w:rFonts w:ascii="Arial" w:cs="Arial" w:eastAsia="Arial" w:hAnsi="Arial"/>
          <w:sz w:val="13"/>
          <w:szCs w:val="13"/>
          <w:color w:val="auto"/>
        </w:rPr>
        <w:t>Our Adjusted EBITDA, Adjusted Net Income and Adjusted Free Cash Flow measures have limitations as analytical tools, and you should not consider them in isolation, or as a substitute for analysis of our results as reported under GAAP. Some of these limitations are:</w:t>
      </w:r>
    </w:p>
    <w:p>
      <w:pPr>
        <w:spacing w:after="0" w:line="1" w:lineRule="exact"/>
        <w:rPr>
          <w:sz w:val="20"/>
          <w:szCs w:val="20"/>
          <w:color w:val="auto"/>
        </w:rPr>
      </w:pPr>
    </w:p>
    <w:p>
      <w:pPr>
        <w:ind w:left="2020" w:hanging="350"/>
        <w:spacing w:after="0"/>
        <w:tabs>
          <w:tab w:leader="none" w:pos="2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costs or cash outlays for capital expenditures or contractual commitments;</w:t>
      </w:r>
    </w:p>
    <w:p>
      <w:pPr>
        <w:spacing w:after="0" w:line="41" w:lineRule="exact"/>
        <w:rPr>
          <w:rFonts w:ascii="Arial" w:cs="Arial" w:eastAsia="Arial" w:hAnsi="Arial"/>
          <w:sz w:val="14"/>
          <w:szCs w:val="14"/>
          <w:color w:val="auto"/>
        </w:rPr>
      </w:pPr>
    </w:p>
    <w:p>
      <w:pPr>
        <w:ind w:left="2020" w:hanging="350"/>
        <w:spacing w:after="0"/>
        <w:tabs>
          <w:tab w:leader="none" w:pos="2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changes in, or cash requirements for, our working capital needs;</w:t>
      </w:r>
    </w:p>
    <w:p>
      <w:pPr>
        <w:spacing w:after="0" w:line="41" w:lineRule="exact"/>
        <w:rPr>
          <w:rFonts w:ascii="Arial" w:cs="Arial" w:eastAsia="Arial" w:hAnsi="Arial"/>
          <w:sz w:val="14"/>
          <w:szCs w:val="14"/>
          <w:color w:val="auto"/>
        </w:rPr>
      </w:pPr>
    </w:p>
    <w:p>
      <w:pPr>
        <w:ind w:left="2020" w:right="1300" w:hanging="350"/>
        <w:spacing w:after="0" w:line="305" w:lineRule="auto"/>
        <w:tabs>
          <w:tab w:leader="none" w:pos="2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2020" w:hanging="350"/>
        <w:spacing w:after="0"/>
        <w:tabs>
          <w:tab w:leader="none" w:pos="2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does not reflect period to period changes in taxes, income tax expense or the cash necessary to pay income taxes;</w:t>
      </w:r>
    </w:p>
    <w:p>
      <w:pPr>
        <w:spacing w:after="0" w:line="41" w:lineRule="exact"/>
        <w:rPr>
          <w:rFonts w:ascii="Arial" w:cs="Arial" w:eastAsia="Arial" w:hAnsi="Arial"/>
          <w:sz w:val="14"/>
          <w:szCs w:val="14"/>
          <w:color w:val="auto"/>
        </w:rPr>
      </w:pPr>
    </w:p>
    <w:p>
      <w:pPr>
        <w:ind w:left="2020" w:right="1400" w:hanging="350"/>
        <w:spacing w:after="0" w:line="253" w:lineRule="auto"/>
        <w:tabs>
          <w:tab w:leader="none" w:pos="2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and Adjusted Net Income do not reflect the impact of earnings or charges resulting from matters we consider not to be indicative of our ongoing operations;</w:t>
      </w:r>
    </w:p>
    <w:p>
      <w:pPr>
        <w:spacing w:after="0" w:line="11" w:lineRule="exact"/>
        <w:rPr>
          <w:rFonts w:ascii="Arial" w:cs="Arial" w:eastAsia="Arial" w:hAnsi="Arial"/>
          <w:sz w:val="14"/>
          <w:szCs w:val="14"/>
          <w:color w:val="auto"/>
        </w:rPr>
      </w:pPr>
    </w:p>
    <w:p>
      <w:pPr>
        <w:ind w:left="2020" w:right="1400" w:hanging="350"/>
        <w:spacing w:after="0" w:line="238" w:lineRule="auto"/>
        <w:tabs>
          <w:tab w:leader="none" w:pos="2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0" w:lineRule="exact"/>
        <w:rPr>
          <w:rFonts w:ascii="Arial" w:cs="Arial" w:eastAsia="Arial" w:hAnsi="Arial"/>
          <w:sz w:val="14"/>
          <w:szCs w:val="14"/>
          <w:color w:val="auto"/>
        </w:rPr>
      </w:pPr>
    </w:p>
    <w:p>
      <w:pPr>
        <w:ind w:left="2020" w:right="1760" w:hanging="350"/>
        <w:spacing w:after="0" w:line="253" w:lineRule="auto"/>
        <w:tabs>
          <w:tab w:leader="none" w:pos="20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companies in our industry may calculate these measures differently than we do, limiting their usefulness as comparative measures.</w:t>
      </w:r>
    </w:p>
    <w:p>
      <w:pPr>
        <w:spacing w:after="0" w:line="70" w:lineRule="exact"/>
        <w:rPr>
          <w:sz w:val="20"/>
          <w:szCs w:val="20"/>
          <w:color w:val="auto"/>
        </w:rPr>
      </w:pPr>
    </w:p>
    <w:p>
      <w:pPr>
        <w:ind w:left="1320" w:right="1420"/>
        <w:spacing w:after="0" w:line="342" w:lineRule="auto"/>
        <w:rPr>
          <w:sz w:val="20"/>
          <w:szCs w:val="20"/>
          <w:color w:val="auto"/>
        </w:rPr>
      </w:pPr>
      <w:r>
        <w:rPr>
          <w:rFonts w:ascii="Arial" w:cs="Arial" w:eastAsia="Arial" w:hAnsi="Arial"/>
          <w:sz w:val="16"/>
          <w:szCs w:val="16"/>
          <w:color w:val="auto"/>
        </w:rPr>
        <w:t>Because of these limitations, Adjusted EBITDA, Adjusted Net Income and Adjusted Free Cash Flow should not be considered as measures of discretionary cash available to invest in business growth or to reduce indebtedness.</w:t>
      </w:r>
    </w:p>
    <w:p>
      <w:pPr>
        <w:spacing w:after="0" w:line="16" w:lineRule="exact"/>
        <w:rPr>
          <w:sz w:val="20"/>
          <w:szCs w:val="20"/>
          <w:color w:val="auto"/>
        </w:rPr>
      </w:pPr>
    </w:p>
    <w:p>
      <w:pPr>
        <w:ind w:left="1320" w:right="1400" w:firstLine="360"/>
        <w:spacing w:after="0" w:line="277" w:lineRule="auto"/>
        <w:rPr>
          <w:sz w:val="20"/>
          <w:szCs w:val="20"/>
          <w:color w:val="auto"/>
        </w:rPr>
      </w:pPr>
      <w:r>
        <w:rPr>
          <w:rFonts w:ascii="Arial" w:cs="Arial" w:eastAsia="Arial" w:hAnsi="Arial"/>
          <w:sz w:val="18"/>
          <w:szCs w:val="18"/>
          <w:color w:val="auto"/>
        </w:rPr>
        <w:t>The following tables provide reconciliations of net income to Adjusted EBITDA and Adjusted Net Income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February 1,</w:t>
            </w: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7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900" w:type="dxa"/>
            <w:vAlign w:val="bottom"/>
            <w:gridSpan w:val="4"/>
          </w:tcPr>
          <w:p>
            <w:pPr>
              <w:jc w:val="center"/>
              <w:ind w:left="1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$308,764</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$ 21,442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86,514</w:t>
            </w:r>
          </w:p>
        </w:tc>
        <w:tc>
          <w:tcPr>
            <w:tcW w:w="40" w:type="dxa"/>
            <w:vAlign w:val="bottom"/>
          </w:tcPr>
          <w:p>
            <w:pPr>
              <w:spacing w:after="0"/>
              <w:rPr>
                <w:sz w:val="21"/>
                <w:szCs w:val="21"/>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101,307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108,652</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105,481</w:t>
            </w:r>
          </w:p>
        </w:tc>
        <w:tc>
          <w:tcPr>
            <w:tcW w:w="40" w:type="dxa"/>
            <w:vAlign w:val="bottom"/>
          </w:tcPr>
          <w:p>
            <w:pPr>
              <w:spacing w:after="0"/>
              <w:rPr>
                <w:sz w:val="21"/>
                <w:szCs w:val="21"/>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117,254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134,190</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14,793</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(3,582)</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(42,265)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8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17,632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980" w:type="dxa"/>
            <w:vAlign w:val="bottom"/>
            <w:gridSpan w:val="3"/>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Inventory write-down adjustments associated with strategic merchandising</w:t>
            </w: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7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initiative</w:t>
            </w:r>
            <w:r>
              <w:rPr>
                <w:rFonts w:ascii="Arial" w:cs="Arial" w:eastAsia="Arial" w:hAnsi="Arial"/>
                <w:sz w:val="29"/>
                <w:szCs w:val="29"/>
                <w:color w:val="auto"/>
                <w:vertAlign w:val="superscript"/>
              </w:rPr>
              <w:t>(f)</w:t>
            </w:r>
          </w:p>
        </w:tc>
        <w:tc>
          <w:tcPr>
            <w:tcW w:w="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2,345</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607,023</w:t>
            </w:r>
          </w:p>
        </w:tc>
        <w:tc>
          <w:tcPr>
            <w:tcW w:w="40" w:type="dxa"/>
            <w:vAlign w:val="bottom"/>
            <w:shd w:val="clear" w:color="auto" w:fill="CCEEFF"/>
          </w:tcPr>
          <w:p>
            <w:pPr>
              <w:spacing w:after="0"/>
              <w:rPr>
                <w:sz w:val="24"/>
                <w:szCs w:val="24"/>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322,814</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300,259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7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7080" w:type="dxa"/>
            <w:vAlign w:val="bottom"/>
            <w:gridSpan w:val="3"/>
          </w:tcPr>
          <w:p>
            <w:pPr>
              <w:jc w:val="right"/>
              <w:ind w:right="1392"/>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6896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3405" cy="689610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7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February 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4"/>
          </w:tcPr>
          <w:p>
            <w:pPr>
              <w:jc w:val="center"/>
              <w:ind w:left="1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data)</w:t>
            </w: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$308,764</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$21,442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Consulting fees</w:t>
            </w:r>
            <w:r>
              <w:rPr>
                <w:rFonts w:ascii="Arial" w:cs="Arial" w:eastAsia="Arial" w:hAnsi="Arial"/>
                <w:sz w:val="29"/>
                <w:szCs w:val="29"/>
                <w:color w:val="auto"/>
                <w:vertAlign w:val="superscript"/>
              </w:rPr>
              <w:t>(a)</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3,601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Adviser monitoring fee</w:t>
            </w:r>
            <w:r>
              <w:rPr>
                <w:rFonts w:ascii="Arial" w:cs="Arial" w:eastAsia="Arial" w:hAnsi="Arial"/>
                <w:sz w:val="29"/>
                <w:szCs w:val="29"/>
                <w:color w:val="auto"/>
                <w:vertAlign w:val="superscript"/>
              </w:rPr>
              <w:t>(b)</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40" w:type="dxa"/>
            <w:vAlign w:val="bottom"/>
            <w:shd w:val="clear" w:color="auto" w:fill="CCEEFF"/>
          </w:tcPr>
          <w:p>
            <w:pPr>
              <w:spacing w:after="0"/>
              <w:rPr>
                <w:sz w:val="23"/>
                <w:szCs w:val="23"/>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9"/>
                <w:szCs w:val="29"/>
                <w:color w:val="auto"/>
                <w:vertAlign w:val="superscript"/>
              </w:rPr>
              <w:t>(c)</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31,617</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7,881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9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(42,265)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Severance and executive transition costs</w:t>
            </w:r>
            <w:r>
              <w:rPr>
                <w:rFonts w:ascii="Arial" w:cs="Arial" w:eastAsia="Arial" w:hAnsi="Arial"/>
                <w:sz w:val="29"/>
                <w:szCs w:val="29"/>
                <w:color w:val="auto"/>
                <w:vertAlign w:val="superscript"/>
              </w:rPr>
              <w:t>(d)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6,571</w:t>
            </w:r>
          </w:p>
        </w:tc>
        <w:tc>
          <w:tcPr>
            <w:tcW w:w="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Costs related to the COVID-19 pandemic</w:t>
            </w:r>
            <w:r>
              <w:rPr>
                <w:rFonts w:ascii="Arial" w:cs="Arial" w:eastAsia="Arial" w:hAnsi="Arial"/>
                <w:sz w:val="29"/>
                <w:szCs w:val="29"/>
                <w:color w:val="auto"/>
                <w:vertAlign w:val="superscript"/>
              </w:rPr>
              <w:t>(e)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780" w:type="dxa"/>
            <w:vAlign w:val="bottom"/>
          </w:tcPr>
          <w:p>
            <w:pPr>
              <w:ind w:left="20"/>
              <w:spacing w:after="0"/>
              <w:rPr>
                <w:sz w:val="20"/>
                <w:szCs w:val="20"/>
                <w:color w:val="auto"/>
              </w:rPr>
            </w:pPr>
            <w:r>
              <w:rPr>
                <w:rFonts w:ascii="Arial" w:cs="Arial" w:eastAsia="Arial" w:hAnsi="Arial"/>
                <w:sz w:val="18"/>
                <w:szCs w:val="18"/>
                <w:color w:val="auto"/>
                <w:w w:val="97"/>
              </w:rPr>
              <w:t>Inventory write-down adjustments associated with strategic merchandising</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780" w:type="dxa"/>
            <w:vAlign w:val="bottom"/>
          </w:tcPr>
          <w:p>
            <w:pPr>
              <w:ind w:left="180"/>
              <w:spacing w:after="0" w:line="267" w:lineRule="exact"/>
              <w:rPr>
                <w:sz w:val="20"/>
                <w:szCs w:val="20"/>
                <w:color w:val="auto"/>
              </w:rPr>
            </w:pPr>
            <w:r>
              <w:rPr>
                <w:rFonts w:ascii="Arial" w:cs="Arial" w:eastAsia="Arial" w:hAnsi="Arial"/>
                <w:sz w:val="18"/>
                <w:szCs w:val="18"/>
                <w:color w:val="auto"/>
              </w:rPr>
              <w:t>initiative</w:t>
            </w:r>
            <w:r>
              <w:rPr>
                <w:rFonts w:ascii="Arial" w:cs="Arial" w:eastAsia="Arial" w:hAnsi="Arial"/>
                <w:sz w:val="29"/>
                <w:szCs w:val="29"/>
                <w:color w:val="auto"/>
                <w:vertAlign w:val="superscript"/>
              </w:rPr>
              <w:t>(f)</w:t>
            </w:r>
          </w:p>
        </w:tc>
        <w:tc>
          <w:tcPr>
            <w:tcW w:w="4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(g)</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4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6"/>
                <w:szCs w:val="16"/>
                <w:color w:val="auto"/>
              </w:rPr>
              <w:t>Tax effects of these adjustments</w:t>
            </w:r>
            <w:r>
              <w:rPr>
                <w:rFonts w:ascii="Arial" w:cs="Arial" w:eastAsia="Arial" w:hAnsi="Arial"/>
                <w:sz w:val="26"/>
                <w:szCs w:val="26"/>
                <w:color w:val="auto"/>
                <w:vertAlign w:val="superscript"/>
              </w:rPr>
              <w:t>(h)</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384,536</w:t>
            </w:r>
          </w:p>
        </w:tc>
        <w:tc>
          <w:tcPr>
            <w:tcW w:w="4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101,469</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55,405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57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right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660" w:hanging="350"/>
        <w:spacing w:after="0"/>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outside consulting fees associated with our strategic cost savings and business optimization initiatives.</w:t>
      </w:r>
    </w:p>
    <w:p>
      <w:pPr>
        <w:spacing w:after="0" w:line="41" w:lineRule="exact"/>
        <w:rPr>
          <w:rFonts w:ascii="Arial" w:cs="Arial" w:eastAsia="Arial" w:hAnsi="Arial"/>
          <w:sz w:val="14"/>
          <w:szCs w:val="14"/>
          <w:color w:val="auto"/>
        </w:rPr>
      </w:pPr>
    </w:p>
    <w:p>
      <w:pPr>
        <w:ind w:left="1660" w:right="1340" w:hanging="350"/>
        <w:spacing w:after="0" w:line="253"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our contractual payments under our Monitoring Agreement. See Note 13 to our audited consolidated financial statements in our Annual Report incorporated by reference herein.</w:t>
      </w:r>
    </w:p>
    <w:p>
      <w:pPr>
        <w:spacing w:after="0" w:line="11" w:lineRule="exact"/>
        <w:rPr>
          <w:rFonts w:ascii="Arial" w:cs="Arial" w:eastAsia="Arial" w:hAnsi="Arial"/>
          <w:sz w:val="14"/>
          <w:szCs w:val="14"/>
          <w:color w:val="auto"/>
        </w:rPr>
      </w:pPr>
    </w:p>
    <w:p>
      <w:pPr>
        <w:ind w:left="1660" w:right="1420" w:hanging="350"/>
        <w:spacing w:after="0" w:line="253"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1" w:lineRule="exact"/>
        <w:rPr>
          <w:rFonts w:ascii="Arial" w:cs="Arial" w:eastAsia="Arial" w:hAnsi="Arial"/>
          <w:sz w:val="14"/>
          <w:szCs w:val="14"/>
          <w:color w:val="auto"/>
        </w:rPr>
      </w:pPr>
    </w:p>
    <w:p>
      <w:pPr>
        <w:ind w:left="1660" w:hanging="350"/>
        <w:spacing w:after="0"/>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severance costs associated with executive leadership changes and enterprise-wide organizational changes.</w:t>
      </w:r>
    </w:p>
    <w:p>
      <w:pPr>
        <w:spacing w:after="0" w:line="41" w:lineRule="exact"/>
        <w:rPr>
          <w:rFonts w:ascii="Arial" w:cs="Arial" w:eastAsia="Arial" w:hAnsi="Arial"/>
          <w:sz w:val="14"/>
          <w:szCs w:val="14"/>
          <w:color w:val="auto"/>
        </w:rPr>
      </w:pPr>
    </w:p>
    <w:p>
      <w:pPr>
        <w:ind w:left="1660" w:right="1440" w:hanging="350"/>
        <w:spacing w:after="0" w:line="255" w:lineRule="auto"/>
        <w:tabs>
          <w:tab w:leader="none" w:pos="1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12" w:lineRule="exact"/>
        <w:rPr>
          <w:rFonts w:ascii="Arial" w:cs="Arial" w:eastAsia="Arial" w:hAnsi="Arial"/>
          <w:sz w:val="13"/>
          <w:szCs w:val="13"/>
          <w:color w:val="auto"/>
        </w:rPr>
      </w:pPr>
    </w:p>
    <w:p>
      <w:pPr>
        <w:ind w:left="1660" w:right="1920" w:hanging="350"/>
        <w:spacing w:after="0" w:line="253"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inventory write-down adjustments in connection with our new merchandising strategy adopted as part of our strategic transformation, including exiting certain categories of products.</w:t>
      </w:r>
    </w:p>
    <w:p>
      <w:pPr>
        <w:spacing w:after="0" w:line="11" w:lineRule="exact"/>
        <w:rPr>
          <w:rFonts w:ascii="Arial" w:cs="Arial" w:eastAsia="Arial" w:hAnsi="Arial"/>
          <w:sz w:val="14"/>
          <w:szCs w:val="14"/>
          <w:color w:val="auto"/>
        </w:rPr>
      </w:pPr>
    </w:p>
    <w:p>
      <w:pPr>
        <w:ind w:left="1660" w:right="1420" w:hanging="350"/>
        <w:spacing w:after="0" w:line="231"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adjustments include (representing deductions or additions to Adjusted EBITDA and Adjusted Net Income, as applicable) amounts that management believes are not representative of our operating performance, including investment income,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1" w:lineRule="exact"/>
        <w:rPr>
          <w:rFonts w:ascii="Arial" w:cs="Arial" w:eastAsia="Arial" w:hAnsi="Arial"/>
          <w:sz w:val="14"/>
          <w:szCs w:val="14"/>
          <w:color w:val="auto"/>
        </w:rPr>
      </w:pPr>
    </w:p>
    <w:p>
      <w:pPr>
        <w:ind w:left="1660" w:hanging="350"/>
        <w:spacing w:after="0"/>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made to arrive at Adjusted Net Income at our historical tax rate.</w:t>
      </w:r>
    </w:p>
    <w:p>
      <w:pPr>
        <w:spacing w:after="0" w:line="100" w:lineRule="exact"/>
        <w:rPr>
          <w:sz w:val="20"/>
          <w:szCs w:val="20"/>
          <w:color w:val="auto"/>
        </w:rPr>
      </w:pPr>
    </w:p>
    <w:p>
      <w:pPr>
        <w:ind w:left="1320" w:right="1300" w:firstLine="360"/>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January 30,</w:t>
            </w: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February 1,</w:t>
            </w:r>
          </w:p>
        </w:tc>
        <w:tc>
          <w:tcPr>
            <w:tcW w:w="20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40" w:type="dxa"/>
            <w:vAlign w:val="bottom"/>
            <w:vMerge w:val="continue"/>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$1,011,597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$263,669</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$198,481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(66,783)</w:t>
            </w:r>
          </w:p>
        </w:tc>
        <w:tc>
          <w:tcPr>
            <w:tcW w:w="16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(99,027)</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Free Cash Flow</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978,453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196,886</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$ 99,454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top w:val="single" w:sz="8" w:color="CCEEFF"/>
              <w:bottom w:val="single" w:sz="8" w:color="auto"/>
            </w:tcBorders>
          </w:tcPr>
          <w:p>
            <w:pPr>
              <w:spacing w:after="0"/>
              <w:rPr>
                <w:sz w:val="18"/>
                <w:szCs w:val="18"/>
                <w:color w:val="auto"/>
              </w:rPr>
            </w:pPr>
          </w:p>
        </w:tc>
        <w:tc>
          <w:tcPr>
            <w:tcW w:w="2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60" w:type="dxa"/>
            <w:vAlign w:val="bottom"/>
          </w:tcPr>
          <w:p>
            <w:pPr>
              <w:jc w:val="right"/>
              <w:ind w:right="131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information contained in our Annual Report, including under “Risk Factors,” together with the other information contained or incorporated by reference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b w:val="1"/>
          <w:bCs w:val="1"/>
          <w:i w:val="1"/>
          <w:iCs w:val="1"/>
          <w:color w:val="auto"/>
        </w:rPr>
        <w:t>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spacing w:after="0" w:line="4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After completion of the April 2021 Sale, KKR Stockholders ceased to control a majority of the voting power of our common stock. As a result, we are no longer a “controlled company” within the meaning of the corporate governance standards of Nasdaq and we will be required to comply with certain corporate governance requirements within one year or less of the completion of the April 2021 Sale, including the requirements that:</w:t>
      </w:r>
    </w:p>
    <w:p>
      <w:pPr>
        <w:spacing w:after="0" w:line="63" w:lineRule="exact"/>
        <w:rPr>
          <w:sz w:val="20"/>
          <w:szCs w:val="20"/>
          <w:color w:val="auto"/>
        </w:rPr>
      </w:pPr>
    </w:p>
    <w:p>
      <w:pPr>
        <w:ind w:left="1000" w:right="3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listing rules of Nasdaq;</w:t>
      </w:r>
    </w:p>
    <w:p>
      <w:pPr>
        <w:spacing w:after="0" w:line="62" w:lineRule="exact"/>
        <w:rPr>
          <w:rFonts w:ascii="Arial" w:cs="Arial" w:eastAsia="Arial" w:hAnsi="Arial"/>
          <w:sz w:val="18"/>
          <w:szCs w:val="18"/>
          <w:color w:val="auto"/>
        </w:rPr>
      </w:pPr>
    </w:p>
    <w:p>
      <w:pPr>
        <w:ind w:left="1000" w:right="1339" w:hanging="348"/>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director nominees be selected, or recommended for our board of directors’ selection by a nominating/governance committee comprised solely of independent directors; and</w:t>
      </w:r>
    </w:p>
    <w:p>
      <w:pPr>
        <w:spacing w:after="0" w:line="38" w:lineRule="exact"/>
        <w:rPr>
          <w:rFonts w:ascii="Arial" w:cs="Arial" w:eastAsia="Arial" w:hAnsi="Arial"/>
          <w:sz w:val="17"/>
          <w:szCs w:val="17"/>
          <w:color w:val="auto"/>
        </w:rPr>
      </w:pPr>
    </w:p>
    <w:p>
      <w:pPr>
        <w:ind w:left="1000" w:right="519" w:hanging="348"/>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compensation of our executive officers be determined, or recommended to our board of directors for determination, by a compensation committee comprised solely of independent directors.</w:t>
      </w:r>
    </w:p>
    <w:p>
      <w:pPr>
        <w:spacing w:after="0" w:line="1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Currently, we do not have a majority of independent directors and our compensation committee and nominating and governance committee do not consist entirely of independent directors. Accordingly, until we satisfy these requirements during this one-year transition period, you will not have the same protections afforded to stockholders of companies that are subject to all of the corporate governance requirements of Nasdaq.</w:t>
      </w:r>
    </w:p>
    <w:p>
      <w:pPr>
        <w:spacing w:after="0" w:line="157"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b w:val="1"/>
          <w:bCs w:val="1"/>
          <w:i w:val="1"/>
          <w:iCs w:val="1"/>
          <w:color w:val="auto"/>
        </w:rPr>
        <w:t>KKR Stockholders have the ability to exert substantial influence over us and their interests may conflict with yours in the future.</w:t>
      </w:r>
    </w:p>
    <w:p>
      <w:pPr>
        <w:spacing w:after="0" w:line="62"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Immediately following this offering, KKR Stockholders will collectively beneficially own approximately 34.1% of the voting power of our common stock (or approximately 31.7% if the underwriters exercise in full their option to purchase additional shares). As a result, KKR Stockholders will be able to exert substantial influence on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influence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nominate individuals to our board of directors under the stockholders agreement. See the section entitled “Transactions with Related Persons” in our Proxy Statement, which section is incorporated by reference herein. The interests of KKR Stockholders may not coincide with the interests of other holders of our common stock.</w:t>
      </w:r>
    </w:p>
    <w:p>
      <w:pPr>
        <w:spacing w:after="0" w:line="66"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In the ordinary course of their business activities, KKR Stockholders and their affiliates may engage in activities where their interests conflict with our interests or those of our stockholders. Our amended and restated certificate of incorporation provides that any of KKR Stockholders, any of their affiliates or any director who is not employed by us (including any non-employee director who serves as one of our officers in both his or her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director and officer capacities) or his or her affiliates do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70"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In addition, KKR Stockholders and their affiliates will be able to significantly influence the outcome of all matters requiring stockholder approval, including the election of our board of directors and potential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18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76"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28" w:lineRule="exact"/>
        <w:rPr>
          <w:rFonts w:ascii="Arial" w:cs="Arial" w:eastAsia="Arial" w:hAnsi="Arial"/>
          <w:sz w:val="17"/>
          <w:szCs w:val="17"/>
          <w:color w:val="auto"/>
        </w:rPr>
      </w:pPr>
    </w:p>
    <w:p>
      <w:pPr>
        <w:ind w:left="1000" w:right="9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general economic or market conditions or trends in our industry or the economy as a whole;</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319"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incentive plans, acquisitions or otherwise.</w:t>
      </w:r>
    </w:p>
    <w:p>
      <w:pPr>
        <w:spacing w:after="0" w:line="62"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After this offering and the concurrent share repurchase, we will have approximately 209,429,415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our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7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In addition, the completion of this offering will result in a Change of Control (as defined under the 2011 Equity Plan) that will cause all equity awards granted under the 2011 Equity Plan (other than performance-based awards granted in 2018) to vest in full, permitting the holders of such awards to sell the underlying shares of our common stock they receive upon exercise of any options or settlement of any restricted stock units that will vest as a result of such Change of Control, and all performance-based awards granted in 2018 under the 2011 Equity Plan to be forfeited due to the Company’s failure to meet certain performance targets prior to such Change of Control. In addition, as a result of such vesting events, we will owe certain cash payments to the holders of vesting equity awards granted under the 2011 Equity Plan that were outstanding as of the date of the distribution made by us to our members of record as of August 25, 2020 (see “Distribution” in Note 9 to our audited consolidated financial statements in our Annual Report incorporated by reference herein). We anticipate that, as a result of such vesting events, during the second quarter of 2021, we will recognize (i) non-cash expenses related to equity-based compensation of $26.4 million, (ii) cash expenses related to taxes on equity-based compensation of $13.7 million and (iii) cash payments related to equity-based compensation distributions of $8.2 million.</w:t>
      </w:r>
    </w:p>
    <w:p>
      <w:pPr>
        <w:spacing w:after="0" w:line="322"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6"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187"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166"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63"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Upon the completion of this offering, of our outstanding shares, the 54,232,495 shares sold in the IPO, the secondary offering we completed in February 2021 (the “February 2021 Secondary Offering”), the April 2021 Sale and this offering (or 56,332,495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stockholders), may be sold only in compliance with the limitations described in “Shares Eligible for Future Sale.”</w:t>
      </w:r>
    </w:p>
    <w:p>
      <w:pPr>
        <w:spacing w:after="0" w:line="69"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remaining outstanding 36,338,090 shares of common stock held by our existing stockholders after this offering (or approximately 34,238,090 shares if the underwriters exercise in full their option to purchase additional shares), representing approximately 40.1% of the total outstanding shares of our common stock following this offering (or approximately 37.8% if the underwriters exercise in full their option to 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58"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We, our executive officers, directors and the selling stockholders will sign lock-up agreements with the underwriters that will, subject to certain customary exceptions, restrict the sale of the shares of our common stock and certain other securities held by them for 45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w:t>
      </w:r>
    </w:p>
    <w:p>
      <w:pPr>
        <w:spacing w:after="0" w:line="7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stockholders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70" w:lineRule="exact"/>
        <w:rPr>
          <w:sz w:val="20"/>
          <w:szCs w:val="20"/>
          <w:color w:val="auto"/>
        </w:rPr>
      </w:pPr>
    </w:p>
    <w:p>
      <w:pPr>
        <w:jc w:val="both"/>
        <w:ind w:left="300" w:right="659" w:firstLine="360"/>
        <w:spacing w:after="0" w:line="311" w:lineRule="auto"/>
        <w:rPr>
          <w:sz w:val="20"/>
          <w:szCs w:val="20"/>
          <w:color w:val="auto"/>
        </w:rPr>
      </w:pPr>
      <w:r>
        <w:rPr>
          <w:rFonts w:ascii="Arial" w:cs="Arial" w:eastAsia="Arial" w:hAnsi="Arial"/>
          <w:sz w:val="16"/>
          <w:szCs w:val="16"/>
          <w:color w:val="auto"/>
        </w:rPr>
        <w:t>In addition, pursuant to a registration rights agreement, KKR Stockholders and the Gochman Investors will each have the right, subject to certain conditions, to require us to register the sale of their shares of our common stock under the Securities Act. See the section entitled “Transactions with Related Persons—Certain Related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0" w:lineRule="auto"/>
        <w:rPr>
          <w:sz w:val="20"/>
          <w:szCs w:val="20"/>
          <w:color w:val="auto"/>
        </w:rPr>
      </w:pPr>
      <w:r>
        <w:rPr>
          <w:rFonts w:ascii="Arial" w:cs="Arial" w:eastAsia="Arial" w:hAnsi="Arial"/>
          <w:sz w:val="17"/>
          <w:szCs w:val="17"/>
          <w:color w:val="auto"/>
        </w:rPr>
        <w:t>Person Transactions—Registration Rights Agreement” in our Proxy Statement, which section is incorporated by reference herein. By exercising their registration rights and selling a large number of shares, KKR Stockholders and/or the Gochman Investors could cause the prevailing market price of our common stock to decline. Certain of our existing stockholders have “piggyback” registration rights with respect to future registered offerings of our common stock. Following completion of this offering, the shares covered by registration rights would represent approximately 37.9% of our total common stock outstanding (or approximately 35.6%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73"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statements are available for sale in the open market. The initial registration statement on Form S-8 covered 15,983,311 shares of our common stock.</w:t>
      </w:r>
    </w:p>
    <w:p>
      <w:pPr>
        <w:spacing w:after="0" w:line="53"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71"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29"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1000" w:right="35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1000" w:right="339" w:hanging="348"/>
        <w:spacing w:after="0" w:line="244"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1" w:lineRule="exact"/>
        <w:rPr>
          <w:rFonts w:ascii="Arial" w:cs="Arial" w:eastAsia="Arial" w:hAnsi="Arial"/>
          <w:sz w:val="18"/>
          <w:szCs w:val="18"/>
          <w:color w:val="auto"/>
        </w:rPr>
      </w:pPr>
    </w:p>
    <w:p>
      <w:pPr>
        <w:ind w:left="1000" w:right="319" w:hanging="348"/>
        <w:spacing w:after="0" w:line="24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346"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315" w:lineRule="exact"/>
        <w:rPr>
          <w:sz w:val="20"/>
          <w:szCs w:val="20"/>
          <w:color w:val="auto"/>
        </w:rPr>
      </w:pPr>
    </w:p>
    <w:p>
      <w:pPr>
        <w:ind w:left="300" w:right="519"/>
        <w:spacing w:after="0" w:line="29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53" w:lineRule="exact"/>
        <w:rPr>
          <w:sz w:val="20"/>
          <w:szCs w:val="20"/>
          <w:color w:val="auto"/>
        </w:rPr>
      </w:pPr>
    </w:p>
    <w:p>
      <w:pPr>
        <w:ind w:left="300" w:right="43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w:t>
      </w:r>
    </w:p>
    <w:p>
      <w:pPr>
        <w:spacing w:after="0" w:line="2" w:lineRule="exact"/>
        <w:rPr>
          <w:sz w:val="20"/>
          <w:szCs w:val="20"/>
          <w:color w:val="auto"/>
        </w:rPr>
      </w:pPr>
    </w:p>
    <w:p>
      <w:pPr>
        <w:ind w:left="300" w:right="299" w:hanging="8"/>
        <w:spacing w:after="0" w:line="267"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action asserting a claim against the Company or any director or officer of the Company arising pursuant to any provision of the Delaware General Corporation Law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73"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This prospectus and the documents incorporated by reference herein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 and the documents incorporated by reference herein.</w:t>
      </w:r>
    </w:p>
    <w:p>
      <w:pPr>
        <w:spacing w:after="0" w:line="60"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The forward-looking statements contained, or incorporated by reference,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this prospectus and “Risk Factors” in our Annual Report incorporated by reference herein, including the following:</w:t>
      </w:r>
    </w:p>
    <w:p>
      <w:pPr>
        <w:spacing w:after="0" w:line="58"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17"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predict or effectively react to changes in consumer tastes and preferences, to acquire and sell brand name merchandise at competitive prices and/or to manage our inventory balances;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disruptions in our supply chain and losses of merchandise purchasing incentives;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offering;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ownership of our common stock.</w:t>
      </w:r>
    </w:p>
    <w:p>
      <w:pPr>
        <w:spacing w:after="0" w:line="117"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projected in these forward-looking statements.</w:t>
      </w:r>
    </w:p>
    <w:p>
      <w:pPr>
        <w:spacing w:after="0" w:line="79"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Any forward-looking statement made by us in this prospectus or the documents incorporated by reference herein speaks only as of the date of this prospectus or in the documents incorporated by reference herein, as applicable, and are expressly qualified in their entirety by the cautionary statements included, or incorporated by reference,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“Principal and Selling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Note 4 to our audited consolidated financial statements in our Annual Report incorporated by reference herein.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jc w:val="both"/>
        <w:ind w:left="300" w:right="719"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the selling stockholders, the number of shares of our common stock offered hereby by the selling stockholders and information with respect to shares to be beneficially owned by the selling stockholders after completion of this offering and the concurrent share repurchase.</w:t>
      </w:r>
    </w:p>
    <w:p>
      <w:pPr>
        <w:spacing w:after="0" w:line="79"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number of shares of common stock outstanding and percentages of beneficial ownership provided in the table below are based on the beneficial ownership as of April 12, 2021 and are based on 93,800,559 shares of our common stock, par value $0.01 per share, outstanding as of April 12, 2021 and, when indicated, give effect to the repurchase by us of 3,229,974 shares of our common stock in the concurrent share repurchase. As of April 12, 2021, we had 30 holders of record of our common stock.</w:t>
      </w:r>
    </w:p>
    <w:p>
      <w:pPr>
        <w:spacing w:after="0" w:line="80"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4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Shares to be Sold in this Offering</w:t>
            </w:r>
          </w:p>
        </w:tc>
        <w:tc>
          <w:tcPr>
            <w:tcW w:w="292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Shares Beneficially Owned After the Offering</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2920" w:type="dxa"/>
            <w:vAlign w:val="bottom"/>
            <w:gridSpan w:val="7"/>
          </w:tcPr>
          <w:p>
            <w:pPr>
              <w:jc w:val="right"/>
              <w:ind w:right="208"/>
              <w:spacing w:after="0"/>
              <w:rPr>
                <w:sz w:val="20"/>
                <w:szCs w:val="20"/>
                <w:color w:val="auto"/>
              </w:rPr>
            </w:pPr>
            <w:r>
              <w:rPr>
                <w:rFonts w:ascii="Arial" w:cs="Arial" w:eastAsia="Arial" w:hAnsi="Arial"/>
                <w:sz w:val="14"/>
                <w:szCs w:val="14"/>
                <w:b w:val="1"/>
                <w:bCs w:val="1"/>
                <w:color w:val="auto"/>
              </w:rPr>
              <w:t>and the Concurrent Share Repurchase</w:t>
            </w: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Assuming No</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Assuming Full</w:t>
            </w: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Assuming No</w:t>
            </w:r>
          </w:p>
        </w:tc>
        <w:tc>
          <w:tcPr>
            <w:tcW w:w="8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Assuming Full</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1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Offering and the</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Concurrent Share</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Repurchase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 Total</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9"/>
        </w:trPr>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6"/>
        </w:trPr>
        <w:tc>
          <w:tcPr>
            <w:tcW w:w="1580" w:type="dxa"/>
            <w:vAlign w:val="bottom"/>
          </w:tcPr>
          <w:p>
            <w:pPr>
              <w:spacing w:after="0"/>
              <w:rPr>
                <w:sz w:val="20"/>
                <w:szCs w:val="20"/>
                <w:color w:val="auto"/>
              </w:rPr>
            </w:pPr>
            <w:r>
              <w:rPr>
                <w:rFonts w:ascii="Arial" w:cs="Arial" w:eastAsia="Arial" w:hAnsi="Arial"/>
                <w:sz w:val="14"/>
                <w:szCs w:val="14"/>
                <w:b w:val="1"/>
                <w:bCs w:val="1"/>
                <w:color w:val="auto"/>
              </w:rPr>
              <w:t>Owner</w:t>
            </w: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53"/>
        </w:trPr>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80" w:type="dxa"/>
            <w:vAlign w:val="bottom"/>
          </w:tcPr>
          <w:p>
            <w:pPr>
              <w:ind w:left="180"/>
              <w:spacing w:after="0" w:line="256" w:lineRule="exact"/>
              <w:rPr>
                <w:sz w:val="20"/>
                <w:szCs w:val="20"/>
                <w:color w:val="auto"/>
              </w:rPr>
            </w:pPr>
            <w:r>
              <w:rPr>
                <w:rFonts w:ascii="Arial" w:cs="Arial" w:eastAsia="Arial" w:hAnsi="Arial"/>
                <w:sz w:val="14"/>
                <w:szCs w:val="14"/>
                <w:color w:val="auto"/>
              </w:rPr>
              <w:t>KKR Stockholders</w:t>
            </w:r>
            <w:r>
              <w:rPr>
                <w:rFonts w:ascii="Arial" w:cs="Arial" w:eastAsia="Arial" w:hAnsi="Arial"/>
                <w:sz w:val="23"/>
                <w:szCs w:val="23"/>
                <w:color w:val="auto"/>
                <w:vertAlign w:val="superscript"/>
              </w:rPr>
              <w:t>(1)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41,845,602</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11,000,000</w:t>
            </w:r>
          </w:p>
        </w:tc>
        <w:tc>
          <w:tcPr>
            <w:tcW w:w="1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13,100,000</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30,845,602</w:t>
            </w:r>
          </w:p>
        </w:tc>
        <w:tc>
          <w:tcPr>
            <w:tcW w:w="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9"/>
              </w:rPr>
              <w:t>28,745,602</w:t>
            </w:r>
          </w:p>
        </w:tc>
        <w:tc>
          <w:tcPr>
            <w:tcW w:w="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20"/>
                <w:szCs w:val="20"/>
                <w:color w:val="auto"/>
              </w:rPr>
            </w:pPr>
            <w:r>
              <w:rPr>
                <w:rFonts w:ascii="Arial" w:cs="Arial" w:eastAsia="Arial" w:hAnsi="Arial"/>
                <w:sz w:val="14"/>
                <w:szCs w:val="14"/>
                <w:color w:val="auto"/>
              </w:rPr>
              <w:t>MSI 2011 LLC (a</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140"/>
              <w:spacing w:after="0" w:line="225" w:lineRule="exact"/>
              <w:rPr>
                <w:sz w:val="20"/>
                <w:szCs w:val="20"/>
                <w:color w:val="auto"/>
              </w:rPr>
            </w:pPr>
            <w:r>
              <w:rPr>
                <w:rFonts w:ascii="Arial" w:cs="Arial" w:eastAsia="Arial" w:hAnsi="Arial"/>
                <w:sz w:val="14"/>
                <w:szCs w:val="14"/>
                <w:color w:val="auto"/>
              </w:rPr>
              <w:t>Gochman Investor)</w:t>
            </w:r>
            <w:r>
              <w:rPr>
                <w:rFonts w:ascii="Arial" w:cs="Arial" w:eastAsia="Arial" w:hAnsi="Arial"/>
                <w:sz w:val="23"/>
                <w:szCs w:val="23"/>
                <w:color w:val="auto"/>
                <w:vertAlign w:val="superscript"/>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4,028,639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1,867,707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1,867,707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2,160,932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2,160,932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20"/>
                <w:szCs w:val="20"/>
                <w:color w:val="auto"/>
              </w:rPr>
            </w:pPr>
            <w:r>
              <w:rPr>
                <w:rFonts w:ascii="Arial" w:cs="Arial" w:eastAsia="Arial" w:hAnsi="Arial"/>
                <w:sz w:val="14"/>
                <w:szCs w:val="14"/>
                <w:color w:val="auto"/>
              </w:rPr>
              <w:t>MG Family Limited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80" w:type="dxa"/>
            <w:vAlign w:val="bottom"/>
          </w:tcPr>
          <w:p>
            <w:pPr>
              <w:ind w:left="140"/>
              <w:spacing w:after="0" w:line="145" w:lineRule="exact"/>
              <w:rPr>
                <w:sz w:val="20"/>
                <w:szCs w:val="20"/>
                <w:color w:val="auto"/>
              </w:rPr>
            </w:pPr>
            <w:r>
              <w:rPr>
                <w:rFonts w:ascii="Arial" w:cs="Arial" w:eastAsia="Arial" w:hAnsi="Arial"/>
                <w:sz w:val="14"/>
                <w:szCs w:val="14"/>
                <w:color w:val="auto"/>
                <w:w w:val="93"/>
              </w:rPr>
              <w:t>Partnership (a Gochman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1580" w:type="dxa"/>
            <w:vAlign w:val="bottom"/>
          </w:tcPr>
          <w:p>
            <w:pPr>
              <w:ind w:left="140"/>
              <w:spacing w:after="0"/>
              <w:rPr>
                <w:sz w:val="20"/>
                <w:szCs w:val="20"/>
                <w:color w:val="auto"/>
              </w:rPr>
            </w:pPr>
            <w:r>
              <w:rPr>
                <w:rFonts w:ascii="Arial" w:cs="Arial" w:eastAsia="Arial" w:hAnsi="Arial"/>
                <w:sz w:val="14"/>
                <w:szCs w:val="14"/>
                <w:color w:val="auto"/>
              </w:rPr>
              <w:t>Investor)</w:t>
            </w:r>
            <w:r>
              <w:rPr>
                <w:rFonts w:ascii="Arial" w:cs="Arial" w:eastAsia="Arial" w:hAnsi="Arial"/>
                <w:sz w:val="23"/>
                <w:szCs w:val="23"/>
                <w:color w:val="auto"/>
                <w:vertAlign w:val="superscript"/>
              </w:rPr>
              <w:t>(3)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2,442,353</w:t>
            </w:r>
          </w:p>
        </w:tc>
        <w:tc>
          <w:tcPr>
            <w:tcW w:w="10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1,132,293</w:t>
            </w:r>
          </w:p>
        </w:tc>
        <w:tc>
          <w:tcPr>
            <w:tcW w:w="12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1,132,293</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1,310,060</w:t>
            </w:r>
          </w:p>
        </w:tc>
        <w:tc>
          <w:tcPr>
            <w:tcW w:w="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1,310,060</w:t>
            </w:r>
          </w:p>
        </w:tc>
        <w:tc>
          <w:tcPr>
            <w:tcW w:w="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-1007110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-1007110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-1007110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-1007110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-1007110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-1007110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-1007110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-1007110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98425</wp:posOffset>
            </wp:positionV>
            <wp:extent cx="822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4" w:lineRule="exact"/>
        <w:rPr>
          <w:sz w:val="20"/>
          <w:szCs w:val="20"/>
          <w:color w:val="auto"/>
        </w:rPr>
      </w:pPr>
    </w:p>
    <w:p>
      <w:pPr>
        <w:ind w:left="640" w:right="699" w:hanging="348"/>
        <w:spacing w:after="0" w:line="25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(x) KKR 2006 Allstar Blocker L.P. holds 7,543,597 shares of our common stock; (y) Allstar Co-Invest Blocker L.P. holds 14,969,509 shares of our common stock; and (z) Allstar LLC holds 19,332,496 shares of our common stock.</w:t>
      </w:r>
    </w:p>
    <w:p>
      <w:pPr>
        <w:spacing w:after="0" w:line="11" w:lineRule="exact"/>
        <w:rPr>
          <w:rFonts w:ascii="Arial" w:cs="Arial" w:eastAsia="Arial" w:hAnsi="Arial"/>
          <w:sz w:val="14"/>
          <w:szCs w:val="14"/>
          <w:color w:val="auto"/>
        </w:rPr>
      </w:pPr>
    </w:p>
    <w:p>
      <w:pPr>
        <w:ind w:left="660" w:right="299"/>
        <w:spacing w:after="0" w:line="244" w:lineRule="auto"/>
        <w:rPr>
          <w:rFonts w:ascii="Arial" w:cs="Arial" w:eastAsia="Arial" w:hAnsi="Arial"/>
          <w:sz w:val="14"/>
          <w:szCs w:val="14"/>
          <w:color w:val="auto"/>
        </w:rPr>
      </w:pPr>
      <w:r>
        <w:rPr>
          <w:rFonts w:ascii="Arial" w:cs="Arial" w:eastAsia="Arial" w:hAnsi="Arial"/>
          <w:sz w:val="13"/>
          <w:szCs w:val="13"/>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NY, 10001. The principal business address for Mr. Roberts is c/o Kohlberg Kravis Roberts &amp; Co. L.P., 2800 Sand Hill Road, Suite 200, Menlo Park, CA 94025.</w:t>
      </w:r>
    </w:p>
    <w:p>
      <w:pPr>
        <w:spacing w:after="0" w:line="19" w:lineRule="exact"/>
        <w:rPr>
          <w:rFonts w:ascii="Arial" w:cs="Arial" w:eastAsia="Arial" w:hAnsi="Arial"/>
          <w:sz w:val="14"/>
          <w:szCs w:val="14"/>
          <w:color w:val="auto"/>
        </w:rPr>
      </w:pPr>
    </w:p>
    <w:p>
      <w:pPr>
        <w:ind w:left="640" w:right="459" w:hanging="348"/>
        <w:spacing w:after="0" w:line="23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20" w:lineRule="exact"/>
        <w:rPr>
          <w:rFonts w:ascii="Arial" w:cs="Arial" w:eastAsia="Arial" w:hAnsi="Arial"/>
          <w:sz w:val="14"/>
          <w:szCs w:val="14"/>
          <w:color w:val="auto"/>
        </w:rPr>
      </w:pPr>
    </w:p>
    <w:p>
      <w:pPr>
        <w:ind w:left="640" w:right="439" w:hanging="348"/>
        <w:spacing w:after="0" w:line="23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MG Family Limited Partnership is an entity of which MG Family GP, LLC is the general partner. Molly Gochman is the sole member of MG Family GP, LLC with sole power to make investment decisions. The principal business address of MG Family Limited Partnership is 2437 North Blvd, Houston, TX77098.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739" w:firstLine="360"/>
        <w:spacing w:after="0" w:line="311"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4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00" w:right="339" w:firstLine="360"/>
        <w:spacing w:after="0" w:line="229"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9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9"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41"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68"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1000" w:right="399" w:hanging="348"/>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140" w:lineRule="exact"/>
        <w:rPr>
          <w:rFonts w:ascii="Arial" w:cs="Arial" w:eastAsia="Arial" w:hAnsi="Arial"/>
          <w:sz w:val="16"/>
          <w:szCs w:val="16"/>
          <w:color w:val="auto"/>
        </w:rPr>
      </w:pPr>
    </w:p>
    <w:p>
      <w:pPr>
        <w:ind w:left="1000" w:right="83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84" w:lineRule="exact"/>
        <w:rPr>
          <w:sz w:val="20"/>
          <w:szCs w:val="20"/>
          <w:color w:val="auto"/>
        </w:rPr>
      </w:pPr>
    </w:p>
    <w:p>
      <w:pPr>
        <w:ind w:left="300" w:right="99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53"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80" w:lineRule="exact"/>
        <w:rPr>
          <w:sz w:val="20"/>
          <w:szCs w:val="20"/>
          <w:color w:val="auto"/>
        </w:rPr>
      </w:pPr>
    </w:p>
    <w:p>
      <w:pPr>
        <w:ind w:left="300" w:right="719" w:firstLine="360"/>
        <w:spacing w:after="0" w:line="342" w:lineRule="auto"/>
        <w:rPr>
          <w:sz w:val="20"/>
          <w:szCs w:val="20"/>
          <w:color w:val="auto"/>
        </w:rPr>
      </w:pPr>
      <w:r>
        <w:rPr>
          <w:rFonts w:ascii="Arial" w:cs="Arial" w:eastAsia="Arial" w:hAnsi="Arial"/>
          <w:sz w:val="16"/>
          <w:szCs w:val="16"/>
          <w:color w:val="auto"/>
        </w:rPr>
        <w:t>One of the effects of the existence of unissued and unreserved common stock or preferred stock may be to enable our board of directors to issue shares to persons friendly to current management, which issuance could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000" w:right="75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000" w:right="559" w:hanging="348"/>
        <w:spacing w:after="0" w:line="212"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9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80"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1" w:lineRule="auto"/>
        <w:rPr>
          <w:sz w:val="20"/>
          <w:szCs w:val="20"/>
          <w:color w:val="auto"/>
        </w:rPr>
      </w:pPr>
      <w:r>
        <w:rPr>
          <w:rFonts w:ascii="Arial" w:cs="Arial" w:eastAsia="Arial" w:hAnsi="Arial"/>
          <w:sz w:val="16"/>
          <w:szCs w:val="16"/>
          <w:color w:val="auto"/>
        </w:rPr>
        <w:t>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KKR Stockholders and their affiliates are permitted to call special meetings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jc w:val="both"/>
        <w:ind w:left="300" w:right="359" w:firstLine="360"/>
        <w:spacing w:after="0" w:line="286"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w:t>
      </w:r>
    </w:p>
    <w:p>
      <w:pPr>
        <w:spacing w:after="0" w:line="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300" w:right="43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300" w:right="339" w:firstLine="360"/>
        <w:spacing w:after="0" w:line="274"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0"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6" w:lineRule="exact"/>
        <w:rPr>
          <w:sz w:val="20"/>
          <w:szCs w:val="20"/>
          <w:color w:val="auto"/>
        </w:rPr>
      </w:pPr>
    </w:p>
    <w:p>
      <w:pPr>
        <w:ind w:left="300" w:right="379" w:firstLine="360"/>
        <w:spacing w:after="0" w:line="229" w:lineRule="auto"/>
        <w:rPr>
          <w:sz w:val="20"/>
          <w:szCs w:val="20"/>
          <w:color w:val="auto"/>
        </w:rPr>
      </w:pPr>
      <w:r>
        <w:rPr>
          <w:rFonts w:ascii="Arial" w:cs="Arial" w:eastAsia="Arial" w:hAnsi="Arial"/>
          <w:sz w:val="18"/>
          <w:szCs w:val="18"/>
          <w:color w:val="auto"/>
        </w:rPr>
        <w:t>Our amended and restated certificate of incorporation provides that once KKR Stockholders and their affiliates beneficially own, in the aggregate,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5" w:lineRule="exact"/>
        <w:rPr>
          <w:sz w:val="20"/>
          <w:szCs w:val="20"/>
          <w:color w:val="auto"/>
        </w:rPr>
      </w:pPr>
    </w:p>
    <w:p>
      <w:pPr>
        <w:ind w:left="1000" w:right="479" w:hanging="348"/>
        <w:spacing w:after="0" w:line="23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 for stockholders to amend our amended and restated bylaws;</w:t>
      </w:r>
    </w:p>
    <w:p>
      <w:pPr>
        <w:spacing w:after="0" w:line="95"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1000" w:right="1319" w:hanging="348"/>
        <w:spacing w:after="0" w:line="23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supermajority vote.</w:t>
      </w:r>
    </w:p>
    <w:p>
      <w:pPr>
        <w:spacing w:after="0" w:line="95"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8"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300" w:right="419" w:firstLine="360"/>
        <w:spacing w:after="0" w:line="285"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w:t>
      </w:r>
    </w:p>
    <w:p>
      <w:pPr>
        <w:spacing w:after="0" w:line="2" w:lineRule="exact"/>
        <w:rPr>
          <w:sz w:val="20"/>
          <w:szCs w:val="20"/>
          <w:color w:val="auto"/>
        </w:rPr>
      </w:pPr>
    </w:p>
    <w:p>
      <w:pPr>
        <w:ind w:left="300" w:right="339" w:hanging="8"/>
        <w:spacing w:after="0" w:line="284" w:lineRule="auto"/>
        <w:tabs>
          <w:tab w:leader="none" w:pos="6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9" w:lineRule="auto"/>
        <w:rPr>
          <w:sz w:val="20"/>
          <w:szCs w:val="20"/>
          <w:color w:val="auto"/>
        </w:rPr>
      </w:pPr>
      <w:r>
        <w:rPr>
          <w:rFonts w:ascii="Arial" w:cs="Arial" w:eastAsia="Arial" w:hAnsi="Arial"/>
          <w:sz w:val="16"/>
          <w:szCs w:val="16"/>
          <w:color w:val="auto"/>
        </w:rPr>
        <w:t>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7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70"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56"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5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Upon the completion of this offering, of our outstanding shares, the 54,232,495 shares sold in the IPO, the February 2021 Secondary Offering, the April 2021 Sale and this offering (or 56,332,495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84"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remaining outstanding 36,338,090 shares of common stock held by our existing stockholders after this offering (or approximately 34,238,090 shares if the underwriters exercise in full their option to purchase additional shares), representing approximately 40.1% of the total outstanding shares of our common stock following this offering (or approximately 37.8% if the underwriters exercise in full their option to 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In connection with this offering, we, our executive officers, directors and the selling stockholders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45 days after the date of this prospectus. See “Underwriting (Conflicts of Interest).”</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w:t>
      </w:r>
    </w:p>
    <w:p>
      <w:pPr>
        <w:spacing w:after="0" w:line="63" w:lineRule="exact"/>
        <w:rPr>
          <w:sz w:val="20"/>
          <w:szCs w:val="20"/>
          <w:color w:val="auto"/>
        </w:rPr>
      </w:pPr>
    </w:p>
    <w:p>
      <w:pPr>
        <w:ind w:left="1000" w:right="8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905,706 shares immediately after this offering; or</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80" w:lineRule="exact"/>
        <w:rPr>
          <w:sz w:val="20"/>
          <w:szCs w:val="20"/>
          <w:color w:val="auto"/>
        </w:rPr>
      </w:pPr>
    </w:p>
    <w:p>
      <w:pPr>
        <w:ind w:left="300" w:right="519" w:firstLine="360"/>
        <w:spacing w:after="0" w:line="308" w:lineRule="auto"/>
        <w:rPr>
          <w:sz w:val="20"/>
          <w:szCs w:val="20"/>
          <w:color w:val="auto"/>
        </w:rPr>
      </w:pPr>
      <w:r>
        <w:rPr>
          <w:rFonts w:ascii="Arial" w:cs="Arial" w:eastAsia="Arial" w:hAnsi="Arial"/>
          <w:sz w:val="17"/>
          <w:szCs w:val="17"/>
          <w:color w:val="auto"/>
        </w:rPr>
        <w:t>We are unable to estimate the number of shares that will be sold under Rule 144 since this will depend on the market price for our common stock, the personal circumstances of the stockholder and other factors.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For a description of rights some holders of common stock have to require us to register the shares of common stock they own, see the section entitled “Transactions with Related Persons—Certain Related Person Transactions— Registration Rights Agreement” in our Proxy Statement, which section is incorporated by reference herein. Registration of these shares under the Securities Act would result in these shares becoming freely tradable immediately upon effectiveness of such registration.</w:t>
      </w:r>
    </w:p>
    <w:p>
      <w:pPr>
        <w:spacing w:after="0" w:line="80"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37.9% of our outstanding common stock (or approximately 35.6%,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TAX CONSEQUENCES TO NON-U.S. HOLDERS</w:t>
      </w:r>
    </w:p>
    <w:p>
      <w:pPr>
        <w:spacing w:after="0" w:line="10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57" w:lineRule="exact"/>
        <w:rPr>
          <w:sz w:val="20"/>
          <w:szCs w:val="20"/>
          <w:color w:val="auto"/>
        </w:rPr>
      </w:pPr>
    </w:p>
    <w:p>
      <w:pPr>
        <w:ind w:left="300" w:right="879" w:firstLine="360"/>
        <w:spacing w:after="0" w:line="263"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8" w:lineRule="exact"/>
        <w:rPr>
          <w:rFonts w:ascii="Arial" w:cs="Arial" w:eastAsia="Arial" w:hAnsi="Arial"/>
          <w:sz w:val="17"/>
          <w:szCs w:val="17"/>
          <w:color w:val="auto"/>
        </w:rPr>
      </w:pPr>
    </w:p>
    <w:p>
      <w:pPr>
        <w:ind w:left="1000" w:right="379" w:hanging="348"/>
        <w:spacing w:after="0" w:line="28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63"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75" w:lineRule="exact"/>
        <w:rPr>
          <w:sz w:val="20"/>
          <w:szCs w:val="20"/>
          <w:color w:val="auto"/>
        </w:rPr>
      </w:pPr>
    </w:p>
    <w:p>
      <w:pPr>
        <w:ind w:left="300" w:right="419" w:firstLine="360"/>
        <w:spacing w:after="0" w:line="261"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58"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300" w:right="559" w:firstLine="360"/>
        <w:spacing w:after="0" w:line="342" w:lineRule="auto"/>
        <w:rPr>
          <w:sz w:val="20"/>
          <w:szCs w:val="20"/>
          <w:color w:val="auto"/>
        </w:rPr>
      </w:pPr>
      <w:r>
        <w:rPr>
          <w:rFonts w:ascii="Arial" w:cs="Arial" w:eastAsia="Arial" w:hAnsi="Arial"/>
          <w:sz w:val="16"/>
          <w:szCs w:val="16"/>
          <w:color w:val="auto"/>
        </w:rPr>
        <w:t>Subject to the discussion of backup withholding below, any gain realized by a non-U.S. holder on the sale or other taxable disposition of our common stock generally will not be subject to U.S. federal income tax unless:</w:t>
      </w:r>
    </w:p>
    <w:p>
      <w:pPr>
        <w:spacing w:after="0" w:line="16" w:lineRule="exact"/>
        <w:rPr>
          <w:sz w:val="20"/>
          <w:szCs w:val="20"/>
          <w:color w:val="auto"/>
        </w:rPr>
      </w:pPr>
    </w:p>
    <w:p>
      <w:pPr>
        <w:ind w:left="1000" w:right="33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certain other conditions are met.</w:t>
      </w:r>
    </w:p>
    <w:p>
      <w:pPr>
        <w:spacing w:after="0" w:line="62"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88" w:lineRule="exact"/>
        <w:rPr>
          <w:sz w:val="20"/>
          <w:szCs w:val="20"/>
          <w:color w:val="auto"/>
        </w:rPr>
      </w:pPr>
    </w:p>
    <w:p>
      <w:pPr>
        <w:ind w:left="300" w:right="1119" w:firstLine="360"/>
        <w:spacing w:after="0" w:line="277" w:lineRule="auto"/>
        <w:rPr>
          <w:sz w:val="20"/>
          <w:szCs w:val="20"/>
          <w:color w:val="auto"/>
        </w:rPr>
      </w:pPr>
      <w:r>
        <w:rPr>
          <w:rFonts w:ascii="Arial" w:cs="Arial" w:eastAsia="Arial" w:hAnsi="Arial"/>
          <w:sz w:val="18"/>
          <w:szCs w:val="18"/>
          <w:color w:val="auto"/>
        </w:rPr>
        <w:t>We believe we are not and do not anticipate becoming a “U.S. real property holding corporation” for U.S. federal income tax purposes.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300" w:right="679" w:firstLine="360"/>
        <w:spacing w:after="0" w:line="342"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U.S. federal estate tax purposes, unless an applicable estate tax treaty provides otherwise.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center"/>
        <w:ind w:left="300" w:right="839"/>
        <w:spacing w:after="0" w:line="342" w:lineRule="auto"/>
        <w:rPr>
          <w:sz w:val="20"/>
          <w:szCs w:val="20"/>
          <w:color w:val="auto"/>
        </w:rPr>
      </w:pPr>
      <w:r>
        <w:rPr>
          <w:rFonts w:ascii="Arial" w:cs="Arial" w:eastAsia="Arial" w:hAnsi="Arial"/>
          <w:sz w:val="16"/>
          <w:szCs w:val="16"/>
          <w:color w:val="auto"/>
        </w:rPr>
        <w:t>We must report annually to the Internal Revenue Service and to each non-U.S. holder the amount of distributions paid to such holder and the tax withheld with respect to such distributions, regardless of whether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76" w:lineRule="exact"/>
        <w:rPr>
          <w:sz w:val="20"/>
          <w:szCs w:val="20"/>
          <w:color w:val="auto"/>
        </w:rPr>
      </w:pPr>
    </w:p>
    <w:p>
      <w:pPr>
        <w:ind w:left="300" w:right="719" w:firstLine="360"/>
        <w:spacing w:after="0" w:line="259"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79"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68"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w:t>
      </w:r>
    </w:p>
    <w:p>
      <w:pPr>
        <w:spacing w:after="0" w:line="2" w:lineRule="exact"/>
        <w:rPr>
          <w:sz w:val="20"/>
          <w:szCs w:val="20"/>
          <w:color w:val="auto"/>
        </w:rPr>
      </w:pPr>
    </w:p>
    <w:p>
      <w:pPr>
        <w:ind w:left="300" w:right="459" w:hanging="8"/>
        <w:spacing w:after="0" w:line="292" w:lineRule="auto"/>
        <w:tabs>
          <w:tab w:leader="none" w:pos="5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Under the terms and subject to the conditions contained in an underwriting agreement, dated May 5, 2021, the selling stockholders have agreed to sell to the underwriters named below, for whom Credit Suisse Securities (USA) LLC and J.P. Morgan Securities LLC are acting as representatives, and the underwriters have agreed to purchase from the selling stockholders, the following respective numbers of shares of common stock, which includes 3,229,974 shares of our common stock that we intend to repurchase from the underwriters in the concurrent share repurchase:</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gridSpan w:val="2"/>
          </w:tcPr>
          <w:p>
            <w:pPr>
              <w:ind w:left="3180"/>
              <w:spacing w:after="0"/>
              <w:rPr>
                <w:sz w:val="20"/>
                <w:szCs w:val="20"/>
                <w:color w:val="auto"/>
              </w:rPr>
            </w:pPr>
            <w:r>
              <w:rPr>
                <w:rFonts w:ascii="Arial" w:cs="Arial" w:eastAsia="Arial" w:hAnsi="Arial"/>
                <w:sz w:val="14"/>
                <w:szCs w:val="14"/>
                <w:b w:val="1"/>
                <w:bCs w:val="1"/>
                <w:color w:val="auto"/>
              </w:rPr>
              <w:t>Underwriter</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7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4,200,000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2,800,000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2,940,000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1,960,000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280,000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280,000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CastleOak Securities, L.P.</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Blaylock Van, LLC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Cabrera Capital Markets</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140,000</w:t>
            </w:r>
          </w:p>
        </w:tc>
      </w:tr>
      <w:tr>
        <w:trPr>
          <w:trHeight w:val="270"/>
        </w:trPr>
        <w:tc>
          <w:tcPr>
            <w:tcW w:w="728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140,000</w:t>
            </w:r>
          </w:p>
        </w:tc>
      </w:tr>
      <w:tr>
        <w:trPr>
          <w:trHeight w:val="54"/>
        </w:trPr>
        <w:tc>
          <w:tcPr>
            <w:tcW w:w="7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Telsey Advisory Group LLC</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140,000</w:t>
            </w:r>
          </w:p>
        </w:tc>
      </w:tr>
      <w:tr>
        <w:trPr>
          <w:trHeight w:val="61"/>
        </w:trPr>
        <w:tc>
          <w:tcPr>
            <w:tcW w:w="7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84"/>
        </w:trPr>
        <w:tc>
          <w:tcPr>
            <w:tcW w:w="7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14,000,000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-3291205</wp:posOffset>
            </wp:positionV>
            <wp:extent cx="93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Subject to the completion of the offering, we intend to concurrently repurchase from the underwriters, 3,229,974 of the aggregate 14,000,000 shares of our common stock that are the subject of the offering. The price per share to be paid by us will equal the price at which the underwriters will purchase the shares from the selling stockholders in the offering. The closing of the concurrent share repurchase is conditioned on the closing of the offering and therefore can be no assurance that the concurrent share repurchase will be completed. The offering is not conditioned upon the completion of the concurrent share repurchase. See “Summary—Concurrent Share Repurchase.”</w:t>
      </w:r>
    </w:p>
    <w:p>
      <w:pPr>
        <w:spacing w:after="0" w:line="87"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underwriters’ option to purchase additional shares described below. The underwriting agreement also provides that if an underwriter defaults the purchase commitments of non-defaulting underwriters may be increased or the offering may be terminated.</w:t>
      </w:r>
    </w:p>
    <w:p>
      <w:pPr>
        <w:spacing w:after="0" w:line="49"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6" w:lineRule="exact"/>
        <w:rPr>
          <w:sz w:val="20"/>
          <w:szCs w:val="20"/>
          <w:color w:val="auto"/>
        </w:rPr>
      </w:pPr>
    </w:p>
    <w:p>
      <w:pPr>
        <w:ind w:left="300" w:right="479" w:firstLine="360"/>
        <w:spacing w:after="0" w:line="308" w:lineRule="auto"/>
        <w:rPr>
          <w:sz w:val="20"/>
          <w:szCs w:val="20"/>
          <w:color w:val="auto"/>
        </w:rPr>
      </w:pPr>
      <w:r>
        <w:rPr>
          <w:rFonts w:ascii="Arial" w:cs="Arial" w:eastAsia="Arial" w:hAnsi="Arial"/>
          <w:sz w:val="17"/>
          <w:szCs w:val="17"/>
          <w:color w:val="auto"/>
        </w:rPr>
        <w:t>The underwriters have a 30-day option to purchase on a pro rata basis up to 2,100,000 additional shares at the public offering price less the underwriting discounts and commissions from the selling stockholders.</w:t>
      </w:r>
    </w:p>
    <w:p>
      <w:pPr>
        <w:spacing w:after="0" w:line="38"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underwriters propose to offer the shares of common stock that are not subject to the concurrent share repurchase initially at the public offering price on the cover page of this prospectus and to selling group members at that price less a selling concession of up to $0.624 per share. After the public offering, the representatives may change the public offering price and concession.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stockholders.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Underwriting</w:t>
            </w:r>
          </w:p>
        </w:tc>
        <w:tc>
          <w:tcPr>
            <w:tcW w:w="100" w:type="dxa"/>
            <w:vAlign w:val="bottom"/>
          </w:tcPr>
          <w:p>
            <w:pPr>
              <w:spacing w:after="0"/>
              <w:rPr>
                <w:sz w:val="14"/>
                <w:szCs w:val="14"/>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Proceeds to</w:t>
            </w:r>
          </w:p>
        </w:tc>
        <w:tc>
          <w:tcPr>
            <w:tcW w:w="0" w:type="dxa"/>
            <w:vAlign w:val="bottom"/>
          </w:tcPr>
          <w:p>
            <w:pPr>
              <w:spacing w:after="0"/>
              <w:rPr>
                <w:sz w:val="1"/>
                <w:szCs w:val="1"/>
                <w:color w:val="auto"/>
              </w:rPr>
            </w:pPr>
          </w:p>
        </w:tc>
      </w:tr>
      <w:tr>
        <w:trPr>
          <w:trHeight w:val="145"/>
        </w:trPr>
        <w:tc>
          <w:tcPr>
            <w:tcW w:w="498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to Public</w:t>
            </w:r>
            <w:r>
              <w:rPr>
                <w:rFonts w:ascii="Arial" w:cs="Arial" w:eastAsia="Arial" w:hAnsi="Arial"/>
                <w:sz w:val="23"/>
                <w:szCs w:val="23"/>
                <w:b w:val="1"/>
                <w:bCs w:val="1"/>
                <w:color w:val="auto"/>
                <w:vertAlign w:val="superscript"/>
              </w:rPr>
              <w:t>(1)</w:t>
            </w:r>
          </w:p>
        </w:tc>
        <w:tc>
          <w:tcPr>
            <w:tcW w:w="118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Discounts and</w:t>
            </w:r>
          </w:p>
        </w:tc>
        <w:tc>
          <w:tcPr>
            <w:tcW w:w="100" w:type="dxa"/>
            <w:vAlign w:val="bottom"/>
          </w:tcPr>
          <w:p>
            <w:pPr>
              <w:spacing w:after="0"/>
              <w:rPr>
                <w:sz w:val="12"/>
                <w:szCs w:val="12"/>
                <w:color w:val="auto"/>
              </w:rPr>
            </w:pPr>
          </w:p>
        </w:tc>
        <w:tc>
          <w:tcPr>
            <w:tcW w:w="90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89"/>
              </w:rPr>
              <w:t>the selling</w:t>
            </w: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1180" w:type="dxa"/>
            <w:vAlign w:val="bottom"/>
            <w:gridSpan w:val="3"/>
          </w:tcPr>
          <w:p>
            <w:pPr>
              <w:jc w:val="center"/>
              <w:ind w:right="220"/>
              <w:spacing w:after="0" w:line="242" w:lineRule="exact"/>
              <w:rPr>
                <w:sz w:val="20"/>
                <w:szCs w:val="20"/>
                <w:color w:val="auto"/>
              </w:rPr>
            </w:pPr>
            <w:r>
              <w:rPr>
                <w:rFonts w:ascii="Arial" w:cs="Arial" w:eastAsia="Arial" w:hAnsi="Arial"/>
                <w:sz w:val="14"/>
                <w:szCs w:val="14"/>
                <w:b w:val="1"/>
                <w:bCs w:val="1"/>
                <w:color w:val="auto"/>
                <w:w w:val="86"/>
              </w:rPr>
              <w:t>Commissions</w:t>
            </w:r>
            <w:r>
              <w:rPr>
                <w:rFonts w:ascii="Arial" w:cs="Arial" w:eastAsia="Arial" w:hAnsi="Arial"/>
                <w:sz w:val="23"/>
                <w:szCs w:val="23"/>
                <w:b w:val="1"/>
                <w:bCs w:val="1"/>
                <w:color w:val="auto"/>
                <w:w w:val="86"/>
                <w:vertAlign w:val="superscript"/>
              </w:rPr>
              <w:t>(2)</w:t>
            </w:r>
          </w:p>
        </w:tc>
        <w:tc>
          <w:tcPr>
            <w:tcW w:w="100" w:type="dxa"/>
            <w:vAlign w:val="bottom"/>
          </w:tcPr>
          <w:p>
            <w:pPr>
              <w:spacing w:after="0"/>
              <w:rPr>
                <w:sz w:val="21"/>
                <w:szCs w:val="21"/>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311"/>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w w:val="90"/>
              </w:rPr>
              <w:t>$448,000,000</w:t>
            </w:r>
          </w:p>
        </w:tc>
        <w:tc>
          <w:tcPr>
            <w:tcW w:w="220" w:type="dxa"/>
            <w:vAlign w:val="bottom"/>
          </w:tcPr>
          <w:p>
            <w:pPr>
              <w:spacing w:after="0"/>
              <w:rPr>
                <w:sz w:val="23"/>
                <w:szCs w:val="23"/>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1"/>
              </w:rPr>
              <w:t>$14,560,000</w:t>
            </w:r>
          </w:p>
        </w:tc>
        <w:tc>
          <w:tcPr>
            <w:tcW w:w="22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8"/>
              </w:rPr>
              <w:t>$433,440,000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-393700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-393700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-393700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public offering price for the shares offered to the public was $32.00 per share. The price for the shares we intend to repurchase from the underwriters was $30.96 per share.</w:t>
      </w:r>
    </w:p>
    <w:p>
      <w:pPr>
        <w:spacing w:after="0" w:line="11" w:lineRule="exact"/>
        <w:rPr>
          <w:rFonts w:ascii="Arial" w:cs="Arial" w:eastAsia="Arial" w:hAnsi="Arial"/>
          <w:sz w:val="14"/>
          <w:szCs w:val="14"/>
          <w:color w:val="auto"/>
        </w:rPr>
      </w:pPr>
    </w:p>
    <w:p>
      <w:pPr>
        <w:ind w:left="640" w:right="439" w:hanging="348"/>
        <w:spacing w:after="0" w:line="253" w:lineRule="auto"/>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underwriting discount for the shares offered to the public was $1.04 per share. No underwriting discount or commissions will be paid to the underwriters with respect to the shares we intend to repurchase.</w:t>
      </w:r>
    </w:p>
    <w:p>
      <w:pPr>
        <w:spacing w:after="0" w:line="70"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$0.7 million and are payable by us. We have also agreed to reimburse the underwriters for up to $35,000 of expenses related to the review of this offering by the Financial Industry Regulatory Authority, Inc., or FINRA. In accordance with FINRA Rule 5110, this reimbursed fee is deemed underwriting compensation for this offering.</w:t>
      </w:r>
    </w:p>
    <w:p>
      <w:pPr>
        <w:spacing w:after="0" w:line="80"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45 days after the date of this prospectus, subject to certain exceptions (including the concurrent share repurchase).</w:t>
      </w:r>
    </w:p>
    <w:p>
      <w:pPr>
        <w:spacing w:after="0" w:line="87"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Our executive officers, directors and the selling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45 days after the date of this prospectus, subject to certain exceptions.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11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00" w:right="49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1000" w:right="339" w:hanging="348"/>
        <w:spacing w:after="0" w:line="271"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their option to purchase additional shares. In a naked short position, the number of shares involved is greater than the number of shares in their option to purchase additional shares. The underwriters may close out any covered short position by either exercising their option to purchase additional shares and/or purchasing shares in the open market.</w:t>
      </w:r>
    </w:p>
    <w:p>
      <w:pPr>
        <w:spacing w:after="0" w:line="70" w:lineRule="exact"/>
        <w:rPr>
          <w:rFonts w:ascii="Arial" w:cs="Arial" w:eastAsia="Arial" w:hAnsi="Arial"/>
          <w:sz w:val="17"/>
          <w:szCs w:val="17"/>
          <w:color w:val="auto"/>
        </w:rPr>
      </w:pPr>
    </w:p>
    <w:p>
      <w:pPr>
        <w:ind w:left="1000" w:right="539" w:hanging="348"/>
        <w:spacing w:after="0" w:line="31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79"/>
        <w:spacing w:after="0" w:line="273" w:lineRule="auto"/>
        <w:rPr>
          <w:sz w:val="20"/>
          <w:szCs w:val="20"/>
          <w:color w:val="auto"/>
        </w:rPr>
      </w:pPr>
      <w:r>
        <w:rPr>
          <w:rFonts w:ascii="Arial" w:cs="Arial" w:eastAsia="Arial" w:hAnsi="Arial"/>
          <w:sz w:val="17"/>
          <w:szCs w:val="17"/>
          <w:color w:val="auto"/>
        </w:rPr>
        <w:t>shares available for purchase in the open market as compared to the price at which they may purchase shares through their option. If the underwriters sell more shares than could be covered by their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0" w:lineRule="exact"/>
        <w:rPr>
          <w:sz w:val="20"/>
          <w:szCs w:val="20"/>
          <w:color w:val="auto"/>
        </w:rPr>
      </w:pPr>
    </w:p>
    <w:p>
      <w:pPr>
        <w:ind w:left="1000" w:right="39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76"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80"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70"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The KKR Stockholders beneficially own in excess of 10% of our issued and outstanding common stock and will be selling stockholders in this offering and, as such, will receive in excess of 5% of the net proceeds of this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70"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000" w:right="49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representatives for any such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94" w:lineRule="exact"/>
        <w:rPr>
          <w:sz w:val="20"/>
          <w:szCs w:val="20"/>
          <w:color w:val="auto"/>
        </w:rPr>
      </w:pPr>
    </w:p>
    <w:p>
      <w:pPr>
        <w:ind w:left="660" w:right="2419" w:firstLine="1762"/>
        <w:spacing w:after="0" w:line="442" w:lineRule="auto"/>
        <w:rPr>
          <w:sz w:val="20"/>
          <w:szCs w:val="20"/>
          <w:color w:val="auto"/>
        </w:rPr>
      </w:pPr>
      <w:r>
        <w:rPr>
          <w:rFonts w:ascii="Arial" w:cs="Arial" w:eastAsia="Arial" w:hAnsi="Arial"/>
          <w:sz w:val="16"/>
          <w:szCs w:val="16"/>
          <w:b w:val="1"/>
          <w:bCs w:val="1"/>
          <w:color w:val="auto"/>
        </w:rPr>
        <w:t xml:space="preserve">Notice to Prospective Investors in the United Kingdom </w:t>
      </w:r>
      <w:r>
        <w:rPr>
          <w:rFonts w:ascii="Arial" w:cs="Arial" w:eastAsia="Arial" w:hAnsi="Arial"/>
          <w:sz w:val="16"/>
          <w:szCs w:val="16"/>
          <w:color w:val="auto"/>
        </w:rPr>
        <w:t>Each of the underwriters severally represents, warrants and agrees as follows:</w:t>
      </w:r>
    </w:p>
    <w:p>
      <w:pPr>
        <w:spacing w:after="0" w:line="1" w:lineRule="exact"/>
        <w:rPr>
          <w:sz w:val="20"/>
          <w:szCs w:val="20"/>
          <w:color w:val="auto"/>
        </w:rPr>
      </w:pPr>
    </w:p>
    <w:p>
      <w:pPr>
        <w:ind w:left="1000" w:right="319" w:hanging="348"/>
        <w:spacing w:after="0" w:line="30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49" w:lineRule="exact"/>
        <w:rPr>
          <w:rFonts w:ascii="Arial" w:cs="Arial" w:eastAsia="Arial" w:hAnsi="Arial"/>
          <w:sz w:val="16"/>
          <w:szCs w:val="16"/>
          <w:color w:val="auto"/>
        </w:rPr>
      </w:pPr>
    </w:p>
    <w:p>
      <w:pPr>
        <w:ind w:left="1000" w:right="359" w:hanging="348"/>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the FSMA with respect to anything done by it in relation to the securities in, from or otherwise involving the United Kingdom.</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spacing w:after="0" w:line="259" w:lineRule="auto"/>
        <w:rPr>
          <w:sz w:val="20"/>
          <w:szCs w:val="20"/>
          <w:color w:val="auto"/>
        </w:rPr>
      </w:pPr>
      <w:r>
        <w:rPr>
          <w:rFonts w:ascii="Arial" w:cs="Arial" w:eastAsia="Arial" w:hAnsi="Arial"/>
          <w:sz w:val="18"/>
          <w:szCs w:val="18"/>
          <w:color w:val="auto"/>
        </w:rPr>
        <w:t>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69"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00" w:right="379" w:firstLine="360"/>
        <w:spacing w:after="0" w:line="288" w:lineRule="auto"/>
        <w:rPr>
          <w:sz w:val="20"/>
          <w:szCs w:val="20"/>
          <w:color w:val="auto"/>
        </w:rPr>
      </w:pPr>
      <w:r>
        <w:rPr>
          <w:rFonts w:ascii="Arial" w:cs="Arial" w:eastAsia="Arial" w:hAnsi="Arial"/>
          <w:sz w:val="16"/>
          <w:szCs w:val="16"/>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0" w:lineRule="exact"/>
        <w:rPr>
          <w:sz w:val="20"/>
          <w:szCs w:val="20"/>
          <w:color w:val="auto"/>
        </w:rPr>
      </w:pPr>
    </w:p>
    <w:p>
      <w:pPr>
        <w:ind w:left="1000" w:right="37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securities are subscribed or purchased under Section 275 of the SFA by a relevant person which is:</w:t>
      </w:r>
    </w:p>
    <w:p>
      <w:pPr>
        <w:spacing w:after="0" w:line="140" w:lineRule="exact"/>
        <w:rPr>
          <w:sz w:val="20"/>
          <w:szCs w:val="20"/>
          <w:color w:val="auto"/>
        </w:rPr>
      </w:pPr>
    </w:p>
    <w:p>
      <w:pPr>
        <w:jc w:val="both"/>
        <w:ind w:left="1000" w:right="37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1000" w:right="519" w:hanging="348"/>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58"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consolidated financial statements of Academy Sports and Outdoors, Inc. and subsidiaries incorporated in this prospectus by reference from the Company’s Annual Report on Form 10-K for the fiscal year ended January 30, 2021,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73"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4" w:lineRule="exact"/>
        <w:rPr>
          <w:sz w:val="20"/>
          <w:szCs w:val="20"/>
          <w:color w:val="auto"/>
        </w:rPr>
      </w:pPr>
    </w:p>
    <w:p>
      <w:pPr>
        <w:ind w:left="1000" w:right="339" w:hanging="348"/>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fiscal year ended January 30, 2021, filed on </w:t>
      </w:r>
      <w:hyperlink r:id="rId100">
        <w:r>
          <w:rPr>
            <w:rFonts w:ascii="Arial" w:cs="Arial" w:eastAsia="Arial" w:hAnsi="Arial"/>
            <w:sz w:val="17"/>
            <w:szCs w:val="17"/>
            <w:u w:val="single" w:color="auto"/>
            <w:color w:val="0000EE"/>
          </w:rPr>
          <w:t>April 7, 2021</w:t>
        </w:r>
      </w:hyperlink>
      <w:r>
        <w:rPr>
          <w:rFonts w:ascii="Arial" w:cs="Arial" w:eastAsia="Arial" w:hAnsi="Arial"/>
          <w:sz w:val="17"/>
          <w:szCs w:val="17"/>
          <w:color w:val="auto"/>
        </w:rPr>
        <w:t xml:space="preserve"> (including information specifically incorporated by reference into such Annual Report on Form 10-K from our Proxy Statement for our 2021 Annual Meeting of Stockholders filed on </w:t>
      </w:r>
      <w:hyperlink r:id="rId101">
        <w:r>
          <w:rPr>
            <w:rFonts w:ascii="Arial" w:cs="Arial" w:eastAsia="Arial" w:hAnsi="Arial"/>
            <w:sz w:val="17"/>
            <w:szCs w:val="17"/>
            <w:u w:val="single" w:color="auto"/>
            <w:color w:val="0000EE"/>
          </w:rPr>
          <w:t>April 23, 2021</w:t>
        </w:r>
      </w:hyperlink>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02">
        <w:r>
          <w:rPr>
            <w:rFonts w:ascii="Arial" w:cs="Arial" w:eastAsia="Arial" w:hAnsi="Arial"/>
            <w:sz w:val="18"/>
            <w:szCs w:val="18"/>
            <w:u w:val="single" w:color="auto"/>
            <w:color w:val="0000EE"/>
          </w:rPr>
          <w:t>February 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3">
        <w:r>
          <w:rPr>
            <w:rFonts w:ascii="Arial" w:cs="Arial" w:eastAsia="Arial" w:hAnsi="Arial"/>
            <w:sz w:val="18"/>
            <w:szCs w:val="18"/>
            <w:u w:val="single" w:color="auto"/>
            <w:color w:val="0000EE"/>
          </w:rPr>
          <w:t>March 4,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right="619" w:firstLine="360"/>
        <w:spacing w:after="0" w:line="311" w:lineRule="auto"/>
        <w:rPr>
          <w:sz w:val="20"/>
          <w:szCs w:val="20"/>
          <w:color w:val="auto"/>
        </w:rPr>
      </w:pPr>
      <w:r>
        <w:rPr>
          <w:rFonts w:ascii="Arial" w:cs="Arial" w:eastAsia="Arial" w:hAnsi="Arial"/>
          <w:sz w:val="16"/>
          <w:szCs w:val="16"/>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41" w:lineRule="exact"/>
        <w:rPr>
          <w:rFonts w:ascii="Arial" w:cs="Arial" w:eastAsia="Arial" w:hAnsi="Arial"/>
          <w:sz w:val="18"/>
          <w:szCs w:val="18"/>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Academy Sports and Outdoors, Inc., 1800 North Mason Road, Katy, Texas 77449; Attention: Corporate Secretary (telephone: 281-646-5200).</w:t>
      </w:r>
    </w:p>
    <w:p>
      <w:pPr>
        <w:spacing w:after="0" w:line="80" w:lineRule="exact"/>
        <w:rPr>
          <w:rFonts w:ascii="Arial" w:cs="Arial" w:eastAsia="Arial" w:hAnsi="Arial"/>
          <w:sz w:val="18"/>
          <w:szCs w:val="18"/>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8235950</wp:posOffset>
            </wp:positionV>
            <wp:extent cx="5212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8296275</wp:posOffset>
            </wp:positionV>
            <wp:extent cx="5212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3272790</wp:posOffset>
            </wp:positionV>
            <wp:extent cx="2768600" cy="685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2768600" cy="68580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28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Roman"/>
      <w:start w:val="3"/>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9"/>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Roman"/>
      <w:start w:val="3"/>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Roman"/>
      <w:start w:val="10"/>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Roman"/>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jpeg"/><Relationship Id="rId100" Type="http://schemas.openxmlformats.org/officeDocument/2006/relationships/hyperlink" Target="https://www.sec.gov/ix?doc=/Archives/edgar/data/1817358/000181735821000059/aso-20210130.htm" TargetMode="External"/><Relationship Id="rId101" Type="http://schemas.openxmlformats.org/officeDocument/2006/relationships/hyperlink" Target="https://www.sec.gov/Archives/edgar/data/0001817358/000181735821000064/a2021proxydraft.htm" TargetMode="External"/><Relationship Id="rId102" Type="http://schemas.openxmlformats.org/officeDocument/2006/relationships/hyperlink" Target="https://www.sec.gov/ix?doc=/Archives/edgar/data/0001817358/000119312521024546/d90563d8k.htm" TargetMode="External"/><Relationship Id="rId103" Type="http://schemas.openxmlformats.org/officeDocument/2006/relationships/hyperlink" Target="https://www.sec.gov/Archives/edgar/data/0001817358/000181735821000014/draftmarch21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2021-05-07T16:29:48Z</dcterms:created>
  <dcterms:modified xsi:type="dcterms:W3CDTF">2021-05-07T16:29:48Z</dcterms:modified>
</cp:coreProperties>
</file>