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14,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Mullican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Academy Sports and Outdoors,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1800 North Mason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Katy, TX 77449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Academy Sports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Outdoors,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January 29, 2022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29,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Quarter Ended July 30, 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7,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001-39589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Michael Mullican: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 In some of our comments, we may ask you to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us with information so we may better understand your disclosure.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January 29, 2022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 (52 weeks) Compared to 2020 (52 weeks)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 Sales, page 50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increase in net sales "was driven by an increase in both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transactions and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average ticket." Please quantify the amount attributable to changes in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volume of goods sold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changes in pricing. Refer to Item 303(b)(2)(iii) of Regulation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S-K.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Mullican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LastNameMichael</w:t>
      </w: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Academy Sports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and Outdoors,Mullican</w:t>
      </w:r>
    </w:p>
    <w:p>
      <w:pPr>
        <w:ind w:left="31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Comapany14,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December</w:t>
        <w:tab/>
        <w:t>NameAcademy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Sports and Outdoors, Inc.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ectPr>
          <w:pgSz w:w="11900" w:h="16847" w:orient="portrait"/>
          <w:cols w:equalWidth="0" w:num="2">
            <w:col w:w="2220" w:space="520"/>
            <w:col w:w="7399"/>
          </w:cols>
          <w:pgMar w:left="320" w:top="244" w:right="1440" w:bottom="0" w:gutter="0" w:footer="0" w:header="0"/>
          <w:type w:val="continuous"/>
        </w:sect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14, 2022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 Fiscal Quarter Ended July 30,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Measures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Adjusted EBITDA and Adjusted EBIT, page 31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to us why you believe adjusting for pre-opening costs is appropriate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considering your growth strategy is based on the opening of new stores, and these costs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would appear to be normal, recurring cash operating expenses necessary for your core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operations. We note you have opened two new stores and intend to open nine stores in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ind w:right="28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2022. Refer to Question 100.01 of the Staff's Compliance and Disclosure Interpretations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Non-GAAP Financial Measures.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Robert Shapiro at 202-551-3273 or Lyn Shenk 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202-551-3380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237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Rene Casares, General Counsel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2023-02-06T04:27:03Z</dcterms:created>
  <dcterms:modified xsi:type="dcterms:W3CDTF">2023-02-06T04:27:03Z</dcterms:modified>
</cp:coreProperties>
</file>