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Rutherford Jamey Traywick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Omnichannel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26,274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80,792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shares withheld to cover the Reporting Person's tax liability in connection with the vesting of restricted stock units previously granted to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92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67,014 shares of common stock, par value $0.01 per share ("Common Stock"), issued in settlement of restricted stock units previously granted under the Issuer's 2011 Unit Incentive Plan, or the 2011 Equity Plan, that fully vested due to a Change of Control (as defined in the 2011 Equity Plan) that resulted from the Issuer's secondary public offering that closed on May 10, 2021.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Janet Morrow,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5678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2021-05-11T17:31:53Z</dcterms:created>
  <dcterms:modified xsi:type="dcterms:W3CDTF">2021-05-11T17:31:53Z</dcterms:modified>
</cp:coreProperties>
</file>