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2983865</wp:posOffset>
            </wp:positionH>
            <wp:positionV relativeFrom="paragraph">
              <wp:posOffset>137160</wp:posOffset>
            </wp:positionV>
            <wp:extent cx="1499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2983865</wp:posOffset>
            </wp:positionH>
            <wp:positionV relativeFrom="paragraph">
              <wp:posOffset>140335</wp:posOffset>
            </wp:positionV>
            <wp:extent cx="1499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2983865</wp:posOffset>
            </wp:positionH>
            <wp:positionV relativeFrom="paragraph">
              <wp:posOffset>133985</wp:posOffset>
            </wp:positionV>
            <wp:extent cx="149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271145</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ectPr>
          <w:pgSz w:w="11900" w:h="16838" w:orient="portrait"/>
          <w:cols w:equalWidth="0" w:num="1">
            <w:col w:w="11160"/>
          </w:cols>
          <w:pgMar w:left="340" w:top="963"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104" w:lineRule="exact"/>
        <w:rPr>
          <w:sz w:val="24"/>
          <w:szCs w:val="24"/>
          <w:color w:val="auto"/>
        </w:rPr>
      </w:pPr>
    </w:p>
    <w:p>
      <w:pPr>
        <w:jc w:val="both"/>
        <w:ind w:left="1360" w:firstLine="34"/>
        <w:spacing w:after="0" w:line="385"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06"/>
        </w:trPr>
        <w:tc>
          <w:tcPr>
            <w:tcW w:w="3960" w:type="dxa"/>
            <w:vAlign w:val="bottom"/>
            <w:gridSpan w:val="3"/>
          </w:tcPr>
          <w:p>
            <w:pPr>
              <w:spacing w:after="0"/>
              <w:rPr>
                <w:sz w:val="20"/>
                <w:szCs w:val="20"/>
                <w:color w:val="auto"/>
              </w:rPr>
            </w:pPr>
            <w:r>
              <w:rPr>
                <w:rFonts w:ascii="Arial" w:cs="Arial" w:eastAsia="Arial" w:hAnsi="Arial"/>
                <w:sz w:val="16"/>
                <w:szCs w:val="16"/>
                <w:color w:val="auto"/>
              </w:rPr>
              <w:t>(Exact name of registrant as specified in its charter)</w:t>
            </w:r>
          </w:p>
        </w:tc>
        <w:tc>
          <w:tcPr>
            <w:tcW w:w="1840" w:type="dxa"/>
            <w:vAlign w:val="bottom"/>
          </w:tcPr>
          <w:p>
            <w:pPr>
              <w:spacing w:after="0"/>
              <w:rPr>
                <w:sz w:val="17"/>
                <w:szCs w:val="17"/>
                <w:color w:val="auto"/>
              </w:rPr>
            </w:pPr>
          </w:p>
        </w:tc>
      </w:tr>
      <w:tr>
        <w:trPr>
          <w:trHeight w:val="181"/>
        </w:trPr>
        <w:tc>
          <w:tcPr>
            <w:tcW w:w="76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473"/>
        </w:trPr>
        <w:tc>
          <w:tcPr>
            <w:tcW w:w="312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4"/>
              </w:rPr>
              <w:t>001-39589</w:t>
            </w:r>
          </w:p>
        </w:tc>
        <w:tc>
          <w:tcPr>
            <w:tcW w:w="840" w:type="dxa"/>
            <w:vAlign w:val="bottom"/>
          </w:tcPr>
          <w:p>
            <w:pPr>
              <w:spacing w:after="0"/>
              <w:rPr>
                <w:sz w:val="24"/>
                <w:szCs w:val="24"/>
                <w:color w:val="auto"/>
              </w:rPr>
            </w:pPr>
          </w:p>
        </w:tc>
        <w:tc>
          <w:tcPr>
            <w:tcW w:w="1840" w:type="dxa"/>
            <w:vAlign w:val="bottom"/>
          </w:tcPr>
          <w:p>
            <w:pPr>
              <w:jc w:val="center"/>
              <w:ind w:left="559"/>
              <w:spacing w:after="0"/>
              <w:rPr>
                <w:sz w:val="20"/>
                <w:szCs w:val="20"/>
                <w:color w:val="auto"/>
              </w:rPr>
            </w:pPr>
            <w:r>
              <w:rPr>
                <w:rFonts w:ascii="Arial" w:cs="Arial" w:eastAsia="Arial" w:hAnsi="Arial"/>
                <w:sz w:val="16"/>
                <w:szCs w:val="16"/>
                <w:b w:val="1"/>
                <w:bCs w:val="1"/>
                <w:color w:val="auto"/>
                <w:w w:val="93"/>
              </w:rPr>
              <w:t>85-1800912</w:t>
            </w:r>
          </w:p>
        </w:tc>
      </w:tr>
      <w:tr>
        <w:trPr>
          <w:trHeight w:val="243"/>
        </w:trPr>
        <w:tc>
          <w:tcPr>
            <w:tcW w:w="760" w:type="dxa"/>
            <w:vAlign w:val="bottom"/>
          </w:tcPr>
          <w:p>
            <w:pPr>
              <w:spacing w:after="0"/>
              <w:rPr>
                <w:sz w:val="21"/>
                <w:szCs w:val="21"/>
                <w:color w:val="auto"/>
              </w:rPr>
            </w:pPr>
          </w:p>
        </w:tc>
        <w:tc>
          <w:tcPr>
            <w:tcW w:w="3200" w:type="dxa"/>
            <w:vAlign w:val="bottom"/>
            <w:gridSpan w:val="2"/>
          </w:tcPr>
          <w:p>
            <w:pPr>
              <w:jc w:val="center"/>
              <w:ind w:right="840"/>
              <w:spacing w:after="0"/>
              <w:rPr>
                <w:sz w:val="20"/>
                <w:szCs w:val="20"/>
                <w:color w:val="auto"/>
              </w:rPr>
            </w:pPr>
            <w:r>
              <w:rPr>
                <w:rFonts w:ascii="Arial" w:cs="Arial" w:eastAsia="Arial" w:hAnsi="Arial"/>
                <w:sz w:val="16"/>
                <w:szCs w:val="16"/>
                <w:color w:val="auto"/>
                <w:w w:val="94"/>
              </w:rPr>
              <w:t>(Commission</w:t>
            </w:r>
          </w:p>
        </w:tc>
        <w:tc>
          <w:tcPr>
            <w:tcW w:w="1840" w:type="dxa"/>
            <w:vAlign w:val="bottom"/>
          </w:tcPr>
          <w:p>
            <w:pPr>
              <w:jc w:val="center"/>
              <w:ind w:left="559"/>
              <w:spacing w:after="0"/>
              <w:rPr>
                <w:sz w:val="20"/>
                <w:szCs w:val="20"/>
                <w:color w:val="auto"/>
              </w:rPr>
            </w:pPr>
            <w:r>
              <w:rPr>
                <w:rFonts w:ascii="Arial" w:cs="Arial" w:eastAsia="Arial" w:hAnsi="Arial"/>
                <w:sz w:val="16"/>
                <w:szCs w:val="16"/>
                <w:color w:val="auto"/>
                <w:w w:val="95"/>
              </w:rPr>
              <w:t>(I.R.S. Employer</w:t>
            </w:r>
          </w:p>
        </w:tc>
      </w:tr>
      <w:tr>
        <w:trPr>
          <w:trHeight w:val="243"/>
        </w:trPr>
        <w:tc>
          <w:tcPr>
            <w:tcW w:w="760" w:type="dxa"/>
            <w:vAlign w:val="bottom"/>
          </w:tcPr>
          <w:p>
            <w:pPr>
              <w:spacing w:after="0"/>
              <w:rPr>
                <w:sz w:val="21"/>
                <w:szCs w:val="21"/>
                <w:color w:val="auto"/>
              </w:rPr>
            </w:pPr>
          </w:p>
        </w:tc>
        <w:tc>
          <w:tcPr>
            <w:tcW w:w="3200" w:type="dxa"/>
            <w:vAlign w:val="bottom"/>
            <w:gridSpan w:val="2"/>
          </w:tcPr>
          <w:p>
            <w:pPr>
              <w:jc w:val="center"/>
              <w:ind w:right="840"/>
              <w:spacing w:after="0"/>
              <w:rPr>
                <w:sz w:val="20"/>
                <w:szCs w:val="20"/>
                <w:color w:val="auto"/>
              </w:rPr>
            </w:pPr>
            <w:r>
              <w:rPr>
                <w:rFonts w:ascii="Arial" w:cs="Arial" w:eastAsia="Arial" w:hAnsi="Arial"/>
                <w:sz w:val="16"/>
                <w:szCs w:val="16"/>
                <w:color w:val="auto"/>
                <w:w w:val="99"/>
              </w:rPr>
              <w:t>File No.)</w:t>
            </w:r>
          </w:p>
        </w:tc>
        <w:tc>
          <w:tcPr>
            <w:tcW w:w="1840" w:type="dxa"/>
            <w:vAlign w:val="bottom"/>
          </w:tcPr>
          <w:p>
            <w:pPr>
              <w:jc w:val="center"/>
              <w:ind w:left="559"/>
              <w:spacing w:after="0"/>
              <w:rPr>
                <w:sz w:val="20"/>
                <w:szCs w:val="20"/>
                <w:color w:val="auto"/>
              </w:rPr>
            </w:pPr>
            <w:r>
              <w:rPr>
                <w:rFonts w:ascii="Arial" w:cs="Arial" w:eastAsia="Arial" w:hAnsi="Arial"/>
                <w:sz w:val="16"/>
                <w:szCs w:val="16"/>
                <w:color w:val="auto"/>
                <w:w w:val="96"/>
              </w:rPr>
              <w:t>Identification No.)</w:t>
            </w:r>
          </w:p>
        </w:tc>
      </w:tr>
      <w:tr>
        <w:trPr>
          <w:trHeight w:val="338"/>
        </w:trPr>
        <w:tc>
          <w:tcPr>
            <w:tcW w:w="760" w:type="dxa"/>
            <w:vAlign w:val="bottom"/>
          </w:tcPr>
          <w:p>
            <w:pPr>
              <w:spacing w:after="0"/>
              <w:rPr>
                <w:sz w:val="24"/>
                <w:szCs w:val="24"/>
                <w:color w:val="auto"/>
              </w:rPr>
            </w:pPr>
          </w:p>
        </w:tc>
        <w:tc>
          <w:tcPr>
            <w:tcW w:w="320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92"/>
              </w:rPr>
              <w:t>1800 North Mason Road</w:t>
            </w:r>
          </w:p>
        </w:tc>
        <w:tc>
          <w:tcPr>
            <w:tcW w:w="184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320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89"/>
              </w:rPr>
              <w:t>Katy, Texas 77449</w:t>
            </w:r>
          </w:p>
        </w:tc>
        <w:tc>
          <w:tcPr>
            <w:tcW w:w="1840" w:type="dxa"/>
            <w:vAlign w:val="bottom"/>
          </w:tcPr>
          <w:p>
            <w:pPr>
              <w:spacing w:after="0"/>
              <w:rPr>
                <w:sz w:val="21"/>
                <w:szCs w:val="21"/>
                <w:color w:val="auto"/>
              </w:rPr>
            </w:pPr>
          </w:p>
        </w:tc>
      </w:tr>
    </w:tbl>
    <w:p>
      <w:pPr>
        <w:spacing w:after="0" w:line="104" w:lineRule="exact"/>
        <w:rPr>
          <w:sz w:val="24"/>
          <w:szCs w:val="24"/>
          <w:color w:val="auto"/>
        </w:rPr>
      </w:pPr>
    </w:p>
    <w:p>
      <w:pPr>
        <w:ind w:left="48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90" w:lineRule="exact"/>
        <w:rPr>
          <w:sz w:val="24"/>
          <w:szCs w:val="24"/>
          <w:color w:val="auto"/>
        </w:rPr>
      </w:pPr>
    </w:p>
    <w:p>
      <w:pPr>
        <w:jc w:val="center"/>
        <w:ind w:right="3260"/>
        <w:spacing w:after="0"/>
        <w:rPr>
          <w:sz w:val="20"/>
          <w:szCs w:val="20"/>
          <w:color w:val="auto"/>
        </w:rPr>
      </w:pPr>
      <w:r>
        <w:rPr>
          <w:rFonts w:ascii="Arial" w:cs="Arial" w:eastAsia="Arial" w:hAnsi="Arial"/>
          <w:sz w:val="16"/>
          <w:szCs w:val="16"/>
          <w:b w:val="1"/>
          <w:bCs w:val="1"/>
          <w:color w:val="auto"/>
        </w:rPr>
        <w:t>(281) 646-5200</w:t>
      </w:r>
    </w:p>
    <w:p>
      <w:pPr>
        <w:spacing w:after="0" w:line="63" w:lineRule="exact"/>
        <w:rPr>
          <w:sz w:val="24"/>
          <w:szCs w:val="24"/>
          <w:color w:val="auto"/>
        </w:rPr>
      </w:pPr>
    </w:p>
    <w:p>
      <w:pPr>
        <w:jc w:val="center"/>
        <w:ind w:right="326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50" w:lineRule="exact"/>
        <w:rPr>
          <w:sz w:val="24"/>
          <w:szCs w:val="24"/>
          <w:color w:val="auto"/>
        </w:rPr>
      </w:pPr>
    </w:p>
    <w:p>
      <w:pPr>
        <w:jc w:val="center"/>
        <w:ind w:right="326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26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532765</wp:posOffset>
            </wp:positionH>
            <wp:positionV relativeFrom="paragraph">
              <wp:posOffset>144145</wp:posOffset>
            </wp:positionV>
            <wp:extent cx="1499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320" w:space="540"/>
            <w:col w:w="7300"/>
          </w:cols>
          <w:pgMar w:left="340" w:top="963" w:right="399" w:bottom="1440" w:gutter="0" w:footer="0" w:header="0"/>
          <w:type w:val="continuous"/>
        </w:sect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24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09"/>
        </w:trPr>
        <w:tc>
          <w:tcPr>
            <w:tcW w:w="17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80" w:type="dxa"/>
            <w:vAlign w:val="bottom"/>
          </w:tcPr>
          <w:p>
            <w:pPr>
              <w:spacing w:after="0"/>
              <w:rPr>
                <w:sz w:val="18"/>
                <w:szCs w:val="18"/>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5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8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ASO</w:t>
            </w:r>
          </w:p>
        </w:tc>
        <w:tc>
          <w:tcPr>
            <w:tcW w:w="5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963" w:right="399" w:bottom="1440" w:gutter="0" w:footer="0" w:header="0"/>
          <w:type w:val="continuous"/>
        </w:sectPr>
      </w:pPr>
    </w:p>
    <w:bookmarkStart w:id="1" w:name="page2"/>
    <w:bookmarkEnd w:id="1"/>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Election of Director.</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Appointment of Sharen J. Turney to Board of Directors</w:t>
      </w:r>
    </w:p>
    <w:p>
      <w:pPr>
        <w:spacing w:after="0" w:line="25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Effective August 5, 2021, the Board of Directors (the “Board”) of Academy Sports and Outdoors, Inc. (the "Company") increased the size of the Board by one director (to a total size of nine directors) and filled the resulting vacancy created by such increase by appointing Sharen J. Turney, 64, as an independent Class II director. Ms. Turney will hold office until the date of the Company’s 2022 Annual Meeting of Stockholders and until her successor shall be elected and qualified or until her earlier death, resignation, retirement, disqualification or removal. Ms. Turney will serve on the Compensation and Nominating and Governance Committees.</w:t>
      </w:r>
    </w:p>
    <w:p>
      <w:pPr>
        <w:spacing w:after="0" w:line="201" w:lineRule="exact"/>
        <w:rPr>
          <w:sz w:val="20"/>
          <w:szCs w:val="20"/>
          <w:color w:val="auto"/>
        </w:rPr>
      </w:pPr>
    </w:p>
    <w:p>
      <w:pPr>
        <w:jc w:val="both"/>
        <w:ind w:right="60" w:firstLine="401"/>
        <w:spacing w:after="0" w:line="228" w:lineRule="auto"/>
        <w:rPr>
          <w:sz w:val="20"/>
          <w:szCs w:val="20"/>
          <w:color w:val="auto"/>
        </w:rPr>
      </w:pPr>
      <w:r>
        <w:rPr>
          <w:rFonts w:ascii="Arial" w:cs="Arial" w:eastAsia="Arial" w:hAnsi="Arial"/>
          <w:sz w:val="18"/>
          <w:szCs w:val="18"/>
          <w:color w:val="auto"/>
        </w:rPr>
        <w:t>Ms. Turney served as the Chief Executive Officer of Russia-based denim brand Gloria Jeans from November 2018 until November 2019. She served as President and Chief Executive Officer of Victoria’s Secret, a division of L Brands, Inc., from July 2006 until February 2016, and as President and Chief Executive Officer of Victoria’s Secret Direct, from May 2000 until July 2006. Prior to that, Ms. Turney spent 10 years in various executive roles, including President and Chief Executive Officer of Neiman Marcus Direct, the direct marketing division of Neiman Marcus Group. Ms. Turney has also served as an advisor to several retailers and technology companies.</w:t>
      </w:r>
    </w:p>
    <w:p>
      <w:pPr>
        <w:spacing w:after="0" w:line="205" w:lineRule="exact"/>
        <w:rPr>
          <w:sz w:val="20"/>
          <w:szCs w:val="20"/>
          <w:color w:val="auto"/>
        </w:rPr>
      </w:pPr>
    </w:p>
    <w:p>
      <w:pPr>
        <w:jc w:val="both"/>
        <w:ind w:right="40" w:firstLine="401"/>
        <w:spacing w:after="0" w:line="253" w:lineRule="auto"/>
        <w:rPr>
          <w:sz w:val="20"/>
          <w:szCs w:val="20"/>
          <w:color w:val="auto"/>
        </w:rPr>
      </w:pPr>
      <w:r>
        <w:rPr>
          <w:rFonts w:ascii="Arial" w:cs="Arial" w:eastAsia="Arial" w:hAnsi="Arial"/>
          <w:sz w:val="16"/>
          <w:szCs w:val="16"/>
          <w:color w:val="auto"/>
        </w:rPr>
        <w:t>Currently, Ms. Turney serves on the Board of Directors of Alliance Data Systems Corp., including on its Nominating and Governance Committee and as Chair of its Compensation Committee. Previously, Ms. Turney spent two years on the Board of Directors of Sweden-based designer sock and underwear brand Happy Socks AB, seven years on the Board of Directors of M/I Homes, Inc., and two years on the Board of Directors of FULLBEAUTY Brands.</w:t>
      </w:r>
    </w:p>
    <w:p>
      <w:pPr>
        <w:spacing w:after="0" w:line="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Additionally, Ms. Turney serves as a Director of the University of Oklahoma Foundation, including on its Investment Committee, and served as a Director of Nationwide Children’s Hospital, Inc., including as Chairman of the Board of its Research Institute. Ms. Turney received her bachelor’s degree from the University of Oklahoma and serves on the Baker Retailing Center Industry Advisory Board at Wharton School at the University of Pennsylvania.</w:t>
      </w:r>
    </w:p>
    <w:p>
      <w:pPr>
        <w:spacing w:after="0" w:line="182" w:lineRule="exact"/>
        <w:rPr>
          <w:sz w:val="20"/>
          <w:szCs w:val="20"/>
          <w:color w:val="auto"/>
        </w:rPr>
      </w:pPr>
    </w:p>
    <w:p>
      <w:pPr>
        <w:ind w:right="500" w:firstLine="401"/>
        <w:spacing w:after="0" w:line="246" w:lineRule="auto"/>
        <w:rPr>
          <w:sz w:val="20"/>
          <w:szCs w:val="20"/>
          <w:color w:val="auto"/>
        </w:rPr>
      </w:pPr>
      <w:r>
        <w:rPr>
          <w:rFonts w:ascii="Arial" w:cs="Arial" w:eastAsia="Arial" w:hAnsi="Arial"/>
          <w:sz w:val="18"/>
          <w:szCs w:val="18"/>
          <w:color w:val="auto"/>
        </w:rPr>
        <w:t>The Board selected Ms. Turney because of her prior board and executive leadership roles, extensive digital/e-commerce, marketing, operations, financial skills, and her experience as both a retailer and vendor serving the retail community.</w:t>
      </w:r>
    </w:p>
    <w:p>
      <w:pPr>
        <w:spacing w:after="0" w:line="21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Board has determined that Ms. Turney qualifies as an independent director under the corporate governance standards of Nasdaq and the independence requirements of Section 10C-1(b)(1) under the Securities Exchange Act of 1934, as amended (the “Exchange Act”). Ms. Turney was not appointed to the Board pursuant to any arrangement or understanding with any other person. Ms. Turney has no family relationships with any director or executive officer of the Company and there are no transactions in which Ms. Turney has an interest requiring disclosure under Item 404(a) of Regulation S-K.</w:t>
      </w:r>
    </w:p>
    <w:p>
      <w:pPr>
        <w:spacing w:after="0" w:line="215" w:lineRule="exact"/>
        <w:rPr>
          <w:sz w:val="20"/>
          <w:szCs w:val="20"/>
          <w:color w:val="auto"/>
        </w:rPr>
      </w:pPr>
    </w:p>
    <w:p>
      <w:pPr>
        <w:jc w:val="both"/>
        <w:ind w:firstLine="401"/>
        <w:spacing w:after="0" w:line="324" w:lineRule="auto"/>
        <w:rPr>
          <w:sz w:val="20"/>
          <w:szCs w:val="20"/>
          <w:color w:val="auto"/>
        </w:rPr>
      </w:pPr>
      <w:r>
        <w:rPr>
          <w:rFonts w:ascii="Arial" w:cs="Arial" w:eastAsia="Arial" w:hAnsi="Arial"/>
          <w:sz w:val="16"/>
          <w:szCs w:val="16"/>
          <w:color w:val="auto"/>
        </w:rPr>
        <w:t>As compensation for her service on the Board, Ms. Turney will receive the Company's standard compensation for non-employee directors as disclosed in the Company's 2021 proxy statement filed by the Company with the U.S. Securities and Exchange Commission (the "SEC") on April 23, 2021.</w:t>
      </w:r>
    </w:p>
    <w:p>
      <w:pPr>
        <w:spacing w:after="0" w:line="151"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The Company and Ms. Turney will enter into the Company’s standard form of indemnification agreement for directors, a copy of which was previously filed as Exhibit 10.37 to Amendment No. 2 to the Company’s Registration Statement on Form S-1 filed with the SEC on September 23, 2020.</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On August 5, 2021, the Company issued a press release announcing Ms. Turney's appointment, a copy of which is attached hereto as Exhibit 99.1 and incorporated herein by reference.</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329"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73" w:lineRule="exact"/>
        <w:rPr>
          <w:sz w:val="20"/>
          <w:szCs w:val="20"/>
          <w:color w:val="auto"/>
        </w:rPr>
      </w:pPr>
    </w:p>
    <w:p>
      <w:pPr>
        <w:ind w:left="940"/>
        <w:spacing w:after="0"/>
        <w:tabs>
          <w:tab w:leader="none" w:pos="158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5"/>
          <w:szCs w:val="15"/>
          <w:color w:val="0000FF"/>
        </w:rPr>
        <w:t xml:space="preserve">Press Release dated </w:t>
      </w:r>
      <w:r>
        <w:rPr>
          <w:rFonts w:ascii="Arial" w:cs="Arial" w:eastAsia="Arial" w:hAnsi="Arial"/>
          <w:sz w:val="18"/>
          <w:szCs w:val="18"/>
          <w:color w:val="0000FF"/>
        </w:rPr>
        <w:t>August 5, 2021</w:t>
      </w:r>
      <w:r>
        <w:rPr>
          <w:rFonts w:ascii="Arial" w:cs="Arial" w:eastAsia="Arial" w:hAnsi="Arial"/>
          <w:sz w:val="15"/>
          <w:szCs w:val="15"/>
          <w:color w:val="0000FF"/>
        </w:rPr>
        <w:t>.</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ACADEMY SPORTS AND OUTDOORS, INC.</w:t>
            </w:r>
          </w:p>
        </w:tc>
        <w:tc>
          <w:tcPr>
            <w:tcW w:w="132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709"/>
        </w:trPr>
        <w:tc>
          <w:tcPr>
            <w:tcW w:w="4020" w:type="dxa"/>
            <w:vAlign w:val="bottom"/>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21"/>
                <w:szCs w:val="21"/>
                <w:color w:val="auto"/>
              </w:rPr>
              <w:t>August 5, 2021</w:t>
            </w:r>
          </w:p>
        </w:tc>
        <w:tc>
          <w:tcPr>
            <w:tcW w:w="1320" w:type="dxa"/>
            <w:vAlign w:val="bottom"/>
          </w:tcPr>
          <w:p>
            <w:pPr>
              <w:ind w:left="500"/>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Rene G. Casares</w:t>
            </w:r>
          </w:p>
        </w:tc>
      </w:tr>
      <w:tr>
        <w:trPr>
          <w:trHeight w:val="243"/>
        </w:trPr>
        <w:tc>
          <w:tcPr>
            <w:tcW w:w="4020" w:type="dxa"/>
            <w:vAlign w:val="bottom"/>
          </w:tcPr>
          <w:p>
            <w:pPr>
              <w:spacing w:after="0"/>
              <w:rPr>
                <w:sz w:val="21"/>
                <w:szCs w:val="21"/>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Name:</w:t>
            </w:r>
          </w:p>
        </w:tc>
        <w:tc>
          <w:tcPr>
            <w:tcW w:w="5660" w:type="dxa"/>
            <w:vAlign w:val="bottom"/>
          </w:tcPr>
          <w:p>
            <w:pPr>
              <w:ind w:left="20"/>
              <w:spacing w:after="0"/>
              <w:rPr>
                <w:sz w:val="20"/>
                <w:szCs w:val="20"/>
                <w:color w:val="auto"/>
              </w:rPr>
            </w:pPr>
            <w:r>
              <w:rPr>
                <w:rFonts w:ascii="Arial" w:cs="Arial" w:eastAsia="Arial" w:hAnsi="Arial"/>
                <w:sz w:val="18"/>
                <w:szCs w:val="18"/>
                <w:color w:val="auto"/>
              </w:rPr>
              <w:t>Rene G. Casares</w:t>
            </w:r>
          </w:p>
        </w:tc>
      </w:tr>
      <w:tr>
        <w:trPr>
          <w:trHeight w:val="270"/>
        </w:trPr>
        <w:tc>
          <w:tcPr>
            <w:tcW w:w="4020" w:type="dxa"/>
            <w:vAlign w:val="bottom"/>
          </w:tcPr>
          <w:p>
            <w:pPr>
              <w:spacing w:after="0"/>
              <w:rPr>
                <w:sz w:val="23"/>
                <w:szCs w:val="23"/>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Title:</w:t>
            </w:r>
          </w:p>
        </w:tc>
        <w:tc>
          <w:tcPr>
            <w:tcW w:w="56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43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694690</wp:posOffset>
            </wp:positionV>
            <wp:extent cx="231457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45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PRESS RELEASE</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21"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auto"/>
        </w:rPr>
        <w:t>Academy Sports + Outdoors Announces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Appointment of Sharen J. Turney to Board of Directors</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0"/>
          <w:szCs w:val="20"/>
          <w:color w:val="auto"/>
        </w:rPr>
        <w:t>KATY, TEXAS (PRNewswire August 5, 2021) – Academy Sports and Outdoors, Inc. (“Academy” or the “Company”) (Nasdaq: ASO) announced today, effective immediately, the appointments of Sharen J. Turney to its Board of Directors (the "Board"), its Compensation Committee and its Nominating and Governance Committee (the "Governance Committee"). Academy also announced today that Nathaniel (Nate) Taylor will step down as a member of the Governance Committee, effective concurrently with Ms. Turney's appointment to that committee. With these changes, Academy’s Board now comprises nine directors and the Governance Committee is now comprised entirely of independent members.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are very excited to add Sharen’s deep retail and e-commerce background to our Board", said Ken C. Hicks, Academy Chairman, President and CEO. "Her global experience was developed over three decades of senior executive roles at some of the most recognized brands in the world. As a native Oklahoman, she understands our customer. She also has unparalleled experience acquiring and retaining customers during a tremendous growth phase similar to the one Academy is entering. We look forward to leveraging her expertise along with her strong prior and current board experience.”</w:t>
      </w:r>
    </w:p>
    <w:p>
      <w:pPr>
        <w:spacing w:after="0" w:line="23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Ms. Turney, 64, previously served as the Chief Executive Officer of Russia-based denim brand Gloria Jeans. Before joining Gloria Jeans, Ms. Turney served as President and Chief Executive Officer of Victoria’s Secret, a division of L Brands, Inc., and as President and Chief Executive Officer of Victoria’s Secret Direct, the brand’s catalogue and e-commerce operation. Prior to that, Ms. Turney spent several years in various executive roles, including President and Chief Executive Officer of Neiman Marcus Direct, the direct marketing division of Neiman Marcus Group. Ms. Turney has also served as an advisor to several retailers and technology companies.</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9"/>
          <w:szCs w:val="19"/>
          <w:color w:val="auto"/>
        </w:rPr>
        <w:t>Currently, Ms. Turney serves on the Board of Directors of Alliance Data Systems Corp., including on its Nominating and Governance Committee and as Chair of its Compensation Committee. Previously, Ms. Turney served on the Board of Directors of Sweden-based designer sock and underwear brand Happy Socks AB, the Board of Directors of M/I Homes, Inc., and the Board of Directors of FULLBEAUTY Brands. Additionally, Ms. Turney serves as a Director of the University of Oklahoma Foundation, including on its Investment Committee, and served as a Director of Nationwide Children’s Hospital, Inc., including as Chairman of the Board of its Research Institute. Ms. Turney received her bachelor’s degree from the University of Oklahoma and serves on the Baker Retailing Center Industry Advisory Board at Wharton School at the University of Pennsylvania.</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Board selected Ms. Turney because of her prior board and executive leadership roles, extensive digital/e-commerce, marketing, operations, financial skills, and her experience as both a retailer and vendor serving the retail community</w:t>
      </w:r>
      <w:r>
        <w:rPr>
          <w:rFonts w:ascii="Arial" w:cs="Arial" w:eastAsia="Arial" w:hAnsi="Arial"/>
          <w:sz w:val="21"/>
          <w:szCs w:val="21"/>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19 private label brands, which go well beyond traditional sporting goods and apparel offerings. For more information, visit www.academy.com.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SOURCE: Academy Sports and Outdoors,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 Hasbrook, Vice President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281.253.8200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elise.hasbrook@academy.com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Matt Hodges, 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281.646.5362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matt.hodges@academy.com</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2021-08-05T16:38:09Z</dcterms:created>
  <dcterms:modified xsi:type="dcterms:W3CDTF">2021-08-05T16:38:09Z</dcterms:modified>
</cp:coreProperties>
</file>