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September 29, 2020</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Cara Wirth</w:t>
      </w:r>
    </w:p>
    <w:p>
      <w:pPr>
        <w:spacing w:after="0" w:line="355"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Academy Sports and Outdoors, Inc.</w:t>
      </w:r>
    </w:p>
    <w:p>
      <w:pPr>
        <w:spacing w:after="0" w:line="27"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File No. 333-248683</w:t>
      </w:r>
    </w:p>
    <w:p>
      <w:pPr>
        <w:spacing w:after="0" w:line="234"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Acceleration Request</w:t>
      </w:r>
    </w:p>
    <w:p>
      <w:pPr>
        <w:spacing w:after="0" w:line="27"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Requested Date: October 1, 2020</w:t>
      </w:r>
    </w:p>
    <w:p>
      <w:pPr>
        <w:spacing w:after="0" w:line="9"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Requested Time: 4:00 p.m., Eastern Standard Time</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60" w:firstLine="440"/>
        <w:spacing w:after="0" w:line="279" w:lineRule="auto"/>
        <w:rPr>
          <w:sz w:val="20"/>
          <w:szCs w:val="20"/>
          <w:color w:val="auto"/>
        </w:rPr>
      </w:pPr>
      <w:r>
        <w:rPr>
          <w:rFonts w:ascii="Arial" w:cs="Arial" w:eastAsia="Arial" w:hAnsi="Arial"/>
          <w:sz w:val="17"/>
          <w:szCs w:val="17"/>
          <w:color w:val="auto"/>
        </w:rPr>
        <w:t>In accordance with Rule 461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Credit Suisse Securities (USA) LLC and J.P. Morgan Securities LLC, as representatives of the several underwriters, hereby join Academy Sports and Outdoors, Inc. in requesting that the Securities and Exchange Commission take appropriate action to cause the Registration Statement on Form S-1 (File No. 333-248683)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to become effective on October 1, 2020, at 4:00 p.m., Eastern Standard Time, or as soon as practicable thereafter.</w:t>
      </w:r>
    </w:p>
    <w:p>
      <w:pPr>
        <w:spacing w:after="0" w:line="171" w:lineRule="exact"/>
        <w:rPr>
          <w:sz w:val="24"/>
          <w:szCs w:val="24"/>
          <w:color w:val="auto"/>
        </w:rPr>
      </w:pPr>
    </w:p>
    <w:p>
      <w:pPr>
        <w:ind w:right="120" w:firstLine="440"/>
        <w:spacing w:after="0" w:line="263" w:lineRule="auto"/>
        <w:rPr>
          <w:sz w:val="20"/>
          <w:szCs w:val="20"/>
          <w:color w:val="auto"/>
        </w:rPr>
      </w:pPr>
      <w:r>
        <w:rPr>
          <w:rFonts w:ascii="Arial" w:cs="Arial" w:eastAsia="Arial" w:hAnsi="Arial"/>
          <w:sz w:val="18"/>
          <w:szCs w:val="18"/>
          <w:color w:val="auto"/>
        </w:rPr>
        <w:t>Pursuant to Rule 460 under the Act, we, as representatives of the several underwriters, wish to advise you that 1,000 copies of the preliminary prospectus dated September 23, 2020, were distributed during the period from September 24, 2020 through the date hereof to prospective underwriters, institutions, dealers and others.</w:t>
      </w:r>
    </w:p>
    <w:p>
      <w:pPr>
        <w:spacing w:after="0" w:line="184" w:lineRule="exact"/>
        <w:rPr>
          <w:sz w:val="24"/>
          <w:szCs w:val="24"/>
          <w:color w:val="auto"/>
        </w:rPr>
      </w:pPr>
    </w:p>
    <w:p>
      <w:pPr>
        <w:jc w:val="both"/>
        <w:ind w:firstLine="440"/>
        <w:spacing w:after="0" w:line="263" w:lineRule="auto"/>
        <w:rPr>
          <w:sz w:val="20"/>
          <w:szCs w:val="20"/>
          <w:color w:val="auto"/>
        </w:rPr>
      </w:pPr>
      <w:r>
        <w:rPr>
          <w:rFonts w:ascii="Arial" w:cs="Arial" w:eastAsia="Arial" w:hAnsi="Arial"/>
          <w:sz w:val="18"/>
          <w:szCs w:val="18"/>
          <w:color w:val="auto"/>
        </w:rPr>
        <w:t>We, the undersigned, as representatives of the several underwriters, have complied and will continue to comply, and we have been informed by the participating underwriters that they have complied and will continue to comply, with the requirements of Rule 15c2-8 under the Securities Exchange Act of 1934, as amended, to the extent applicable.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00"/>
          </w:cols>
          <w:pgMar w:left="440" w:top="233" w:right="459" w:bottom="1440" w:gutter="0" w:footer="0" w:header="0"/>
        </w:sectPr>
      </w:pPr>
    </w:p>
    <w:bookmarkStart w:id="1" w:name="page2"/>
    <w:bookmarkEnd w:id="1"/>
    <w:p>
      <w:pPr>
        <w:ind w:left="66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52"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CREDIT SUISSE SECURITIES (USA) LLC</w:t>
      </w:r>
    </w:p>
    <w:p>
      <w:pPr>
        <w:spacing w:after="0" w:line="239" w:lineRule="exact"/>
        <w:rPr>
          <w:sz w:val="20"/>
          <w:szCs w:val="20"/>
          <w:color w:val="auto"/>
        </w:rPr>
      </w:pPr>
    </w:p>
    <w:tbl>
      <w:tblPr>
        <w:tblLayout w:type="fixed"/>
        <w:tblInd w:w="6624"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Ryan M Beaupré</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Ryan M Beaupré</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18"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tbl>
      <w:tblPr>
        <w:tblLayout w:type="fixed"/>
        <w:tblInd w:w="6624"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Jaclyn Berkley</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Jaclyn Berkley</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85" w:lineRule="exact"/>
        <w:rPr>
          <w:sz w:val="20"/>
          <w:szCs w:val="20"/>
          <w:color w:val="auto"/>
        </w:rPr>
      </w:pPr>
    </w:p>
    <w:p>
      <w:pPr>
        <w:ind w:left="424" w:right="6480" w:hanging="424"/>
        <w:spacing w:after="0" w:line="26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Ken C. Hicks, </w:t>
      </w:r>
      <w:r>
        <w:rPr>
          <w:rFonts w:ascii="Arial" w:cs="Arial" w:eastAsia="Arial" w:hAnsi="Arial"/>
          <w:sz w:val="17"/>
          <w:szCs w:val="17"/>
          <w:i w:val="1"/>
          <w:iCs w:val="1"/>
          <w:color w:val="auto"/>
        </w:rPr>
        <w:t>Academy Sports and Outdoors, Inc.</w:t>
      </w:r>
      <w:r>
        <w:rPr>
          <w:rFonts w:ascii="Arial" w:cs="Arial" w:eastAsia="Arial" w:hAnsi="Arial"/>
          <w:sz w:val="17"/>
          <w:szCs w:val="17"/>
          <w:color w:val="auto"/>
        </w:rPr>
        <w:t xml:space="preserve"> Michael P. Mullican, </w:t>
      </w:r>
      <w:r>
        <w:rPr>
          <w:rFonts w:ascii="Arial" w:cs="Arial" w:eastAsia="Arial" w:hAnsi="Arial"/>
          <w:sz w:val="17"/>
          <w:szCs w:val="17"/>
          <w:i w:val="1"/>
          <w:iCs w:val="1"/>
          <w:color w:val="auto"/>
        </w:rPr>
        <w:t>Academy Sports and Outdoors, Inc.</w:t>
      </w:r>
      <w:r>
        <w:rPr>
          <w:rFonts w:ascii="Arial" w:cs="Arial" w:eastAsia="Arial" w:hAnsi="Arial"/>
          <w:sz w:val="17"/>
          <w:szCs w:val="17"/>
          <w:color w:val="auto"/>
        </w:rPr>
        <w:t xml:space="preserve"> Joseph H. Kaufman, </w:t>
      </w:r>
      <w:r>
        <w:rPr>
          <w:rFonts w:ascii="Arial" w:cs="Arial" w:eastAsia="Arial" w:hAnsi="Arial"/>
          <w:sz w:val="17"/>
          <w:szCs w:val="17"/>
          <w:i w:val="1"/>
          <w:iCs w:val="1"/>
          <w:color w:val="auto"/>
        </w:rPr>
        <w:t>Simpson Thacher &amp; Bartlett LLP</w:t>
      </w:r>
      <w:r>
        <w:rPr>
          <w:rFonts w:ascii="Arial" w:cs="Arial" w:eastAsia="Arial" w:hAnsi="Arial"/>
          <w:sz w:val="17"/>
          <w:szCs w:val="17"/>
          <w:color w:val="auto"/>
        </w:rPr>
        <w:t xml:space="preserve"> Sunny Cheong, </w:t>
      </w:r>
      <w:r>
        <w:rPr>
          <w:rFonts w:ascii="Arial" w:cs="Arial" w:eastAsia="Arial" w:hAnsi="Arial"/>
          <w:sz w:val="17"/>
          <w:szCs w:val="17"/>
          <w:i w:val="1"/>
          <w:iCs w:val="1"/>
          <w:color w:val="auto"/>
        </w:rPr>
        <w:t>Simpson Thacher &amp; Bartlett LLP</w:t>
      </w:r>
      <w:r>
        <w:rPr>
          <w:rFonts w:ascii="Arial" w:cs="Arial" w:eastAsia="Arial" w:hAnsi="Arial"/>
          <w:sz w:val="17"/>
          <w:szCs w:val="17"/>
          <w:color w:val="auto"/>
        </w:rPr>
        <w:t xml:space="preserve"> Marc D. Jaffe, </w:t>
      </w:r>
      <w:r>
        <w:rPr>
          <w:rFonts w:ascii="Arial" w:cs="Arial" w:eastAsia="Arial" w:hAnsi="Arial"/>
          <w:sz w:val="17"/>
          <w:szCs w:val="17"/>
          <w:i w:val="1"/>
          <w:iCs w:val="1"/>
          <w:color w:val="auto"/>
        </w:rPr>
        <w:t>Latham &amp; Watkins LLP</w:t>
      </w:r>
    </w:p>
    <w:p>
      <w:pPr>
        <w:spacing w:after="0" w:line="2" w:lineRule="exact"/>
        <w:rPr>
          <w:rFonts w:ascii="Arial" w:cs="Arial" w:eastAsia="Arial" w:hAnsi="Arial"/>
          <w:sz w:val="17"/>
          <w:szCs w:val="17"/>
          <w:color w:val="auto"/>
        </w:rPr>
      </w:pPr>
    </w:p>
    <w:p>
      <w:pPr>
        <w:ind w:left="424"/>
        <w:spacing w:after="0"/>
        <w:rPr>
          <w:rFonts w:ascii="Arial" w:cs="Arial" w:eastAsia="Arial" w:hAnsi="Arial"/>
          <w:sz w:val="17"/>
          <w:szCs w:val="17"/>
          <w:color w:val="auto"/>
        </w:rPr>
      </w:pPr>
      <w:r>
        <w:rPr>
          <w:rFonts w:ascii="Arial" w:cs="Arial" w:eastAsia="Arial" w:hAnsi="Arial"/>
          <w:sz w:val="18"/>
          <w:szCs w:val="18"/>
          <w:color w:val="auto"/>
        </w:rPr>
        <w:t xml:space="preserve">Ian D. Schuman, </w:t>
      </w:r>
      <w:r>
        <w:rPr>
          <w:rFonts w:ascii="Arial" w:cs="Arial" w:eastAsia="Arial" w:hAnsi="Arial"/>
          <w:sz w:val="18"/>
          <w:szCs w:val="18"/>
          <w:i w:val="1"/>
          <w:iCs w:val="1"/>
          <w:color w:val="auto"/>
        </w:rPr>
        <w:t>Latham &amp; Watkins LLP</w:t>
      </w:r>
    </w:p>
    <w:sectPr>
      <w:pgSz w:w="11900" w:h="16838" w:orient="portrait"/>
      <w:cols w:equalWidth="0" w:num="1">
        <w:col w:w="11024"/>
      </w:cols>
      <w:pgMar w:left="436"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2021-08-15T20:00:33Z</dcterms:created>
  <dcterms:modified xsi:type="dcterms:W3CDTF">2021-08-15T20:00:33Z</dcterms:modified>
</cp:coreProperties>
</file>