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p>
        </w:tc>
        <w:tc>
          <w:tcPr>
            <w:tcW w:w="8280" w:type="dxa"/>
            <w:vAlign w:val="bottom"/>
            <w:gridSpan w:val="3"/>
          </w:tcPr>
          <w:p>
            <w:pPr>
              <w:jc w:val="center"/>
              <w:ind w:right="2682"/>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IMPSON</w:t>
            </w:r>
            <w:r>
              <w:rPr>
                <w:rFonts w:ascii="Arial" w:cs="Arial" w:eastAsia="Arial" w:hAnsi="Arial"/>
                <w:sz w:val="18"/>
                <w:szCs w:val="18"/>
                <w:color w:val="auto"/>
              </w:rPr>
              <w:t xml:space="preserve"> T</w:t>
            </w:r>
            <w:r>
              <w:rPr>
                <w:rFonts w:ascii="Arial" w:cs="Arial" w:eastAsia="Arial" w:hAnsi="Arial"/>
                <w:sz w:val="14"/>
                <w:szCs w:val="14"/>
                <w:color w:val="auto"/>
              </w:rPr>
              <w:t>HACHER</w:t>
            </w:r>
            <w:r>
              <w:rPr>
                <w:rFonts w:ascii="Arial" w:cs="Arial" w:eastAsia="Arial" w:hAnsi="Arial"/>
                <w:sz w:val="18"/>
                <w:szCs w:val="18"/>
                <w:color w:val="auto"/>
              </w:rPr>
              <w:t xml:space="preserve"> &amp; B</w:t>
            </w:r>
            <w:r>
              <w:rPr>
                <w:rFonts w:ascii="Arial" w:cs="Arial" w:eastAsia="Arial" w:hAnsi="Arial"/>
                <w:sz w:val="14"/>
                <w:szCs w:val="14"/>
                <w:color w:val="auto"/>
              </w:rPr>
              <w:t>ARTLETT LLP</w:t>
            </w:r>
          </w:p>
        </w:tc>
      </w:tr>
      <w:tr>
        <w:trPr>
          <w:trHeight w:val="231"/>
        </w:trPr>
        <w:tc>
          <w:tcPr>
            <w:tcW w:w="2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680" w:type="dxa"/>
            <w:vAlign w:val="bottom"/>
            <w:gridSpan w:val="2"/>
          </w:tcPr>
          <w:p>
            <w:pPr>
              <w:jc w:val="center"/>
              <w:ind w:right="4262"/>
              <w:spacing w:after="0"/>
              <w:rPr>
                <w:sz w:val="20"/>
                <w:szCs w:val="20"/>
                <w:color w:val="auto"/>
              </w:rPr>
            </w:pPr>
            <w:r>
              <w:rPr>
                <w:rFonts w:ascii="Arial" w:cs="Arial" w:eastAsia="Arial" w:hAnsi="Arial"/>
                <w:sz w:val="14"/>
                <w:szCs w:val="14"/>
                <w:color w:val="auto"/>
              </w:rPr>
              <w:t>425 L</w:t>
            </w:r>
            <w:r>
              <w:rPr>
                <w:rFonts w:ascii="Arial" w:cs="Arial" w:eastAsia="Arial" w:hAnsi="Arial"/>
                <w:sz w:val="11"/>
                <w:szCs w:val="11"/>
                <w:color w:val="auto"/>
              </w:rPr>
              <w:t>EXINGTON</w:t>
            </w:r>
            <w:r>
              <w:rPr>
                <w:rFonts w:ascii="Arial" w:cs="Arial" w:eastAsia="Arial" w:hAnsi="Arial"/>
                <w:sz w:val="14"/>
                <w:szCs w:val="14"/>
                <w:color w:val="auto"/>
              </w:rPr>
              <w:t xml:space="preserve"> A</w:t>
            </w:r>
            <w:r>
              <w:rPr>
                <w:rFonts w:ascii="Arial" w:cs="Arial" w:eastAsia="Arial" w:hAnsi="Arial"/>
                <w:sz w:val="11"/>
                <w:szCs w:val="11"/>
                <w:color w:val="auto"/>
              </w:rPr>
              <w:t>VENUE</w:t>
            </w:r>
          </w:p>
        </w:tc>
      </w:tr>
      <w:tr>
        <w:trPr>
          <w:trHeight w:val="189"/>
        </w:trPr>
        <w:tc>
          <w:tcPr>
            <w:tcW w:w="27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680" w:type="dxa"/>
            <w:vAlign w:val="bottom"/>
            <w:gridSpan w:val="2"/>
          </w:tcPr>
          <w:p>
            <w:pPr>
              <w:jc w:val="center"/>
              <w:ind w:right="4262"/>
              <w:spacing w:after="0"/>
              <w:rPr>
                <w:sz w:val="20"/>
                <w:szCs w:val="20"/>
                <w:color w:val="auto"/>
              </w:rPr>
            </w:pPr>
            <w:r>
              <w:rPr>
                <w:rFonts w:ascii="Arial" w:cs="Arial" w:eastAsia="Arial" w:hAnsi="Arial"/>
                <w:sz w:val="14"/>
                <w:szCs w:val="14"/>
                <w:color w:val="auto"/>
                <w:w w:val="99"/>
              </w:rPr>
              <w:t>N</w:t>
            </w:r>
            <w:r>
              <w:rPr>
                <w:rFonts w:ascii="Arial" w:cs="Arial" w:eastAsia="Arial" w:hAnsi="Arial"/>
                <w:sz w:val="11"/>
                <w:szCs w:val="11"/>
                <w:color w:val="auto"/>
                <w:w w:val="99"/>
              </w:rPr>
              <w:t>EW</w:t>
            </w:r>
            <w:r>
              <w:rPr>
                <w:rFonts w:ascii="Arial" w:cs="Arial" w:eastAsia="Arial" w:hAnsi="Arial"/>
                <w:sz w:val="14"/>
                <w:szCs w:val="14"/>
                <w:color w:val="auto"/>
                <w:w w:val="99"/>
              </w:rPr>
              <w:t xml:space="preserve"> Y</w:t>
            </w:r>
            <w:r>
              <w:rPr>
                <w:rFonts w:ascii="Arial" w:cs="Arial" w:eastAsia="Arial" w:hAnsi="Arial"/>
                <w:sz w:val="11"/>
                <w:szCs w:val="11"/>
                <w:color w:val="auto"/>
                <w:w w:val="99"/>
              </w:rPr>
              <w:t>ORK</w:t>
            </w:r>
            <w:r>
              <w:rPr>
                <w:rFonts w:ascii="Arial" w:cs="Arial" w:eastAsia="Arial" w:hAnsi="Arial"/>
                <w:sz w:val="14"/>
                <w:szCs w:val="14"/>
                <w:color w:val="auto"/>
                <w:w w:val="99"/>
              </w:rPr>
              <w:t>, NY 10017-3954</w:t>
            </w:r>
          </w:p>
        </w:tc>
      </w:tr>
      <w:tr>
        <w:trPr>
          <w:trHeight w:val="189"/>
        </w:trPr>
        <w:tc>
          <w:tcPr>
            <w:tcW w:w="2740" w:type="dxa"/>
            <w:vAlign w:val="bottom"/>
          </w:tcPr>
          <w:p>
            <w:pPr>
              <w:spacing w:after="0"/>
              <w:rPr>
                <w:sz w:val="16"/>
                <w:szCs w:val="16"/>
                <w:color w:val="auto"/>
              </w:rPr>
            </w:pPr>
          </w:p>
        </w:tc>
        <w:tc>
          <w:tcPr>
            <w:tcW w:w="3920" w:type="dxa"/>
            <w:vAlign w:val="bottom"/>
            <w:gridSpan w:val="2"/>
          </w:tcPr>
          <w:p>
            <w:pPr>
              <w:jc w:val="center"/>
              <w:ind w:left="1539"/>
              <w:spacing w:after="0"/>
              <w:rPr>
                <w:sz w:val="20"/>
                <w:szCs w:val="20"/>
                <w:color w:val="auto"/>
              </w:rPr>
            </w:pPr>
            <w:r>
              <w:rPr>
                <w:rFonts w:ascii="Arial" w:cs="Arial" w:eastAsia="Arial" w:hAnsi="Arial"/>
                <w:sz w:val="14"/>
                <w:szCs w:val="14"/>
                <w:color w:val="auto"/>
                <w:w w:val="93"/>
              </w:rPr>
              <w:t>(212) 455-2000</w:t>
            </w:r>
          </w:p>
        </w:tc>
        <w:tc>
          <w:tcPr>
            <w:tcW w:w="4360" w:type="dxa"/>
            <w:vAlign w:val="bottom"/>
          </w:tcPr>
          <w:p>
            <w:pPr>
              <w:spacing w:after="0"/>
              <w:rPr>
                <w:sz w:val="16"/>
                <w:szCs w:val="16"/>
                <w:color w:val="auto"/>
              </w:rPr>
            </w:pPr>
          </w:p>
        </w:tc>
      </w:tr>
      <w:tr>
        <w:trPr>
          <w:trHeight w:val="174"/>
        </w:trPr>
        <w:tc>
          <w:tcPr>
            <w:tcW w:w="2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4360" w:type="dxa"/>
            <w:vAlign w:val="bottom"/>
          </w:tcPr>
          <w:p>
            <w:pPr>
              <w:spacing w:after="0"/>
              <w:rPr>
                <w:sz w:val="15"/>
                <w:szCs w:val="15"/>
                <w:color w:val="auto"/>
              </w:rPr>
            </w:pPr>
          </w:p>
        </w:tc>
      </w:tr>
      <w:tr>
        <w:trPr>
          <w:trHeight w:val="224"/>
        </w:trPr>
        <w:tc>
          <w:tcPr>
            <w:tcW w:w="27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680" w:type="dxa"/>
            <w:vAlign w:val="bottom"/>
            <w:gridSpan w:val="2"/>
          </w:tcPr>
          <w:p>
            <w:pPr>
              <w:jc w:val="center"/>
              <w:ind w:right="4262"/>
              <w:spacing w:after="0"/>
              <w:rPr>
                <w:sz w:val="20"/>
                <w:szCs w:val="20"/>
                <w:color w:val="auto"/>
              </w:rPr>
            </w:pPr>
            <w:r>
              <w:rPr>
                <w:rFonts w:ascii="Arial" w:cs="Arial" w:eastAsia="Arial" w:hAnsi="Arial"/>
                <w:sz w:val="14"/>
                <w:szCs w:val="14"/>
                <w:color w:val="auto"/>
                <w:w w:val="99"/>
              </w:rPr>
              <w:t>F</w:t>
            </w:r>
            <w:r>
              <w:rPr>
                <w:rFonts w:ascii="Arial" w:cs="Arial" w:eastAsia="Arial" w:hAnsi="Arial"/>
                <w:sz w:val="11"/>
                <w:szCs w:val="11"/>
                <w:color w:val="auto"/>
                <w:w w:val="99"/>
              </w:rPr>
              <w:t>ACSIMILE</w:t>
            </w:r>
            <w:r>
              <w:rPr>
                <w:rFonts w:ascii="Arial" w:cs="Arial" w:eastAsia="Arial" w:hAnsi="Arial"/>
                <w:sz w:val="14"/>
                <w:szCs w:val="14"/>
                <w:color w:val="auto"/>
                <w:w w:val="99"/>
              </w:rPr>
              <w:t xml:space="preserve"> (212) 455-2502</w:t>
            </w:r>
          </w:p>
        </w:tc>
      </w:tr>
      <w:tr>
        <w:trPr>
          <w:trHeight w:val="358"/>
        </w:trPr>
        <w:tc>
          <w:tcPr>
            <w:tcW w:w="2740" w:type="dxa"/>
            <w:vAlign w:val="bottom"/>
          </w:tcPr>
          <w:p>
            <w:pPr>
              <w:spacing w:after="0"/>
              <w:rPr>
                <w:sz w:val="20"/>
                <w:szCs w:val="20"/>
                <w:color w:val="auto"/>
              </w:rPr>
            </w:pPr>
            <w:r>
              <w:rPr>
                <w:rFonts w:ascii="Arial" w:cs="Arial" w:eastAsia="Arial" w:hAnsi="Arial"/>
                <w:sz w:val="14"/>
                <w:szCs w:val="14"/>
                <w:color w:val="auto"/>
              </w:rPr>
              <w:t>D</w:t>
            </w:r>
            <w:r>
              <w:rPr>
                <w:rFonts w:ascii="Arial" w:cs="Arial" w:eastAsia="Arial" w:hAnsi="Arial"/>
                <w:sz w:val="11"/>
                <w:szCs w:val="11"/>
                <w:color w:val="auto"/>
              </w:rPr>
              <w:t>IRECT</w:t>
            </w:r>
            <w:r>
              <w:rPr>
                <w:rFonts w:ascii="Arial" w:cs="Arial" w:eastAsia="Arial" w:hAnsi="Arial"/>
                <w:sz w:val="14"/>
                <w:szCs w:val="14"/>
                <w:color w:val="auto"/>
              </w:rPr>
              <w:t xml:space="preserve"> D</w:t>
            </w:r>
            <w:r>
              <w:rPr>
                <w:rFonts w:ascii="Arial" w:cs="Arial" w:eastAsia="Arial" w:hAnsi="Arial"/>
                <w:sz w:val="11"/>
                <w:szCs w:val="11"/>
                <w:color w:val="auto"/>
              </w:rPr>
              <w:t>IAL</w:t>
            </w:r>
            <w:r>
              <w:rPr>
                <w:rFonts w:ascii="Arial" w:cs="Arial" w:eastAsia="Arial" w:hAnsi="Arial"/>
                <w:sz w:val="14"/>
                <w:szCs w:val="14"/>
                <w:color w:val="auto"/>
              </w:rPr>
              <w:t xml:space="preserve"> N</w:t>
            </w:r>
            <w:r>
              <w:rPr>
                <w:rFonts w:ascii="Arial" w:cs="Arial" w:eastAsia="Arial" w:hAnsi="Arial"/>
                <w:sz w:val="11"/>
                <w:szCs w:val="11"/>
                <w:color w:val="auto"/>
              </w:rPr>
              <w:t>UMBER</w:t>
            </w:r>
          </w:p>
        </w:tc>
        <w:tc>
          <w:tcPr>
            <w:tcW w:w="16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Arial" w:cs="Arial" w:eastAsia="Arial" w:hAnsi="Arial"/>
                <w:sz w:val="14"/>
                <w:szCs w:val="14"/>
                <w:color w:val="auto"/>
              </w:rPr>
              <w:t>E-M</w:t>
            </w:r>
            <w:r>
              <w:rPr>
                <w:rFonts w:ascii="Arial" w:cs="Arial" w:eastAsia="Arial" w:hAnsi="Arial"/>
                <w:sz w:val="11"/>
                <w:szCs w:val="11"/>
                <w:color w:val="auto"/>
              </w:rPr>
              <w:t>AIL</w:t>
            </w:r>
            <w:r>
              <w:rPr>
                <w:rFonts w:ascii="Arial" w:cs="Arial" w:eastAsia="Arial" w:hAnsi="Arial"/>
                <w:sz w:val="14"/>
                <w:szCs w:val="14"/>
                <w:color w:val="auto"/>
              </w:rPr>
              <w:t xml:space="preserve"> A</w:t>
            </w:r>
            <w:r>
              <w:rPr>
                <w:rFonts w:ascii="Arial" w:cs="Arial" w:eastAsia="Arial" w:hAnsi="Arial"/>
                <w:sz w:val="11"/>
                <w:szCs w:val="11"/>
                <w:color w:val="auto"/>
              </w:rPr>
              <w:t>DDRESS</w:t>
            </w:r>
          </w:p>
        </w:tc>
      </w:tr>
      <w:tr>
        <w:trPr>
          <w:trHeight w:val="182"/>
        </w:trPr>
        <w:tc>
          <w:tcPr>
            <w:tcW w:w="2740" w:type="dxa"/>
            <w:vAlign w:val="bottom"/>
          </w:tcPr>
          <w:p>
            <w:pPr>
              <w:spacing w:after="0"/>
              <w:rPr>
                <w:sz w:val="20"/>
                <w:szCs w:val="20"/>
                <w:color w:val="auto"/>
              </w:rPr>
            </w:pPr>
            <w:r>
              <w:rPr>
                <w:rFonts w:ascii="Arial" w:cs="Arial" w:eastAsia="Arial" w:hAnsi="Arial"/>
                <w:sz w:val="14"/>
                <w:szCs w:val="14"/>
                <w:color w:val="auto"/>
              </w:rPr>
              <w:t>(212) 455-2948</w:t>
            </w:r>
          </w:p>
        </w:tc>
        <w:tc>
          <w:tcPr>
            <w:tcW w:w="16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360" w:type="dxa"/>
            <w:vAlign w:val="bottom"/>
          </w:tcPr>
          <w:p>
            <w:pPr>
              <w:jc w:val="right"/>
              <w:spacing w:after="0"/>
              <w:rPr>
                <w:sz w:val="20"/>
                <w:szCs w:val="20"/>
                <w:color w:val="auto"/>
              </w:rPr>
            </w:pPr>
            <w:r>
              <w:rPr>
                <w:rFonts w:ascii="Arial" w:cs="Arial" w:eastAsia="Arial" w:hAnsi="Arial"/>
                <w:sz w:val="14"/>
                <w:szCs w:val="14"/>
                <w:color w:val="auto"/>
              </w:rPr>
              <w:t>JKAUFMAN@STBLAW.COM</w:t>
            </w:r>
          </w:p>
        </w:tc>
      </w:tr>
      <w:tr>
        <w:trPr>
          <w:trHeight w:val="647"/>
        </w:trPr>
        <w:tc>
          <w:tcPr>
            <w:tcW w:w="2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360" w:type="dxa"/>
            <w:vAlign w:val="bottom"/>
          </w:tcPr>
          <w:p>
            <w:pPr>
              <w:jc w:val="right"/>
              <w:spacing w:after="0"/>
              <w:rPr>
                <w:sz w:val="20"/>
                <w:szCs w:val="20"/>
                <w:color w:val="auto"/>
              </w:rPr>
            </w:pPr>
            <w:r>
              <w:rPr>
                <w:rFonts w:ascii="Arial" w:cs="Arial" w:eastAsia="Arial" w:hAnsi="Arial"/>
                <w:sz w:val="18"/>
                <w:szCs w:val="18"/>
                <w:color w:val="auto"/>
              </w:rPr>
              <w:t>September 9, 2020</w:t>
            </w:r>
          </w:p>
        </w:tc>
      </w:tr>
    </w:tbl>
    <w:p>
      <w:pPr>
        <w:spacing w:after="0" w:line="310"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VIA EDGAR</w:t>
      </w:r>
    </w:p>
    <w:p>
      <w:pPr>
        <w:spacing w:after="0" w:line="374" w:lineRule="exact"/>
        <w:rPr>
          <w:sz w:val="24"/>
          <w:szCs w:val="24"/>
          <w:color w:val="auto"/>
        </w:rPr>
      </w:pPr>
    </w:p>
    <w:p>
      <w:pPr>
        <w:ind w:left="1200"/>
        <w:spacing w:after="0"/>
        <w:tabs>
          <w:tab w:leader="none" w:pos="17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Academy Sports and Outdoors, Inc.</w:t>
      </w:r>
    </w:p>
    <w:p>
      <w:pPr>
        <w:spacing w:after="0" w:line="23" w:lineRule="exact"/>
        <w:rPr>
          <w:sz w:val="24"/>
          <w:szCs w:val="24"/>
          <w:color w:val="auto"/>
        </w:rPr>
      </w:pPr>
    </w:p>
    <w:p>
      <w:pPr>
        <w:ind w:left="1740"/>
        <w:spacing w:after="0"/>
        <w:rPr>
          <w:sz w:val="20"/>
          <w:szCs w:val="20"/>
          <w:color w:val="auto"/>
        </w:rPr>
      </w:pPr>
      <w:r>
        <w:rPr>
          <w:rFonts w:ascii="Arial" w:cs="Arial" w:eastAsia="Arial" w:hAnsi="Arial"/>
          <w:sz w:val="18"/>
          <w:szCs w:val="18"/>
          <w:color w:val="auto"/>
        </w:rPr>
        <w:t>Amendment No. 2 to Draft Registration Statement on Form S-1</w:t>
      </w:r>
    </w:p>
    <w:p>
      <w:pPr>
        <w:spacing w:after="0" w:line="9" w:lineRule="exact"/>
        <w:rPr>
          <w:sz w:val="24"/>
          <w:szCs w:val="24"/>
          <w:color w:val="auto"/>
        </w:rPr>
      </w:pPr>
    </w:p>
    <w:p>
      <w:pPr>
        <w:ind w:left="1740"/>
        <w:spacing w:after="0"/>
        <w:rPr>
          <w:sz w:val="20"/>
          <w:szCs w:val="20"/>
          <w:color w:val="auto"/>
        </w:rPr>
      </w:pPr>
      <w:r>
        <w:rPr>
          <w:rFonts w:ascii="Arial" w:cs="Arial" w:eastAsia="Arial" w:hAnsi="Arial"/>
          <w:sz w:val="18"/>
          <w:szCs w:val="18"/>
          <w:color w:val="auto"/>
        </w:rPr>
        <w:t>Submitted on September 1, 2020</w:t>
      </w:r>
    </w:p>
    <w:p>
      <w:pPr>
        <w:spacing w:after="0" w:line="9" w:lineRule="exact"/>
        <w:rPr>
          <w:sz w:val="24"/>
          <w:szCs w:val="24"/>
          <w:color w:val="auto"/>
        </w:rPr>
      </w:pPr>
    </w:p>
    <w:p>
      <w:pPr>
        <w:ind w:left="1740"/>
        <w:spacing w:after="0"/>
        <w:rPr>
          <w:sz w:val="20"/>
          <w:szCs w:val="20"/>
          <w:color w:val="auto"/>
        </w:rPr>
      </w:pPr>
      <w:r>
        <w:rPr>
          <w:rFonts w:ascii="Arial" w:cs="Arial" w:eastAsia="Arial" w:hAnsi="Arial"/>
          <w:sz w:val="18"/>
          <w:szCs w:val="18"/>
          <w:u w:val="single" w:color="auto"/>
          <w:color w:val="auto"/>
        </w:rPr>
        <w:t>CIK No. 0001817358</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Trade &amp; Services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0" w:firstLine="440"/>
        <w:spacing w:after="0" w:line="255" w:lineRule="auto"/>
        <w:rPr>
          <w:sz w:val="20"/>
          <w:szCs w:val="20"/>
          <w:color w:val="auto"/>
        </w:rPr>
      </w:pPr>
      <w:r>
        <w:rPr>
          <w:rFonts w:ascii="Arial" w:cs="Arial" w:eastAsia="Arial" w:hAnsi="Arial"/>
          <w:sz w:val="18"/>
          <w:szCs w:val="18"/>
          <w:color w:val="auto"/>
        </w:rPr>
        <w:t>On behalf of Academy Sports and Outdoors, Inc. (the “Company”), we hereby transmit via EDGAR for filing with the staff (the “Staff”) of the Division of Corporation Finance of the Securities and Exchange Commission (the “Commission”) a registration statement on Form S-1 (the “Registration Statement”) relating to the proposed initial public offering of shares of the Company’s common stock. The Company has prepared the Registration Statement in response to the Staff’s comment in its letter, dated September 4, 2020, relating to the above-referenced Amendment No. 2 to the draft registration statement on Form S-1 (the “Comment Letter”), to reflect that it has been filed rather than confidentially submitted and to otherwise update its disclosure.</w:t>
      </w:r>
    </w:p>
    <w:p>
      <w:pPr>
        <w:spacing w:after="0" w:line="192" w:lineRule="exact"/>
        <w:rPr>
          <w:sz w:val="24"/>
          <w:szCs w:val="24"/>
          <w:color w:val="auto"/>
        </w:rPr>
      </w:pPr>
    </w:p>
    <w:p>
      <w:pPr>
        <w:ind w:right="100" w:firstLine="440"/>
        <w:spacing w:after="0" w:line="277" w:lineRule="auto"/>
        <w:rPr>
          <w:sz w:val="20"/>
          <w:szCs w:val="20"/>
          <w:color w:val="auto"/>
        </w:rPr>
      </w:pPr>
      <w:r>
        <w:rPr>
          <w:rFonts w:ascii="Arial" w:cs="Arial" w:eastAsia="Arial" w:hAnsi="Arial"/>
          <w:sz w:val="18"/>
          <w:szCs w:val="18"/>
          <w:color w:val="auto"/>
        </w:rPr>
        <w:t>The filing fee in the amount of $12,980 was deposited by wire transfer of same-day funds to the Commission’s account at U.S. Bank in St. Louis, Missouri on September 8, 2020, as required by Rule 111 of the Securities Act of 1933, as amended.</w:t>
      </w:r>
    </w:p>
    <w:p>
      <w:pPr>
        <w:spacing w:after="0" w:line="170" w:lineRule="exact"/>
        <w:rPr>
          <w:sz w:val="24"/>
          <w:szCs w:val="24"/>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In addition, we are providing the following response to the Staff’s Comment Letter. To assist your review, we have retyped the text of the Staff’s comment in italics below. Page references in the text of this letter correspond to the pages of the Registration Statement. The response and information described below are based upon information provided to us by the Company.</w:t>
      </w:r>
    </w:p>
    <w:p>
      <w:pPr>
        <w:sectPr>
          <w:pgSz w:w="11900" w:h="16838" w:orient="portrait"/>
          <w:cols w:equalWidth="0" w:num="1">
            <w:col w:w="11020"/>
          </w:cols>
          <w:pgMar w:left="440" w:top="233" w:right="439" w:bottom="1440" w:gutter="0" w:footer="0" w:header="0"/>
        </w:sectPr>
      </w:pPr>
    </w:p>
    <w:bookmarkStart w:id="1" w:name="page2"/>
    <w:bookmarkEnd w:id="1"/>
    <w:p>
      <w:pPr>
        <w:ind w:left="4"/>
        <w:spacing w:after="0"/>
        <w:tabs>
          <w:tab w:leader="none" w:pos="95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r>
        <w:rPr>
          <w:sz w:val="20"/>
          <w:szCs w:val="20"/>
          <w:color w:val="auto"/>
        </w:rPr>
        <w:tab/>
      </w:r>
      <w:r>
        <w:rPr>
          <w:rFonts w:ascii="Arial" w:cs="Arial" w:eastAsia="Arial" w:hAnsi="Arial"/>
          <w:sz w:val="16"/>
          <w:szCs w:val="16"/>
          <w:color w:val="auto"/>
        </w:rPr>
        <w:t>September 9, 2020</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Our Performance Improvement Initiatives, page 4</w:t>
      </w:r>
    </w:p>
    <w:p>
      <w:pPr>
        <w:spacing w:after="0" w:line="131" w:lineRule="exact"/>
        <w:rPr>
          <w:sz w:val="20"/>
          <w:szCs w:val="20"/>
          <w:color w:val="auto"/>
        </w:rPr>
      </w:pPr>
    </w:p>
    <w:p>
      <w:pPr>
        <w:ind w:left="1744" w:right="200" w:hanging="543"/>
        <w:spacing w:after="0" w:line="259" w:lineRule="auto"/>
        <w:tabs>
          <w:tab w:leader="none" w:pos="1744"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the statement from your response to our prior comment letter dated August 26, 2020, that “it is difficult to ascertain with precision what portion of its increased comparable sales during the first half of 2020 is attributable to the increase in ecommerce sales due to the COVID-19 pandemic as compared to the impact of the business improvements... .” Please include similar disclosure in your registration statement.</w:t>
      </w:r>
    </w:p>
    <w:p>
      <w:pPr>
        <w:spacing w:after="0" w:line="187" w:lineRule="exact"/>
        <w:rPr>
          <w:sz w:val="20"/>
          <w:szCs w:val="20"/>
          <w:color w:val="auto"/>
        </w:rPr>
      </w:pPr>
    </w:p>
    <w:p>
      <w:pPr>
        <w:ind w:left="1764"/>
        <w:spacing w:after="0"/>
        <w:rPr>
          <w:sz w:val="20"/>
          <w:szCs w:val="20"/>
          <w:color w:val="auto"/>
        </w:rPr>
      </w:pPr>
      <w:r>
        <w:rPr>
          <w:rFonts w:ascii="Arial" w:cs="Arial" w:eastAsia="Arial" w:hAnsi="Arial"/>
          <w:sz w:val="18"/>
          <w:szCs w:val="18"/>
          <w:color w:val="auto"/>
        </w:rPr>
        <w:t>The Company advises the Staff it has revised its disclosure on pages 4, 68 and 97 accordingly.</w:t>
      </w:r>
    </w:p>
    <w:p>
      <w:pPr>
        <w:spacing w:after="0" w:line="333" w:lineRule="exact"/>
        <w:rPr>
          <w:sz w:val="20"/>
          <w:szCs w:val="20"/>
          <w:color w:val="auto"/>
        </w:rPr>
      </w:pPr>
    </w:p>
    <w:p>
      <w:pPr>
        <w:ind w:left="3864"/>
        <w:spacing w:after="0"/>
        <w:tabs>
          <w:tab w:leader="none" w:pos="4304" w:val="left"/>
          <w:tab w:leader="none" w:pos="4744" w:val="left"/>
          <w:tab w:leader="none" w:pos="5244" w:val="left"/>
          <w:tab w:leader="none" w:pos="5684" w:val="left"/>
          <w:tab w:leader="none" w:pos="6144" w:val="left"/>
          <w:tab w:leader="none" w:pos="6584" w:val="left"/>
          <w:tab w:leader="none" w:pos="7044"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4" w:right="540" w:firstLine="440"/>
        <w:spacing w:after="0" w:line="277" w:lineRule="auto"/>
        <w:rPr>
          <w:sz w:val="20"/>
          <w:szCs w:val="20"/>
          <w:color w:val="auto"/>
        </w:rPr>
      </w:pPr>
      <w:r>
        <w:rPr>
          <w:rFonts w:ascii="Arial" w:cs="Arial" w:eastAsia="Arial" w:hAnsi="Arial"/>
          <w:sz w:val="18"/>
          <w:szCs w:val="18"/>
          <w:color w:val="auto"/>
        </w:rPr>
        <w:t>Please do not hesitate to call me at (212) 455-2948 with any questions or comments regarding this filing or if you wish to discuss the above response.</w:t>
      </w:r>
    </w:p>
    <w:p>
      <w:pPr>
        <w:spacing w:after="0" w:line="170"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/s/ Joseph H. Kaufman</w:t>
      </w:r>
    </w:p>
    <w:p>
      <w:pPr>
        <w:spacing w:after="0" w:line="23"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Joseph H. Kaufman</w:t>
      </w:r>
    </w:p>
    <w:p>
      <w:pPr>
        <w:spacing w:after="0" w:line="200" w:lineRule="exact"/>
        <w:rPr>
          <w:sz w:val="20"/>
          <w:szCs w:val="20"/>
          <w:color w:val="auto"/>
        </w:rPr>
      </w:pPr>
    </w:p>
    <w:p>
      <w:pPr>
        <w:spacing w:after="0" w:line="294" w:lineRule="exact"/>
        <w:rPr>
          <w:sz w:val="20"/>
          <w:szCs w:val="20"/>
          <w:color w:val="auto"/>
        </w:rPr>
      </w:pPr>
    </w:p>
    <w:p>
      <w:pPr>
        <w:ind w:left="904" w:right="7740" w:hanging="904"/>
        <w:spacing w:after="0" w:line="258" w:lineRule="auto"/>
        <w:tabs>
          <w:tab w:leader="none" w:pos="544"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Securities and Exchange Commission Patrick Kuhn</w:t>
      </w:r>
    </w:p>
    <w:p>
      <w:pPr>
        <w:spacing w:after="0" w:line="1" w:lineRule="exact"/>
        <w:rPr>
          <w:rFonts w:ascii="Arial" w:cs="Arial" w:eastAsia="Arial" w:hAnsi="Arial"/>
          <w:sz w:val="18"/>
          <w:szCs w:val="18"/>
          <w:color w:val="auto"/>
        </w:rPr>
      </w:pPr>
    </w:p>
    <w:p>
      <w:pPr>
        <w:ind w:left="904" w:right="9160"/>
        <w:spacing w:after="0" w:line="277" w:lineRule="auto"/>
        <w:rPr>
          <w:rFonts w:ascii="Arial" w:cs="Arial" w:eastAsia="Arial" w:hAnsi="Arial"/>
          <w:sz w:val="18"/>
          <w:szCs w:val="18"/>
          <w:color w:val="auto"/>
        </w:rPr>
      </w:pPr>
      <w:r>
        <w:rPr>
          <w:rFonts w:ascii="Arial" w:cs="Arial" w:eastAsia="Arial" w:hAnsi="Arial"/>
          <w:sz w:val="17"/>
          <w:szCs w:val="17"/>
          <w:color w:val="auto"/>
        </w:rPr>
        <w:t>Linda Cvrkel Cara Wirth Erin Jaskot</w:t>
      </w:r>
    </w:p>
    <w:p>
      <w:pPr>
        <w:spacing w:after="0" w:line="186" w:lineRule="exact"/>
        <w:rPr>
          <w:sz w:val="20"/>
          <w:szCs w:val="20"/>
          <w:color w:val="auto"/>
        </w:rPr>
      </w:pPr>
    </w:p>
    <w:p>
      <w:pPr>
        <w:ind w:left="544"/>
        <w:spacing w:after="0"/>
        <w:rPr>
          <w:sz w:val="20"/>
          <w:szCs w:val="20"/>
          <w:color w:val="auto"/>
        </w:rPr>
      </w:pPr>
      <w:r>
        <w:rPr>
          <w:rFonts w:ascii="Arial" w:cs="Arial" w:eastAsia="Arial" w:hAnsi="Arial"/>
          <w:sz w:val="18"/>
          <w:szCs w:val="18"/>
          <w:color w:val="auto"/>
        </w:rPr>
        <w:t>Academy Sports and Outdoors, Inc.</w:t>
      </w:r>
    </w:p>
    <w:p>
      <w:pPr>
        <w:spacing w:after="0" w:line="23" w:lineRule="exact"/>
        <w:rPr>
          <w:sz w:val="20"/>
          <w:szCs w:val="20"/>
          <w:color w:val="auto"/>
        </w:rPr>
      </w:pPr>
    </w:p>
    <w:p>
      <w:pPr>
        <w:ind w:left="904"/>
        <w:spacing w:after="0"/>
        <w:rPr>
          <w:sz w:val="20"/>
          <w:szCs w:val="20"/>
          <w:color w:val="auto"/>
        </w:rPr>
      </w:pPr>
      <w:r>
        <w:rPr>
          <w:rFonts w:ascii="Arial" w:cs="Arial" w:eastAsia="Arial" w:hAnsi="Arial"/>
          <w:sz w:val="18"/>
          <w:szCs w:val="18"/>
          <w:color w:val="auto"/>
        </w:rPr>
        <w:t>Ken C. Hicks</w:t>
      </w:r>
    </w:p>
    <w:p>
      <w:pPr>
        <w:spacing w:after="0" w:line="21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904"/>
        <w:spacing w:after="0"/>
        <w:rPr>
          <w:sz w:val="20"/>
          <w:szCs w:val="20"/>
          <w:color w:val="auto"/>
        </w:rPr>
      </w:pPr>
      <w:r>
        <w:rPr>
          <w:rFonts w:ascii="Arial" w:cs="Arial" w:eastAsia="Arial" w:hAnsi="Arial"/>
          <w:sz w:val="18"/>
          <w:szCs w:val="18"/>
          <w:color w:val="auto"/>
        </w:rPr>
        <w:t>Marc Jaffe</w:t>
      </w:r>
    </w:p>
    <w:p>
      <w:pPr>
        <w:spacing w:after="0" w:line="9" w:lineRule="exact"/>
        <w:rPr>
          <w:sz w:val="20"/>
          <w:szCs w:val="20"/>
          <w:color w:val="auto"/>
        </w:rPr>
      </w:pPr>
    </w:p>
    <w:p>
      <w:pPr>
        <w:ind w:left="904"/>
        <w:spacing w:after="0"/>
        <w:rPr>
          <w:sz w:val="20"/>
          <w:szCs w:val="20"/>
          <w:color w:val="auto"/>
        </w:rPr>
      </w:pPr>
      <w:r>
        <w:rPr>
          <w:rFonts w:ascii="Arial" w:cs="Arial" w:eastAsia="Arial" w:hAnsi="Arial"/>
          <w:sz w:val="18"/>
          <w:szCs w:val="18"/>
          <w:color w:val="auto"/>
        </w:rPr>
        <w:t>Ian Schuman</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sectPr>
      <w:pgSz w:w="11900" w:h="16838" w:orient="portrait"/>
      <w:cols w:equalWidth="0" w:num="1">
        <w:col w:w="11024"/>
      </w:cols>
      <w:pgMar w:left="436" w:top="27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2021-08-15T20:00:31Z</dcterms:created>
  <dcterms:modified xsi:type="dcterms:W3CDTF">2021-08-15T20:00:31Z</dcterms:modified>
</cp:coreProperties>
</file>