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Maini Manish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57"/>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1800 NORTH MASON ROAD</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323"/>
        <w:spacing w:after="0"/>
        <w:rPr>
          <w:sz w:val="20"/>
          <w:szCs w:val="20"/>
          <w:color w:val="auto"/>
        </w:rPr>
      </w:pPr>
      <w:r>
        <w:rPr>
          <w:rFonts w:ascii="Arial" w:cs="Arial" w:eastAsia="Arial" w:hAnsi="Arial"/>
          <w:sz w:val="20"/>
          <w:szCs w:val="20"/>
          <w:color w:val="0000FF"/>
        </w:rPr>
        <w:t>SVP, Chief Information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2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157,181</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06/06/2027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5"/>
              </w:rPr>
              <w:t>131,623</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06/06/2027</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16,941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04/05/2028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33,228</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04/05/2028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16,614</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16.48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35,817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03/07/2029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17,641</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16.57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(8)</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03/05/2030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1"/>
              <w:spacing w:after="0"/>
              <w:rPr>
                <w:sz w:val="20"/>
                <w:szCs w:val="20"/>
                <w:color w:val="auto"/>
              </w:rPr>
            </w:pPr>
            <w:r>
              <w:rPr>
                <w:rFonts w:ascii="Arial" w:cs="Arial" w:eastAsia="Arial" w:hAnsi="Arial"/>
                <w:sz w:val="20"/>
                <w:szCs w:val="20"/>
                <w:color w:val="0000FF"/>
                <w:w w:val="88"/>
              </w:rPr>
              <w:t>35,977</w:t>
            </w:r>
          </w:p>
        </w:tc>
        <w:tc>
          <w:tcPr>
            <w:tcW w:w="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17.3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-3305175</wp:posOffset>
            </wp:positionV>
            <wp:extent cx="6946900" cy="316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3163570"/>
                    </a:xfrm>
                    <a:prstGeom prst="rect">
                      <a:avLst/>
                    </a:prstGeom>
                    <a:noFill/>
                  </pic:spPr>
                </pic:pic>
              </a:graphicData>
            </a:graphic>
          </wp:anchor>
        </w:drawing>
      </w:r>
    </w:p>
    <w:p>
      <w:pPr>
        <w:spacing w:after="0" w:line="15" w:lineRule="exact"/>
        <w:rPr>
          <w:sz w:val="24"/>
          <w:szCs w:val="24"/>
          <w:color w:val="auto"/>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(a) 130,968 time-based restricted stock units, and (b) 12,530 performance-based restricted stock units that vest if certain performance criteria and/or Issuer stock price conditions are met.</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June 6, 2018.</w:t>
      </w:r>
    </w:p>
    <w:p>
      <w:pPr>
        <w:spacing w:after="0" w:line="52" w:lineRule="exact"/>
        <w:rPr>
          <w:rFonts w:ascii="Arial" w:cs="Arial" w:eastAsia="Arial" w:hAnsi="Arial"/>
          <w:sz w:val="15"/>
          <w:szCs w:val="15"/>
          <w:color w:val="008000"/>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7,178 have vested, (b) 2,393 shall vest on February 3, 2021, and (c) the remaining portion shall vest in full on February 1, 2021 if certain Issuer stock price conditions are met on such date as determined by the Issuer.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April 5,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shall vest in full on February 2, 2022 if certain stock price conditions are met on such date as determined by the Issuer.</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7, 2020.</w:t>
      </w:r>
    </w:p>
    <w:p>
      <w:pPr>
        <w:spacing w:after="0" w:line="52"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performance-based options vest as follows: (a) 4,410 have vested, and (b) the remaining portion shall vest in three equal annual installments beginning on February 1, 2021.</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time-based options vest in four equal annual installments beginning on March 5,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sectPr>
          <w:pgSz w:w="11900" w:h="16838" w:orient="portrait"/>
          <w:cols w:equalWidth="0" w:num="1">
            <w:col w:w="10940"/>
          </w:cols>
          <w:pgMar w:left="480" w:top="236" w:right="479" w:bottom="0" w:gutter="0" w:footer="0" w:header="0"/>
          <w:type w:val="continuous"/>
        </w:sectPr>
      </w:pPr>
    </w:p>
    <w:p>
      <w:pPr>
        <w:ind w:left="6580"/>
        <w:spacing w:after="0"/>
        <w:tabs>
          <w:tab w:leader="none" w:pos="8740" w:val="left"/>
        </w:tabs>
        <w:rPr>
          <w:sz w:val="20"/>
          <w:szCs w:val="20"/>
          <w:color w:val="auto"/>
        </w:rPr>
      </w:pPr>
      <w:r>
        <w:rPr>
          <w:rFonts w:ascii="Arial" w:cs="Arial" w:eastAsia="Arial" w:hAnsi="Arial"/>
          <w:sz w:val="15"/>
          <w:szCs w:val="15"/>
          <w:color w:val="auto"/>
        </w:rPr>
        <w:t>** Signature of Reporting</w:t>
      </w:r>
      <w:r>
        <w:rPr>
          <w:sz w:val="20"/>
          <w:szCs w:val="20"/>
          <w:color w:val="auto"/>
        </w:rPr>
        <w:tab/>
      </w:r>
      <w:r>
        <w:rPr>
          <w:rFonts w:ascii="Arial" w:cs="Arial" w:eastAsia="Arial" w:hAnsi="Arial"/>
          <w:sz w:val="15"/>
          <w:szCs w:val="15"/>
          <w:color w:val="auto"/>
        </w:rPr>
        <w:t>Date</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Person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Manish Maini</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Manish Maini</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5679"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2020-10-02T20:14:25Z</dcterms:created>
  <dcterms:modified xsi:type="dcterms:W3CDTF">2020-10-02T20:14:25Z</dcterms:modified>
</cp:coreProperties>
</file>