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March 29, 2022</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165100</wp:posOffset>
            </wp:positionV>
            <wp:extent cx="3600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ACADEMY SPORTS AND OUTDOORS,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240"/>
          </w:cols>
          <w:pgMar w:left="320" w:top="531" w:right="339" w:bottom="1440" w:gutter="0" w:footer="0" w:header="0"/>
        </w:sectPr>
      </w:pPr>
    </w:p>
    <w:p>
      <w:pPr>
        <w:spacing w:after="0" w:line="218"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85-1800912</w:t>
      </w:r>
    </w:p>
    <w:p>
      <w:pPr>
        <w:spacing w:after="0" w:line="50" w:lineRule="exact"/>
        <w:rPr>
          <w:sz w:val="24"/>
          <w:szCs w:val="24"/>
          <w:color w:val="auto"/>
        </w:rPr>
      </w:pPr>
    </w:p>
    <w:p>
      <w:pPr>
        <w:sectPr>
          <w:pgSz w:w="11900" w:h="16838" w:orient="portrait"/>
          <w:cols w:equalWidth="0" w:num="2">
            <w:col w:w="7340" w:space="720"/>
            <w:col w:w="3180"/>
          </w:cols>
          <w:pgMar w:left="320" w:top="531" w:right="33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531" w:right="339" w:bottom="144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1800 North Mason Road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Katy, Texas 77449</w:t>
      </w:r>
    </w:p>
    <w:p>
      <w:pPr>
        <w:jc w:val="center"/>
        <w:spacing w:after="0" w:line="230" w:lineRule="auto"/>
        <w:rPr>
          <w:sz w:val="20"/>
          <w:szCs w:val="20"/>
          <w:color w:val="auto"/>
        </w:rPr>
      </w:pPr>
      <w:r>
        <w:rPr>
          <w:rFonts w:ascii="Arial" w:cs="Arial" w:eastAsia="Arial" w:hAnsi="Arial"/>
          <w:sz w:val="22"/>
          <w:szCs w:val="22"/>
          <w:b w:val="1"/>
          <w:bCs w:val="1"/>
          <w:color w:val="auto"/>
        </w:rPr>
        <w:t>(281) 646-5200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including zip code, and telephone number, including area code, of principal executive offices)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Academy Sports and Outdoors, Inc. 2020 Employee Stock Purchase Plan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(Full title of the plan)</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Rene G. Casares, Esq.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Senior Vice President, 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1800 North Mason Road</w:t>
      </w:r>
    </w:p>
    <w:p>
      <w:pPr>
        <w:jc w:val="center"/>
        <w:spacing w:after="0" w:line="231" w:lineRule="auto"/>
        <w:rPr>
          <w:sz w:val="20"/>
          <w:szCs w:val="20"/>
          <w:color w:val="auto"/>
        </w:rPr>
      </w:pPr>
      <w:r>
        <w:rPr>
          <w:rFonts w:ascii="Arial" w:cs="Arial" w:eastAsia="Arial" w:hAnsi="Arial"/>
          <w:sz w:val="22"/>
          <w:szCs w:val="22"/>
          <w:b w:val="1"/>
          <w:bCs w:val="1"/>
          <w:color w:val="auto"/>
        </w:rPr>
        <w:t>Katy, Texas 77449</w:t>
      </w:r>
    </w:p>
    <w:p>
      <w:pPr>
        <w:jc w:val="center"/>
        <w:spacing w:after="0" w:line="230" w:lineRule="auto"/>
        <w:rPr>
          <w:sz w:val="20"/>
          <w:szCs w:val="20"/>
          <w:color w:val="auto"/>
        </w:rPr>
      </w:pPr>
      <w:r>
        <w:rPr>
          <w:rFonts w:ascii="Arial" w:cs="Arial" w:eastAsia="Arial" w:hAnsi="Arial"/>
          <w:sz w:val="22"/>
          <w:szCs w:val="22"/>
          <w:b w:val="1"/>
          <w:bCs w:val="1"/>
          <w:color w:val="auto"/>
        </w:rPr>
        <w:t>(281) 646-5200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address, including zip code, and telephone number, including area code, of agent for service)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Copies to</w:t>
      </w:r>
      <w:r>
        <w:rPr>
          <w:rFonts w:ascii="Arial" w:cs="Arial" w:eastAsia="Arial" w:hAnsi="Arial"/>
          <w:sz w:val="22"/>
          <w:szCs w:val="22"/>
          <w:b w:val="1"/>
          <w:bCs w:val="1"/>
          <w:color w:val="auto"/>
        </w:rPr>
        <w:t>:</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Krista P. Hanvey</w:t>
      </w:r>
    </w:p>
    <w:p>
      <w:pPr>
        <w:jc w:val="center"/>
        <w:spacing w:after="0" w:line="238" w:lineRule="auto"/>
        <w:rPr>
          <w:sz w:val="20"/>
          <w:szCs w:val="20"/>
          <w:color w:val="auto"/>
        </w:rPr>
      </w:pPr>
      <w:r>
        <w:rPr>
          <w:rFonts w:ascii="Arial" w:cs="Arial" w:eastAsia="Arial" w:hAnsi="Arial"/>
          <w:sz w:val="22"/>
          <w:szCs w:val="22"/>
          <w:color w:val="auto"/>
        </w:rPr>
        <w:t>Gibson, Dunn &amp; Crutcher LLP</w:t>
      </w:r>
    </w:p>
    <w:p>
      <w:pPr>
        <w:jc w:val="center"/>
        <w:spacing w:after="0" w:line="230" w:lineRule="auto"/>
        <w:rPr>
          <w:sz w:val="20"/>
          <w:szCs w:val="20"/>
          <w:color w:val="auto"/>
        </w:rPr>
      </w:pPr>
      <w:r>
        <w:rPr>
          <w:rFonts w:ascii="Arial" w:cs="Arial" w:eastAsia="Arial" w:hAnsi="Arial"/>
          <w:sz w:val="22"/>
          <w:szCs w:val="22"/>
          <w:color w:val="auto"/>
        </w:rPr>
        <w:t>2001 Ross Avenue, Suite 2100</w:t>
      </w:r>
    </w:p>
    <w:p>
      <w:pPr>
        <w:jc w:val="center"/>
        <w:spacing w:after="0" w:line="231" w:lineRule="auto"/>
        <w:rPr>
          <w:sz w:val="20"/>
          <w:szCs w:val="20"/>
          <w:color w:val="auto"/>
        </w:rPr>
      </w:pPr>
      <w:r>
        <w:rPr>
          <w:rFonts w:ascii="Arial" w:cs="Arial" w:eastAsia="Arial" w:hAnsi="Arial"/>
          <w:sz w:val="22"/>
          <w:szCs w:val="22"/>
          <w:color w:val="auto"/>
        </w:rPr>
        <w:t>Dallas, TX 75201-2911</w:t>
      </w:r>
    </w:p>
    <w:p>
      <w:pPr>
        <w:jc w:val="center"/>
        <w:spacing w:after="0"/>
        <w:rPr>
          <w:sz w:val="20"/>
          <w:szCs w:val="20"/>
          <w:color w:val="auto"/>
        </w:rPr>
      </w:pPr>
      <w:r>
        <w:rPr>
          <w:rFonts w:ascii="Arial" w:cs="Arial" w:eastAsia="Arial" w:hAnsi="Arial"/>
          <w:sz w:val="22"/>
          <w:szCs w:val="22"/>
          <w:color w:val="auto"/>
        </w:rPr>
        <w:t>(214) 698 - 3100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16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jc w:val="both"/>
        <w:ind w:right="140"/>
        <w:spacing w:after="0" w:line="279"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right="180" w:firstLine="698"/>
        <w:spacing w:after="0" w:line="238" w:lineRule="auto"/>
        <w:rPr>
          <w:sz w:val="20"/>
          <w:szCs w:val="20"/>
          <w:color w:val="auto"/>
        </w:rPr>
      </w:pPr>
      <w:r>
        <w:rPr>
          <w:rFonts w:ascii="Arial" w:cs="Arial" w:eastAsia="Arial" w:hAnsi="Arial"/>
          <w:sz w:val="22"/>
          <w:szCs w:val="22"/>
          <w:color w:val="auto"/>
        </w:rPr>
        <w:t>This Registration Statement on Form S-8 (this “Registration Statement”) is filed by Academy Sports and Outdoors, Inc. (the “Company”) to register an additional 1,000,000 shares of the Company’s Common Stock, par value $0.01 per share (the “Common Stock”), to be offered and sold under the Academy Sports and Outdoors, Inc. 2020 Employee Stock Purchase Plan (the “Plan”).</w:t>
      </w:r>
    </w:p>
    <w:p>
      <w:pPr>
        <w:spacing w:after="0" w:line="212" w:lineRule="exact"/>
        <w:rPr>
          <w:sz w:val="20"/>
          <w:szCs w:val="20"/>
          <w:color w:val="auto"/>
        </w:rPr>
      </w:pPr>
    </w:p>
    <w:p>
      <w:pPr>
        <w:ind w:right="320" w:firstLine="441"/>
        <w:spacing w:after="0"/>
        <w:rPr>
          <w:rFonts w:ascii="Arial" w:cs="Arial" w:eastAsia="Arial" w:hAnsi="Arial"/>
          <w:sz w:val="22"/>
          <w:szCs w:val="22"/>
          <w:color w:val="auto"/>
        </w:rPr>
      </w:pPr>
      <w:r>
        <w:rPr>
          <w:rFonts w:ascii="Arial" w:cs="Arial" w:eastAsia="Arial" w:hAnsi="Arial"/>
          <w:sz w:val="22"/>
          <w:szCs w:val="22"/>
          <w:color w:val="auto"/>
        </w:rPr>
        <w:t>On a Registration Statement on Form S-8 (</w:t>
      </w:r>
      <w:hyperlink r:id="rId16">
        <w:r>
          <w:rPr>
            <w:rFonts w:ascii="Arial" w:cs="Arial" w:eastAsia="Arial" w:hAnsi="Arial"/>
            <w:sz w:val="22"/>
            <w:szCs w:val="22"/>
            <w:u w:val="single" w:color="auto"/>
            <w:color w:val="0000EE"/>
          </w:rPr>
          <w:t>No. 333-249233</w:t>
        </w:r>
      </w:hyperlink>
      <w:r>
        <w:rPr>
          <w:rFonts w:ascii="Arial" w:cs="Arial" w:eastAsia="Arial" w:hAnsi="Arial"/>
          <w:sz w:val="22"/>
          <w:szCs w:val="22"/>
          <w:color w:val="auto"/>
        </w:rPr>
        <w:t>), filed by the Company with the Securities and Exchange Commission (the “Commission”) on October 1, 2020 (the “Prior Registration Statement”), the Company previously registered 1,000,000 shares of Common Stock to be offered and sold under the Plan.</w:t>
      </w:r>
    </w:p>
    <w:p>
      <w:pPr>
        <w:spacing w:after="0" w:line="213" w:lineRule="exact"/>
        <w:rPr>
          <w:sz w:val="20"/>
          <w:szCs w:val="20"/>
          <w:color w:val="auto"/>
        </w:rPr>
      </w:pPr>
    </w:p>
    <w:p>
      <w:pPr>
        <w:ind w:right="60" w:firstLine="441"/>
        <w:spacing w:after="0" w:line="274" w:lineRule="auto"/>
        <w:rPr>
          <w:sz w:val="20"/>
          <w:szCs w:val="20"/>
          <w:color w:val="auto"/>
        </w:rPr>
      </w:pPr>
      <w:r>
        <w:rPr>
          <w:rFonts w:ascii="Arial" w:cs="Arial" w:eastAsia="Arial" w:hAnsi="Arial"/>
          <w:sz w:val="21"/>
          <w:szCs w:val="21"/>
          <w:color w:val="auto"/>
        </w:rPr>
        <w:t>In accordance with General Instruction E to Form S-8, the Company hereby incorporates by reference the Prior Registration Statement except as the same may be modified by the information set forth in this Registration Statement.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REQUIRED IN THE SECTION 10(a) PROSPECTUS</w:t>
      </w:r>
    </w:p>
    <w:p>
      <w:pPr>
        <w:spacing w:after="0" w:line="239" w:lineRule="exact"/>
        <w:rPr>
          <w:sz w:val="20"/>
          <w:szCs w:val="20"/>
          <w:color w:val="auto"/>
        </w:rPr>
      </w:pPr>
    </w:p>
    <w:p>
      <w:pPr>
        <w:ind w:right="140" w:firstLine="441"/>
        <w:spacing w:after="0" w:line="248" w:lineRule="auto"/>
        <w:rPr>
          <w:sz w:val="20"/>
          <w:szCs w:val="20"/>
          <w:color w:val="auto"/>
        </w:rPr>
      </w:pPr>
      <w:r>
        <w:rPr>
          <w:rFonts w:ascii="Arial" w:cs="Arial" w:eastAsia="Arial" w:hAnsi="Arial"/>
          <w:sz w:val="21"/>
          <w:szCs w:val="21"/>
          <w:color w:val="auto"/>
        </w:rPr>
        <w:t>The information specified in Items 1 and 2 of Part I of Form S-8 is omitted from this Registration Statement in accordance with the provisions of Rule 428 under the Securities Act of 1933, as amended (the “Securities Act”) and the introductory note to Part I of Form S-8. The documents containing the information specified in this Part I will be delivered to the participants in the Plan covered by this Registration Statement as required by Rule 428(b)(1) under the Securities Act. Such documents are not required to be, and are not, filed with the Commission either as part of this Registration Statement or as a prospectus or prospectus supplement pursuant to Rule 424 under the Securities Act.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60" w:type="dxa"/>
            <w:vAlign w:val="bottom"/>
            <w:gridSpan w:val="8"/>
          </w:tcPr>
          <w:p>
            <w:pPr>
              <w:jc w:val="center"/>
              <w:ind w:right="4860"/>
              <w:spacing w:after="0"/>
              <w:rPr>
                <w:sz w:val="20"/>
                <w:szCs w:val="20"/>
                <w:color w:val="auto"/>
              </w:rPr>
            </w:pPr>
            <w:r>
              <w:rPr>
                <w:rFonts w:ascii="Arial" w:cs="Arial" w:eastAsia="Arial" w:hAnsi="Arial"/>
                <w:sz w:val="22"/>
                <w:szCs w:val="22"/>
                <w:b w:val="1"/>
                <w:bCs w:val="1"/>
                <w:color w:val="auto"/>
                <w:w w:val="99"/>
              </w:rPr>
              <w:t>PART II</w:t>
            </w:r>
          </w:p>
        </w:tc>
      </w:tr>
      <w:tr>
        <w:trPr>
          <w:trHeight w:val="486"/>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100" w:type="dxa"/>
            <w:vAlign w:val="bottom"/>
            <w:gridSpan w:val="12"/>
          </w:tcPr>
          <w:p>
            <w:pPr>
              <w:jc w:val="center"/>
              <w:ind w:right="2140"/>
              <w:spacing w:after="0"/>
              <w:rPr>
                <w:sz w:val="20"/>
                <w:szCs w:val="20"/>
                <w:color w:val="auto"/>
              </w:rPr>
            </w:pPr>
            <w:r>
              <w:rPr>
                <w:rFonts w:ascii="Arial" w:cs="Arial" w:eastAsia="Arial" w:hAnsi="Arial"/>
                <w:sz w:val="22"/>
                <w:szCs w:val="22"/>
                <w:b w:val="1"/>
                <w:bCs w:val="1"/>
                <w:color w:val="auto"/>
              </w:rPr>
              <w:t>INFORMATION REQUIRED IN THE REGISTRATION STATEMENT</w:t>
            </w:r>
          </w:p>
        </w:tc>
      </w:tr>
      <w:tr>
        <w:trPr>
          <w:trHeight w:val="449"/>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0" w:type="dxa"/>
            <w:vAlign w:val="bottom"/>
          </w:tcPr>
          <w:p>
            <w:pPr>
              <w:spacing w:after="0"/>
              <w:rPr>
                <w:sz w:val="24"/>
                <w:szCs w:val="24"/>
                <w:color w:val="auto"/>
              </w:rPr>
            </w:pPr>
          </w:p>
        </w:tc>
        <w:tc>
          <w:tcPr>
            <w:tcW w:w="10320" w:type="dxa"/>
            <w:vAlign w:val="bottom"/>
            <w:gridSpan w:val="14"/>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1240" w:type="dxa"/>
            <w:vAlign w:val="bottom"/>
            <w:gridSpan w:val="16"/>
          </w:tcPr>
          <w:p>
            <w:pPr>
              <w:spacing w:after="0"/>
              <w:rPr>
                <w:sz w:val="20"/>
                <w:szCs w:val="20"/>
                <w:color w:val="auto"/>
              </w:rPr>
            </w:pPr>
            <w:r>
              <w:rPr>
                <w:rFonts w:ascii="Arial" w:cs="Arial" w:eastAsia="Arial" w:hAnsi="Arial"/>
                <w:sz w:val="18"/>
                <w:szCs w:val="18"/>
                <w:color w:val="auto"/>
              </w:rPr>
              <w:t>Exhibit No. Exhibit Description</w:t>
            </w:r>
          </w:p>
        </w:tc>
      </w:tr>
      <w:tr>
        <w:trPr>
          <w:trHeight w:val="237"/>
        </w:trPr>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5"/>
                <w:szCs w:val="15"/>
                <w:color w:val="auto"/>
              </w:rPr>
            </w:pPr>
          </w:p>
        </w:tc>
        <w:tc>
          <w:tcPr>
            <w:tcW w:w="10320" w:type="dxa"/>
            <w:vAlign w:val="bottom"/>
            <w:gridSpan w:val="14"/>
            <w:shd w:val="clear" w:color="auto" w:fill="CCEEFF"/>
          </w:tcPr>
          <w:p>
            <w:pPr>
              <w:spacing w:after="0" w:line="176" w:lineRule="exact"/>
              <w:rPr>
                <w:rFonts w:ascii="Arial" w:cs="Arial" w:eastAsia="Arial" w:hAnsi="Arial"/>
                <w:sz w:val="18"/>
                <w:szCs w:val="18"/>
                <w:color w:val="0000EE"/>
                <w:w w:val="92"/>
              </w:rPr>
            </w:pPr>
            <w:hyperlink r:id="rId17">
              <w:r>
                <w:rPr>
                  <w:rFonts w:ascii="Arial" w:cs="Arial" w:eastAsia="Arial" w:hAnsi="Arial"/>
                  <w:sz w:val="18"/>
                  <w:szCs w:val="18"/>
                  <w:color w:val="0000EE"/>
                  <w:w w:val="92"/>
                </w:rPr>
                <w:t>Amended and Restated Certificate of Incorporation of Academy Sports and Outdoors, Inc. (incorporated herein by reference to Exhibit 3.1 to</w:t>
              </w:r>
            </w:hyperlink>
          </w:p>
        </w:tc>
      </w:tr>
      <w:tr>
        <w:trPr>
          <w:trHeight w:val="216"/>
        </w:trPr>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the Company’s Current Report on Form 8-K filed with the Commission on October 6, 2020).</w:t>
              </w:r>
            </w:hyperlink>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r:id="rId18">
              <w:r>
                <w:rPr>
                  <w:rFonts w:ascii="Arial" w:cs="Arial" w:eastAsia="Arial" w:hAnsi="Arial"/>
                  <w:sz w:val="18"/>
                  <w:szCs w:val="18"/>
                  <w:color w:val="0000EE"/>
                  <w:w w:val="90"/>
                </w:rPr>
                <w:t>Amended and Restated Bylaws of Academy Sports and Outdoors, Inc. (incorporated herein by reference to Exhibit 3.2 to the Company’s</w:t>
              </w:r>
            </w:hyperlink>
          </w:p>
        </w:tc>
        <w:tc>
          <w:tcPr>
            <w:tcW w:w="46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320" w:type="dxa"/>
            <w:vAlign w:val="bottom"/>
            <w:gridSpan w:val="14"/>
            <w:shd w:val="clear" w:color="auto" w:fill="CCEEFF"/>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Current Report on Form 8-K filed with the Commission on October 6, 2020).</w:t>
              </w:r>
            </w:hyperlink>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2020 Employee Stock Purchase Plan (incorporated herein by reference to Exhibit 4.5 to the Company’s Registration Statement on Form S-8</w:t>
              </w:r>
            </w:hyperlink>
          </w:p>
        </w:tc>
        <w:tc>
          <w:tcPr>
            <w:tcW w:w="24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320" w:type="dxa"/>
            <w:vAlign w:val="bottom"/>
            <w:gridSpan w:val="14"/>
            <w:shd w:val="clear" w:color="auto" w:fill="CCEEFF"/>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filed with the Commission on October 1, 2020).</w:t>
              </w:r>
            </w:hyperlink>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7"/>
                <w:szCs w:val="17"/>
                <w:color w:val="auto"/>
              </w:rPr>
            </w:pPr>
          </w:p>
        </w:tc>
        <w:tc>
          <w:tcPr>
            <w:tcW w:w="1032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Opinion of Gibson, Dunn &amp; Crutcher LLP.</w:t>
              </w:r>
            </w:hyperlink>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7"/>
                <w:szCs w:val="17"/>
                <w:color w:val="auto"/>
              </w:rPr>
            </w:pPr>
          </w:p>
        </w:tc>
        <w:tc>
          <w:tcPr>
            <w:tcW w:w="10320" w:type="dxa"/>
            <w:vAlign w:val="bottom"/>
            <w:gridSpan w:val="1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Consent of Gibson, Dunn &amp; Crutcher LLP (included in Exhibit 5.1).</w:t>
              </w:r>
            </w:hyperlink>
          </w:p>
        </w:tc>
      </w:tr>
      <w:tr>
        <w:trPr>
          <w:trHeight w:val="243"/>
        </w:trPr>
        <w:tc>
          <w:tcPr>
            <w:tcW w:w="8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8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960" w:type="dxa"/>
            <w:vAlign w:val="bottom"/>
            <w:tcBorders>
              <w:top w:val="single" w:sz="8" w:color="0000EE"/>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3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7"/>
                <w:szCs w:val="17"/>
                <w:color w:val="auto"/>
              </w:rPr>
            </w:pPr>
          </w:p>
        </w:tc>
        <w:tc>
          <w:tcPr>
            <w:tcW w:w="1032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Consent of Deloitte &amp; Touche LLP, independent registered public accounting firm.</w:t>
              </w:r>
            </w:hyperlink>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7"/>
                <w:szCs w:val="17"/>
                <w:color w:val="auto"/>
              </w:rPr>
            </w:pPr>
          </w:p>
        </w:tc>
        <w:tc>
          <w:tcPr>
            <w:tcW w:w="1032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Power of Attorney (included on signature page hereto).</w:t>
              </w:r>
            </w:hyperlink>
          </w:p>
        </w:tc>
      </w:tr>
      <w:tr>
        <w:trPr>
          <w:trHeight w:val="216"/>
        </w:trPr>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7"/>
                <w:szCs w:val="17"/>
                <w:color w:val="auto"/>
              </w:rPr>
            </w:pPr>
          </w:p>
        </w:tc>
        <w:tc>
          <w:tcPr>
            <w:tcW w:w="10320" w:type="dxa"/>
            <w:vAlign w:val="bottom"/>
            <w:gridSpan w:val="14"/>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Filing Fee Table.</w:t>
              </w:r>
            </w:hyperlink>
          </w:p>
        </w:tc>
      </w:tr>
      <w:tr>
        <w:trPr>
          <w:trHeight w:val="250"/>
        </w:trPr>
        <w:tc>
          <w:tcPr>
            <w:tcW w:w="84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8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31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49" w:lineRule="exact"/>
        <w:rPr>
          <w:sz w:val="20"/>
          <w:szCs w:val="20"/>
          <w:color w:val="auto"/>
        </w:rPr>
      </w:pPr>
    </w:p>
    <w:p>
      <w:pPr>
        <w:ind w:left="300" w:hanging="292"/>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undersigned registrant hereby undertakes:</w:t>
      </w:r>
    </w:p>
    <w:p>
      <w:pPr>
        <w:spacing w:after="0" w:line="233" w:lineRule="exact"/>
        <w:rPr>
          <w:rFonts w:ascii="Arial" w:cs="Arial" w:eastAsia="Arial" w:hAnsi="Arial"/>
          <w:sz w:val="22"/>
          <w:szCs w:val="22"/>
          <w:color w:val="auto"/>
        </w:rPr>
      </w:pPr>
    </w:p>
    <w:p>
      <w:pPr>
        <w:ind w:left="1140" w:hanging="308"/>
        <w:spacing w:after="0"/>
        <w:tabs>
          <w:tab w:leader="none" w:pos="1140" w:val="left"/>
        </w:tabs>
        <w:numPr>
          <w:ilvl w:val="1"/>
          <w:numId w:val="1"/>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w:t>
      </w:r>
    </w:p>
    <w:p>
      <w:pPr>
        <w:spacing w:after="0" w:line="215" w:lineRule="exact"/>
        <w:rPr>
          <w:rFonts w:ascii="Arial" w:cs="Arial" w:eastAsia="Arial" w:hAnsi="Arial"/>
          <w:sz w:val="19"/>
          <w:szCs w:val="19"/>
          <w:color w:val="auto"/>
        </w:rPr>
      </w:pPr>
    </w:p>
    <w:p>
      <w:pPr>
        <w:ind w:left="1920" w:hanging="263"/>
        <w:spacing w:after="0"/>
        <w:tabs>
          <w:tab w:leader="none" w:pos="1920" w:val="left"/>
        </w:tabs>
        <w:numPr>
          <w:ilvl w:val="2"/>
          <w:numId w:val="1"/>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Securities Act;</w:t>
      </w:r>
    </w:p>
    <w:p>
      <w:pPr>
        <w:spacing w:after="0" w:line="233" w:lineRule="exact"/>
        <w:rPr>
          <w:rFonts w:ascii="Arial" w:cs="Arial" w:eastAsia="Arial" w:hAnsi="Arial"/>
          <w:sz w:val="22"/>
          <w:szCs w:val="22"/>
          <w:color w:val="auto"/>
        </w:rPr>
      </w:pPr>
    </w:p>
    <w:p>
      <w:pPr>
        <w:jc w:val="both"/>
        <w:ind w:right="40" w:firstLine="1657"/>
        <w:spacing w:after="0"/>
        <w:tabs>
          <w:tab w:leader="none" w:pos="1967" w:val="left"/>
        </w:tabs>
        <w:numPr>
          <w:ilvl w:val="2"/>
          <w:numId w:val="1"/>
        </w:numPr>
        <w:rPr>
          <w:rFonts w:ascii="Arial" w:cs="Arial" w:eastAsia="Arial" w:hAnsi="Arial"/>
          <w:sz w:val="22"/>
          <w:szCs w:val="22"/>
          <w:color w:val="auto"/>
        </w:rPr>
      </w:pPr>
      <w:r>
        <w:rPr>
          <w:rFonts w:ascii="Arial" w:cs="Arial" w:eastAsia="Arial" w:hAnsi="Arial"/>
          <w:sz w:val="22"/>
          <w:szCs w:val="2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13" w:lineRule="exact"/>
        <w:rPr>
          <w:rFonts w:ascii="Arial" w:cs="Arial" w:eastAsia="Arial" w:hAnsi="Arial"/>
          <w:sz w:val="22"/>
          <w:szCs w:val="22"/>
          <w:color w:val="auto"/>
        </w:rPr>
      </w:pPr>
    </w:p>
    <w:p>
      <w:pPr>
        <w:ind w:right="300" w:firstLine="1657"/>
        <w:spacing w:after="0" w:line="274" w:lineRule="auto"/>
        <w:tabs>
          <w:tab w:leader="none" w:pos="2081" w:val="left"/>
        </w:tabs>
        <w:numPr>
          <w:ilvl w:val="2"/>
          <w:numId w:val="1"/>
        </w:numPr>
        <w:rPr>
          <w:rFonts w:ascii="Arial" w:cs="Arial" w:eastAsia="Arial" w:hAnsi="Arial"/>
          <w:sz w:val="21"/>
          <w:szCs w:val="21"/>
          <w:color w:val="auto"/>
        </w:rPr>
      </w:pPr>
      <w:r>
        <w:rPr>
          <w:rFonts w:ascii="Arial" w:cs="Arial" w:eastAsia="Arial" w:hAnsi="Arial"/>
          <w:sz w:val="21"/>
          <w:szCs w:val="21"/>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w:t>
      </w:r>
      <w:r>
        <w:rPr>
          <w:rFonts w:ascii="Arial" w:cs="Arial" w:eastAsia="Arial" w:hAnsi="Arial"/>
          <w:sz w:val="22"/>
          <w:szCs w:val="22"/>
          <w:i w:val="1"/>
          <w:iCs w:val="1"/>
          <w:color w:val="auto"/>
        </w:rPr>
        <w:t>rovided, however,</w:t>
      </w:r>
      <w:r>
        <w:rPr>
          <w:rFonts w:ascii="Arial" w:cs="Arial" w:eastAsia="Arial" w:hAnsi="Arial"/>
          <w:sz w:val="22"/>
          <w:szCs w:val="22"/>
          <w:color w:val="auto"/>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212" w:lineRule="exact"/>
        <w:rPr>
          <w:sz w:val="20"/>
          <w:szCs w:val="20"/>
          <w:color w:val="auto"/>
        </w:rPr>
      </w:pPr>
    </w:p>
    <w:p>
      <w:pPr>
        <w:ind w:right="20" w:firstLine="832"/>
        <w:spacing w:after="0"/>
        <w:tabs>
          <w:tab w:leader="none" w:pos="1130" w:val="left"/>
        </w:tabs>
        <w:numPr>
          <w:ilvl w:val="1"/>
          <w:numId w:val="2"/>
        </w:numPr>
        <w:rPr>
          <w:rFonts w:ascii="Arial" w:cs="Arial" w:eastAsia="Arial" w:hAnsi="Arial"/>
          <w:sz w:val="22"/>
          <w:szCs w:val="22"/>
          <w:color w:val="auto"/>
        </w:rPr>
      </w:pPr>
      <w:r>
        <w:rPr>
          <w:rFonts w:ascii="Arial" w:cs="Arial" w:eastAsia="Arial" w:hAnsi="Arial"/>
          <w:sz w:val="22"/>
          <w:szCs w:val="22"/>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offering thereof; and</w:t>
      </w:r>
    </w:p>
    <w:p>
      <w:pPr>
        <w:spacing w:after="0" w:line="213" w:lineRule="exact"/>
        <w:rPr>
          <w:rFonts w:ascii="Arial" w:cs="Arial" w:eastAsia="Arial" w:hAnsi="Arial"/>
          <w:sz w:val="22"/>
          <w:szCs w:val="22"/>
          <w:color w:val="auto"/>
        </w:rPr>
      </w:pPr>
    </w:p>
    <w:p>
      <w:pPr>
        <w:ind w:right="300" w:firstLine="832"/>
        <w:spacing w:after="0" w:line="250" w:lineRule="auto"/>
        <w:tabs>
          <w:tab w:leader="none" w:pos="1130" w:val="left"/>
        </w:tabs>
        <w:numPr>
          <w:ilvl w:val="1"/>
          <w:numId w:val="2"/>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201" w:lineRule="exact"/>
        <w:rPr>
          <w:rFonts w:ascii="Arial" w:cs="Arial" w:eastAsia="Arial" w:hAnsi="Arial"/>
          <w:sz w:val="22"/>
          <w:szCs w:val="22"/>
          <w:color w:val="auto"/>
        </w:rPr>
      </w:pPr>
    </w:p>
    <w:p>
      <w:pPr>
        <w:ind w:right="360" w:firstLine="8"/>
        <w:spacing w:after="0" w:line="282"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offering thereof.</w:t>
      </w:r>
    </w:p>
    <w:p>
      <w:pPr>
        <w:spacing w:after="0" w:line="174" w:lineRule="exact"/>
        <w:rPr>
          <w:rFonts w:ascii="Arial" w:cs="Arial" w:eastAsia="Arial" w:hAnsi="Arial"/>
          <w:sz w:val="19"/>
          <w:szCs w:val="19"/>
          <w:color w:val="auto"/>
        </w:rPr>
      </w:pPr>
    </w:p>
    <w:p>
      <w:pPr>
        <w:ind w:firstLine="8"/>
        <w:spacing w:after="0" w:line="245" w:lineRule="auto"/>
        <w:tabs>
          <w:tab w:leader="none" w:pos="294" w:val="left"/>
        </w:tabs>
        <w:numPr>
          <w:ilvl w:val="0"/>
          <w:numId w:val="3"/>
        </w:numPr>
        <w:rPr>
          <w:rFonts w:ascii="Arial" w:cs="Arial" w:eastAsia="Arial" w:hAnsi="Arial"/>
          <w:sz w:val="21"/>
          <w:szCs w:val="21"/>
          <w:color w:val="auto"/>
        </w:rPr>
      </w:pPr>
      <w:r>
        <w:rPr>
          <w:rFonts w:ascii="Arial" w:cs="Arial" w:eastAsia="Arial" w:hAnsi="Arial"/>
          <w:sz w:val="21"/>
          <w:szCs w:val="21"/>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Katy, Texas, on March 29, 2022.</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ACADEMY SPORTS AND OUTDOORS,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 G. Casares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KNOW ALL PERSONS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Academy Sports and Outdoors,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Academy Sports and Outdoors,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210"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Pursuant to the requirements of the Securities Act of 1933, this registration statement has been signed by the following persons in the capacities and on the date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Title</w:t>
            </w:r>
          </w:p>
        </w:tc>
        <w:tc>
          <w:tcPr>
            <w:tcW w:w="294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73"/>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 C. Hicks</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Chairman, President, and Chief</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Ken C. Hicks</w:t>
            </w:r>
          </w:p>
        </w:tc>
        <w:tc>
          <w:tcPr>
            <w:tcW w:w="470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Executive Officer</w:t>
            </w:r>
          </w:p>
        </w:tc>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700" w:type="dxa"/>
            <w:vAlign w:val="bottom"/>
            <w:gridSpan w:val="3"/>
          </w:tcPr>
          <w:p>
            <w:pPr>
              <w:ind w:left="300"/>
              <w:spacing w:after="0"/>
              <w:rPr>
                <w:sz w:val="20"/>
                <w:szCs w:val="20"/>
                <w:color w:val="auto"/>
              </w:rPr>
            </w:pPr>
            <w:r>
              <w:rPr>
                <w:rFonts w:ascii="Arial" w:cs="Arial" w:eastAsia="Arial" w:hAnsi="Arial"/>
                <w:sz w:val="18"/>
                <w:szCs w:val="18"/>
                <w:i w:val="1"/>
                <w:iCs w:val="1"/>
                <w:color w:val="auto"/>
              </w:rPr>
              <w:t>(Principal Executive Officer)</w:t>
            </w: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53"/>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P. Mullican</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Michael P. Mullican</w:t>
            </w:r>
          </w:p>
        </w:tc>
        <w:tc>
          <w:tcPr>
            <w:tcW w:w="470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700" w:type="dxa"/>
            <w:vAlign w:val="bottom"/>
            <w:gridSpan w:val="3"/>
          </w:tcPr>
          <w:p>
            <w:pPr>
              <w:ind w:left="300"/>
              <w:spacing w:after="0"/>
              <w:rPr>
                <w:sz w:val="20"/>
                <w:szCs w:val="20"/>
                <w:color w:val="auto"/>
              </w:rPr>
            </w:pPr>
            <w:r>
              <w:rPr>
                <w:rFonts w:ascii="Arial" w:cs="Arial" w:eastAsia="Arial" w:hAnsi="Arial"/>
                <w:sz w:val="18"/>
                <w:szCs w:val="18"/>
                <w:i w:val="1"/>
                <w:iCs w:val="1"/>
                <w:color w:val="auto"/>
              </w:rPr>
              <w:t>(Principal Financial and</w:t>
            </w:r>
          </w:p>
        </w:tc>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700" w:type="dxa"/>
            <w:vAlign w:val="bottom"/>
            <w:gridSpan w:val="3"/>
          </w:tcPr>
          <w:p>
            <w:pPr>
              <w:ind w:left="300"/>
              <w:spacing w:after="0"/>
              <w:rPr>
                <w:sz w:val="20"/>
                <w:szCs w:val="20"/>
                <w:color w:val="auto"/>
              </w:rPr>
            </w:pPr>
            <w:r>
              <w:rPr>
                <w:rFonts w:ascii="Arial" w:cs="Arial" w:eastAsia="Arial" w:hAnsi="Arial"/>
                <w:sz w:val="18"/>
                <w:szCs w:val="18"/>
                <w:i w:val="1"/>
                <w:iCs w:val="1"/>
                <w:color w:val="auto"/>
              </w:rPr>
              <w:t>Accounting Officer)</w:t>
            </w: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52"/>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Heather A. Davis</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Senior Vice President,</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Heather A. Davis</w:t>
            </w:r>
          </w:p>
        </w:tc>
        <w:tc>
          <w:tcPr>
            <w:tcW w:w="470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Accounting, Treasury and Tax</w:t>
            </w:r>
          </w:p>
        </w:tc>
        <w:tc>
          <w:tcPr>
            <w:tcW w:w="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700" w:type="dxa"/>
            <w:vAlign w:val="bottom"/>
            <w:gridSpan w:val="3"/>
          </w:tcPr>
          <w:p>
            <w:pPr>
              <w:ind w:left="300"/>
              <w:spacing w:after="0"/>
              <w:rPr>
                <w:sz w:val="20"/>
                <w:szCs w:val="20"/>
                <w:color w:val="auto"/>
              </w:rPr>
            </w:pPr>
            <w:r>
              <w:rPr>
                <w:rFonts w:ascii="Arial" w:cs="Arial" w:eastAsia="Arial" w:hAnsi="Arial"/>
                <w:sz w:val="18"/>
                <w:szCs w:val="18"/>
                <w:i w:val="1"/>
                <w:iCs w:val="1"/>
                <w:color w:val="auto"/>
              </w:rPr>
              <w:t>(Principal Accounting Officer)</w:t>
            </w: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53"/>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Wendy A. Beck</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Wendy A. Beck</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8"/>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T. Marley</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Brian T. Marley</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8"/>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Tom M. Nealon</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Tom M. Nealon</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8"/>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Allen I Questrom</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Allen I. Questrom</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8"/>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Beryl B. Raff</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Beryl B. Raff</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8"/>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Nate H. Taylor</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Nate H. Taylor</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8"/>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L. Turner</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Chris L. Turner</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8"/>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Sharen J. Turney</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Sharen J. Turney</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38"/>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 C. Tweedy</w:t>
            </w:r>
          </w:p>
        </w:tc>
        <w:tc>
          <w:tcPr>
            <w:tcW w:w="47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2940" w:type="dxa"/>
            <w:vAlign w:val="bottom"/>
            <w:gridSpan w:val="2"/>
          </w:tcPr>
          <w:p>
            <w:pPr>
              <w:spacing w:after="0"/>
              <w:rPr>
                <w:sz w:val="20"/>
                <w:szCs w:val="20"/>
                <w:color w:val="auto"/>
              </w:rPr>
            </w:pPr>
            <w:r>
              <w:rPr>
                <w:rFonts w:ascii="Arial" w:cs="Arial" w:eastAsia="Arial" w:hAnsi="Arial"/>
                <w:sz w:val="18"/>
                <w:szCs w:val="18"/>
                <w:color w:val="auto"/>
              </w:rPr>
              <w:t>March 29, 2022</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Jeff C. Tweedy</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March 29,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Academy Sports and Outdoors, Inc.</w:t>
      </w:r>
    </w:p>
    <w:p>
      <w:pPr>
        <w:spacing w:after="0" w:line="238" w:lineRule="auto"/>
        <w:rPr>
          <w:sz w:val="20"/>
          <w:szCs w:val="20"/>
          <w:color w:val="auto"/>
        </w:rPr>
      </w:pPr>
      <w:r>
        <w:rPr>
          <w:rFonts w:ascii="Arial" w:cs="Arial" w:eastAsia="Arial" w:hAnsi="Arial"/>
          <w:sz w:val="22"/>
          <w:szCs w:val="22"/>
          <w:color w:val="auto"/>
        </w:rPr>
        <w:t>1800 North Mason Road</w:t>
      </w:r>
    </w:p>
    <w:p>
      <w:pPr>
        <w:spacing w:after="0"/>
        <w:rPr>
          <w:sz w:val="20"/>
          <w:szCs w:val="20"/>
          <w:color w:val="auto"/>
        </w:rPr>
      </w:pPr>
      <w:r>
        <w:rPr>
          <w:rFonts w:ascii="Arial" w:cs="Arial" w:eastAsia="Arial" w:hAnsi="Arial"/>
          <w:sz w:val="22"/>
          <w:szCs w:val="22"/>
          <w:color w:val="auto"/>
        </w:rPr>
        <w:t>Katy, Texas 77449</w:t>
      </w:r>
    </w:p>
    <w:p>
      <w:pPr>
        <w:sectPr>
          <w:pgSz w:w="11900" w:h="16838" w:orient="portrait"/>
          <w:cols w:equalWidth="0" w:num="1">
            <w:col w:w="11240"/>
          </w:cols>
          <w:pgMar w:left="320" w:top="274" w:right="3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Proposed Offering of up to 1,000,000 Shares of Common Stock of Academy Sports and Outdoors, Inc. Pursuant to the Academy Sports and Outdoors, Inc. 2020 Employee Stock Purchase Plan</w:t>
      </w:r>
    </w:p>
    <w:p>
      <w:pPr>
        <w:spacing w:after="0" w:line="190" w:lineRule="exact"/>
        <w:rPr>
          <w:sz w:val="20"/>
          <w:szCs w:val="20"/>
          <w:color w:val="auto"/>
        </w:rPr>
      </w:pPr>
    </w:p>
    <w:p>
      <w:pPr>
        <w:sectPr>
          <w:pgSz w:w="11900" w:h="16838" w:orient="portrait"/>
          <w:cols w:equalWidth="0" w:num="2">
            <w:col w:w="260" w:space="400"/>
            <w:col w:w="10580"/>
          </w:cols>
          <w:pgMar w:left="320" w:top="274" w:right="339" w:bottom="1440" w:gutter="0" w:footer="0" w:header="0"/>
          <w:type w:val="continuous"/>
        </w:sect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9"/>
          <w:szCs w:val="19"/>
          <w:color w:val="auto"/>
        </w:rPr>
        <w:t>We have examined the Registration Statement on Form S-8 (the “Registration Statement”) of Academy Sports and Outdoors, Inc., a Delaware corporation (the “Company”), to be filed with the Securities and Exchange Commission (the “Commission”) pursuant to the Securities Act of 1933, as amended (the “Securities Act”), in connection with the offering by the Company of up to 1,000,000 shares of the Company’s Common Stock, par value $0.01 per share (the “Shares”), available for issuance pursuant to the Academy Sports and Outdoors, Inc. 2020 Employee Stock Purchase Plan (the “Plan”).</w:t>
      </w:r>
    </w:p>
    <w:p>
      <w:pPr>
        <w:spacing w:after="0" w:line="17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9"/>
          <w:szCs w:val="19"/>
          <w:color w:val="auto"/>
        </w:rPr>
        <w:t>In arriving at the opinion expressed below, we have examined originals, or copies certified or otherwise identified to our satisfaction as being true and complete copies of the originals, of the Plan and such other documents, corporate records of the Company, certificates of officers of the Company and of public officials and other documents as we have deemed necessary or advisable to enable us to render this opinion.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We have also assumed that there are no agreements or understandings between or among the Company and any participants in the Plan that would expand, modify or otherwise affect the terms of the Plan or the respective rights or obligations of the participants thereunder. Finally, we have assumed the accuracy of all other information provided to us by the Company during the course of our investigations, on which we have relied in issuing the opinion expressed below.</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Based upon the foregoing, and subject to the assumptions, exceptions, qualifications and limitations set forth herein and in reliance on the statements of fact contained in the documents that we have examined, we are of the opinion that the Shares, when issued and sold in accordance with the terms set forth in the Plan and against payment therefor, and when the Registration Statement has become effective under the Securities Act, will be validly issued, fully paid and non-assessable.</w:t>
      </w:r>
    </w:p>
    <w:p>
      <w:pPr>
        <w:spacing w:after="0" w:line="170"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We render no opinion herein as to matters involving the laws of any jurisdiction other than the Delaware General Corporation Law (the “DGCL”). This opinion is limited to the effect of the current state of the DGCL and to the facts as they currently exist. We assume no obligation to revise or supplement this opinion in the event of future changes in such laws or the interpretations thereof or such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97167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971675" cy="291465"/>
                    </a:xfrm>
                    <a:prstGeom prst="rect">
                      <a:avLst/>
                    </a:prstGeom>
                    <a:noFill/>
                  </pic:spPr>
                </pic:pic>
              </a:graphicData>
            </a:graphic>
          </wp:anchor>
        </w:drawing>
        <w:t>Academy Sports and Outdoors,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consent to the filing of this opinion as an exhibit to the Registration Statement. In giving these consents, we do not thereby admit that we are within the category of persons whose consent is required under Section 7 of the Securities Act or the Rules and Regulations of the Commission.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Gibson, Dunn &amp; Crutcher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820" w:right="6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 consent to the incorporation by reference in this Registration Statement on Form S-8 of our reports dated March 29, 2022 relating to the financial statements of Academy Sports and Outdoors, Inc. and the effectiveness of Academy Sports and Outdoors, Inc.’s internal control over financial reporting, appearing in the Annual Report on Form 10-K of Academy Sports and Outdoors, Inc. for the year ended January 29, 2022.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 w:name="page9"/>
    <w:bookmarkEnd w:id="8"/>
    <w:p>
      <w:pPr>
        <w:ind w:left="100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Type)</w:t>
      </w:r>
    </w:p>
    <w:p>
      <w:pPr>
        <w:jc w:val="center"/>
        <w:spacing w:after="0" w:line="230" w:lineRule="auto"/>
        <w:rPr>
          <w:sz w:val="20"/>
          <w:szCs w:val="20"/>
          <w:color w:val="auto"/>
        </w:rPr>
      </w:pPr>
      <w:r>
        <w:rPr>
          <w:rFonts w:ascii="Arial" w:cs="Arial" w:eastAsia="Arial" w:hAnsi="Arial"/>
          <w:sz w:val="22"/>
          <w:szCs w:val="22"/>
          <w:b w:val="1"/>
          <w:bCs w:val="1"/>
          <w:color w:val="auto"/>
        </w:rPr>
        <w:t>ACADEMY SPORTS AND OUTDOORS, INC.</w:t>
      </w:r>
    </w:p>
    <w:p>
      <w:pPr>
        <w:jc w:val="center"/>
        <w:spacing w:after="0" w:line="231" w:lineRule="auto"/>
        <w:rPr>
          <w:sz w:val="20"/>
          <w:szCs w:val="20"/>
          <w:color w:val="auto"/>
        </w:rPr>
      </w:pPr>
      <w:r>
        <w:rPr>
          <w:rFonts w:ascii="Arial" w:cs="Arial" w:eastAsia="Arial" w:hAnsi="Arial"/>
          <w:sz w:val="22"/>
          <w:szCs w:val="22"/>
          <w:color w:val="auto"/>
        </w:rPr>
        <w:t>(Exact Name of Registrant as Specified in its Charter)</w:t>
      </w:r>
    </w:p>
    <w:p>
      <w:pPr>
        <w:jc w:val="center"/>
        <w:spacing w:after="0"/>
        <w:rPr>
          <w:sz w:val="20"/>
          <w:szCs w:val="20"/>
          <w:color w:val="auto"/>
        </w:rPr>
      </w:pPr>
      <w:r>
        <w:rPr>
          <w:rFonts w:ascii="Arial" w:cs="Arial" w:eastAsia="Arial" w:hAnsi="Arial"/>
          <w:sz w:val="22"/>
          <w:szCs w:val="22"/>
          <w:u w:val="single" w:color="auto"/>
          <w:color w:val="auto"/>
        </w:rPr>
        <w:t>Table 1: Newly Registered Securities</w:t>
      </w: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020" w:type="dxa"/>
            <w:vAlign w:val="bottom"/>
            <w:tcBorders>
              <w:top w:val="single" w:sz="8" w:color="auto"/>
              <w:left w:val="single" w:sz="8" w:color="auto"/>
              <w:right w:val="single" w:sz="8" w:color="auto"/>
            </w:tcBorders>
          </w:tcPr>
          <w:p>
            <w:pPr>
              <w:spacing w:after="0"/>
              <w:rPr>
                <w:sz w:val="19"/>
                <w:szCs w:val="19"/>
                <w:color w:val="auto"/>
              </w:rPr>
            </w:pPr>
          </w:p>
        </w:tc>
        <w:tc>
          <w:tcPr>
            <w:tcW w:w="268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6"/>
              </w:rPr>
              <w:t>Proposed</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6"/>
              </w:rPr>
              <w:t>Maximum</w:t>
            </w:r>
          </w:p>
        </w:tc>
        <w:tc>
          <w:tcPr>
            <w:tcW w:w="200" w:type="dxa"/>
            <w:vAlign w:val="bottom"/>
          </w:tcPr>
          <w:p>
            <w:pPr>
              <w:spacing w:after="0"/>
              <w:rPr>
                <w:sz w:val="18"/>
                <w:szCs w:val="18"/>
                <w:color w:val="auto"/>
              </w:rPr>
            </w:pPr>
          </w:p>
        </w:tc>
        <w:tc>
          <w:tcPr>
            <w:tcW w:w="12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6"/>
              </w:rPr>
              <w:t>Maximum</w:t>
            </w:r>
          </w:p>
        </w:tc>
        <w:tc>
          <w:tcPr>
            <w:tcW w:w="1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13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4"/>
              </w:rPr>
              <w:t>Offering</w:t>
            </w:r>
          </w:p>
        </w:tc>
        <w:tc>
          <w:tcPr>
            <w:tcW w:w="200" w:type="dxa"/>
            <w:vAlign w:val="bottom"/>
          </w:tcPr>
          <w:p>
            <w:pPr>
              <w:spacing w:after="0"/>
              <w:rPr>
                <w:sz w:val="18"/>
                <w:szCs w:val="18"/>
                <w:color w:val="auto"/>
              </w:rPr>
            </w:pPr>
          </w:p>
        </w:tc>
        <w:tc>
          <w:tcPr>
            <w:tcW w:w="128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7"/>
              </w:rPr>
              <w:t>Aggregate</w:t>
            </w:r>
          </w:p>
        </w:tc>
        <w:tc>
          <w:tcPr>
            <w:tcW w:w="11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06"/>
        </w:trPr>
        <w:tc>
          <w:tcPr>
            <w:tcW w:w="10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Security</w:t>
            </w:r>
          </w:p>
        </w:tc>
        <w:tc>
          <w:tcPr>
            <w:tcW w:w="2680" w:type="dxa"/>
            <w:vAlign w:val="bottom"/>
            <w:tcBorders>
              <w:right w:val="single" w:sz="8" w:color="auto"/>
            </w:tcBorders>
          </w:tcPr>
          <w:p>
            <w:pPr>
              <w:ind w:left="1020"/>
              <w:spacing w:after="0"/>
              <w:rPr>
                <w:sz w:val="20"/>
                <w:szCs w:val="20"/>
                <w:color w:val="auto"/>
              </w:rPr>
            </w:pPr>
            <w:r>
              <w:rPr>
                <w:rFonts w:ascii="Arial" w:cs="Arial" w:eastAsia="Arial" w:hAnsi="Arial"/>
                <w:sz w:val="18"/>
                <w:szCs w:val="18"/>
                <w:b w:val="1"/>
                <w:bCs w:val="1"/>
                <w:color w:val="auto"/>
              </w:rPr>
              <w:t>Security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7"/>
                <w:szCs w:val="17"/>
                <w:color w:val="auto"/>
              </w:rPr>
            </w:pPr>
          </w:p>
        </w:tc>
        <w:tc>
          <w:tcPr>
            <w:tcW w:w="11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Price Per</w:t>
            </w:r>
          </w:p>
        </w:tc>
        <w:tc>
          <w:tcPr>
            <w:tcW w:w="200" w:type="dxa"/>
            <w:vAlign w:val="bottom"/>
          </w:tcPr>
          <w:p>
            <w:pPr>
              <w:spacing w:after="0"/>
              <w:rPr>
                <w:sz w:val="17"/>
                <w:szCs w:val="17"/>
                <w:color w:val="auto"/>
              </w:rPr>
            </w:pPr>
          </w:p>
        </w:tc>
        <w:tc>
          <w:tcPr>
            <w:tcW w:w="128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4"/>
              </w:rPr>
              <w:t>Offering</w:t>
            </w:r>
          </w:p>
        </w:tc>
        <w:tc>
          <w:tcPr>
            <w:tcW w:w="11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51"/>
        </w:trPr>
        <w:tc>
          <w:tcPr>
            <w:tcW w:w="102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Type</w:t>
            </w:r>
          </w:p>
        </w:tc>
        <w:tc>
          <w:tcPr>
            <w:tcW w:w="2680" w:type="dxa"/>
            <w:vAlign w:val="bottom"/>
            <w:tcBorders>
              <w:bottom w:val="single" w:sz="8" w:color="auto"/>
              <w:right w:val="single" w:sz="8" w:color="auto"/>
            </w:tcBorders>
          </w:tcPr>
          <w:p>
            <w:pPr>
              <w:ind w:left="840"/>
              <w:spacing w:after="0" w:line="243" w:lineRule="exact"/>
              <w:rPr>
                <w:sz w:val="20"/>
                <w:szCs w:val="20"/>
                <w:color w:val="auto"/>
              </w:rPr>
            </w:pPr>
            <w:r>
              <w:rPr>
                <w:rFonts w:ascii="Arial" w:cs="Arial" w:eastAsia="Arial" w:hAnsi="Arial"/>
                <w:sz w:val="17"/>
                <w:szCs w:val="17"/>
                <w:b w:val="1"/>
                <w:bCs w:val="1"/>
                <w:color w:val="auto"/>
              </w:rPr>
              <w:t>Class Title</w:t>
            </w:r>
            <w:r>
              <w:rPr>
                <w:rFonts w:ascii="Arial" w:cs="Arial" w:eastAsia="Arial" w:hAnsi="Arial"/>
                <w:sz w:val="28"/>
                <w:szCs w:val="28"/>
                <w:b w:val="1"/>
                <w:bCs w:val="1"/>
                <w:color w:val="auto"/>
                <w:vertAlign w:val="superscript"/>
              </w:rPr>
              <w:t>(1)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132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90"/>
              </w:rPr>
              <w:t>Registered</w:t>
            </w:r>
            <w:r>
              <w:rPr>
                <w:rFonts w:ascii="Arial" w:cs="Arial" w:eastAsia="Arial" w:hAnsi="Arial"/>
                <w:sz w:val="28"/>
                <w:szCs w:val="28"/>
                <w:color w:val="auto"/>
                <w:w w:val="90"/>
                <w:vertAlign w:val="superscript"/>
              </w:rPr>
              <w:t>(1)</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Share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Fee Rate</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02"/>
        </w:trPr>
        <w:tc>
          <w:tcPr>
            <w:tcW w:w="1020" w:type="dxa"/>
            <w:vAlign w:val="bottom"/>
            <w:tcBorders>
              <w:left w:val="single" w:sz="8" w:color="auto"/>
              <w:right w:val="single" w:sz="8" w:color="auto"/>
            </w:tcBorders>
            <w:shd w:val="clear" w:color="auto" w:fill="CCEEFF"/>
          </w:tcPr>
          <w:p>
            <w:pPr>
              <w:spacing w:after="0"/>
              <w:rPr>
                <w:sz w:val="17"/>
                <w:szCs w:val="17"/>
                <w:color w:val="auto"/>
              </w:rPr>
            </w:pPr>
          </w:p>
        </w:tc>
        <w:tc>
          <w:tcPr>
            <w:tcW w:w="26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per</w:t>
            </w:r>
          </w:p>
        </w:tc>
        <w:tc>
          <w:tcPr>
            <w:tcW w:w="1000" w:type="dxa"/>
            <w:vAlign w:val="bottom"/>
            <w:tcBorders>
              <w:right w:val="single" w:sz="8" w:color="auto"/>
            </w:tcBorders>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CCEEFF"/>
          </w:tcPr>
          <w:p>
            <w:pPr>
              <w:spacing w:after="0"/>
              <w:rPr>
                <w:sz w:val="18"/>
                <w:szCs w:val="18"/>
                <w:color w:val="auto"/>
              </w:rPr>
            </w:pPr>
          </w:p>
        </w:tc>
        <w:tc>
          <w:tcPr>
            <w:tcW w:w="26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to be issued under the</w:t>
            </w:r>
          </w:p>
        </w:tc>
        <w:tc>
          <w:tcPr>
            <w:tcW w:w="10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CCEEFF"/>
          </w:tcPr>
          <w:p>
            <w:pPr>
              <w:spacing w:after="0"/>
              <w:rPr>
                <w:sz w:val="18"/>
                <w:szCs w:val="18"/>
                <w:color w:val="auto"/>
              </w:rPr>
            </w:pPr>
          </w:p>
        </w:tc>
        <w:tc>
          <w:tcPr>
            <w:tcW w:w="26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Academy Sports and Outdoors, Inc.</w:t>
            </w:r>
          </w:p>
        </w:tc>
        <w:tc>
          <w:tcPr>
            <w:tcW w:w="100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CCEEFF"/>
          </w:tcPr>
          <w:p>
            <w:pPr>
              <w:spacing w:after="0"/>
              <w:rPr>
                <w:sz w:val="18"/>
                <w:szCs w:val="18"/>
                <w:color w:val="auto"/>
              </w:rPr>
            </w:pPr>
          </w:p>
        </w:tc>
        <w:tc>
          <w:tcPr>
            <w:tcW w:w="26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2020 Employee Stock Purchase Plan</w:t>
            </w:r>
          </w:p>
        </w:tc>
        <w:tc>
          <w:tcPr>
            <w:tcW w:w="10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Other</w:t>
            </w:r>
            <w:r>
              <w:rPr>
                <w:rFonts w:ascii="Arial" w:cs="Arial" w:eastAsia="Arial" w:hAnsi="Arial"/>
                <w:sz w:val="29"/>
                <w:szCs w:val="29"/>
                <w:color w:val="auto"/>
                <w:w w:val="84"/>
                <w:vertAlign w:val="superscript"/>
              </w:rPr>
              <w:t>(2)</w:t>
            </w:r>
          </w:p>
        </w:tc>
        <w:tc>
          <w:tcPr>
            <w:tcW w:w="13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37.01</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auto"/>
            </w:tcBorders>
            <w:vMerge w:val="restart"/>
            <w:shd w:val="clear" w:color="auto" w:fill="CCEEFF"/>
          </w:tcPr>
          <w:p>
            <w:pPr>
              <w:ind w:left="180"/>
              <w:spacing w:after="0"/>
              <w:rPr>
                <w:sz w:val="20"/>
                <w:szCs w:val="20"/>
                <w:color w:val="auto"/>
              </w:rPr>
            </w:pPr>
            <w:r>
              <w:rPr>
                <w:rFonts w:ascii="Arial" w:cs="Arial" w:eastAsia="Arial" w:hAnsi="Arial"/>
                <w:sz w:val="18"/>
                <w:szCs w:val="18"/>
                <w:color w:val="auto"/>
                <w:w w:val="93"/>
              </w:rPr>
              <w:t>31,458,500</w:t>
            </w:r>
            <w:r>
              <w:rPr>
                <w:rFonts w:ascii="Arial" w:cs="Arial" w:eastAsia="Arial" w:hAnsi="Arial"/>
                <w:sz w:val="29"/>
                <w:szCs w:val="29"/>
                <w:color w:val="auto"/>
                <w:w w:val="93"/>
                <w:vertAlign w:val="superscript"/>
              </w:rPr>
              <w:t>(2)</w:t>
            </w:r>
          </w:p>
        </w:tc>
        <w:tc>
          <w:tcPr>
            <w:tcW w:w="110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$92.70 per</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(the “Plan”)</w:t>
            </w:r>
          </w:p>
        </w:tc>
        <w:tc>
          <w:tcPr>
            <w:tcW w:w="100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5"/>
              </w:rPr>
              <w:t>$1,000,000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2,917.00</w:t>
            </w: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Offering Amounts</w:t>
            </w: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31,458,500</w:t>
            </w:r>
          </w:p>
        </w:tc>
        <w:tc>
          <w:tcPr>
            <w:tcW w:w="11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2,917.00</w:t>
            </w: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bottom w:val="single" w:sz="8" w:color="auto"/>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Fee Offsets</w:t>
            </w:r>
          </w:p>
        </w:tc>
        <w:tc>
          <w:tcPr>
            <w:tcW w:w="1000" w:type="dxa"/>
            <w:vAlign w:val="bottom"/>
            <w:tcBorders>
              <w:bottom w:val="single" w:sz="8" w:color="auto"/>
              <w:right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right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10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0"/>
              </w:rPr>
              <w:t>Net Fee Due</w:t>
            </w:r>
          </w:p>
        </w:tc>
        <w:tc>
          <w:tcPr>
            <w:tcW w:w="2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2,917.00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20" w:right="40" w:hanging="312"/>
        <w:spacing w:after="0" w:line="259"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416 of the Securities Act of 1933 (the “Securities Act”), this Registration Statement on Form S-8 (this “Registration Statement”), also includes additional shares of Common Stock, par value of $0.01 per share (“Common Stock”) of Academy Sports and Outdoors, Inc. (the “Company”) in respect of the securities identified in the above table that may become issuable through the Plan as a result of any stock dividend, stock split, recapitalization or other similar transactions.</w:t>
      </w:r>
    </w:p>
    <w:p>
      <w:pPr>
        <w:spacing w:after="0" w:line="213"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in accordance with Rule 457(h) based on a 15% discount from the average of the high and low prices of the Company’s shares of Common Stock on The Nasdaq Stock Market LLC on March 25, 2022, such discount representing the maximum permissible discount offered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
    <w:nsid w:val="19495CFF"/>
    <w:multiLevelType w:val="hybridMultilevel"/>
    <w:lvl w:ilvl="0">
      <w:lvlJc w:val="left"/>
      <w:lvlText w:val="%1"/>
      <w:numFmt w:val="lowerLetter"/>
      <w:start w:val="1"/>
    </w:lvl>
    <w:lvl w:ilvl="1">
      <w:lvlJc w:val="left"/>
      <w:lvlText w:val="(%2)"/>
      <w:numFmt w:val="decimal"/>
      <w:start w:val="2"/>
    </w:lvl>
  </w:abstractNum>
  <w:abstractNum w:abstractNumId="2">
    <w:nsid w:val="2AE8944A"/>
    <w:multiLevelType w:val="hybridMultilevel"/>
    <w:lvl w:ilvl="0">
      <w:lvlJc w:val="left"/>
      <w:lvlText w:val="(%1)"/>
      <w:numFmt w:val="lowerLetter"/>
      <w:start w:val="2"/>
    </w:lvl>
    <w:lvl w:ilvl="1">
      <w:lvlJc w:val="left"/>
      <w:lvlText w:val="%2"/>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jpe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6" Type="http://schemas.openxmlformats.org/officeDocument/2006/relationships/hyperlink" Target="https://www.sec.gov/Archives/edgar/data/1817358/000119312520261473/d99127ds8.htm" TargetMode="External"/><Relationship Id="rId17" Type="http://schemas.openxmlformats.org/officeDocument/2006/relationships/hyperlink" Target="https://www.sec.gov/Archives/edgar/data/1817358/000119312520264744/d910645dex31.htm" TargetMode="External"/><Relationship Id="rId18" Type="http://schemas.openxmlformats.org/officeDocument/2006/relationships/hyperlink" Target="https://www.sec.gov/Archives/edgar/data/1817358/000119312520264744/d910645dex32.htm" TargetMode="External"/><Relationship Id="rId19" Type="http://schemas.openxmlformats.org/officeDocument/2006/relationships/hyperlink" Target="https://www.sec.gov/Archives/edgar/data/1817358/000119312520261473/d99127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2022-03-29T15:47:07Z</dcterms:created>
  <dcterms:modified xsi:type="dcterms:W3CDTF">2022-03-29T15:47:07Z</dcterms:modified>
</cp:coreProperties>
</file>