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0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48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Samuel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6" w:right="35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99,166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98,154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36,552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36,552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36,552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36,552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36,552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1,933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-2569845</wp:posOffset>
            </wp:positionV>
            <wp:extent cx="28575" cy="2575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one share of Issuer common stock, par value $0.01 per share ("Common Stock")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67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20, 2026, the Reporting Person was granted 36,552 performance-based restricted stock units ("PRSUs"). These PRSUs vest if certain preestablished performance metrics related to the Company's (i) adjusted pre-tax income, (ii) return on invested capital, and (iii) adjusted free cash flow over a 3-year period beginning on February 1, 2026 and ending on February 3, 2029,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20, 2026, subject to the Reporting Person's continued service, the Reporting Person was granted 36,552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5,798 time-based restricted stock units that vest in three equal installments beginning on the first anniversary of the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2026-03-23T17:18:53Z</dcterms:created>
  <dcterms:modified xsi:type="dcterms:W3CDTF">2026-03-23T17:18:53Z</dcterms:modified>
</cp:coreProperties>
</file>