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5900"/>
        <w:spacing w:after="0"/>
        <w:rPr>
          <w:sz w:val="20"/>
          <w:szCs w:val="20"/>
          <w:color w:val="auto"/>
        </w:rPr>
      </w:pPr>
      <w:r>
        <w:rPr>
          <w:rFonts w:ascii="Arial" w:cs="Arial" w:eastAsia="Arial" w:hAnsi="Arial"/>
          <w:sz w:val="123"/>
          <w:szCs w:val="123"/>
          <w:b w:val="1"/>
          <w:bCs w:val="1"/>
          <w:color w:val="FFFFFF"/>
        </w:rPr>
        <w:t>2023</w:t>
      </w:r>
    </w:p>
    <w:p>
      <w:pPr>
        <w:sectPr>
          <w:pgSz w:w="12240" w:h="15480" w:orient="portrait"/>
          <w:cols w:equalWidth="0" w:num="1">
            <w:col w:w="9420"/>
          </w:cols>
          <w:pgMar w:left="1440" w:top="1440" w:right="1380" w:bottom="482" w:gutter="0" w:footer="0" w:header="0"/>
        </w:sectPr>
      </w:pPr>
    </w:p>
    <w:p>
      <w:pPr>
        <w:spacing w:after="0" w:line="27" w:lineRule="exact"/>
        <w:rPr>
          <w:sz w:val="24"/>
          <w:szCs w:val="24"/>
          <w:color w:val="auto"/>
        </w:rPr>
      </w:pPr>
    </w:p>
    <w:p>
      <w:pPr>
        <w:ind w:left="5960"/>
        <w:spacing w:after="0"/>
        <w:rPr>
          <w:sz w:val="20"/>
          <w:szCs w:val="20"/>
          <w:color w:val="auto"/>
        </w:rPr>
      </w:pPr>
      <w:r>
        <w:rPr>
          <w:rFonts w:ascii="Arial" w:cs="Arial" w:eastAsia="Arial" w:hAnsi="Arial"/>
          <w:sz w:val="46"/>
          <w:szCs w:val="46"/>
          <w:b w:val="1"/>
          <w:bCs w:val="1"/>
          <w:color w:val="FFFFFF"/>
        </w:rPr>
        <w:t>Annual Report</w:t>
      </w:r>
    </w:p>
    <w:p>
      <w:pPr>
        <w:sectPr>
          <w:pgSz w:w="12240" w:h="15480" w:orient="portrait"/>
          <w:cols w:equalWidth="0" w:num="1">
            <w:col w:w="9420"/>
          </w:cols>
          <w:pgMar w:left="1440" w:top="1440" w:right="1380" w:bottom="482"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772400" cy="9829800"/>
                    </a:xfrm>
                    <a:prstGeom prst="rect">
                      <a:avLst/>
                    </a:prstGeom>
                    <a:noFill/>
                  </pic:spPr>
                </pic:pic>
              </a:graphicData>
            </a:graphic>
          </wp:anchor>
        </w:drawing>
      </w:r>
    </w:p>
    <w:p>
      <w:pPr>
        <w:sectPr>
          <w:pgSz w:w="1224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772400" cy="982980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0" cy="9829800"/>
                        </a:xfrm>
                        <a:prstGeom prst="rect">
                          <a:avLst/>
                        </a:prstGeom>
                        <a:solidFill>
                          <a:srgbClr val="C9E0EE"/>
                        </a:solidFill>
                      </wps:spPr>
                      <wps:bodyPr/>
                    </wps:wsp>
                  </a:graphicData>
                </a:graphic>
              </wp:anchor>
            </w:drawing>
          </mc:Choice>
          <mc:Fallback>
            <w:pict>
              <v:rect id="Shape 3" o:spid="_x0000_s1028" style="position:absolute;margin-left:0pt;margin-top:0pt;width:612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C9E0EE" stroked="f">
                <w10:wrap anchorx="page" anchory="page"/>
              </v:rect>
            </w:pict>
          </mc:Fallback>
        </mc:AlternateConten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000B78"/>
        </w:rPr>
        <w:t>Financial Highlights</w:t>
      </w:r>
    </w:p>
    <w:p>
      <w:pPr>
        <w:spacing w:after="0" w:line="200" w:lineRule="exact"/>
        <w:rPr>
          <w:sz w:val="20"/>
          <w:szCs w:val="20"/>
          <w:color w:val="auto"/>
        </w:rPr>
      </w:pPr>
    </w:p>
    <w:p>
      <w:pPr>
        <w:spacing w:after="0" w:line="307" w:lineRule="exact"/>
        <w:rPr>
          <w:sz w:val="20"/>
          <w:szCs w:val="20"/>
          <w:color w:val="auto"/>
        </w:rPr>
      </w:pPr>
    </w:p>
    <w:tbl>
      <w:tblPr>
        <w:tblLayout w:type="fixed"/>
        <w:tblInd w:w="540" w:type="dxa"/>
        <w:tblCellMar>
          <w:top w:w="0" w:type="dxa"/>
          <w:left w:w="0" w:type="dxa"/>
          <w:bottom w:w="0" w:type="dxa"/>
          <w:right w:w="0" w:type="dxa"/>
        </w:tblCellMar>
      </w:tblPr>
      <w:tr>
        <w:trPr>
          <w:trHeight w:val="379"/>
        </w:trPr>
        <w:tc>
          <w:tcPr>
            <w:tcW w:w="3660" w:type="dxa"/>
            <w:vAlign w:val="bottom"/>
          </w:tcPr>
          <w:p>
            <w:pPr>
              <w:ind w:left="180"/>
              <w:spacing w:after="0"/>
              <w:rPr>
                <w:sz w:val="20"/>
                <w:szCs w:val="20"/>
                <w:color w:val="auto"/>
              </w:rPr>
            </w:pPr>
            <w:r>
              <w:rPr>
                <w:rFonts w:ascii="Arial" w:cs="Arial" w:eastAsia="Arial" w:hAnsi="Arial"/>
                <w:sz w:val="24"/>
                <w:szCs w:val="24"/>
                <w:b w:val="1"/>
                <w:bCs w:val="1"/>
                <w:color w:val="000B78"/>
              </w:rPr>
              <w:t>Company Scorecard</w:t>
            </w:r>
          </w:p>
        </w:tc>
        <w:tc>
          <w:tcPr>
            <w:tcW w:w="1440" w:type="dxa"/>
            <w:vAlign w:val="bottom"/>
          </w:tcPr>
          <w:p>
            <w:pPr>
              <w:jc w:val="right"/>
              <w:ind w:right="200"/>
              <w:spacing w:after="0"/>
              <w:rPr>
                <w:sz w:val="20"/>
                <w:szCs w:val="20"/>
                <w:color w:val="auto"/>
              </w:rPr>
            </w:pPr>
            <w:r>
              <w:rPr>
                <w:rFonts w:ascii="Arial" w:cs="Arial" w:eastAsia="Arial" w:hAnsi="Arial"/>
                <w:sz w:val="16"/>
                <w:szCs w:val="16"/>
                <w:b w:val="1"/>
                <w:bCs w:val="1"/>
                <w:color w:val="000B78"/>
              </w:rPr>
              <w:t>FY 2021</w:t>
            </w:r>
          </w:p>
        </w:tc>
        <w:tc>
          <w:tcPr>
            <w:tcW w:w="420" w:type="dxa"/>
            <w:vAlign w:val="bottom"/>
          </w:tcPr>
          <w:p>
            <w:pPr>
              <w:spacing w:after="0"/>
              <w:rPr>
                <w:sz w:val="24"/>
                <w:szCs w:val="24"/>
                <w:color w:val="auto"/>
              </w:rPr>
            </w:pPr>
          </w:p>
        </w:tc>
        <w:tc>
          <w:tcPr>
            <w:tcW w:w="1440" w:type="dxa"/>
            <w:vAlign w:val="bottom"/>
            <w:shd w:val="clear" w:color="auto" w:fill="2264AD"/>
          </w:tcPr>
          <w:p>
            <w:pPr>
              <w:jc w:val="right"/>
              <w:ind w:right="180"/>
              <w:spacing w:after="0"/>
              <w:rPr>
                <w:sz w:val="20"/>
                <w:szCs w:val="20"/>
                <w:color w:val="auto"/>
              </w:rPr>
            </w:pPr>
            <w:r>
              <w:rPr>
                <w:rFonts w:ascii="Arial" w:cs="Arial" w:eastAsia="Arial" w:hAnsi="Arial"/>
                <w:sz w:val="16"/>
                <w:szCs w:val="16"/>
                <w:b w:val="1"/>
                <w:bCs w:val="1"/>
                <w:color w:val="FFFFFF"/>
              </w:rPr>
              <w:t>FY 2022</w:t>
            </w:r>
          </w:p>
        </w:tc>
        <w:tc>
          <w:tcPr>
            <w:tcW w:w="440" w:type="dxa"/>
            <w:vAlign w:val="bottom"/>
            <w:tcBorders>
              <w:right w:val="single" w:sz="8" w:color="000B78"/>
            </w:tcBorders>
          </w:tcPr>
          <w:p>
            <w:pPr>
              <w:spacing w:after="0"/>
              <w:rPr>
                <w:sz w:val="24"/>
                <w:szCs w:val="24"/>
                <w:color w:val="auto"/>
              </w:rPr>
            </w:pPr>
          </w:p>
        </w:tc>
        <w:tc>
          <w:tcPr>
            <w:tcW w:w="1420" w:type="dxa"/>
            <w:vAlign w:val="bottom"/>
            <w:shd w:val="clear" w:color="auto" w:fill="000B78"/>
          </w:tcPr>
          <w:p>
            <w:pPr>
              <w:jc w:val="right"/>
              <w:ind w:right="180"/>
              <w:spacing w:after="0"/>
              <w:rPr>
                <w:sz w:val="20"/>
                <w:szCs w:val="20"/>
                <w:color w:val="auto"/>
              </w:rPr>
            </w:pPr>
            <w:r>
              <w:rPr>
                <w:rFonts w:ascii="Arial" w:cs="Arial" w:eastAsia="Arial" w:hAnsi="Arial"/>
                <w:sz w:val="16"/>
                <w:szCs w:val="16"/>
                <w:b w:val="1"/>
                <w:bCs w:val="1"/>
                <w:color w:val="FFFFFF"/>
              </w:rPr>
              <w:t>FY 2023</w:t>
            </w:r>
          </w:p>
        </w:tc>
        <w:tc>
          <w:tcPr>
            <w:tcW w:w="200" w:type="dxa"/>
            <w:vAlign w:val="bottom"/>
          </w:tcPr>
          <w:p>
            <w:pPr>
              <w:spacing w:after="0"/>
              <w:rPr>
                <w:sz w:val="24"/>
                <w:szCs w:val="24"/>
                <w:color w:val="auto"/>
              </w:rPr>
            </w:pPr>
          </w:p>
        </w:tc>
      </w:tr>
      <w:tr>
        <w:trPr>
          <w:trHeight w:val="517"/>
        </w:trPr>
        <w:tc>
          <w:tcPr>
            <w:tcW w:w="3660" w:type="dxa"/>
            <w:vAlign w:val="bottom"/>
          </w:tcPr>
          <w:p>
            <w:pPr>
              <w:ind w:left="180"/>
              <w:spacing w:after="0"/>
              <w:rPr>
                <w:sz w:val="20"/>
                <w:szCs w:val="20"/>
                <w:color w:val="auto"/>
              </w:rPr>
            </w:pPr>
            <w:r>
              <w:rPr>
                <w:rFonts w:ascii="Arial" w:cs="Arial" w:eastAsia="Arial" w:hAnsi="Arial"/>
                <w:sz w:val="16"/>
                <w:szCs w:val="16"/>
                <w:color w:val="000B78"/>
              </w:rPr>
              <w:t>Net Sales</w:t>
            </w:r>
          </w:p>
        </w:tc>
        <w:tc>
          <w:tcPr>
            <w:tcW w:w="1440" w:type="dxa"/>
            <w:vAlign w:val="bottom"/>
          </w:tcPr>
          <w:p>
            <w:pPr>
              <w:jc w:val="right"/>
              <w:ind w:right="180"/>
              <w:spacing w:after="0"/>
              <w:rPr>
                <w:sz w:val="20"/>
                <w:szCs w:val="20"/>
                <w:color w:val="auto"/>
              </w:rPr>
            </w:pPr>
            <w:r>
              <w:rPr>
                <w:rFonts w:ascii="Arial" w:cs="Arial" w:eastAsia="Arial" w:hAnsi="Arial"/>
                <w:sz w:val="16"/>
                <w:szCs w:val="16"/>
                <w:color w:val="000B78"/>
              </w:rPr>
              <w:t>$6.8B</w:t>
            </w:r>
          </w:p>
        </w:tc>
        <w:tc>
          <w:tcPr>
            <w:tcW w:w="420" w:type="dxa"/>
            <w:vAlign w:val="bottom"/>
          </w:tcPr>
          <w:p>
            <w:pPr>
              <w:spacing w:after="0"/>
              <w:rPr>
                <w:sz w:val="24"/>
                <w:szCs w:val="24"/>
                <w:color w:val="auto"/>
              </w:rPr>
            </w:pPr>
          </w:p>
        </w:tc>
        <w:tc>
          <w:tcPr>
            <w:tcW w:w="1440" w:type="dxa"/>
            <w:vAlign w:val="bottom"/>
            <w:tcBorders>
              <w:bottom w:val="single" w:sz="8" w:color="2264AD"/>
            </w:tcBorders>
            <w:shd w:val="clear" w:color="auto" w:fill="2264AD"/>
          </w:tcPr>
          <w:p>
            <w:pPr>
              <w:jc w:val="right"/>
              <w:ind w:right="240"/>
              <w:spacing w:after="0"/>
              <w:rPr>
                <w:sz w:val="20"/>
                <w:szCs w:val="20"/>
                <w:color w:val="auto"/>
              </w:rPr>
            </w:pPr>
            <w:r>
              <w:rPr>
                <w:rFonts w:ascii="Arial" w:cs="Arial" w:eastAsia="Arial" w:hAnsi="Arial"/>
                <w:sz w:val="16"/>
                <w:szCs w:val="16"/>
                <w:color w:val="FFFFFF"/>
              </w:rPr>
              <w:t>$6.4B</w:t>
            </w:r>
          </w:p>
        </w:tc>
        <w:tc>
          <w:tcPr>
            <w:tcW w:w="440" w:type="dxa"/>
            <w:vAlign w:val="bottom"/>
            <w:tcBorders>
              <w:right w:val="single" w:sz="8" w:color="000B78"/>
            </w:tcBorders>
          </w:tcPr>
          <w:p>
            <w:pPr>
              <w:spacing w:after="0"/>
              <w:rPr>
                <w:sz w:val="24"/>
                <w:szCs w:val="24"/>
                <w:color w:val="auto"/>
              </w:rPr>
            </w:pPr>
          </w:p>
        </w:tc>
        <w:tc>
          <w:tcPr>
            <w:tcW w:w="1420" w:type="dxa"/>
            <w:vAlign w:val="bottom"/>
            <w:tcBorders>
              <w:bottom w:val="single" w:sz="8" w:color="000B78"/>
            </w:tcBorders>
            <w:shd w:val="clear" w:color="auto" w:fill="000B78"/>
          </w:tcPr>
          <w:p>
            <w:pPr>
              <w:jc w:val="right"/>
              <w:ind w:right="200"/>
              <w:spacing w:after="0"/>
              <w:rPr>
                <w:sz w:val="20"/>
                <w:szCs w:val="20"/>
                <w:color w:val="auto"/>
              </w:rPr>
            </w:pPr>
            <w:r>
              <w:rPr>
                <w:rFonts w:ascii="Arial" w:cs="Arial" w:eastAsia="Arial" w:hAnsi="Arial"/>
                <w:sz w:val="16"/>
                <w:szCs w:val="16"/>
                <w:color w:val="FFFFFF"/>
              </w:rPr>
              <w:t>$6.2B</w:t>
            </w:r>
          </w:p>
        </w:tc>
        <w:tc>
          <w:tcPr>
            <w:tcW w:w="200" w:type="dxa"/>
            <w:vAlign w:val="bottom"/>
          </w:tcPr>
          <w:p>
            <w:pPr>
              <w:spacing w:after="0"/>
              <w:rPr>
                <w:sz w:val="24"/>
                <w:szCs w:val="24"/>
                <w:color w:val="auto"/>
              </w:rPr>
            </w:pPr>
          </w:p>
        </w:tc>
      </w:tr>
      <w:tr>
        <w:trPr>
          <w:trHeight w:val="300"/>
        </w:trPr>
        <w:tc>
          <w:tcPr>
            <w:tcW w:w="3660" w:type="dxa"/>
            <w:vAlign w:val="bottom"/>
            <w:tcBorders>
              <w:top w:val="single" w:sz="8" w:color="000B78"/>
            </w:tcBorders>
          </w:tcPr>
          <w:p>
            <w:pPr>
              <w:ind w:left="180"/>
              <w:spacing w:after="0"/>
              <w:rPr>
                <w:sz w:val="20"/>
                <w:szCs w:val="20"/>
                <w:color w:val="auto"/>
              </w:rPr>
            </w:pPr>
            <w:r>
              <w:rPr>
                <w:rFonts w:ascii="Arial" w:cs="Arial" w:eastAsia="Arial" w:hAnsi="Arial"/>
                <w:sz w:val="16"/>
                <w:szCs w:val="16"/>
                <w:color w:val="000B78"/>
              </w:rPr>
              <w:t>Net Income %</w:t>
            </w:r>
          </w:p>
        </w:tc>
        <w:tc>
          <w:tcPr>
            <w:tcW w:w="1440" w:type="dxa"/>
            <w:vAlign w:val="bottom"/>
            <w:tcBorders>
              <w:top w:val="single" w:sz="8" w:color="000B78"/>
            </w:tcBorders>
          </w:tcPr>
          <w:p>
            <w:pPr>
              <w:jc w:val="right"/>
              <w:ind w:right="180"/>
              <w:spacing w:after="0"/>
              <w:rPr>
                <w:sz w:val="20"/>
                <w:szCs w:val="20"/>
                <w:color w:val="auto"/>
              </w:rPr>
            </w:pPr>
            <w:r>
              <w:rPr>
                <w:rFonts w:ascii="Arial" w:cs="Arial" w:eastAsia="Arial" w:hAnsi="Arial"/>
                <w:sz w:val="16"/>
                <w:szCs w:val="16"/>
                <w:color w:val="000B78"/>
              </w:rPr>
              <w:t>10%</w:t>
            </w:r>
          </w:p>
        </w:tc>
        <w:tc>
          <w:tcPr>
            <w:tcW w:w="420" w:type="dxa"/>
            <w:vAlign w:val="bottom"/>
            <w:tcBorders>
              <w:top w:val="single" w:sz="8" w:color="000B78"/>
            </w:tcBorders>
          </w:tcPr>
          <w:p>
            <w:pPr>
              <w:spacing w:after="0"/>
              <w:rPr>
                <w:sz w:val="24"/>
                <w:szCs w:val="24"/>
                <w:color w:val="auto"/>
              </w:rPr>
            </w:pPr>
          </w:p>
        </w:tc>
        <w:tc>
          <w:tcPr>
            <w:tcW w:w="1440" w:type="dxa"/>
            <w:vAlign w:val="bottom"/>
            <w:tcBorders>
              <w:top w:val="single" w:sz="8" w:color="000B78"/>
              <w:bottom w:val="single" w:sz="8" w:color="2264AD"/>
            </w:tcBorders>
            <w:shd w:val="clear" w:color="auto" w:fill="2264AD"/>
          </w:tcPr>
          <w:p>
            <w:pPr>
              <w:jc w:val="right"/>
              <w:ind w:right="240"/>
              <w:spacing w:after="0"/>
              <w:rPr>
                <w:sz w:val="20"/>
                <w:szCs w:val="20"/>
                <w:color w:val="auto"/>
              </w:rPr>
            </w:pPr>
            <w:r>
              <w:rPr>
                <w:rFonts w:ascii="Arial" w:cs="Arial" w:eastAsia="Arial" w:hAnsi="Arial"/>
                <w:sz w:val="16"/>
                <w:szCs w:val="16"/>
                <w:color w:val="FFFFFF"/>
              </w:rPr>
              <w:t>10%</w:t>
            </w:r>
          </w:p>
        </w:tc>
        <w:tc>
          <w:tcPr>
            <w:tcW w:w="440" w:type="dxa"/>
            <w:vAlign w:val="bottom"/>
            <w:tcBorders>
              <w:top w:val="single" w:sz="8" w:color="000B78"/>
              <w:right w:val="single" w:sz="8" w:color="000B78"/>
            </w:tcBorders>
          </w:tcPr>
          <w:p>
            <w:pPr>
              <w:spacing w:after="0"/>
              <w:rPr>
                <w:sz w:val="24"/>
                <w:szCs w:val="24"/>
                <w:color w:val="auto"/>
              </w:rPr>
            </w:pPr>
          </w:p>
        </w:tc>
        <w:tc>
          <w:tcPr>
            <w:tcW w:w="1420" w:type="dxa"/>
            <w:vAlign w:val="bottom"/>
            <w:tcBorders>
              <w:top w:val="single" w:sz="8" w:color="000B78"/>
              <w:bottom w:val="single" w:sz="8" w:color="000B78"/>
            </w:tcBorders>
            <w:shd w:val="clear" w:color="auto" w:fill="000B78"/>
          </w:tcPr>
          <w:p>
            <w:pPr>
              <w:jc w:val="right"/>
              <w:ind w:right="200"/>
              <w:spacing w:after="0"/>
              <w:rPr>
                <w:sz w:val="20"/>
                <w:szCs w:val="20"/>
                <w:color w:val="auto"/>
              </w:rPr>
            </w:pPr>
            <w:r>
              <w:rPr>
                <w:rFonts w:ascii="Arial" w:cs="Arial" w:eastAsia="Arial" w:hAnsi="Arial"/>
                <w:sz w:val="16"/>
                <w:szCs w:val="16"/>
                <w:color w:val="FFFFFF"/>
              </w:rPr>
              <w:t>8%</w:t>
            </w:r>
          </w:p>
        </w:tc>
        <w:tc>
          <w:tcPr>
            <w:tcW w:w="200" w:type="dxa"/>
            <w:vAlign w:val="bottom"/>
            <w:tcBorders>
              <w:top w:val="single" w:sz="8" w:color="000B78"/>
            </w:tcBorders>
          </w:tcPr>
          <w:p>
            <w:pPr>
              <w:spacing w:after="0"/>
              <w:rPr>
                <w:sz w:val="24"/>
                <w:szCs w:val="24"/>
                <w:color w:val="auto"/>
              </w:rPr>
            </w:pPr>
          </w:p>
        </w:tc>
      </w:tr>
      <w:tr>
        <w:trPr>
          <w:trHeight w:val="260"/>
        </w:trPr>
        <w:tc>
          <w:tcPr>
            <w:tcW w:w="3660" w:type="dxa"/>
            <w:vAlign w:val="bottom"/>
            <w:tcBorders>
              <w:top w:val="single" w:sz="8" w:color="000B78"/>
            </w:tcBorders>
          </w:tcPr>
          <w:p>
            <w:pPr>
              <w:ind w:left="180"/>
              <w:spacing w:after="0"/>
              <w:rPr>
                <w:sz w:val="20"/>
                <w:szCs w:val="20"/>
                <w:color w:val="auto"/>
              </w:rPr>
            </w:pPr>
            <w:r>
              <w:rPr>
                <w:rFonts w:ascii="Arial" w:cs="Arial" w:eastAsia="Arial" w:hAnsi="Arial"/>
                <w:sz w:val="16"/>
                <w:szCs w:val="16"/>
                <w:color w:val="000B78"/>
              </w:rPr>
              <w:t>Adjusted EBITDA %</w:t>
            </w:r>
            <w:r>
              <w:rPr>
                <w:rFonts w:ascii="Arial" w:cs="Arial" w:eastAsia="Arial" w:hAnsi="Arial"/>
                <w:sz w:val="9"/>
                <w:szCs w:val="9"/>
                <w:color w:val="000B78"/>
              </w:rPr>
              <w:t>(1)</w:t>
            </w:r>
          </w:p>
        </w:tc>
        <w:tc>
          <w:tcPr>
            <w:tcW w:w="1440" w:type="dxa"/>
            <w:vAlign w:val="bottom"/>
            <w:tcBorders>
              <w:top w:val="single" w:sz="8" w:color="000B78"/>
            </w:tcBorders>
          </w:tcPr>
          <w:p>
            <w:pPr>
              <w:jc w:val="right"/>
              <w:ind w:right="180"/>
              <w:spacing w:after="0"/>
              <w:rPr>
                <w:sz w:val="20"/>
                <w:szCs w:val="20"/>
                <w:color w:val="auto"/>
              </w:rPr>
            </w:pPr>
            <w:r>
              <w:rPr>
                <w:rFonts w:ascii="Arial" w:cs="Arial" w:eastAsia="Arial" w:hAnsi="Arial"/>
                <w:sz w:val="16"/>
                <w:szCs w:val="16"/>
                <w:color w:val="000B78"/>
              </w:rPr>
              <w:t>16%</w:t>
            </w:r>
          </w:p>
        </w:tc>
        <w:tc>
          <w:tcPr>
            <w:tcW w:w="420" w:type="dxa"/>
            <w:vAlign w:val="bottom"/>
            <w:tcBorders>
              <w:top w:val="single" w:sz="8" w:color="000B78"/>
            </w:tcBorders>
          </w:tcPr>
          <w:p>
            <w:pPr>
              <w:spacing w:after="0"/>
              <w:rPr>
                <w:sz w:val="22"/>
                <w:szCs w:val="22"/>
                <w:color w:val="auto"/>
              </w:rPr>
            </w:pPr>
          </w:p>
        </w:tc>
        <w:tc>
          <w:tcPr>
            <w:tcW w:w="1440" w:type="dxa"/>
            <w:vAlign w:val="bottom"/>
            <w:tcBorders>
              <w:top w:val="single" w:sz="8" w:color="000B78"/>
              <w:bottom w:val="single" w:sz="8" w:color="2264AD"/>
            </w:tcBorders>
            <w:shd w:val="clear" w:color="auto" w:fill="2264AD"/>
          </w:tcPr>
          <w:p>
            <w:pPr>
              <w:jc w:val="right"/>
              <w:ind w:right="240"/>
              <w:spacing w:after="0"/>
              <w:rPr>
                <w:sz w:val="20"/>
                <w:szCs w:val="20"/>
                <w:color w:val="auto"/>
              </w:rPr>
            </w:pPr>
            <w:r>
              <w:rPr>
                <w:rFonts w:ascii="Arial" w:cs="Arial" w:eastAsia="Arial" w:hAnsi="Arial"/>
                <w:sz w:val="16"/>
                <w:szCs w:val="16"/>
                <w:color w:val="FFFFFF"/>
              </w:rPr>
              <w:t>16%</w:t>
            </w:r>
          </w:p>
        </w:tc>
        <w:tc>
          <w:tcPr>
            <w:tcW w:w="440" w:type="dxa"/>
            <w:vAlign w:val="bottom"/>
            <w:tcBorders>
              <w:top w:val="single" w:sz="8" w:color="000B78"/>
              <w:right w:val="single" w:sz="8" w:color="000B78"/>
            </w:tcBorders>
          </w:tcPr>
          <w:p>
            <w:pPr>
              <w:spacing w:after="0"/>
              <w:rPr>
                <w:sz w:val="22"/>
                <w:szCs w:val="22"/>
                <w:color w:val="auto"/>
              </w:rPr>
            </w:pPr>
          </w:p>
        </w:tc>
        <w:tc>
          <w:tcPr>
            <w:tcW w:w="1420" w:type="dxa"/>
            <w:vAlign w:val="bottom"/>
            <w:tcBorders>
              <w:top w:val="single" w:sz="8" w:color="000B78"/>
              <w:bottom w:val="single" w:sz="8" w:color="000B78"/>
            </w:tcBorders>
            <w:shd w:val="clear" w:color="auto" w:fill="000B78"/>
          </w:tcPr>
          <w:p>
            <w:pPr>
              <w:jc w:val="right"/>
              <w:ind w:right="200"/>
              <w:spacing w:after="0"/>
              <w:rPr>
                <w:sz w:val="20"/>
                <w:szCs w:val="20"/>
                <w:color w:val="auto"/>
              </w:rPr>
            </w:pPr>
            <w:r>
              <w:rPr>
                <w:rFonts w:ascii="Arial" w:cs="Arial" w:eastAsia="Arial" w:hAnsi="Arial"/>
                <w:sz w:val="16"/>
                <w:szCs w:val="16"/>
                <w:color w:val="FFFFFF"/>
              </w:rPr>
              <w:t>14%</w:t>
            </w:r>
          </w:p>
        </w:tc>
        <w:tc>
          <w:tcPr>
            <w:tcW w:w="200" w:type="dxa"/>
            <w:vAlign w:val="bottom"/>
            <w:tcBorders>
              <w:top w:val="single" w:sz="8" w:color="000B78"/>
            </w:tcBorders>
          </w:tcPr>
          <w:p>
            <w:pPr>
              <w:spacing w:after="0"/>
              <w:rPr>
                <w:sz w:val="22"/>
                <w:szCs w:val="22"/>
                <w:color w:val="auto"/>
              </w:rPr>
            </w:pPr>
          </w:p>
        </w:tc>
      </w:tr>
      <w:tr>
        <w:trPr>
          <w:trHeight w:val="280"/>
        </w:trPr>
        <w:tc>
          <w:tcPr>
            <w:tcW w:w="3660" w:type="dxa"/>
            <w:vAlign w:val="bottom"/>
            <w:tcBorders>
              <w:top w:val="single" w:sz="8" w:color="000B78"/>
            </w:tcBorders>
          </w:tcPr>
          <w:p>
            <w:pPr>
              <w:ind w:left="180"/>
              <w:spacing w:after="0"/>
              <w:rPr>
                <w:sz w:val="20"/>
                <w:szCs w:val="20"/>
                <w:color w:val="auto"/>
              </w:rPr>
            </w:pPr>
            <w:r>
              <w:rPr>
                <w:rFonts w:ascii="Arial" w:cs="Arial" w:eastAsia="Arial" w:hAnsi="Arial"/>
                <w:sz w:val="16"/>
                <w:szCs w:val="16"/>
                <w:color w:val="000B78"/>
              </w:rPr>
              <w:t>ROIC %</w:t>
            </w:r>
            <w:r>
              <w:rPr>
                <w:rFonts w:ascii="Arial" w:cs="Arial" w:eastAsia="Arial" w:hAnsi="Arial"/>
                <w:sz w:val="9"/>
                <w:szCs w:val="9"/>
                <w:color w:val="000B78"/>
              </w:rPr>
              <w:t>(2)</w:t>
            </w:r>
          </w:p>
        </w:tc>
        <w:tc>
          <w:tcPr>
            <w:tcW w:w="1440" w:type="dxa"/>
            <w:vAlign w:val="bottom"/>
            <w:tcBorders>
              <w:top w:val="single" w:sz="8" w:color="000B78"/>
            </w:tcBorders>
          </w:tcPr>
          <w:p>
            <w:pPr>
              <w:jc w:val="right"/>
              <w:ind w:right="180"/>
              <w:spacing w:after="0"/>
              <w:rPr>
                <w:sz w:val="20"/>
                <w:szCs w:val="20"/>
                <w:color w:val="auto"/>
              </w:rPr>
            </w:pPr>
            <w:r>
              <w:rPr>
                <w:rFonts w:ascii="Arial" w:cs="Arial" w:eastAsia="Arial" w:hAnsi="Arial"/>
                <w:sz w:val="16"/>
                <w:szCs w:val="16"/>
                <w:color w:val="000B78"/>
              </w:rPr>
              <w:t>42%</w:t>
            </w:r>
          </w:p>
        </w:tc>
        <w:tc>
          <w:tcPr>
            <w:tcW w:w="420" w:type="dxa"/>
            <w:vAlign w:val="bottom"/>
            <w:tcBorders>
              <w:top w:val="single" w:sz="8" w:color="000B78"/>
            </w:tcBorders>
          </w:tcPr>
          <w:p>
            <w:pPr>
              <w:spacing w:after="0"/>
              <w:rPr>
                <w:sz w:val="24"/>
                <w:szCs w:val="24"/>
                <w:color w:val="auto"/>
              </w:rPr>
            </w:pPr>
          </w:p>
        </w:tc>
        <w:tc>
          <w:tcPr>
            <w:tcW w:w="1440" w:type="dxa"/>
            <w:vAlign w:val="bottom"/>
            <w:tcBorders>
              <w:top w:val="single" w:sz="8" w:color="000B78"/>
              <w:bottom w:val="single" w:sz="8" w:color="2264AD"/>
            </w:tcBorders>
            <w:shd w:val="clear" w:color="auto" w:fill="2264AD"/>
          </w:tcPr>
          <w:p>
            <w:pPr>
              <w:jc w:val="right"/>
              <w:ind w:right="240"/>
              <w:spacing w:after="0"/>
              <w:rPr>
                <w:sz w:val="20"/>
                <w:szCs w:val="20"/>
                <w:color w:val="auto"/>
              </w:rPr>
            </w:pPr>
            <w:r>
              <w:rPr>
                <w:rFonts w:ascii="Arial" w:cs="Arial" w:eastAsia="Arial" w:hAnsi="Arial"/>
                <w:sz w:val="16"/>
                <w:szCs w:val="16"/>
                <w:color w:val="FFFFFF"/>
              </w:rPr>
              <w:t>34%</w:t>
            </w:r>
          </w:p>
        </w:tc>
        <w:tc>
          <w:tcPr>
            <w:tcW w:w="440" w:type="dxa"/>
            <w:vAlign w:val="bottom"/>
            <w:tcBorders>
              <w:top w:val="single" w:sz="8" w:color="000B78"/>
              <w:right w:val="single" w:sz="8" w:color="000B78"/>
            </w:tcBorders>
          </w:tcPr>
          <w:p>
            <w:pPr>
              <w:spacing w:after="0"/>
              <w:rPr>
                <w:sz w:val="24"/>
                <w:szCs w:val="24"/>
                <w:color w:val="auto"/>
              </w:rPr>
            </w:pPr>
          </w:p>
        </w:tc>
        <w:tc>
          <w:tcPr>
            <w:tcW w:w="1420" w:type="dxa"/>
            <w:vAlign w:val="bottom"/>
            <w:tcBorders>
              <w:top w:val="single" w:sz="8" w:color="000B78"/>
              <w:bottom w:val="single" w:sz="8" w:color="000B78"/>
            </w:tcBorders>
            <w:shd w:val="clear" w:color="auto" w:fill="000B78"/>
          </w:tcPr>
          <w:p>
            <w:pPr>
              <w:jc w:val="right"/>
              <w:ind w:right="200"/>
              <w:spacing w:after="0"/>
              <w:rPr>
                <w:sz w:val="20"/>
                <w:szCs w:val="20"/>
                <w:color w:val="auto"/>
              </w:rPr>
            </w:pPr>
            <w:r>
              <w:rPr>
                <w:rFonts w:ascii="Arial" w:cs="Arial" w:eastAsia="Arial" w:hAnsi="Arial"/>
                <w:sz w:val="16"/>
                <w:szCs w:val="16"/>
                <w:color w:val="FFFFFF"/>
              </w:rPr>
              <w:t>28%</w:t>
            </w:r>
          </w:p>
        </w:tc>
        <w:tc>
          <w:tcPr>
            <w:tcW w:w="200" w:type="dxa"/>
            <w:vAlign w:val="bottom"/>
            <w:tcBorders>
              <w:top w:val="single" w:sz="8" w:color="000B78"/>
            </w:tcBorders>
          </w:tcPr>
          <w:p>
            <w:pPr>
              <w:spacing w:after="0"/>
              <w:rPr>
                <w:sz w:val="24"/>
                <w:szCs w:val="24"/>
                <w:color w:val="auto"/>
              </w:rPr>
            </w:pPr>
          </w:p>
        </w:tc>
      </w:tr>
      <w:tr>
        <w:trPr>
          <w:trHeight w:val="300"/>
        </w:trPr>
        <w:tc>
          <w:tcPr>
            <w:tcW w:w="3660" w:type="dxa"/>
            <w:vAlign w:val="bottom"/>
            <w:tcBorders>
              <w:top w:val="single" w:sz="8" w:color="000B78"/>
            </w:tcBorders>
          </w:tcPr>
          <w:p>
            <w:pPr>
              <w:ind w:left="180"/>
              <w:spacing w:after="0"/>
              <w:rPr>
                <w:sz w:val="20"/>
                <w:szCs w:val="20"/>
                <w:color w:val="auto"/>
              </w:rPr>
            </w:pPr>
            <w:r>
              <w:rPr>
                <w:rFonts w:ascii="Arial" w:cs="Arial" w:eastAsia="Arial" w:hAnsi="Arial"/>
                <w:sz w:val="16"/>
                <w:szCs w:val="16"/>
                <w:color w:val="000B78"/>
              </w:rPr>
              <w:t>Net Sales per Gross Square Foot</w:t>
            </w:r>
          </w:p>
        </w:tc>
        <w:tc>
          <w:tcPr>
            <w:tcW w:w="1440" w:type="dxa"/>
            <w:vAlign w:val="bottom"/>
            <w:tcBorders>
              <w:top w:val="single" w:sz="8" w:color="000B78"/>
            </w:tcBorders>
          </w:tcPr>
          <w:p>
            <w:pPr>
              <w:jc w:val="right"/>
              <w:ind w:right="180"/>
              <w:spacing w:after="0"/>
              <w:rPr>
                <w:sz w:val="20"/>
                <w:szCs w:val="20"/>
                <w:color w:val="auto"/>
              </w:rPr>
            </w:pPr>
            <w:r>
              <w:rPr>
                <w:rFonts w:ascii="Arial" w:cs="Arial" w:eastAsia="Arial" w:hAnsi="Arial"/>
                <w:sz w:val="16"/>
                <w:szCs w:val="16"/>
                <w:color w:val="000B78"/>
              </w:rPr>
              <w:t>$370/GSF</w:t>
            </w:r>
          </w:p>
        </w:tc>
        <w:tc>
          <w:tcPr>
            <w:tcW w:w="420" w:type="dxa"/>
            <w:vAlign w:val="bottom"/>
            <w:tcBorders>
              <w:top w:val="single" w:sz="8" w:color="000B78"/>
            </w:tcBorders>
          </w:tcPr>
          <w:p>
            <w:pPr>
              <w:spacing w:after="0"/>
              <w:rPr>
                <w:sz w:val="24"/>
                <w:szCs w:val="24"/>
                <w:color w:val="auto"/>
              </w:rPr>
            </w:pPr>
          </w:p>
        </w:tc>
        <w:tc>
          <w:tcPr>
            <w:tcW w:w="1440" w:type="dxa"/>
            <w:vAlign w:val="bottom"/>
            <w:tcBorders>
              <w:top w:val="single" w:sz="8" w:color="000B78"/>
              <w:bottom w:val="single" w:sz="8" w:color="2264AD"/>
            </w:tcBorders>
            <w:shd w:val="clear" w:color="auto" w:fill="2264AD"/>
          </w:tcPr>
          <w:p>
            <w:pPr>
              <w:jc w:val="right"/>
              <w:ind w:right="240"/>
              <w:spacing w:after="0"/>
              <w:rPr>
                <w:sz w:val="20"/>
                <w:szCs w:val="20"/>
                <w:color w:val="auto"/>
              </w:rPr>
            </w:pPr>
            <w:r>
              <w:rPr>
                <w:rFonts w:ascii="Arial" w:cs="Arial" w:eastAsia="Arial" w:hAnsi="Arial"/>
                <w:sz w:val="16"/>
                <w:szCs w:val="16"/>
                <w:color w:val="FFFFFF"/>
              </w:rPr>
              <w:t>$340/GSF</w:t>
            </w:r>
          </w:p>
        </w:tc>
        <w:tc>
          <w:tcPr>
            <w:tcW w:w="440" w:type="dxa"/>
            <w:vAlign w:val="bottom"/>
            <w:tcBorders>
              <w:top w:val="single" w:sz="8" w:color="000B78"/>
              <w:right w:val="single" w:sz="8" w:color="000B78"/>
            </w:tcBorders>
          </w:tcPr>
          <w:p>
            <w:pPr>
              <w:spacing w:after="0"/>
              <w:rPr>
                <w:sz w:val="24"/>
                <w:szCs w:val="24"/>
                <w:color w:val="auto"/>
              </w:rPr>
            </w:pPr>
          </w:p>
        </w:tc>
        <w:tc>
          <w:tcPr>
            <w:tcW w:w="1420" w:type="dxa"/>
            <w:vAlign w:val="bottom"/>
            <w:tcBorders>
              <w:top w:val="single" w:sz="8" w:color="000B78"/>
              <w:bottom w:val="single" w:sz="8" w:color="000B78"/>
            </w:tcBorders>
            <w:shd w:val="clear" w:color="auto" w:fill="000B78"/>
          </w:tcPr>
          <w:p>
            <w:pPr>
              <w:jc w:val="right"/>
              <w:ind w:right="200"/>
              <w:spacing w:after="0"/>
              <w:rPr>
                <w:sz w:val="20"/>
                <w:szCs w:val="20"/>
                <w:color w:val="auto"/>
              </w:rPr>
            </w:pPr>
            <w:r>
              <w:rPr>
                <w:rFonts w:ascii="Arial" w:cs="Arial" w:eastAsia="Arial" w:hAnsi="Arial"/>
                <w:sz w:val="16"/>
                <w:szCs w:val="16"/>
                <w:color w:val="FFFFFF"/>
              </w:rPr>
              <w:t>$313/GSF</w:t>
            </w:r>
          </w:p>
        </w:tc>
        <w:tc>
          <w:tcPr>
            <w:tcW w:w="200" w:type="dxa"/>
            <w:vAlign w:val="bottom"/>
            <w:tcBorders>
              <w:top w:val="single" w:sz="8" w:color="000B78"/>
            </w:tcBorders>
          </w:tcPr>
          <w:p>
            <w:pPr>
              <w:spacing w:after="0"/>
              <w:rPr>
                <w:sz w:val="24"/>
                <w:szCs w:val="24"/>
                <w:color w:val="auto"/>
              </w:rPr>
            </w:pPr>
          </w:p>
        </w:tc>
      </w:tr>
      <w:tr>
        <w:trPr>
          <w:trHeight w:val="260"/>
        </w:trPr>
        <w:tc>
          <w:tcPr>
            <w:tcW w:w="3660" w:type="dxa"/>
            <w:vAlign w:val="bottom"/>
            <w:tcBorders>
              <w:top w:val="single" w:sz="8" w:color="000B78"/>
            </w:tcBorders>
          </w:tcPr>
          <w:p>
            <w:pPr>
              <w:ind w:left="180"/>
              <w:spacing w:after="0"/>
              <w:rPr>
                <w:sz w:val="20"/>
                <w:szCs w:val="20"/>
                <w:color w:val="auto"/>
              </w:rPr>
            </w:pPr>
            <w:r>
              <w:rPr>
                <w:rFonts w:ascii="Arial" w:cs="Arial" w:eastAsia="Arial" w:hAnsi="Arial"/>
                <w:sz w:val="16"/>
                <w:szCs w:val="16"/>
                <w:color w:val="000B78"/>
              </w:rPr>
              <w:t>.COM Penetration %</w:t>
            </w:r>
          </w:p>
        </w:tc>
        <w:tc>
          <w:tcPr>
            <w:tcW w:w="1440" w:type="dxa"/>
            <w:vAlign w:val="bottom"/>
            <w:tcBorders>
              <w:top w:val="single" w:sz="8" w:color="000B78"/>
            </w:tcBorders>
          </w:tcPr>
          <w:p>
            <w:pPr>
              <w:jc w:val="right"/>
              <w:ind w:right="180"/>
              <w:spacing w:after="0"/>
              <w:rPr>
                <w:sz w:val="20"/>
                <w:szCs w:val="20"/>
                <w:color w:val="auto"/>
              </w:rPr>
            </w:pPr>
            <w:r>
              <w:rPr>
                <w:rFonts w:ascii="Arial" w:cs="Arial" w:eastAsia="Arial" w:hAnsi="Arial"/>
                <w:sz w:val="16"/>
                <w:szCs w:val="16"/>
                <w:color w:val="000B78"/>
              </w:rPr>
              <w:t>9.3%</w:t>
            </w:r>
          </w:p>
        </w:tc>
        <w:tc>
          <w:tcPr>
            <w:tcW w:w="420" w:type="dxa"/>
            <w:vAlign w:val="bottom"/>
            <w:tcBorders>
              <w:top w:val="single" w:sz="8" w:color="000B78"/>
            </w:tcBorders>
          </w:tcPr>
          <w:p>
            <w:pPr>
              <w:spacing w:after="0"/>
              <w:rPr>
                <w:sz w:val="22"/>
                <w:szCs w:val="22"/>
                <w:color w:val="auto"/>
              </w:rPr>
            </w:pPr>
          </w:p>
        </w:tc>
        <w:tc>
          <w:tcPr>
            <w:tcW w:w="1440" w:type="dxa"/>
            <w:vAlign w:val="bottom"/>
            <w:tcBorders>
              <w:top w:val="single" w:sz="8" w:color="000B78"/>
              <w:bottom w:val="single" w:sz="8" w:color="2264AD"/>
            </w:tcBorders>
            <w:shd w:val="clear" w:color="auto" w:fill="2264AD"/>
          </w:tcPr>
          <w:p>
            <w:pPr>
              <w:jc w:val="right"/>
              <w:ind w:right="240"/>
              <w:spacing w:after="0"/>
              <w:rPr>
                <w:sz w:val="20"/>
                <w:szCs w:val="20"/>
                <w:color w:val="auto"/>
              </w:rPr>
            </w:pPr>
            <w:r>
              <w:rPr>
                <w:rFonts w:ascii="Arial" w:cs="Arial" w:eastAsia="Arial" w:hAnsi="Arial"/>
                <w:sz w:val="16"/>
                <w:szCs w:val="16"/>
                <w:color w:val="FFFFFF"/>
              </w:rPr>
              <w:t>10.7%</w:t>
            </w:r>
          </w:p>
        </w:tc>
        <w:tc>
          <w:tcPr>
            <w:tcW w:w="440" w:type="dxa"/>
            <w:vAlign w:val="bottom"/>
            <w:tcBorders>
              <w:top w:val="single" w:sz="8" w:color="000B78"/>
              <w:right w:val="single" w:sz="8" w:color="000B78"/>
            </w:tcBorders>
          </w:tcPr>
          <w:p>
            <w:pPr>
              <w:spacing w:after="0"/>
              <w:rPr>
                <w:sz w:val="22"/>
                <w:szCs w:val="22"/>
                <w:color w:val="auto"/>
              </w:rPr>
            </w:pPr>
          </w:p>
        </w:tc>
        <w:tc>
          <w:tcPr>
            <w:tcW w:w="1420" w:type="dxa"/>
            <w:vAlign w:val="bottom"/>
            <w:tcBorders>
              <w:top w:val="single" w:sz="8" w:color="000B78"/>
              <w:bottom w:val="single" w:sz="8" w:color="000B78"/>
            </w:tcBorders>
            <w:shd w:val="clear" w:color="auto" w:fill="000B78"/>
          </w:tcPr>
          <w:p>
            <w:pPr>
              <w:jc w:val="right"/>
              <w:ind w:right="200"/>
              <w:spacing w:after="0"/>
              <w:rPr>
                <w:sz w:val="20"/>
                <w:szCs w:val="20"/>
                <w:color w:val="auto"/>
              </w:rPr>
            </w:pPr>
            <w:r>
              <w:rPr>
                <w:rFonts w:ascii="Arial" w:cs="Arial" w:eastAsia="Arial" w:hAnsi="Arial"/>
                <w:sz w:val="16"/>
                <w:szCs w:val="16"/>
                <w:color w:val="FFFFFF"/>
              </w:rPr>
              <w:t>10.7%</w:t>
            </w:r>
          </w:p>
        </w:tc>
        <w:tc>
          <w:tcPr>
            <w:tcW w:w="200" w:type="dxa"/>
            <w:vAlign w:val="bottom"/>
            <w:tcBorders>
              <w:top w:val="single" w:sz="8" w:color="000B78"/>
            </w:tcBorders>
          </w:tcPr>
          <w:p>
            <w:pPr>
              <w:spacing w:after="0"/>
              <w:rPr>
                <w:sz w:val="22"/>
                <w:szCs w:val="22"/>
                <w:color w:val="auto"/>
              </w:rPr>
            </w:pPr>
          </w:p>
        </w:tc>
      </w:tr>
      <w:tr>
        <w:trPr>
          <w:trHeight w:val="200"/>
        </w:trPr>
        <w:tc>
          <w:tcPr>
            <w:tcW w:w="3660" w:type="dxa"/>
            <w:vAlign w:val="bottom"/>
            <w:tcBorders>
              <w:top w:val="single" w:sz="8" w:color="000B78"/>
            </w:tcBorders>
          </w:tcPr>
          <w:p>
            <w:pPr>
              <w:spacing w:after="0"/>
              <w:rPr>
                <w:sz w:val="17"/>
                <w:szCs w:val="17"/>
                <w:color w:val="auto"/>
              </w:rPr>
            </w:pPr>
          </w:p>
        </w:tc>
        <w:tc>
          <w:tcPr>
            <w:tcW w:w="1440" w:type="dxa"/>
            <w:vAlign w:val="bottom"/>
            <w:tcBorders>
              <w:top w:val="single" w:sz="8" w:color="000B78"/>
            </w:tcBorders>
          </w:tcPr>
          <w:p>
            <w:pPr>
              <w:spacing w:after="0"/>
              <w:rPr>
                <w:sz w:val="17"/>
                <w:szCs w:val="17"/>
                <w:color w:val="auto"/>
              </w:rPr>
            </w:pPr>
          </w:p>
        </w:tc>
        <w:tc>
          <w:tcPr>
            <w:tcW w:w="420" w:type="dxa"/>
            <w:vAlign w:val="bottom"/>
            <w:tcBorders>
              <w:top w:val="single" w:sz="8" w:color="000B78"/>
            </w:tcBorders>
          </w:tcPr>
          <w:p>
            <w:pPr>
              <w:spacing w:after="0"/>
              <w:rPr>
                <w:sz w:val="17"/>
                <w:szCs w:val="17"/>
                <w:color w:val="auto"/>
              </w:rPr>
            </w:pPr>
          </w:p>
        </w:tc>
        <w:tc>
          <w:tcPr>
            <w:tcW w:w="1440" w:type="dxa"/>
            <w:vAlign w:val="bottom"/>
            <w:tcBorders>
              <w:top w:val="single" w:sz="8" w:color="000B78"/>
            </w:tcBorders>
            <w:shd w:val="clear" w:color="auto" w:fill="2264AD"/>
          </w:tcPr>
          <w:p>
            <w:pPr>
              <w:spacing w:after="0"/>
              <w:rPr>
                <w:sz w:val="17"/>
                <w:szCs w:val="17"/>
                <w:color w:val="auto"/>
              </w:rPr>
            </w:pPr>
          </w:p>
        </w:tc>
        <w:tc>
          <w:tcPr>
            <w:tcW w:w="440" w:type="dxa"/>
            <w:vAlign w:val="bottom"/>
            <w:tcBorders>
              <w:top w:val="single" w:sz="8" w:color="000B78"/>
              <w:right w:val="single" w:sz="8" w:color="000B78"/>
            </w:tcBorders>
          </w:tcPr>
          <w:p>
            <w:pPr>
              <w:spacing w:after="0"/>
              <w:rPr>
                <w:sz w:val="17"/>
                <w:szCs w:val="17"/>
                <w:color w:val="auto"/>
              </w:rPr>
            </w:pPr>
          </w:p>
        </w:tc>
        <w:tc>
          <w:tcPr>
            <w:tcW w:w="1420" w:type="dxa"/>
            <w:vAlign w:val="bottom"/>
            <w:tcBorders>
              <w:top w:val="single" w:sz="8" w:color="000B78"/>
            </w:tcBorders>
            <w:shd w:val="clear" w:color="auto" w:fill="000B78"/>
          </w:tcPr>
          <w:p>
            <w:pPr>
              <w:spacing w:after="0"/>
              <w:rPr>
                <w:sz w:val="17"/>
                <w:szCs w:val="17"/>
                <w:color w:val="auto"/>
              </w:rPr>
            </w:pPr>
          </w:p>
        </w:tc>
        <w:tc>
          <w:tcPr>
            <w:tcW w:w="200" w:type="dxa"/>
            <w:vAlign w:val="bottom"/>
            <w:tcBorders>
              <w:top w:val="single" w:sz="8" w:color="000B78"/>
            </w:tcBorders>
          </w:tcPr>
          <w:p>
            <w:pPr>
              <w:spacing w:after="0"/>
              <w:rPr>
                <w:sz w:val="17"/>
                <w:szCs w:val="17"/>
                <w:color w:val="auto"/>
              </w:rPr>
            </w:pPr>
          </w:p>
        </w:tc>
      </w:tr>
    </w:tbl>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13"/>
          </w:tcPr>
          <w:p>
            <w:pPr>
              <w:ind w:left="20"/>
              <w:spacing w:after="0"/>
              <w:rPr>
                <w:sz w:val="20"/>
                <w:szCs w:val="20"/>
                <w:color w:val="auto"/>
              </w:rPr>
            </w:pPr>
            <w:r>
              <w:rPr>
                <w:rFonts w:ascii="Arial" w:cs="Arial" w:eastAsia="Arial" w:hAnsi="Arial"/>
                <w:sz w:val="20"/>
                <w:szCs w:val="20"/>
                <w:b w:val="1"/>
                <w:bCs w:val="1"/>
                <w:color w:val="000B78"/>
              </w:rPr>
              <w:t xml:space="preserve">Net Sales </w:t>
            </w:r>
            <w:r>
              <w:rPr>
                <w:rFonts w:ascii="Arial" w:cs="Arial" w:eastAsia="Arial" w:hAnsi="Arial"/>
                <w:sz w:val="14"/>
                <w:szCs w:val="14"/>
                <w:b w:val="1"/>
                <w:bCs w:val="1"/>
                <w:color w:val="000B78"/>
              </w:rPr>
              <w:t>(IN BILLIONS)</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12"/>
          </w:tcPr>
          <w:p>
            <w:pPr>
              <w:ind w:left="160"/>
              <w:spacing w:after="0"/>
              <w:rPr>
                <w:sz w:val="20"/>
                <w:szCs w:val="20"/>
                <w:color w:val="auto"/>
              </w:rPr>
            </w:pPr>
            <w:r>
              <w:rPr>
                <w:rFonts w:ascii="Arial" w:cs="Arial" w:eastAsia="Arial" w:hAnsi="Arial"/>
                <w:sz w:val="20"/>
                <w:szCs w:val="20"/>
                <w:b w:val="1"/>
                <w:bCs w:val="1"/>
                <w:color w:val="000B78"/>
              </w:rPr>
              <w:t>Comparable Sales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2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0B78"/>
              </w:rPr>
              <w:t>$6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000B78"/>
              </w:rPr>
              <w:t>$6.8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6"/>
                <w:szCs w:val="16"/>
                <w:b w:val="1"/>
                <w:bCs w:val="1"/>
                <w:color w:val="000B78"/>
              </w:rPr>
              <w:t>20%</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5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Borders>
              <w:right w:val="single" w:sz="8" w:color="2264AD"/>
            </w:tcBorders>
          </w:tcPr>
          <w:p>
            <w:pPr>
              <w:spacing w:after="0"/>
              <w:rPr>
                <w:sz w:val="4"/>
                <w:szCs w:val="4"/>
                <w:color w:val="auto"/>
              </w:rPr>
            </w:pPr>
          </w:p>
        </w:tc>
        <w:tc>
          <w:tcPr>
            <w:tcW w:w="780" w:type="dxa"/>
            <w:vAlign w:val="bottom"/>
            <w:gridSpan w:val="4"/>
            <w:vMerge w:val="restart"/>
            <w:shd w:val="clear" w:color="auto" w:fill="2264AD"/>
          </w:tcPr>
          <w:p>
            <w:pPr>
              <w:jc w:val="right"/>
              <w:ind w:right="220"/>
              <w:spacing w:after="0"/>
              <w:rPr>
                <w:sz w:val="20"/>
                <w:szCs w:val="20"/>
                <w:color w:val="auto"/>
              </w:rPr>
            </w:pPr>
            <w:r>
              <w:rPr>
                <w:rFonts w:ascii="Arial" w:cs="Arial" w:eastAsia="Arial" w:hAnsi="Arial"/>
                <w:sz w:val="16"/>
                <w:szCs w:val="16"/>
                <w:b w:val="1"/>
                <w:bCs w:val="1"/>
                <w:color w:val="FFFFFF"/>
              </w:rPr>
              <w:t>$6.4</w:t>
            </w: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140" w:type="dxa"/>
            <w:vAlign w:val="bottom"/>
            <w:tcBorders>
              <w:bottom w:val="single" w:sz="8" w:color="000B78"/>
            </w:tcBorders>
          </w:tcPr>
          <w:p>
            <w:pPr>
              <w:spacing w:after="0"/>
              <w:rPr>
                <w:sz w:val="4"/>
                <w:szCs w:val="4"/>
                <w:color w:val="auto"/>
              </w:rPr>
            </w:pPr>
          </w:p>
        </w:tc>
        <w:tc>
          <w:tcPr>
            <w:tcW w:w="120" w:type="dxa"/>
            <w:vAlign w:val="bottom"/>
            <w:tcBorders>
              <w:bottom w:val="single" w:sz="8" w:color="000B78"/>
            </w:tcBorders>
          </w:tcPr>
          <w:p>
            <w:pPr>
              <w:spacing w:after="0"/>
              <w:rPr>
                <w:sz w:val="4"/>
                <w:szCs w:val="4"/>
                <w:color w:val="auto"/>
              </w:rPr>
            </w:pPr>
          </w:p>
        </w:tc>
        <w:tc>
          <w:tcPr>
            <w:tcW w:w="40" w:type="dxa"/>
            <w:vAlign w:val="bottom"/>
            <w:tcBorders>
              <w:bottom w:val="single" w:sz="8" w:color="000B78"/>
            </w:tcBorders>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bottom w:val="single" w:sz="8" w:color="000B78"/>
            </w:tcBorders>
          </w:tcPr>
          <w:p>
            <w:pPr>
              <w:spacing w:after="0"/>
              <w:rPr>
                <w:sz w:val="4"/>
                <w:szCs w:val="4"/>
                <w:color w:val="auto"/>
              </w:rPr>
            </w:pPr>
          </w:p>
        </w:tc>
        <w:tc>
          <w:tcPr>
            <w:tcW w:w="260" w:type="dxa"/>
            <w:vAlign w:val="bottom"/>
            <w:tcBorders>
              <w:bottom w:val="single" w:sz="8" w:color="000B78"/>
            </w:tcBorders>
          </w:tcPr>
          <w:p>
            <w:pPr>
              <w:spacing w:after="0"/>
              <w:rPr>
                <w:sz w:val="4"/>
                <w:szCs w:val="4"/>
                <w:color w:val="auto"/>
              </w:rPr>
            </w:pPr>
          </w:p>
        </w:tc>
        <w:tc>
          <w:tcPr>
            <w:tcW w:w="120" w:type="dxa"/>
            <w:vAlign w:val="bottom"/>
            <w:tcBorders>
              <w:bottom w:val="single" w:sz="8" w:color="000B78"/>
              <w:right w:val="single" w:sz="8" w:color="2264AD"/>
            </w:tcBorders>
          </w:tcPr>
          <w:p>
            <w:pPr>
              <w:spacing w:after="0"/>
              <w:rPr>
                <w:sz w:val="4"/>
                <w:szCs w:val="4"/>
                <w:color w:val="auto"/>
              </w:rPr>
            </w:pPr>
          </w:p>
        </w:tc>
        <w:tc>
          <w:tcPr>
            <w:tcW w:w="780" w:type="dxa"/>
            <w:vAlign w:val="bottom"/>
            <w:tcBorders>
              <w:bottom w:val="single" w:sz="8" w:color="2264AD"/>
            </w:tcBorders>
            <w:gridSpan w:val="4"/>
            <w:vMerge w:val="continue"/>
            <w:shd w:val="clear" w:color="auto" w:fill="2264AD"/>
          </w:tcPr>
          <w:p>
            <w:pPr>
              <w:spacing w:after="0"/>
              <w:rPr>
                <w:sz w:val="4"/>
                <w:szCs w:val="4"/>
                <w:color w:val="auto"/>
              </w:rPr>
            </w:pPr>
          </w:p>
        </w:tc>
        <w:tc>
          <w:tcPr>
            <w:tcW w:w="480" w:type="dxa"/>
            <w:vAlign w:val="bottom"/>
            <w:tcBorders>
              <w:bottom w:val="single" w:sz="8" w:color="000B78"/>
            </w:tcBorders>
          </w:tcPr>
          <w:p>
            <w:pPr>
              <w:spacing w:after="0"/>
              <w:rPr>
                <w:sz w:val="4"/>
                <w:szCs w:val="4"/>
                <w:color w:val="auto"/>
              </w:rPr>
            </w:pPr>
          </w:p>
        </w:tc>
        <w:tc>
          <w:tcPr>
            <w:tcW w:w="780" w:type="dxa"/>
            <w:vAlign w:val="bottom"/>
            <w:tcBorders>
              <w:bottom w:val="single" w:sz="8" w:color="000B78"/>
            </w:tcBorders>
            <w:gridSpan w:val="3"/>
            <w:vMerge w:val="restart"/>
            <w:shd w:val="clear" w:color="auto" w:fill="000B78"/>
          </w:tcPr>
          <w:p>
            <w:pPr>
              <w:jc w:val="right"/>
              <w:ind w:right="145"/>
              <w:spacing w:after="0"/>
              <w:rPr>
                <w:sz w:val="20"/>
                <w:szCs w:val="20"/>
                <w:color w:val="auto"/>
              </w:rPr>
            </w:pPr>
            <w:r>
              <w:rPr>
                <w:rFonts w:ascii="Arial" w:cs="Arial" w:eastAsia="Arial" w:hAnsi="Arial"/>
                <w:sz w:val="16"/>
                <w:szCs w:val="16"/>
                <w:b w:val="1"/>
                <w:bCs w:val="1"/>
                <w:color w:val="FFFFFF"/>
              </w:rPr>
              <w:t>$6.2</w:t>
            </w:r>
          </w:p>
        </w:tc>
        <w:tc>
          <w:tcPr>
            <w:tcW w:w="60" w:type="dxa"/>
            <w:vAlign w:val="bottom"/>
            <w:tcBorders>
              <w:bottom w:val="single" w:sz="8" w:color="000B78"/>
            </w:tcBorders>
          </w:tcPr>
          <w:p>
            <w:pPr>
              <w:spacing w:after="0"/>
              <w:rPr>
                <w:sz w:val="4"/>
                <w:szCs w:val="4"/>
                <w:color w:val="auto"/>
              </w:rPr>
            </w:pPr>
          </w:p>
        </w:tc>
        <w:tc>
          <w:tcPr>
            <w:tcW w:w="300" w:type="dxa"/>
            <w:vAlign w:val="bottom"/>
            <w:tcBorders>
              <w:bottom w:val="single" w:sz="8" w:color="000B78"/>
            </w:tcBorders>
          </w:tcPr>
          <w:p>
            <w:pPr>
              <w:spacing w:after="0"/>
              <w:rPr>
                <w:sz w:val="4"/>
                <w:szCs w:val="4"/>
                <w:color w:val="auto"/>
              </w:rPr>
            </w:pPr>
          </w:p>
        </w:tc>
        <w:tc>
          <w:tcPr>
            <w:tcW w:w="20" w:type="dxa"/>
            <w:vAlign w:val="bottom"/>
            <w:tcBorders>
              <w:bottom w:val="single" w:sz="8" w:color="000B78"/>
            </w:tcBorders>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5"/>
            <w:vMerge w:val="continue"/>
          </w:tcPr>
          <w:p>
            <w:pPr>
              <w:spacing w:after="0"/>
              <w:rPr>
                <w:sz w:val="4"/>
                <w:szCs w:val="4"/>
                <w:color w:val="auto"/>
              </w:rPr>
            </w:pPr>
          </w:p>
        </w:tc>
        <w:tc>
          <w:tcPr>
            <w:tcW w:w="280" w:type="dxa"/>
            <w:vAlign w:val="bottom"/>
            <w:tcBorders>
              <w:bottom w:val="single" w:sz="8" w:color="000B78"/>
            </w:tcBorders>
          </w:tcPr>
          <w:p>
            <w:pPr>
              <w:spacing w:after="0"/>
              <w:rPr>
                <w:sz w:val="4"/>
                <w:szCs w:val="4"/>
                <w:color w:val="auto"/>
              </w:rPr>
            </w:pPr>
          </w:p>
        </w:tc>
        <w:tc>
          <w:tcPr>
            <w:tcW w:w="20" w:type="dxa"/>
            <w:vAlign w:val="bottom"/>
            <w:tcBorders>
              <w:bottom w:val="single" w:sz="8" w:color="000B78"/>
            </w:tcBorders>
          </w:tcPr>
          <w:p>
            <w:pPr>
              <w:spacing w:after="0"/>
              <w:rPr>
                <w:sz w:val="4"/>
                <w:szCs w:val="4"/>
                <w:color w:val="auto"/>
              </w:rPr>
            </w:pPr>
          </w:p>
        </w:tc>
        <w:tc>
          <w:tcPr>
            <w:tcW w:w="80" w:type="dxa"/>
            <w:vAlign w:val="bottom"/>
            <w:tcBorders>
              <w:bottom w:val="single" w:sz="8" w:color="000B78"/>
            </w:tcBorders>
          </w:tcPr>
          <w:p>
            <w:pPr>
              <w:spacing w:after="0"/>
              <w:rPr>
                <w:sz w:val="4"/>
                <w:szCs w:val="4"/>
                <w:color w:val="auto"/>
              </w:rPr>
            </w:pPr>
          </w:p>
        </w:tc>
        <w:tc>
          <w:tcPr>
            <w:tcW w:w="160" w:type="dxa"/>
            <w:vAlign w:val="bottom"/>
            <w:tcBorders>
              <w:bottom w:val="single" w:sz="8" w:color="000B78"/>
            </w:tcBorders>
          </w:tcPr>
          <w:p>
            <w:pPr>
              <w:spacing w:after="0"/>
              <w:rPr>
                <w:sz w:val="4"/>
                <w:szCs w:val="4"/>
                <w:color w:val="auto"/>
              </w:rPr>
            </w:pPr>
          </w:p>
        </w:tc>
        <w:tc>
          <w:tcPr>
            <w:tcW w:w="540" w:type="dxa"/>
            <w:vAlign w:val="bottom"/>
            <w:tcBorders>
              <w:bottom w:val="single" w:sz="8" w:color="000B78"/>
            </w:tcBorders>
          </w:tcPr>
          <w:p>
            <w:pPr>
              <w:spacing w:after="0"/>
              <w:rPr>
                <w:sz w:val="4"/>
                <w:szCs w:val="4"/>
                <w:color w:val="auto"/>
              </w:rPr>
            </w:pPr>
          </w:p>
        </w:tc>
        <w:tc>
          <w:tcPr>
            <w:tcW w:w="480" w:type="dxa"/>
            <w:vAlign w:val="bottom"/>
            <w:tcBorders>
              <w:bottom w:val="single" w:sz="8" w:color="000B78"/>
            </w:tcBorders>
          </w:tcPr>
          <w:p>
            <w:pPr>
              <w:spacing w:after="0"/>
              <w:rPr>
                <w:sz w:val="4"/>
                <w:szCs w:val="4"/>
                <w:color w:val="auto"/>
              </w:rPr>
            </w:pPr>
          </w:p>
        </w:tc>
        <w:tc>
          <w:tcPr>
            <w:tcW w:w="260" w:type="dxa"/>
            <w:vAlign w:val="bottom"/>
            <w:tcBorders>
              <w:bottom w:val="single" w:sz="8" w:color="000B78"/>
            </w:tcBorders>
          </w:tcPr>
          <w:p>
            <w:pPr>
              <w:spacing w:after="0"/>
              <w:rPr>
                <w:sz w:val="4"/>
                <w:szCs w:val="4"/>
                <w:color w:val="auto"/>
              </w:rPr>
            </w:pPr>
          </w:p>
        </w:tc>
        <w:tc>
          <w:tcPr>
            <w:tcW w:w="140" w:type="dxa"/>
            <w:vAlign w:val="bottom"/>
            <w:tcBorders>
              <w:bottom w:val="single" w:sz="8" w:color="000B78"/>
            </w:tcBorders>
          </w:tcPr>
          <w:p>
            <w:pPr>
              <w:spacing w:after="0"/>
              <w:rPr>
                <w:sz w:val="4"/>
                <w:szCs w:val="4"/>
                <w:color w:val="auto"/>
              </w:rPr>
            </w:pPr>
          </w:p>
        </w:tc>
        <w:tc>
          <w:tcPr>
            <w:tcW w:w="120" w:type="dxa"/>
            <w:vAlign w:val="bottom"/>
            <w:tcBorders>
              <w:bottom w:val="single" w:sz="8" w:color="000B78"/>
            </w:tcBorders>
          </w:tcPr>
          <w:p>
            <w:pPr>
              <w:spacing w:after="0"/>
              <w:rPr>
                <w:sz w:val="4"/>
                <w:szCs w:val="4"/>
                <w:color w:val="auto"/>
              </w:rPr>
            </w:pPr>
          </w:p>
        </w:tc>
        <w:tc>
          <w:tcPr>
            <w:tcW w:w="280" w:type="dxa"/>
            <w:vAlign w:val="bottom"/>
            <w:tcBorders>
              <w:bottom w:val="single" w:sz="8" w:color="000B78"/>
            </w:tcBorders>
          </w:tcPr>
          <w:p>
            <w:pPr>
              <w:spacing w:after="0"/>
              <w:rPr>
                <w:sz w:val="4"/>
                <w:szCs w:val="4"/>
                <w:color w:val="auto"/>
              </w:rPr>
            </w:pPr>
          </w:p>
        </w:tc>
        <w:tc>
          <w:tcPr>
            <w:tcW w:w="20" w:type="dxa"/>
            <w:vAlign w:val="bottom"/>
            <w:tcBorders>
              <w:bottom w:val="single" w:sz="8" w:color="000B78"/>
            </w:tcBorders>
          </w:tcPr>
          <w:p>
            <w:pPr>
              <w:spacing w:after="0"/>
              <w:rPr>
                <w:sz w:val="4"/>
                <w:szCs w:val="4"/>
                <w:color w:val="auto"/>
              </w:rPr>
            </w:pPr>
          </w:p>
        </w:tc>
        <w:tc>
          <w:tcPr>
            <w:tcW w:w="140" w:type="dxa"/>
            <w:vAlign w:val="bottom"/>
            <w:tcBorders>
              <w:bottom w:val="single" w:sz="8" w:color="000B78"/>
            </w:tcBorders>
          </w:tcPr>
          <w:p>
            <w:pPr>
              <w:spacing w:after="0"/>
              <w:rPr>
                <w:sz w:val="4"/>
                <w:szCs w:val="4"/>
                <w:color w:val="auto"/>
              </w:rPr>
            </w:pPr>
          </w:p>
        </w:tc>
        <w:tc>
          <w:tcPr>
            <w:tcW w:w="100" w:type="dxa"/>
            <w:vAlign w:val="bottom"/>
            <w:tcBorders>
              <w:bottom w:val="single" w:sz="8" w:color="000B78"/>
            </w:tcBorders>
          </w:tcPr>
          <w:p>
            <w:pPr>
              <w:spacing w:after="0"/>
              <w:rPr>
                <w:sz w:val="4"/>
                <w:szCs w:val="4"/>
                <w:color w:val="auto"/>
              </w:rPr>
            </w:pPr>
          </w:p>
        </w:tc>
        <w:tc>
          <w:tcPr>
            <w:tcW w:w="120" w:type="dxa"/>
            <w:vAlign w:val="bottom"/>
            <w:tcBorders>
              <w:bottom w:val="single" w:sz="8" w:color="000B78"/>
            </w:tcBorders>
          </w:tcPr>
          <w:p>
            <w:pPr>
              <w:spacing w:after="0"/>
              <w:rPr>
                <w:sz w:val="4"/>
                <w:szCs w:val="4"/>
                <w:color w:val="auto"/>
              </w:rPr>
            </w:pPr>
          </w:p>
        </w:tc>
        <w:tc>
          <w:tcPr>
            <w:tcW w:w="100" w:type="dxa"/>
            <w:vAlign w:val="bottom"/>
            <w:tcBorders>
              <w:bottom w:val="single" w:sz="8" w:color="000B78"/>
            </w:tcBorders>
          </w:tcPr>
          <w:p>
            <w:pPr>
              <w:spacing w:after="0"/>
              <w:rPr>
                <w:sz w:val="4"/>
                <w:szCs w:val="4"/>
                <w:color w:val="auto"/>
              </w:rPr>
            </w:pPr>
          </w:p>
        </w:tc>
        <w:tc>
          <w:tcPr>
            <w:tcW w:w="200" w:type="dxa"/>
            <w:vAlign w:val="bottom"/>
            <w:tcBorders>
              <w:bottom w:val="single" w:sz="8" w:color="000B78"/>
            </w:tcBorders>
          </w:tcPr>
          <w:p>
            <w:pPr>
              <w:spacing w:after="0"/>
              <w:rPr>
                <w:sz w:val="4"/>
                <w:szCs w:val="4"/>
                <w:color w:val="auto"/>
              </w:rPr>
            </w:pPr>
          </w:p>
        </w:tc>
        <w:tc>
          <w:tcPr>
            <w:tcW w:w="120" w:type="dxa"/>
            <w:vAlign w:val="bottom"/>
            <w:tcBorders>
              <w:bottom w:val="single" w:sz="8" w:color="000B78"/>
            </w:tcBorders>
          </w:tcPr>
          <w:p>
            <w:pPr>
              <w:spacing w:after="0"/>
              <w:rPr>
                <w:sz w:val="4"/>
                <w:szCs w:val="4"/>
                <w:color w:val="auto"/>
              </w:rPr>
            </w:pPr>
          </w:p>
        </w:tc>
        <w:tc>
          <w:tcPr>
            <w:tcW w:w="120" w:type="dxa"/>
            <w:vAlign w:val="bottom"/>
            <w:tcBorders>
              <w:bottom w:val="single" w:sz="8" w:color="000B78"/>
            </w:tcBorders>
          </w:tcPr>
          <w:p>
            <w:pPr>
              <w:spacing w:after="0"/>
              <w:rPr>
                <w:sz w:val="4"/>
                <w:szCs w:val="4"/>
                <w:color w:val="auto"/>
              </w:rPr>
            </w:pPr>
          </w:p>
        </w:tc>
        <w:tc>
          <w:tcPr>
            <w:tcW w:w="120" w:type="dxa"/>
            <w:vAlign w:val="bottom"/>
            <w:tcBorders>
              <w:bottom w:val="single" w:sz="8" w:color="000B78"/>
            </w:tcBorders>
          </w:tcPr>
          <w:p>
            <w:pPr>
              <w:spacing w:after="0"/>
              <w:rPr>
                <w:sz w:val="4"/>
                <w:szCs w:val="4"/>
                <w:color w:val="auto"/>
              </w:rPr>
            </w:pPr>
          </w:p>
        </w:tc>
        <w:tc>
          <w:tcPr>
            <w:tcW w:w="240" w:type="dxa"/>
            <w:vAlign w:val="bottom"/>
            <w:tcBorders>
              <w:bottom w:val="single" w:sz="8" w:color="000B78"/>
            </w:tcBorders>
          </w:tcPr>
          <w:p>
            <w:pPr>
              <w:spacing w:after="0"/>
              <w:rPr>
                <w:sz w:val="4"/>
                <w:szCs w:val="4"/>
                <w:color w:val="auto"/>
              </w:rPr>
            </w:pPr>
          </w:p>
        </w:tc>
        <w:tc>
          <w:tcPr>
            <w:tcW w:w="180" w:type="dxa"/>
            <w:vAlign w:val="bottom"/>
            <w:tcBorders>
              <w:bottom w:val="single" w:sz="8" w:color="000B78"/>
            </w:tcBorders>
          </w:tcPr>
          <w:p>
            <w:pPr>
              <w:spacing w:after="0"/>
              <w:rPr>
                <w:sz w:val="4"/>
                <w:szCs w:val="4"/>
                <w:color w:val="auto"/>
              </w:rPr>
            </w:pPr>
          </w:p>
        </w:tc>
        <w:tc>
          <w:tcPr>
            <w:tcW w:w="160" w:type="dxa"/>
            <w:vAlign w:val="bottom"/>
            <w:tcBorders>
              <w:bottom w:val="single" w:sz="8" w:color="000B78"/>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right w:val="single" w:sz="8" w:color="2264AD"/>
            </w:tcBorders>
          </w:tcPr>
          <w:p>
            <w:pPr>
              <w:spacing w:after="0"/>
              <w:rPr>
                <w:sz w:val="6"/>
                <w:szCs w:val="6"/>
                <w:color w:val="auto"/>
              </w:rPr>
            </w:pPr>
          </w:p>
        </w:tc>
        <w:tc>
          <w:tcPr>
            <w:tcW w:w="780" w:type="dxa"/>
            <w:vAlign w:val="bottom"/>
            <w:gridSpan w:val="4"/>
            <w:vMerge w:val="continue"/>
            <w:shd w:val="clear" w:color="auto" w:fill="2264AD"/>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3"/>
            <w:vMerge w:val="continue"/>
            <w:shd w:val="clear" w:color="auto" w:fill="000B78"/>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5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2264AD"/>
            </w:tcBorders>
          </w:tcPr>
          <w:p>
            <w:pPr>
              <w:spacing w:after="0"/>
              <w:rPr>
                <w:sz w:val="10"/>
                <w:szCs w:val="10"/>
                <w:color w:val="auto"/>
              </w:rPr>
            </w:pPr>
          </w:p>
        </w:tc>
        <w:tc>
          <w:tcPr>
            <w:tcW w:w="780" w:type="dxa"/>
            <w:vAlign w:val="bottom"/>
            <w:gridSpan w:val="4"/>
            <w:vMerge w:val="continue"/>
            <w:shd w:val="clear" w:color="auto" w:fill="2264AD"/>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3"/>
            <w:vMerge w:val="continue"/>
            <w:shd w:val="clear" w:color="auto" w:fill="000B78"/>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000B78"/>
              </w:rPr>
              <w:t>18.9%</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right w:val="single" w:sz="8" w:color="2264AD"/>
            </w:tcBorders>
          </w:tcPr>
          <w:p>
            <w:pPr>
              <w:spacing w:after="0"/>
              <w:rPr>
                <w:sz w:val="6"/>
                <w:szCs w:val="6"/>
                <w:color w:val="auto"/>
              </w:rPr>
            </w:pPr>
          </w:p>
        </w:tc>
        <w:tc>
          <w:tcPr>
            <w:tcW w:w="300" w:type="dxa"/>
            <w:vAlign w:val="bottom"/>
            <w:shd w:val="clear" w:color="auto" w:fill="2264AD"/>
          </w:tcPr>
          <w:p>
            <w:pPr>
              <w:spacing w:after="0"/>
              <w:rPr>
                <w:sz w:val="6"/>
                <w:szCs w:val="6"/>
                <w:color w:val="auto"/>
              </w:rPr>
            </w:pPr>
          </w:p>
        </w:tc>
        <w:tc>
          <w:tcPr>
            <w:tcW w:w="120" w:type="dxa"/>
            <w:vAlign w:val="bottom"/>
            <w:shd w:val="clear" w:color="auto" w:fill="2264AD"/>
          </w:tcPr>
          <w:p>
            <w:pPr>
              <w:spacing w:after="0"/>
              <w:rPr>
                <w:sz w:val="6"/>
                <w:szCs w:val="6"/>
                <w:color w:val="auto"/>
              </w:rPr>
            </w:pPr>
          </w:p>
        </w:tc>
        <w:tc>
          <w:tcPr>
            <w:tcW w:w="140" w:type="dxa"/>
            <w:vAlign w:val="bottom"/>
            <w:shd w:val="clear" w:color="auto" w:fill="2264AD"/>
          </w:tcPr>
          <w:p>
            <w:pPr>
              <w:spacing w:after="0"/>
              <w:rPr>
                <w:sz w:val="6"/>
                <w:szCs w:val="6"/>
                <w:color w:val="auto"/>
              </w:rPr>
            </w:pPr>
          </w:p>
        </w:tc>
        <w:tc>
          <w:tcPr>
            <w:tcW w:w="220" w:type="dxa"/>
            <w:vAlign w:val="bottom"/>
            <w:shd w:val="clear" w:color="auto" w:fill="2264AD"/>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shd w:val="clear" w:color="auto" w:fill="000B78"/>
          </w:tcPr>
          <w:p>
            <w:pPr>
              <w:spacing w:after="0"/>
              <w:rPr>
                <w:sz w:val="6"/>
                <w:szCs w:val="6"/>
                <w:color w:val="auto"/>
              </w:rPr>
            </w:pPr>
          </w:p>
        </w:tc>
        <w:tc>
          <w:tcPr>
            <w:tcW w:w="40" w:type="dxa"/>
            <w:vAlign w:val="bottom"/>
            <w:shd w:val="clear" w:color="auto" w:fill="000B78"/>
          </w:tcPr>
          <w:p>
            <w:pPr>
              <w:spacing w:after="0"/>
              <w:rPr>
                <w:sz w:val="6"/>
                <w:szCs w:val="6"/>
                <w:color w:val="auto"/>
              </w:rPr>
            </w:pPr>
          </w:p>
        </w:tc>
        <w:tc>
          <w:tcPr>
            <w:tcW w:w="220" w:type="dxa"/>
            <w:vAlign w:val="bottom"/>
            <w:shd w:val="clear" w:color="auto" w:fill="000B78"/>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gridSpan w:val="7"/>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0B78"/>
              </w:rPr>
              <w:t>$4</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right w:val="single" w:sz="8" w:color="2264AD"/>
            </w:tcBorders>
          </w:tcPr>
          <w:p>
            <w:pPr>
              <w:spacing w:after="0"/>
              <w:rPr>
                <w:sz w:val="7"/>
                <w:szCs w:val="7"/>
                <w:color w:val="auto"/>
              </w:rPr>
            </w:pPr>
          </w:p>
        </w:tc>
        <w:tc>
          <w:tcPr>
            <w:tcW w:w="300" w:type="dxa"/>
            <w:vAlign w:val="bottom"/>
            <w:tcBorders>
              <w:bottom w:val="single" w:sz="8" w:color="2264AD"/>
            </w:tcBorders>
            <w:shd w:val="clear" w:color="auto" w:fill="2264AD"/>
          </w:tcPr>
          <w:p>
            <w:pPr>
              <w:spacing w:after="0"/>
              <w:rPr>
                <w:sz w:val="7"/>
                <w:szCs w:val="7"/>
                <w:color w:val="auto"/>
              </w:rPr>
            </w:pPr>
          </w:p>
        </w:tc>
        <w:tc>
          <w:tcPr>
            <w:tcW w:w="120" w:type="dxa"/>
            <w:vAlign w:val="bottom"/>
            <w:tcBorders>
              <w:bottom w:val="single" w:sz="8" w:color="2264AD"/>
            </w:tcBorders>
            <w:shd w:val="clear" w:color="auto" w:fill="2264AD"/>
          </w:tcPr>
          <w:p>
            <w:pPr>
              <w:spacing w:after="0"/>
              <w:rPr>
                <w:sz w:val="7"/>
                <w:szCs w:val="7"/>
                <w:color w:val="auto"/>
              </w:rPr>
            </w:pPr>
          </w:p>
        </w:tc>
        <w:tc>
          <w:tcPr>
            <w:tcW w:w="140" w:type="dxa"/>
            <w:vAlign w:val="bottom"/>
            <w:tcBorders>
              <w:bottom w:val="single" w:sz="8" w:color="2264AD"/>
            </w:tcBorders>
            <w:shd w:val="clear" w:color="auto" w:fill="2264AD"/>
          </w:tcPr>
          <w:p>
            <w:pPr>
              <w:spacing w:after="0"/>
              <w:rPr>
                <w:sz w:val="7"/>
                <w:szCs w:val="7"/>
                <w:color w:val="auto"/>
              </w:rPr>
            </w:pPr>
          </w:p>
        </w:tc>
        <w:tc>
          <w:tcPr>
            <w:tcW w:w="220" w:type="dxa"/>
            <w:vAlign w:val="bottom"/>
            <w:tcBorders>
              <w:bottom w:val="single" w:sz="8" w:color="2264AD"/>
            </w:tcBorders>
            <w:shd w:val="clear" w:color="auto" w:fill="2264AD"/>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Borders>
              <w:bottom w:val="single" w:sz="8" w:color="000B78"/>
            </w:tcBorders>
            <w:shd w:val="clear" w:color="auto" w:fill="000B78"/>
          </w:tcPr>
          <w:p>
            <w:pPr>
              <w:spacing w:after="0"/>
              <w:rPr>
                <w:sz w:val="7"/>
                <w:szCs w:val="7"/>
                <w:color w:val="auto"/>
              </w:rPr>
            </w:pPr>
          </w:p>
        </w:tc>
        <w:tc>
          <w:tcPr>
            <w:tcW w:w="40" w:type="dxa"/>
            <w:vAlign w:val="bottom"/>
            <w:tcBorders>
              <w:bottom w:val="single" w:sz="8" w:color="000B78"/>
            </w:tcBorders>
            <w:shd w:val="clear" w:color="auto" w:fill="000B78"/>
          </w:tcPr>
          <w:p>
            <w:pPr>
              <w:spacing w:after="0"/>
              <w:rPr>
                <w:sz w:val="7"/>
                <w:szCs w:val="7"/>
                <w:color w:val="auto"/>
              </w:rPr>
            </w:pPr>
          </w:p>
        </w:tc>
        <w:tc>
          <w:tcPr>
            <w:tcW w:w="220" w:type="dxa"/>
            <w:vAlign w:val="bottom"/>
            <w:tcBorders>
              <w:bottom w:val="single" w:sz="8" w:color="000B78"/>
            </w:tcBorders>
            <w:shd w:val="clear" w:color="auto" w:fill="000B78"/>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6"/>
                <w:szCs w:val="16"/>
                <w:b w:val="1"/>
                <w:bCs w:val="1"/>
                <w:color w:val="000B78"/>
              </w:rPr>
              <w:t>15%</w:t>
            </w:r>
          </w:p>
        </w:tc>
        <w:tc>
          <w:tcPr>
            <w:tcW w:w="280" w:type="dxa"/>
            <w:vAlign w:val="bottom"/>
            <w:tcBorders>
              <w:bottom w:val="single" w:sz="8" w:color="000B78"/>
            </w:tcBorders>
          </w:tcPr>
          <w:p>
            <w:pPr>
              <w:spacing w:after="0"/>
              <w:rPr>
                <w:sz w:val="7"/>
                <w:szCs w:val="7"/>
                <w:color w:val="auto"/>
              </w:rPr>
            </w:pPr>
          </w:p>
        </w:tc>
        <w:tc>
          <w:tcPr>
            <w:tcW w:w="20" w:type="dxa"/>
            <w:vAlign w:val="bottom"/>
            <w:tcBorders>
              <w:bottom w:val="single" w:sz="8" w:color="000B78"/>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Borders>
              <w:bottom w:val="single" w:sz="8" w:color="000B78"/>
            </w:tcBorders>
          </w:tcPr>
          <w:p>
            <w:pPr>
              <w:spacing w:after="0"/>
              <w:rPr>
                <w:sz w:val="7"/>
                <w:szCs w:val="7"/>
                <w:color w:val="auto"/>
              </w:rPr>
            </w:pPr>
          </w:p>
        </w:tc>
        <w:tc>
          <w:tcPr>
            <w:tcW w:w="260" w:type="dxa"/>
            <w:vAlign w:val="bottom"/>
            <w:tcBorders>
              <w:bottom w:val="single" w:sz="8" w:color="000B78"/>
            </w:tcBorders>
          </w:tcPr>
          <w:p>
            <w:pPr>
              <w:spacing w:after="0"/>
              <w:rPr>
                <w:sz w:val="7"/>
                <w:szCs w:val="7"/>
                <w:color w:val="auto"/>
              </w:rPr>
            </w:pPr>
          </w:p>
        </w:tc>
        <w:tc>
          <w:tcPr>
            <w:tcW w:w="14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280" w:type="dxa"/>
            <w:vAlign w:val="bottom"/>
            <w:tcBorders>
              <w:bottom w:val="single" w:sz="8" w:color="000B78"/>
            </w:tcBorders>
          </w:tcPr>
          <w:p>
            <w:pPr>
              <w:spacing w:after="0"/>
              <w:rPr>
                <w:sz w:val="7"/>
                <w:szCs w:val="7"/>
                <w:color w:val="auto"/>
              </w:rPr>
            </w:pPr>
          </w:p>
        </w:tc>
        <w:tc>
          <w:tcPr>
            <w:tcW w:w="20" w:type="dxa"/>
            <w:vAlign w:val="bottom"/>
            <w:tcBorders>
              <w:bottom w:val="single" w:sz="8" w:color="000B78"/>
            </w:tcBorders>
          </w:tcPr>
          <w:p>
            <w:pPr>
              <w:spacing w:after="0"/>
              <w:rPr>
                <w:sz w:val="7"/>
                <w:szCs w:val="7"/>
                <w:color w:val="auto"/>
              </w:rPr>
            </w:pPr>
          </w:p>
        </w:tc>
        <w:tc>
          <w:tcPr>
            <w:tcW w:w="140" w:type="dxa"/>
            <w:vAlign w:val="bottom"/>
            <w:tcBorders>
              <w:bottom w:val="single" w:sz="8" w:color="000B78"/>
            </w:tcBorders>
          </w:tcPr>
          <w:p>
            <w:pPr>
              <w:spacing w:after="0"/>
              <w:rPr>
                <w:sz w:val="7"/>
                <w:szCs w:val="7"/>
                <w:color w:val="auto"/>
              </w:rPr>
            </w:pPr>
          </w:p>
        </w:tc>
        <w:tc>
          <w:tcPr>
            <w:tcW w:w="10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100" w:type="dxa"/>
            <w:vAlign w:val="bottom"/>
            <w:tcBorders>
              <w:bottom w:val="single" w:sz="8" w:color="000B78"/>
            </w:tcBorders>
          </w:tcPr>
          <w:p>
            <w:pPr>
              <w:spacing w:after="0"/>
              <w:rPr>
                <w:sz w:val="7"/>
                <w:szCs w:val="7"/>
                <w:color w:val="auto"/>
              </w:rPr>
            </w:pPr>
          </w:p>
        </w:tc>
        <w:tc>
          <w:tcPr>
            <w:tcW w:w="20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240" w:type="dxa"/>
            <w:vAlign w:val="bottom"/>
            <w:tcBorders>
              <w:bottom w:val="single" w:sz="8" w:color="000B78"/>
            </w:tcBorders>
          </w:tcPr>
          <w:p>
            <w:pPr>
              <w:spacing w:after="0"/>
              <w:rPr>
                <w:sz w:val="7"/>
                <w:szCs w:val="7"/>
                <w:color w:val="auto"/>
              </w:rPr>
            </w:pPr>
          </w:p>
        </w:tc>
        <w:tc>
          <w:tcPr>
            <w:tcW w:w="180" w:type="dxa"/>
            <w:vAlign w:val="bottom"/>
            <w:tcBorders>
              <w:bottom w:val="single" w:sz="8" w:color="000B78"/>
            </w:tcBorders>
          </w:tcPr>
          <w:p>
            <w:pPr>
              <w:spacing w:after="0"/>
              <w:rPr>
                <w:sz w:val="7"/>
                <w:szCs w:val="7"/>
                <w:color w:val="auto"/>
              </w:rPr>
            </w:pPr>
          </w:p>
        </w:tc>
        <w:tc>
          <w:tcPr>
            <w:tcW w:w="160" w:type="dxa"/>
            <w:vAlign w:val="bottom"/>
            <w:tcBorders>
              <w:bottom w:val="single" w:sz="8" w:color="000B78"/>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5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2264AD"/>
            </w:tcBorders>
          </w:tcPr>
          <w:p>
            <w:pPr>
              <w:spacing w:after="0"/>
              <w:rPr>
                <w:sz w:val="10"/>
                <w:szCs w:val="10"/>
                <w:color w:val="auto"/>
              </w:rPr>
            </w:pPr>
          </w:p>
        </w:tc>
        <w:tc>
          <w:tcPr>
            <w:tcW w:w="300" w:type="dxa"/>
            <w:vAlign w:val="bottom"/>
            <w:shd w:val="clear" w:color="auto" w:fill="2264AD"/>
          </w:tcPr>
          <w:p>
            <w:pPr>
              <w:spacing w:after="0"/>
              <w:rPr>
                <w:sz w:val="10"/>
                <w:szCs w:val="10"/>
                <w:color w:val="auto"/>
              </w:rPr>
            </w:pPr>
          </w:p>
        </w:tc>
        <w:tc>
          <w:tcPr>
            <w:tcW w:w="120" w:type="dxa"/>
            <w:vAlign w:val="bottom"/>
            <w:shd w:val="clear" w:color="auto" w:fill="2264AD"/>
          </w:tcPr>
          <w:p>
            <w:pPr>
              <w:spacing w:after="0"/>
              <w:rPr>
                <w:sz w:val="10"/>
                <w:szCs w:val="10"/>
                <w:color w:val="auto"/>
              </w:rPr>
            </w:pPr>
          </w:p>
        </w:tc>
        <w:tc>
          <w:tcPr>
            <w:tcW w:w="140" w:type="dxa"/>
            <w:vAlign w:val="bottom"/>
            <w:shd w:val="clear" w:color="auto" w:fill="2264AD"/>
          </w:tcPr>
          <w:p>
            <w:pPr>
              <w:spacing w:after="0"/>
              <w:rPr>
                <w:sz w:val="10"/>
                <w:szCs w:val="10"/>
                <w:color w:val="auto"/>
              </w:rPr>
            </w:pPr>
          </w:p>
        </w:tc>
        <w:tc>
          <w:tcPr>
            <w:tcW w:w="220" w:type="dxa"/>
            <w:vAlign w:val="bottom"/>
            <w:shd w:val="clear" w:color="auto" w:fill="2264AD"/>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shd w:val="clear" w:color="auto" w:fill="000B78"/>
          </w:tcPr>
          <w:p>
            <w:pPr>
              <w:spacing w:after="0"/>
              <w:rPr>
                <w:sz w:val="10"/>
                <w:szCs w:val="10"/>
                <w:color w:val="auto"/>
              </w:rPr>
            </w:pPr>
          </w:p>
        </w:tc>
        <w:tc>
          <w:tcPr>
            <w:tcW w:w="40" w:type="dxa"/>
            <w:vAlign w:val="bottom"/>
            <w:shd w:val="clear" w:color="auto" w:fill="000B78"/>
          </w:tcPr>
          <w:p>
            <w:pPr>
              <w:spacing w:after="0"/>
              <w:rPr>
                <w:sz w:val="10"/>
                <w:szCs w:val="10"/>
                <w:color w:val="auto"/>
              </w:rPr>
            </w:pPr>
          </w:p>
        </w:tc>
        <w:tc>
          <w:tcPr>
            <w:tcW w:w="220" w:type="dxa"/>
            <w:vAlign w:val="bottom"/>
            <w:shd w:val="clear" w:color="auto" w:fill="000B78"/>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60" w:type="dxa"/>
            <w:vAlign w:val="bottom"/>
            <w:vMerge w:val="continue"/>
          </w:tcPr>
          <w:p>
            <w:pPr>
              <w:spacing w:after="0"/>
              <w:rPr>
                <w:sz w:val="10"/>
                <w:szCs w:val="10"/>
                <w:color w:val="auto"/>
              </w:rPr>
            </w:pPr>
          </w:p>
        </w:tc>
        <w:tc>
          <w:tcPr>
            <w:tcW w:w="140" w:type="dxa"/>
            <w:vAlign w:val="bottom"/>
            <w:tcBorders>
              <w:bottom w:val="single" w:sz="8" w:color="000B78"/>
            </w:tcBorders>
          </w:tcPr>
          <w:p>
            <w:pPr>
              <w:spacing w:after="0"/>
              <w:rPr>
                <w:sz w:val="10"/>
                <w:szCs w:val="10"/>
                <w:color w:val="auto"/>
              </w:rPr>
            </w:pPr>
          </w:p>
        </w:tc>
        <w:tc>
          <w:tcPr>
            <w:tcW w:w="120" w:type="dxa"/>
            <w:vAlign w:val="bottom"/>
            <w:tcBorders>
              <w:bottom w:val="single" w:sz="8" w:color="000B78"/>
            </w:tcBorders>
          </w:tcPr>
          <w:p>
            <w:pPr>
              <w:spacing w:after="0"/>
              <w:rPr>
                <w:sz w:val="10"/>
                <w:szCs w:val="10"/>
                <w:color w:val="auto"/>
              </w:rPr>
            </w:pPr>
          </w:p>
        </w:tc>
        <w:tc>
          <w:tcPr>
            <w:tcW w:w="40" w:type="dxa"/>
            <w:vAlign w:val="bottom"/>
            <w:tcBorders>
              <w:bottom w:val="single" w:sz="8" w:color="000B78"/>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000B78"/>
            </w:tcBorders>
          </w:tcPr>
          <w:p>
            <w:pPr>
              <w:spacing w:after="0"/>
              <w:rPr>
                <w:sz w:val="10"/>
                <w:szCs w:val="10"/>
                <w:color w:val="auto"/>
              </w:rPr>
            </w:pPr>
          </w:p>
        </w:tc>
        <w:tc>
          <w:tcPr>
            <w:tcW w:w="260" w:type="dxa"/>
            <w:vAlign w:val="bottom"/>
            <w:tcBorders>
              <w:bottom w:val="single" w:sz="8" w:color="000B78"/>
            </w:tcBorders>
          </w:tcPr>
          <w:p>
            <w:pPr>
              <w:spacing w:after="0"/>
              <w:rPr>
                <w:sz w:val="10"/>
                <w:szCs w:val="10"/>
                <w:color w:val="auto"/>
              </w:rPr>
            </w:pPr>
          </w:p>
        </w:tc>
        <w:tc>
          <w:tcPr>
            <w:tcW w:w="120" w:type="dxa"/>
            <w:vAlign w:val="bottom"/>
            <w:tcBorders>
              <w:bottom w:val="single" w:sz="8" w:color="000B78"/>
              <w:right w:val="single" w:sz="8" w:color="2264AD"/>
            </w:tcBorders>
          </w:tcPr>
          <w:p>
            <w:pPr>
              <w:spacing w:after="0"/>
              <w:rPr>
                <w:sz w:val="10"/>
                <w:szCs w:val="10"/>
                <w:color w:val="auto"/>
              </w:rPr>
            </w:pPr>
          </w:p>
        </w:tc>
        <w:tc>
          <w:tcPr>
            <w:tcW w:w="300" w:type="dxa"/>
            <w:vAlign w:val="bottom"/>
            <w:tcBorders>
              <w:bottom w:val="single" w:sz="8" w:color="2264AD"/>
            </w:tcBorders>
            <w:shd w:val="clear" w:color="auto" w:fill="2264AD"/>
          </w:tcPr>
          <w:p>
            <w:pPr>
              <w:spacing w:after="0"/>
              <w:rPr>
                <w:sz w:val="10"/>
                <w:szCs w:val="10"/>
                <w:color w:val="auto"/>
              </w:rPr>
            </w:pPr>
          </w:p>
        </w:tc>
        <w:tc>
          <w:tcPr>
            <w:tcW w:w="120" w:type="dxa"/>
            <w:vAlign w:val="bottom"/>
            <w:tcBorders>
              <w:bottom w:val="single" w:sz="8" w:color="2264AD"/>
            </w:tcBorders>
            <w:shd w:val="clear" w:color="auto" w:fill="2264AD"/>
          </w:tcPr>
          <w:p>
            <w:pPr>
              <w:spacing w:after="0"/>
              <w:rPr>
                <w:sz w:val="10"/>
                <w:szCs w:val="10"/>
                <w:color w:val="auto"/>
              </w:rPr>
            </w:pPr>
          </w:p>
        </w:tc>
        <w:tc>
          <w:tcPr>
            <w:tcW w:w="140" w:type="dxa"/>
            <w:vAlign w:val="bottom"/>
            <w:tcBorders>
              <w:bottom w:val="single" w:sz="8" w:color="2264AD"/>
            </w:tcBorders>
            <w:shd w:val="clear" w:color="auto" w:fill="2264AD"/>
          </w:tcPr>
          <w:p>
            <w:pPr>
              <w:spacing w:after="0"/>
              <w:rPr>
                <w:sz w:val="10"/>
                <w:szCs w:val="10"/>
                <w:color w:val="auto"/>
              </w:rPr>
            </w:pPr>
          </w:p>
        </w:tc>
        <w:tc>
          <w:tcPr>
            <w:tcW w:w="220" w:type="dxa"/>
            <w:vAlign w:val="bottom"/>
            <w:tcBorders>
              <w:bottom w:val="single" w:sz="8" w:color="2264AD"/>
            </w:tcBorders>
            <w:shd w:val="clear" w:color="auto" w:fill="2264AD"/>
          </w:tcPr>
          <w:p>
            <w:pPr>
              <w:spacing w:after="0"/>
              <w:rPr>
                <w:sz w:val="10"/>
                <w:szCs w:val="10"/>
                <w:color w:val="auto"/>
              </w:rPr>
            </w:pPr>
          </w:p>
        </w:tc>
        <w:tc>
          <w:tcPr>
            <w:tcW w:w="480" w:type="dxa"/>
            <w:vAlign w:val="bottom"/>
            <w:tcBorders>
              <w:bottom w:val="single" w:sz="8" w:color="000B78"/>
            </w:tcBorders>
          </w:tcPr>
          <w:p>
            <w:pPr>
              <w:spacing w:after="0"/>
              <w:rPr>
                <w:sz w:val="10"/>
                <w:szCs w:val="10"/>
                <w:color w:val="auto"/>
              </w:rPr>
            </w:pPr>
          </w:p>
        </w:tc>
        <w:tc>
          <w:tcPr>
            <w:tcW w:w="520" w:type="dxa"/>
            <w:vAlign w:val="bottom"/>
            <w:tcBorders>
              <w:bottom w:val="single" w:sz="8" w:color="000B78"/>
            </w:tcBorders>
            <w:shd w:val="clear" w:color="auto" w:fill="000B78"/>
          </w:tcPr>
          <w:p>
            <w:pPr>
              <w:spacing w:after="0"/>
              <w:rPr>
                <w:sz w:val="10"/>
                <w:szCs w:val="10"/>
                <w:color w:val="auto"/>
              </w:rPr>
            </w:pPr>
          </w:p>
        </w:tc>
        <w:tc>
          <w:tcPr>
            <w:tcW w:w="40" w:type="dxa"/>
            <w:vAlign w:val="bottom"/>
            <w:tcBorders>
              <w:bottom w:val="single" w:sz="8" w:color="000B78"/>
            </w:tcBorders>
            <w:shd w:val="clear" w:color="auto" w:fill="000B78"/>
          </w:tcPr>
          <w:p>
            <w:pPr>
              <w:spacing w:after="0"/>
              <w:rPr>
                <w:sz w:val="10"/>
                <w:szCs w:val="10"/>
                <w:color w:val="auto"/>
              </w:rPr>
            </w:pPr>
          </w:p>
        </w:tc>
        <w:tc>
          <w:tcPr>
            <w:tcW w:w="220" w:type="dxa"/>
            <w:vAlign w:val="bottom"/>
            <w:tcBorders>
              <w:bottom w:val="single" w:sz="8" w:color="000B78"/>
            </w:tcBorders>
            <w:shd w:val="clear" w:color="auto" w:fill="000B78"/>
          </w:tcPr>
          <w:p>
            <w:pPr>
              <w:spacing w:after="0"/>
              <w:rPr>
                <w:sz w:val="10"/>
                <w:szCs w:val="10"/>
                <w:color w:val="auto"/>
              </w:rPr>
            </w:pPr>
          </w:p>
        </w:tc>
        <w:tc>
          <w:tcPr>
            <w:tcW w:w="60" w:type="dxa"/>
            <w:vAlign w:val="bottom"/>
            <w:tcBorders>
              <w:bottom w:val="single" w:sz="8" w:color="000B78"/>
            </w:tcBorders>
          </w:tcPr>
          <w:p>
            <w:pPr>
              <w:spacing w:after="0"/>
              <w:rPr>
                <w:sz w:val="10"/>
                <w:szCs w:val="10"/>
                <w:color w:val="auto"/>
              </w:rPr>
            </w:pPr>
          </w:p>
        </w:tc>
        <w:tc>
          <w:tcPr>
            <w:tcW w:w="300" w:type="dxa"/>
            <w:vAlign w:val="bottom"/>
            <w:tcBorders>
              <w:bottom w:val="single" w:sz="8" w:color="000B78"/>
            </w:tcBorders>
          </w:tcPr>
          <w:p>
            <w:pPr>
              <w:spacing w:after="0"/>
              <w:rPr>
                <w:sz w:val="10"/>
                <w:szCs w:val="10"/>
                <w:color w:val="auto"/>
              </w:rPr>
            </w:pPr>
          </w:p>
        </w:tc>
        <w:tc>
          <w:tcPr>
            <w:tcW w:w="20" w:type="dxa"/>
            <w:vAlign w:val="bottom"/>
            <w:tcBorders>
              <w:bottom w:val="single" w:sz="8" w:color="000B78"/>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6"/>
                <w:szCs w:val="16"/>
                <w:b w:val="1"/>
                <w:bCs w:val="1"/>
                <w:color w:val="000B78"/>
              </w:rPr>
              <w:t>10%</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right w:val="single" w:sz="8" w:color="2264AD"/>
            </w:tcBorders>
          </w:tcPr>
          <w:p>
            <w:pPr>
              <w:spacing w:after="0"/>
              <w:rPr>
                <w:sz w:val="7"/>
                <w:szCs w:val="7"/>
                <w:color w:val="auto"/>
              </w:rPr>
            </w:pPr>
          </w:p>
        </w:tc>
        <w:tc>
          <w:tcPr>
            <w:tcW w:w="300" w:type="dxa"/>
            <w:vAlign w:val="bottom"/>
            <w:tcBorders>
              <w:bottom w:val="single" w:sz="8" w:color="2264AD"/>
            </w:tcBorders>
            <w:shd w:val="clear" w:color="auto" w:fill="2264AD"/>
          </w:tcPr>
          <w:p>
            <w:pPr>
              <w:spacing w:after="0"/>
              <w:rPr>
                <w:sz w:val="7"/>
                <w:szCs w:val="7"/>
                <w:color w:val="auto"/>
              </w:rPr>
            </w:pPr>
          </w:p>
        </w:tc>
        <w:tc>
          <w:tcPr>
            <w:tcW w:w="120" w:type="dxa"/>
            <w:vAlign w:val="bottom"/>
            <w:tcBorders>
              <w:bottom w:val="single" w:sz="8" w:color="2264AD"/>
            </w:tcBorders>
            <w:shd w:val="clear" w:color="auto" w:fill="2264AD"/>
          </w:tcPr>
          <w:p>
            <w:pPr>
              <w:spacing w:after="0"/>
              <w:rPr>
                <w:sz w:val="7"/>
                <w:szCs w:val="7"/>
                <w:color w:val="auto"/>
              </w:rPr>
            </w:pPr>
          </w:p>
        </w:tc>
        <w:tc>
          <w:tcPr>
            <w:tcW w:w="140" w:type="dxa"/>
            <w:vAlign w:val="bottom"/>
            <w:tcBorders>
              <w:bottom w:val="single" w:sz="8" w:color="2264AD"/>
            </w:tcBorders>
            <w:shd w:val="clear" w:color="auto" w:fill="2264AD"/>
          </w:tcPr>
          <w:p>
            <w:pPr>
              <w:spacing w:after="0"/>
              <w:rPr>
                <w:sz w:val="7"/>
                <w:szCs w:val="7"/>
                <w:color w:val="auto"/>
              </w:rPr>
            </w:pPr>
          </w:p>
        </w:tc>
        <w:tc>
          <w:tcPr>
            <w:tcW w:w="220" w:type="dxa"/>
            <w:vAlign w:val="bottom"/>
            <w:tcBorders>
              <w:bottom w:val="single" w:sz="8" w:color="2264AD"/>
            </w:tcBorders>
            <w:shd w:val="clear" w:color="auto" w:fill="2264AD"/>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Borders>
              <w:bottom w:val="single" w:sz="8" w:color="000B78"/>
            </w:tcBorders>
            <w:shd w:val="clear" w:color="auto" w:fill="000B78"/>
          </w:tcPr>
          <w:p>
            <w:pPr>
              <w:spacing w:after="0"/>
              <w:rPr>
                <w:sz w:val="7"/>
                <w:szCs w:val="7"/>
                <w:color w:val="auto"/>
              </w:rPr>
            </w:pPr>
          </w:p>
        </w:tc>
        <w:tc>
          <w:tcPr>
            <w:tcW w:w="40" w:type="dxa"/>
            <w:vAlign w:val="bottom"/>
            <w:tcBorders>
              <w:bottom w:val="single" w:sz="8" w:color="000B78"/>
            </w:tcBorders>
            <w:shd w:val="clear" w:color="auto" w:fill="000B78"/>
          </w:tcPr>
          <w:p>
            <w:pPr>
              <w:spacing w:after="0"/>
              <w:rPr>
                <w:sz w:val="7"/>
                <w:szCs w:val="7"/>
                <w:color w:val="auto"/>
              </w:rPr>
            </w:pPr>
          </w:p>
        </w:tc>
        <w:tc>
          <w:tcPr>
            <w:tcW w:w="220" w:type="dxa"/>
            <w:vAlign w:val="bottom"/>
            <w:tcBorders>
              <w:bottom w:val="single" w:sz="8" w:color="000B78"/>
            </w:tcBorders>
            <w:shd w:val="clear" w:color="auto" w:fill="000B78"/>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5"/>
            <w:vMerge w:val="continue"/>
          </w:tcPr>
          <w:p>
            <w:pPr>
              <w:spacing w:after="0"/>
              <w:rPr>
                <w:sz w:val="7"/>
                <w:szCs w:val="7"/>
                <w:color w:val="auto"/>
              </w:rPr>
            </w:pPr>
          </w:p>
        </w:tc>
        <w:tc>
          <w:tcPr>
            <w:tcW w:w="280" w:type="dxa"/>
            <w:vAlign w:val="bottom"/>
            <w:tcBorders>
              <w:bottom w:val="single" w:sz="8" w:color="000B78"/>
            </w:tcBorders>
          </w:tcPr>
          <w:p>
            <w:pPr>
              <w:spacing w:after="0"/>
              <w:rPr>
                <w:sz w:val="7"/>
                <w:szCs w:val="7"/>
                <w:color w:val="auto"/>
              </w:rPr>
            </w:pPr>
          </w:p>
        </w:tc>
        <w:tc>
          <w:tcPr>
            <w:tcW w:w="20" w:type="dxa"/>
            <w:vAlign w:val="bottom"/>
            <w:tcBorders>
              <w:bottom w:val="single" w:sz="8" w:color="000B78"/>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Borders>
              <w:bottom w:val="single" w:sz="8" w:color="000B78"/>
            </w:tcBorders>
          </w:tcPr>
          <w:p>
            <w:pPr>
              <w:spacing w:after="0"/>
              <w:rPr>
                <w:sz w:val="7"/>
                <w:szCs w:val="7"/>
                <w:color w:val="auto"/>
              </w:rPr>
            </w:pPr>
          </w:p>
        </w:tc>
        <w:tc>
          <w:tcPr>
            <w:tcW w:w="260" w:type="dxa"/>
            <w:vAlign w:val="bottom"/>
            <w:tcBorders>
              <w:bottom w:val="single" w:sz="8" w:color="000B78"/>
            </w:tcBorders>
          </w:tcPr>
          <w:p>
            <w:pPr>
              <w:spacing w:after="0"/>
              <w:rPr>
                <w:sz w:val="7"/>
                <w:szCs w:val="7"/>
                <w:color w:val="auto"/>
              </w:rPr>
            </w:pPr>
          </w:p>
        </w:tc>
        <w:tc>
          <w:tcPr>
            <w:tcW w:w="14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280" w:type="dxa"/>
            <w:vAlign w:val="bottom"/>
            <w:tcBorders>
              <w:bottom w:val="single" w:sz="8" w:color="000B78"/>
            </w:tcBorders>
          </w:tcPr>
          <w:p>
            <w:pPr>
              <w:spacing w:after="0"/>
              <w:rPr>
                <w:sz w:val="7"/>
                <w:szCs w:val="7"/>
                <w:color w:val="auto"/>
              </w:rPr>
            </w:pPr>
          </w:p>
        </w:tc>
        <w:tc>
          <w:tcPr>
            <w:tcW w:w="20" w:type="dxa"/>
            <w:vAlign w:val="bottom"/>
            <w:tcBorders>
              <w:bottom w:val="single" w:sz="8" w:color="000B78"/>
            </w:tcBorders>
          </w:tcPr>
          <w:p>
            <w:pPr>
              <w:spacing w:after="0"/>
              <w:rPr>
                <w:sz w:val="7"/>
                <w:szCs w:val="7"/>
                <w:color w:val="auto"/>
              </w:rPr>
            </w:pPr>
          </w:p>
        </w:tc>
        <w:tc>
          <w:tcPr>
            <w:tcW w:w="140" w:type="dxa"/>
            <w:vAlign w:val="bottom"/>
            <w:tcBorders>
              <w:bottom w:val="single" w:sz="8" w:color="000B78"/>
            </w:tcBorders>
          </w:tcPr>
          <w:p>
            <w:pPr>
              <w:spacing w:after="0"/>
              <w:rPr>
                <w:sz w:val="7"/>
                <w:szCs w:val="7"/>
                <w:color w:val="auto"/>
              </w:rPr>
            </w:pPr>
          </w:p>
        </w:tc>
        <w:tc>
          <w:tcPr>
            <w:tcW w:w="10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100" w:type="dxa"/>
            <w:vAlign w:val="bottom"/>
            <w:tcBorders>
              <w:bottom w:val="single" w:sz="8" w:color="000B78"/>
            </w:tcBorders>
          </w:tcPr>
          <w:p>
            <w:pPr>
              <w:spacing w:after="0"/>
              <w:rPr>
                <w:sz w:val="7"/>
                <w:szCs w:val="7"/>
                <w:color w:val="auto"/>
              </w:rPr>
            </w:pPr>
          </w:p>
        </w:tc>
        <w:tc>
          <w:tcPr>
            <w:tcW w:w="20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120" w:type="dxa"/>
            <w:vAlign w:val="bottom"/>
            <w:tcBorders>
              <w:bottom w:val="single" w:sz="8" w:color="000B78"/>
            </w:tcBorders>
          </w:tcPr>
          <w:p>
            <w:pPr>
              <w:spacing w:after="0"/>
              <w:rPr>
                <w:sz w:val="7"/>
                <w:szCs w:val="7"/>
                <w:color w:val="auto"/>
              </w:rPr>
            </w:pPr>
          </w:p>
        </w:tc>
        <w:tc>
          <w:tcPr>
            <w:tcW w:w="240" w:type="dxa"/>
            <w:vAlign w:val="bottom"/>
            <w:tcBorders>
              <w:bottom w:val="single" w:sz="8" w:color="000B78"/>
            </w:tcBorders>
          </w:tcPr>
          <w:p>
            <w:pPr>
              <w:spacing w:after="0"/>
              <w:rPr>
                <w:sz w:val="7"/>
                <w:szCs w:val="7"/>
                <w:color w:val="auto"/>
              </w:rPr>
            </w:pPr>
          </w:p>
        </w:tc>
        <w:tc>
          <w:tcPr>
            <w:tcW w:w="180" w:type="dxa"/>
            <w:vAlign w:val="bottom"/>
            <w:tcBorders>
              <w:bottom w:val="single" w:sz="8" w:color="000B78"/>
            </w:tcBorders>
          </w:tcPr>
          <w:p>
            <w:pPr>
              <w:spacing w:after="0"/>
              <w:rPr>
                <w:sz w:val="7"/>
                <w:szCs w:val="7"/>
                <w:color w:val="auto"/>
              </w:rPr>
            </w:pPr>
          </w:p>
        </w:tc>
        <w:tc>
          <w:tcPr>
            <w:tcW w:w="160" w:type="dxa"/>
            <w:vAlign w:val="bottom"/>
            <w:tcBorders>
              <w:bottom w:val="single" w:sz="8" w:color="000B78"/>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2264AD"/>
            </w:tcBorders>
          </w:tcPr>
          <w:p>
            <w:pPr>
              <w:spacing w:after="0"/>
              <w:rPr>
                <w:sz w:val="10"/>
                <w:szCs w:val="10"/>
                <w:color w:val="auto"/>
              </w:rPr>
            </w:pPr>
          </w:p>
        </w:tc>
        <w:tc>
          <w:tcPr>
            <w:tcW w:w="300" w:type="dxa"/>
            <w:vAlign w:val="bottom"/>
            <w:shd w:val="clear" w:color="auto" w:fill="2264AD"/>
          </w:tcPr>
          <w:p>
            <w:pPr>
              <w:spacing w:after="0"/>
              <w:rPr>
                <w:sz w:val="10"/>
                <w:szCs w:val="10"/>
                <w:color w:val="auto"/>
              </w:rPr>
            </w:pPr>
          </w:p>
        </w:tc>
        <w:tc>
          <w:tcPr>
            <w:tcW w:w="120" w:type="dxa"/>
            <w:vAlign w:val="bottom"/>
            <w:shd w:val="clear" w:color="auto" w:fill="2264AD"/>
          </w:tcPr>
          <w:p>
            <w:pPr>
              <w:spacing w:after="0"/>
              <w:rPr>
                <w:sz w:val="10"/>
                <w:szCs w:val="10"/>
                <w:color w:val="auto"/>
              </w:rPr>
            </w:pPr>
          </w:p>
        </w:tc>
        <w:tc>
          <w:tcPr>
            <w:tcW w:w="140" w:type="dxa"/>
            <w:vAlign w:val="bottom"/>
            <w:shd w:val="clear" w:color="auto" w:fill="2264AD"/>
          </w:tcPr>
          <w:p>
            <w:pPr>
              <w:spacing w:after="0"/>
              <w:rPr>
                <w:sz w:val="10"/>
                <w:szCs w:val="10"/>
                <w:color w:val="auto"/>
              </w:rPr>
            </w:pPr>
          </w:p>
        </w:tc>
        <w:tc>
          <w:tcPr>
            <w:tcW w:w="220" w:type="dxa"/>
            <w:vAlign w:val="bottom"/>
            <w:shd w:val="clear" w:color="auto" w:fill="2264AD"/>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shd w:val="clear" w:color="auto" w:fill="000B78"/>
          </w:tcPr>
          <w:p>
            <w:pPr>
              <w:spacing w:after="0"/>
              <w:rPr>
                <w:sz w:val="10"/>
                <w:szCs w:val="10"/>
                <w:color w:val="auto"/>
              </w:rPr>
            </w:pPr>
          </w:p>
        </w:tc>
        <w:tc>
          <w:tcPr>
            <w:tcW w:w="40" w:type="dxa"/>
            <w:vAlign w:val="bottom"/>
            <w:shd w:val="clear" w:color="auto" w:fill="000B78"/>
          </w:tcPr>
          <w:p>
            <w:pPr>
              <w:spacing w:after="0"/>
              <w:rPr>
                <w:sz w:val="10"/>
                <w:szCs w:val="10"/>
                <w:color w:val="auto"/>
              </w:rPr>
            </w:pPr>
          </w:p>
        </w:tc>
        <w:tc>
          <w:tcPr>
            <w:tcW w:w="220" w:type="dxa"/>
            <w:vAlign w:val="bottom"/>
            <w:shd w:val="clear" w:color="auto" w:fill="000B78"/>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0B78"/>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right w:val="single" w:sz="8" w:color="2264AD"/>
            </w:tcBorders>
          </w:tcPr>
          <w:p>
            <w:pPr>
              <w:spacing w:after="0"/>
              <w:rPr>
                <w:sz w:val="20"/>
                <w:szCs w:val="20"/>
                <w:color w:val="auto"/>
              </w:rPr>
            </w:pPr>
          </w:p>
        </w:tc>
        <w:tc>
          <w:tcPr>
            <w:tcW w:w="300" w:type="dxa"/>
            <w:vAlign w:val="bottom"/>
            <w:tcBorders>
              <w:bottom w:val="single" w:sz="8" w:color="2264AD"/>
            </w:tcBorders>
            <w:shd w:val="clear" w:color="auto" w:fill="2264AD"/>
          </w:tcPr>
          <w:p>
            <w:pPr>
              <w:spacing w:after="0"/>
              <w:rPr>
                <w:sz w:val="20"/>
                <w:szCs w:val="20"/>
                <w:color w:val="auto"/>
              </w:rPr>
            </w:pPr>
          </w:p>
        </w:tc>
        <w:tc>
          <w:tcPr>
            <w:tcW w:w="120" w:type="dxa"/>
            <w:vAlign w:val="bottom"/>
            <w:tcBorders>
              <w:bottom w:val="single" w:sz="8" w:color="2264AD"/>
            </w:tcBorders>
            <w:shd w:val="clear" w:color="auto" w:fill="2264AD"/>
          </w:tcPr>
          <w:p>
            <w:pPr>
              <w:spacing w:after="0"/>
              <w:rPr>
                <w:sz w:val="20"/>
                <w:szCs w:val="20"/>
                <w:color w:val="auto"/>
              </w:rPr>
            </w:pPr>
          </w:p>
        </w:tc>
        <w:tc>
          <w:tcPr>
            <w:tcW w:w="140" w:type="dxa"/>
            <w:vAlign w:val="bottom"/>
            <w:tcBorders>
              <w:bottom w:val="single" w:sz="8" w:color="2264AD"/>
            </w:tcBorders>
            <w:shd w:val="clear" w:color="auto" w:fill="2264AD"/>
          </w:tcPr>
          <w:p>
            <w:pPr>
              <w:spacing w:after="0"/>
              <w:rPr>
                <w:sz w:val="20"/>
                <w:szCs w:val="20"/>
                <w:color w:val="auto"/>
              </w:rPr>
            </w:pPr>
          </w:p>
        </w:tc>
        <w:tc>
          <w:tcPr>
            <w:tcW w:w="220" w:type="dxa"/>
            <w:vAlign w:val="bottom"/>
            <w:tcBorders>
              <w:bottom w:val="single" w:sz="8" w:color="2264AD"/>
            </w:tcBorders>
            <w:shd w:val="clear" w:color="auto" w:fill="2264AD"/>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Borders>
              <w:bottom w:val="single" w:sz="8" w:color="000B78"/>
            </w:tcBorders>
            <w:shd w:val="clear" w:color="auto" w:fill="000B78"/>
          </w:tcPr>
          <w:p>
            <w:pPr>
              <w:spacing w:after="0"/>
              <w:rPr>
                <w:sz w:val="20"/>
                <w:szCs w:val="20"/>
                <w:color w:val="auto"/>
              </w:rPr>
            </w:pPr>
          </w:p>
        </w:tc>
        <w:tc>
          <w:tcPr>
            <w:tcW w:w="40" w:type="dxa"/>
            <w:vAlign w:val="bottom"/>
            <w:tcBorders>
              <w:bottom w:val="single" w:sz="8" w:color="000B78"/>
            </w:tcBorders>
            <w:shd w:val="clear" w:color="auto" w:fill="000B78"/>
          </w:tcPr>
          <w:p>
            <w:pPr>
              <w:spacing w:after="0"/>
              <w:rPr>
                <w:sz w:val="20"/>
                <w:szCs w:val="20"/>
                <w:color w:val="auto"/>
              </w:rPr>
            </w:pPr>
          </w:p>
        </w:tc>
        <w:tc>
          <w:tcPr>
            <w:tcW w:w="220" w:type="dxa"/>
            <w:vAlign w:val="bottom"/>
            <w:tcBorders>
              <w:bottom w:val="single" w:sz="8" w:color="000B78"/>
            </w:tcBorders>
            <w:shd w:val="clear" w:color="auto" w:fill="000B78"/>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6"/>
                <w:szCs w:val="16"/>
                <w:b w:val="1"/>
                <w:bCs w:val="1"/>
                <w:color w:val="000B78"/>
              </w:rPr>
              <w:t>5%</w:t>
            </w:r>
          </w:p>
        </w:tc>
        <w:tc>
          <w:tcPr>
            <w:tcW w:w="280" w:type="dxa"/>
            <w:vAlign w:val="bottom"/>
            <w:tcBorders>
              <w:bottom w:val="single" w:sz="8" w:color="000B78"/>
            </w:tcBorders>
          </w:tcPr>
          <w:p>
            <w:pPr>
              <w:spacing w:after="0"/>
              <w:rPr>
                <w:sz w:val="20"/>
                <w:szCs w:val="20"/>
                <w:color w:val="auto"/>
              </w:rPr>
            </w:pPr>
          </w:p>
        </w:tc>
        <w:tc>
          <w:tcPr>
            <w:tcW w:w="20" w:type="dxa"/>
            <w:vAlign w:val="bottom"/>
            <w:tcBorders>
              <w:bottom w:val="single" w:sz="8" w:color="000B78"/>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Borders>
              <w:bottom w:val="single" w:sz="8" w:color="000B78"/>
            </w:tcBorders>
          </w:tcPr>
          <w:p>
            <w:pPr>
              <w:spacing w:after="0"/>
              <w:rPr>
                <w:sz w:val="20"/>
                <w:szCs w:val="20"/>
                <w:color w:val="auto"/>
              </w:rPr>
            </w:pPr>
          </w:p>
        </w:tc>
        <w:tc>
          <w:tcPr>
            <w:tcW w:w="260" w:type="dxa"/>
            <w:vAlign w:val="bottom"/>
            <w:tcBorders>
              <w:bottom w:val="single" w:sz="8" w:color="000B78"/>
            </w:tcBorders>
          </w:tcPr>
          <w:p>
            <w:pPr>
              <w:spacing w:after="0"/>
              <w:rPr>
                <w:sz w:val="20"/>
                <w:szCs w:val="20"/>
                <w:color w:val="auto"/>
              </w:rPr>
            </w:pPr>
          </w:p>
        </w:tc>
        <w:tc>
          <w:tcPr>
            <w:tcW w:w="140" w:type="dxa"/>
            <w:vAlign w:val="bottom"/>
            <w:tcBorders>
              <w:bottom w:val="single" w:sz="8" w:color="000B78"/>
            </w:tcBorders>
          </w:tcPr>
          <w:p>
            <w:pPr>
              <w:spacing w:after="0"/>
              <w:rPr>
                <w:sz w:val="20"/>
                <w:szCs w:val="20"/>
                <w:color w:val="auto"/>
              </w:rPr>
            </w:pPr>
          </w:p>
        </w:tc>
        <w:tc>
          <w:tcPr>
            <w:tcW w:w="120" w:type="dxa"/>
            <w:vAlign w:val="bottom"/>
            <w:tcBorders>
              <w:bottom w:val="single" w:sz="8" w:color="000B78"/>
            </w:tcBorders>
          </w:tcPr>
          <w:p>
            <w:pPr>
              <w:spacing w:after="0"/>
              <w:rPr>
                <w:sz w:val="20"/>
                <w:szCs w:val="20"/>
                <w:color w:val="auto"/>
              </w:rPr>
            </w:pPr>
          </w:p>
        </w:tc>
        <w:tc>
          <w:tcPr>
            <w:tcW w:w="280" w:type="dxa"/>
            <w:vAlign w:val="bottom"/>
            <w:tcBorders>
              <w:bottom w:val="single" w:sz="8" w:color="000B78"/>
            </w:tcBorders>
          </w:tcPr>
          <w:p>
            <w:pPr>
              <w:spacing w:after="0"/>
              <w:rPr>
                <w:sz w:val="20"/>
                <w:szCs w:val="20"/>
                <w:color w:val="auto"/>
              </w:rPr>
            </w:pPr>
          </w:p>
        </w:tc>
        <w:tc>
          <w:tcPr>
            <w:tcW w:w="20" w:type="dxa"/>
            <w:vAlign w:val="bottom"/>
            <w:tcBorders>
              <w:bottom w:val="single" w:sz="8" w:color="000B78"/>
            </w:tcBorders>
          </w:tcPr>
          <w:p>
            <w:pPr>
              <w:spacing w:after="0"/>
              <w:rPr>
                <w:sz w:val="20"/>
                <w:szCs w:val="20"/>
                <w:color w:val="auto"/>
              </w:rPr>
            </w:pPr>
          </w:p>
        </w:tc>
        <w:tc>
          <w:tcPr>
            <w:tcW w:w="140" w:type="dxa"/>
            <w:vAlign w:val="bottom"/>
            <w:tcBorders>
              <w:bottom w:val="single" w:sz="8" w:color="000B78"/>
            </w:tcBorders>
          </w:tcPr>
          <w:p>
            <w:pPr>
              <w:spacing w:after="0"/>
              <w:rPr>
                <w:sz w:val="20"/>
                <w:szCs w:val="20"/>
                <w:color w:val="auto"/>
              </w:rPr>
            </w:pPr>
          </w:p>
        </w:tc>
        <w:tc>
          <w:tcPr>
            <w:tcW w:w="100" w:type="dxa"/>
            <w:vAlign w:val="bottom"/>
            <w:tcBorders>
              <w:bottom w:val="single" w:sz="8" w:color="000B78"/>
            </w:tcBorders>
          </w:tcPr>
          <w:p>
            <w:pPr>
              <w:spacing w:after="0"/>
              <w:rPr>
                <w:sz w:val="20"/>
                <w:szCs w:val="20"/>
                <w:color w:val="auto"/>
              </w:rPr>
            </w:pPr>
          </w:p>
        </w:tc>
        <w:tc>
          <w:tcPr>
            <w:tcW w:w="120" w:type="dxa"/>
            <w:vAlign w:val="bottom"/>
            <w:tcBorders>
              <w:bottom w:val="single" w:sz="8" w:color="000B78"/>
            </w:tcBorders>
          </w:tcPr>
          <w:p>
            <w:pPr>
              <w:spacing w:after="0"/>
              <w:rPr>
                <w:sz w:val="20"/>
                <w:szCs w:val="20"/>
                <w:color w:val="auto"/>
              </w:rPr>
            </w:pPr>
          </w:p>
        </w:tc>
        <w:tc>
          <w:tcPr>
            <w:tcW w:w="100" w:type="dxa"/>
            <w:vAlign w:val="bottom"/>
            <w:tcBorders>
              <w:bottom w:val="single" w:sz="8" w:color="000B78"/>
            </w:tcBorders>
          </w:tcPr>
          <w:p>
            <w:pPr>
              <w:spacing w:after="0"/>
              <w:rPr>
                <w:sz w:val="20"/>
                <w:szCs w:val="20"/>
                <w:color w:val="auto"/>
              </w:rPr>
            </w:pPr>
          </w:p>
        </w:tc>
        <w:tc>
          <w:tcPr>
            <w:tcW w:w="200" w:type="dxa"/>
            <w:vAlign w:val="bottom"/>
            <w:tcBorders>
              <w:bottom w:val="single" w:sz="8" w:color="000B78"/>
            </w:tcBorders>
          </w:tcPr>
          <w:p>
            <w:pPr>
              <w:spacing w:after="0"/>
              <w:rPr>
                <w:sz w:val="20"/>
                <w:szCs w:val="20"/>
                <w:color w:val="auto"/>
              </w:rPr>
            </w:pPr>
          </w:p>
        </w:tc>
        <w:tc>
          <w:tcPr>
            <w:tcW w:w="120" w:type="dxa"/>
            <w:vAlign w:val="bottom"/>
            <w:tcBorders>
              <w:bottom w:val="single" w:sz="8" w:color="000B78"/>
            </w:tcBorders>
          </w:tcPr>
          <w:p>
            <w:pPr>
              <w:spacing w:after="0"/>
              <w:rPr>
                <w:sz w:val="20"/>
                <w:szCs w:val="20"/>
                <w:color w:val="auto"/>
              </w:rPr>
            </w:pPr>
          </w:p>
        </w:tc>
        <w:tc>
          <w:tcPr>
            <w:tcW w:w="120" w:type="dxa"/>
            <w:vAlign w:val="bottom"/>
            <w:tcBorders>
              <w:bottom w:val="single" w:sz="8" w:color="000B78"/>
            </w:tcBorders>
          </w:tcPr>
          <w:p>
            <w:pPr>
              <w:spacing w:after="0"/>
              <w:rPr>
                <w:sz w:val="20"/>
                <w:szCs w:val="20"/>
                <w:color w:val="auto"/>
              </w:rPr>
            </w:pPr>
          </w:p>
        </w:tc>
        <w:tc>
          <w:tcPr>
            <w:tcW w:w="120" w:type="dxa"/>
            <w:vAlign w:val="bottom"/>
            <w:tcBorders>
              <w:bottom w:val="single" w:sz="8" w:color="000B78"/>
            </w:tcBorders>
          </w:tcPr>
          <w:p>
            <w:pPr>
              <w:spacing w:after="0"/>
              <w:rPr>
                <w:sz w:val="20"/>
                <w:szCs w:val="20"/>
                <w:color w:val="auto"/>
              </w:rPr>
            </w:pPr>
          </w:p>
        </w:tc>
        <w:tc>
          <w:tcPr>
            <w:tcW w:w="240" w:type="dxa"/>
            <w:vAlign w:val="bottom"/>
            <w:tcBorders>
              <w:bottom w:val="single" w:sz="8" w:color="000B78"/>
            </w:tcBorders>
          </w:tcPr>
          <w:p>
            <w:pPr>
              <w:spacing w:after="0"/>
              <w:rPr>
                <w:sz w:val="20"/>
                <w:szCs w:val="20"/>
                <w:color w:val="auto"/>
              </w:rPr>
            </w:pPr>
          </w:p>
        </w:tc>
        <w:tc>
          <w:tcPr>
            <w:tcW w:w="180" w:type="dxa"/>
            <w:vAlign w:val="bottom"/>
            <w:tcBorders>
              <w:bottom w:val="single" w:sz="8" w:color="000B78"/>
            </w:tcBorders>
          </w:tcPr>
          <w:p>
            <w:pPr>
              <w:spacing w:after="0"/>
              <w:rPr>
                <w:sz w:val="20"/>
                <w:szCs w:val="20"/>
                <w:color w:val="auto"/>
              </w:rPr>
            </w:pPr>
          </w:p>
        </w:tc>
        <w:tc>
          <w:tcPr>
            <w:tcW w:w="160" w:type="dxa"/>
            <w:vAlign w:val="bottom"/>
            <w:tcBorders>
              <w:bottom w:val="single" w:sz="8" w:color="000B78"/>
            </w:tcBorders>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560" w:type="dxa"/>
            <w:vAlign w:val="bottom"/>
            <w:vMerge w:val="continue"/>
          </w:tcPr>
          <w:p>
            <w:pPr>
              <w:spacing w:after="0"/>
              <w:rPr>
                <w:sz w:val="10"/>
                <w:szCs w:val="10"/>
                <w:color w:val="auto"/>
              </w:rPr>
            </w:pPr>
          </w:p>
        </w:tc>
        <w:tc>
          <w:tcPr>
            <w:tcW w:w="140" w:type="dxa"/>
            <w:vAlign w:val="bottom"/>
            <w:tcBorders>
              <w:bottom w:val="single" w:sz="8" w:color="000B78"/>
            </w:tcBorders>
          </w:tcPr>
          <w:p>
            <w:pPr>
              <w:spacing w:after="0"/>
              <w:rPr>
                <w:sz w:val="10"/>
                <w:szCs w:val="10"/>
                <w:color w:val="auto"/>
              </w:rPr>
            </w:pPr>
          </w:p>
        </w:tc>
        <w:tc>
          <w:tcPr>
            <w:tcW w:w="120" w:type="dxa"/>
            <w:vAlign w:val="bottom"/>
            <w:tcBorders>
              <w:bottom w:val="single" w:sz="8" w:color="000B78"/>
            </w:tcBorders>
          </w:tcPr>
          <w:p>
            <w:pPr>
              <w:spacing w:after="0"/>
              <w:rPr>
                <w:sz w:val="10"/>
                <w:szCs w:val="10"/>
                <w:color w:val="auto"/>
              </w:rPr>
            </w:pPr>
          </w:p>
        </w:tc>
        <w:tc>
          <w:tcPr>
            <w:tcW w:w="40" w:type="dxa"/>
            <w:vAlign w:val="bottom"/>
            <w:tcBorders>
              <w:bottom w:val="single" w:sz="8" w:color="000B78"/>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000B78"/>
            </w:tcBorders>
          </w:tcPr>
          <w:p>
            <w:pPr>
              <w:spacing w:after="0"/>
              <w:rPr>
                <w:sz w:val="10"/>
                <w:szCs w:val="10"/>
                <w:color w:val="auto"/>
              </w:rPr>
            </w:pPr>
          </w:p>
        </w:tc>
        <w:tc>
          <w:tcPr>
            <w:tcW w:w="260" w:type="dxa"/>
            <w:vAlign w:val="bottom"/>
            <w:tcBorders>
              <w:bottom w:val="single" w:sz="8" w:color="000B78"/>
            </w:tcBorders>
          </w:tcPr>
          <w:p>
            <w:pPr>
              <w:spacing w:after="0"/>
              <w:rPr>
                <w:sz w:val="10"/>
                <w:szCs w:val="10"/>
                <w:color w:val="auto"/>
              </w:rPr>
            </w:pPr>
          </w:p>
        </w:tc>
        <w:tc>
          <w:tcPr>
            <w:tcW w:w="120" w:type="dxa"/>
            <w:vAlign w:val="bottom"/>
            <w:tcBorders>
              <w:bottom w:val="single" w:sz="8" w:color="000B78"/>
              <w:right w:val="single" w:sz="8" w:color="2264AD"/>
            </w:tcBorders>
          </w:tcPr>
          <w:p>
            <w:pPr>
              <w:spacing w:after="0"/>
              <w:rPr>
                <w:sz w:val="10"/>
                <w:szCs w:val="10"/>
                <w:color w:val="auto"/>
              </w:rPr>
            </w:pPr>
          </w:p>
        </w:tc>
        <w:tc>
          <w:tcPr>
            <w:tcW w:w="300" w:type="dxa"/>
            <w:vAlign w:val="bottom"/>
            <w:tcBorders>
              <w:bottom w:val="single" w:sz="8" w:color="2264AD"/>
            </w:tcBorders>
            <w:shd w:val="clear" w:color="auto" w:fill="2264AD"/>
          </w:tcPr>
          <w:p>
            <w:pPr>
              <w:spacing w:after="0"/>
              <w:rPr>
                <w:sz w:val="10"/>
                <w:szCs w:val="10"/>
                <w:color w:val="auto"/>
              </w:rPr>
            </w:pPr>
          </w:p>
        </w:tc>
        <w:tc>
          <w:tcPr>
            <w:tcW w:w="120" w:type="dxa"/>
            <w:vAlign w:val="bottom"/>
            <w:tcBorders>
              <w:bottom w:val="single" w:sz="8" w:color="2264AD"/>
            </w:tcBorders>
            <w:shd w:val="clear" w:color="auto" w:fill="2264AD"/>
          </w:tcPr>
          <w:p>
            <w:pPr>
              <w:spacing w:after="0"/>
              <w:rPr>
                <w:sz w:val="10"/>
                <w:szCs w:val="10"/>
                <w:color w:val="auto"/>
              </w:rPr>
            </w:pPr>
          </w:p>
        </w:tc>
        <w:tc>
          <w:tcPr>
            <w:tcW w:w="140" w:type="dxa"/>
            <w:vAlign w:val="bottom"/>
            <w:tcBorders>
              <w:bottom w:val="single" w:sz="8" w:color="2264AD"/>
            </w:tcBorders>
            <w:shd w:val="clear" w:color="auto" w:fill="2264AD"/>
          </w:tcPr>
          <w:p>
            <w:pPr>
              <w:spacing w:after="0"/>
              <w:rPr>
                <w:sz w:val="10"/>
                <w:szCs w:val="10"/>
                <w:color w:val="auto"/>
              </w:rPr>
            </w:pPr>
          </w:p>
        </w:tc>
        <w:tc>
          <w:tcPr>
            <w:tcW w:w="220" w:type="dxa"/>
            <w:vAlign w:val="bottom"/>
            <w:tcBorders>
              <w:bottom w:val="single" w:sz="8" w:color="2264AD"/>
            </w:tcBorders>
            <w:shd w:val="clear" w:color="auto" w:fill="2264AD"/>
          </w:tcPr>
          <w:p>
            <w:pPr>
              <w:spacing w:after="0"/>
              <w:rPr>
                <w:sz w:val="10"/>
                <w:szCs w:val="10"/>
                <w:color w:val="auto"/>
              </w:rPr>
            </w:pPr>
          </w:p>
        </w:tc>
        <w:tc>
          <w:tcPr>
            <w:tcW w:w="480" w:type="dxa"/>
            <w:vAlign w:val="bottom"/>
            <w:tcBorders>
              <w:bottom w:val="single" w:sz="8" w:color="000B78"/>
            </w:tcBorders>
          </w:tcPr>
          <w:p>
            <w:pPr>
              <w:spacing w:after="0"/>
              <w:rPr>
                <w:sz w:val="10"/>
                <w:szCs w:val="10"/>
                <w:color w:val="auto"/>
              </w:rPr>
            </w:pPr>
          </w:p>
        </w:tc>
        <w:tc>
          <w:tcPr>
            <w:tcW w:w="520" w:type="dxa"/>
            <w:vAlign w:val="bottom"/>
            <w:tcBorders>
              <w:bottom w:val="single" w:sz="8" w:color="000B78"/>
            </w:tcBorders>
            <w:shd w:val="clear" w:color="auto" w:fill="000B78"/>
          </w:tcPr>
          <w:p>
            <w:pPr>
              <w:spacing w:after="0"/>
              <w:rPr>
                <w:sz w:val="10"/>
                <w:szCs w:val="10"/>
                <w:color w:val="auto"/>
              </w:rPr>
            </w:pPr>
          </w:p>
        </w:tc>
        <w:tc>
          <w:tcPr>
            <w:tcW w:w="40" w:type="dxa"/>
            <w:vAlign w:val="bottom"/>
            <w:tcBorders>
              <w:bottom w:val="single" w:sz="8" w:color="000B78"/>
            </w:tcBorders>
            <w:shd w:val="clear" w:color="auto" w:fill="000B78"/>
          </w:tcPr>
          <w:p>
            <w:pPr>
              <w:spacing w:after="0"/>
              <w:rPr>
                <w:sz w:val="10"/>
                <w:szCs w:val="10"/>
                <w:color w:val="auto"/>
              </w:rPr>
            </w:pPr>
          </w:p>
        </w:tc>
        <w:tc>
          <w:tcPr>
            <w:tcW w:w="220" w:type="dxa"/>
            <w:vAlign w:val="bottom"/>
            <w:tcBorders>
              <w:bottom w:val="single" w:sz="8" w:color="000B78"/>
            </w:tcBorders>
            <w:shd w:val="clear" w:color="auto" w:fill="000B78"/>
          </w:tcPr>
          <w:p>
            <w:pPr>
              <w:spacing w:after="0"/>
              <w:rPr>
                <w:sz w:val="10"/>
                <w:szCs w:val="10"/>
                <w:color w:val="auto"/>
              </w:rPr>
            </w:pPr>
          </w:p>
        </w:tc>
        <w:tc>
          <w:tcPr>
            <w:tcW w:w="60" w:type="dxa"/>
            <w:vAlign w:val="bottom"/>
            <w:tcBorders>
              <w:bottom w:val="single" w:sz="8" w:color="000B78"/>
            </w:tcBorders>
          </w:tcPr>
          <w:p>
            <w:pPr>
              <w:spacing w:after="0"/>
              <w:rPr>
                <w:sz w:val="10"/>
                <w:szCs w:val="10"/>
                <w:color w:val="auto"/>
              </w:rPr>
            </w:pPr>
          </w:p>
        </w:tc>
        <w:tc>
          <w:tcPr>
            <w:tcW w:w="300" w:type="dxa"/>
            <w:vAlign w:val="bottom"/>
            <w:tcBorders>
              <w:bottom w:val="single" w:sz="8" w:color="000B78"/>
            </w:tcBorders>
          </w:tcPr>
          <w:p>
            <w:pPr>
              <w:spacing w:after="0"/>
              <w:rPr>
                <w:sz w:val="10"/>
                <w:szCs w:val="10"/>
                <w:color w:val="auto"/>
              </w:rPr>
            </w:pPr>
          </w:p>
        </w:tc>
        <w:tc>
          <w:tcPr>
            <w:tcW w:w="20" w:type="dxa"/>
            <w:vAlign w:val="bottom"/>
            <w:tcBorders>
              <w:bottom w:val="single" w:sz="8" w:color="000B78"/>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right w:val="single" w:sz="8" w:color="2264AD"/>
            </w:tcBorders>
          </w:tcPr>
          <w:p>
            <w:pPr>
              <w:spacing w:after="0"/>
              <w:rPr>
                <w:sz w:val="9"/>
                <w:szCs w:val="9"/>
                <w:color w:val="auto"/>
              </w:rPr>
            </w:pPr>
          </w:p>
        </w:tc>
        <w:tc>
          <w:tcPr>
            <w:tcW w:w="300" w:type="dxa"/>
            <w:vAlign w:val="bottom"/>
            <w:shd w:val="clear" w:color="auto" w:fill="2264AD"/>
          </w:tcPr>
          <w:p>
            <w:pPr>
              <w:spacing w:after="0"/>
              <w:rPr>
                <w:sz w:val="9"/>
                <w:szCs w:val="9"/>
                <w:color w:val="auto"/>
              </w:rPr>
            </w:pPr>
          </w:p>
        </w:tc>
        <w:tc>
          <w:tcPr>
            <w:tcW w:w="120" w:type="dxa"/>
            <w:vAlign w:val="bottom"/>
            <w:shd w:val="clear" w:color="auto" w:fill="2264AD"/>
          </w:tcPr>
          <w:p>
            <w:pPr>
              <w:spacing w:after="0"/>
              <w:rPr>
                <w:sz w:val="9"/>
                <w:szCs w:val="9"/>
                <w:color w:val="auto"/>
              </w:rPr>
            </w:pPr>
          </w:p>
        </w:tc>
        <w:tc>
          <w:tcPr>
            <w:tcW w:w="140" w:type="dxa"/>
            <w:vAlign w:val="bottom"/>
            <w:shd w:val="clear" w:color="auto" w:fill="2264AD"/>
          </w:tcPr>
          <w:p>
            <w:pPr>
              <w:spacing w:after="0"/>
              <w:rPr>
                <w:sz w:val="9"/>
                <w:szCs w:val="9"/>
                <w:color w:val="auto"/>
              </w:rPr>
            </w:pPr>
          </w:p>
        </w:tc>
        <w:tc>
          <w:tcPr>
            <w:tcW w:w="220" w:type="dxa"/>
            <w:vAlign w:val="bottom"/>
            <w:shd w:val="clear" w:color="auto" w:fill="2264AD"/>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shd w:val="clear" w:color="auto" w:fill="000B78"/>
          </w:tcPr>
          <w:p>
            <w:pPr>
              <w:spacing w:after="0"/>
              <w:rPr>
                <w:sz w:val="9"/>
                <w:szCs w:val="9"/>
                <w:color w:val="auto"/>
              </w:rPr>
            </w:pPr>
          </w:p>
        </w:tc>
        <w:tc>
          <w:tcPr>
            <w:tcW w:w="40" w:type="dxa"/>
            <w:vAlign w:val="bottom"/>
            <w:shd w:val="clear" w:color="auto" w:fill="000B78"/>
          </w:tcPr>
          <w:p>
            <w:pPr>
              <w:spacing w:after="0"/>
              <w:rPr>
                <w:sz w:val="9"/>
                <w:szCs w:val="9"/>
                <w:color w:val="auto"/>
              </w:rPr>
            </w:pPr>
          </w:p>
        </w:tc>
        <w:tc>
          <w:tcPr>
            <w:tcW w:w="220" w:type="dxa"/>
            <w:vAlign w:val="bottom"/>
            <w:shd w:val="clear" w:color="auto" w:fill="000B78"/>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6"/>
                <w:szCs w:val="16"/>
                <w:b w:val="1"/>
                <w:bCs w:val="1"/>
                <w:color w:val="000B78"/>
              </w:rPr>
              <w:t>0%</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right w:val="single" w:sz="8" w:color="2264AD"/>
            </w:tcBorders>
          </w:tcPr>
          <w:p>
            <w:pPr>
              <w:spacing w:after="0"/>
              <w:rPr>
                <w:sz w:val="10"/>
                <w:szCs w:val="10"/>
                <w:color w:val="auto"/>
              </w:rPr>
            </w:pPr>
          </w:p>
        </w:tc>
        <w:tc>
          <w:tcPr>
            <w:tcW w:w="300" w:type="dxa"/>
            <w:vAlign w:val="bottom"/>
            <w:tcBorders>
              <w:bottom w:val="single" w:sz="8" w:color="2264AD"/>
            </w:tcBorders>
            <w:shd w:val="clear" w:color="auto" w:fill="2264AD"/>
          </w:tcPr>
          <w:p>
            <w:pPr>
              <w:spacing w:after="0"/>
              <w:rPr>
                <w:sz w:val="10"/>
                <w:szCs w:val="10"/>
                <w:color w:val="auto"/>
              </w:rPr>
            </w:pPr>
          </w:p>
        </w:tc>
        <w:tc>
          <w:tcPr>
            <w:tcW w:w="120" w:type="dxa"/>
            <w:vAlign w:val="bottom"/>
            <w:tcBorders>
              <w:bottom w:val="single" w:sz="8" w:color="2264AD"/>
            </w:tcBorders>
            <w:shd w:val="clear" w:color="auto" w:fill="2264AD"/>
          </w:tcPr>
          <w:p>
            <w:pPr>
              <w:spacing w:after="0"/>
              <w:rPr>
                <w:sz w:val="10"/>
                <w:szCs w:val="10"/>
                <w:color w:val="auto"/>
              </w:rPr>
            </w:pPr>
          </w:p>
        </w:tc>
        <w:tc>
          <w:tcPr>
            <w:tcW w:w="140" w:type="dxa"/>
            <w:vAlign w:val="bottom"/>
            <w:tcBorders>
              <w:bottom w:val="single" w:sz="8" w:color="2264AD"/>
            </w:tcBorders>
            <w:shd w:val="clear" w:color="auto" w:fill="2264AD"/>
          </w:tcPr>
          <w:p>
            <w:pPr>
              <w:spacing w:after="0"/>
              <w:rPr>
                <w:sz w:val="10"/>
                <w:szCs w:val="10"/>
                <w:color w:val="auto"/>
              </w:rPr>
            </w:pPr>
          </w:p>
        </w:tc>
        <w:tc>
          <w:tcPr>
            <w:tcW w:w="220" w:type="dxa"/>
            <w:vAlign w:val="bottom"/>
            <w:tcBorders>
              <w:bottom w:val="single" w:sz="8" w:color="2264AD"/>
            </w:tcBorders>
            <w:shd w:val="clear" w:color="auto" w:fill="2264AD"/>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Borders>
              <w:bottom w:val="single" w:sz="8" w:color="000B78"/>
            </w:tcBorders>
            <w:shd w:val="clear" w:color="auto" w:fill="000B78"/>
          </w:tcPr>
          <w:p>
            <w:pPr>
              <w:spacing w:after="0"/>
              <w:rPr>
                <w:sz w:val="10"/>
                <w:szCs w:val="10"/>
                <w:color w:val="auto"/>
              </w:rPr>
            </w:pPr>
          </w:p>
        </w:tc>
        <w:tc>
          <w:tcPr>
            <w:tcW w:w="40" w:type="dxa"/>
            <w:vAlign w:val="bottom"/>
            <w:tcBorders>
              <w:bottom w:val="single" w:sz="8" w:color="000B78"/>
            </w:tcBorders>
            <w:shd w:val="clear" w:color="auto" w:fill="000B78"/>
          </w:tcPr>
          <w:p>
            <w:pPr>
              <w:spacing w:after="0"/>
              <w:rPr>
                <w:sz w:val="10"/>
                <w:szCs w:val="10"/>
                <w:color w:val="auto"/>
              </w:rPr>
            </w:pPr>
          </w:p>
        </w:tc>
        <w:tc>
          <w:tcPr>
            <w:tcW w:w="220" w:type="dxa"/>
            <w:vAlign w:val="bottom"/>
            <w:tcBorders>
              <w:bottom w:val="single" w:sz="8" w:color="000B78"/>
            </w:tcBorders>
            <w:shd w:val="clear" w:color="auto" w:fill="000B78"/>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280" w:type="dxa"/>
            <w:vAlign w:val="bottom"/>
            <w:tcBorders>
              <w:bottom w:val="single" w:sz="8" w:color="000B78"/>
            </w:tcBorders>
          </w:tcPr>
          <w:p>
            <w:pPr>
              <w:spacing w:after="0"/>
              <w:rPr>
                <w:sz w:val="10"/>
                <w:szCs w:val="10"/>
                <w:color w:val="auto"/>
              </w:rPr>
            </w:pPr>
          </w:p>
        </w:tc>
        <w:tc>
          <w:tcPr>
            <w:tcW w:w="20" w:type="dxa"/>
            <w:vAlign w:val="bottom"/>
            <w:tcBorders>
              <w:bottom w:val="single" w:sz="8" w:color="000B78"/>
            </w:tcBorders>
          </w:tcPr>
          <w:p>
            <w:pPr>
              <w:spacing w:after="0"/>
              <w:rPr>
                <w:sz w:val="10"/>
                <w:szCs w:val="10"/>
                <w:color w:val="auto"/>
              </w:rPr>
            </w:pPr>
          </w:p>
        </w:tc>
        <w:tc>
          <w:tcPr>
            <w:tcW w:w="80" w:type="dxa"/>
            <w:vAlign w:val="bottom"/>
            <w:tcBorders>
              <w:bottom w:val="single" w:sz="8" w:color="000B78"/>
            </w:tcBorders>
          </w:tcPr>
          <w:p>
            <w:pPr>
              <w:spacing w:after="0"/>
              <w:rPr>
                <w:sz w:val="10"/>
                <w:szCs w:val="10"/>
                <w:color w:val="auto"/>
              </w:rPr>
            </w:pPr>
          </w:p>
        </w:tc>
        <w:tc>
          <w:tcPr>
            <w:tcW w:w="160" w:type="dxa"/>
            <w:vAlign w:val="bottom"/>
            <w:tcBorders>
              <w:bottom w:val="single" w:sz="8" w:color="000B78"/>
            </w:tcBorders>
          </w:tcPr>
          <w:p>
            <w:pPr>
              <w:spacing w:after="0"/>
              <w:rPr>
                <w:sz w:val="10"/>
                <w:szCs w:val="10"/>
                <w:color w:val="auto"/>
              </w:rPr>
            </w:pPr>
          </w:p>
        </w:tc>
        <w:tc>
          <w:tcPr>
            <w:tcW w:w="540" w:type="dxa"/>
            <w:vAlign w:val="bottom"/>
            <w:tcBorders>
              <w:bottom w:val="single" w:sz="8" w:color="000B78"/>
            </w:tcBorders>
          </w:tcPr>
          <w:p>
            <w:pPr>
              <w:spacing w:after="0"/>
              <w:rPr>
                <w:sz w:val="10"/>
                <w:szCs w:val="10"/>
                <w:color w:val="auto"/>
              </w:rPr>
            </w:pPr>
          </w:p>
        </w:tc>
        <w:tc>
          <w:tcPr>
            <w:tcW w:w="480" w:type="dxa"/>
            <w:vAlign w:val="bottom"/>
            <w:tcBorders>
              <w:bottom w:val="single" w:sz="8" w:color="000B78"/>
            </w:tcBorders>
          </w:tcPr>
          <w:p>
            <w:pPr>
              <w:spacing w:after="0"/>
              <w:rPr>
                <w:sz w:val="10"/>
                <w:szCs w:val="10"/>
                <w:color w:val="auto"/>
              </w:rPr>
            </w:pPr>
          </w:p>
        </w:tc>
        <w:tc>
          <w:tcPr>
            <w:tcW w:w="260" w:type="dxa"/>
            <w:vAlign w:val="bottom"/>
            <w:tcBorders>
              <w:bottom w:val="single" w:sz="8" w:color="000B78"/>
            </w:tcBorders>
          </w:tcPr>
          <w:p>
            <w:pPr>
              <w:spacing w:after="0"/>
              <w:rPr>
                <w:sz w:val="10"/>
                <w:szCs w:val="10"/>
                <w:color w:val="auto"/>
              </w:rPr>
            </w:pPr>
          </w:p>
        </w:tc>
        <w:tc>
          <w:tcPr>
            <w:tcW w:w="140" w:type="dxa"/>
            <w:vAlign w:val="bottom"/>
            <w:tcBorders>
              <w:bottom w:val="single" w:sz="8" w:color="000B78"/>
            </w:tcBorders>
          </w:tcPr>
          <w:p>
            <w:pPr>
              <w:spacing w:after="0"/>
              <w:rPr>
                <w:sz w:val="10"/>
                <w:szCs w:val="10"/>
                <w:color w:val="auto"/>
              </w:rPr>
            </w:pPr>
          </w:p>
        </w:tc>
        <w:tc>
          <w:tcPr>
            <w:tcW w:w="120" w:type="dxa"/>
            <w:vAlign w:val="bottom"/>
            <w:tcBorders>
              <w:bottom w:val="single" w:sz="8" w:color="000B78"/>
            </w:tcBorders>
          </w:tcPr>
          <w:p>
            <w:pPr>
              <w:spacing w:after="0"/>
              <w:rPr>
                <w:sz w:val="10"/>
                <w:szCs w:val="10"/>
                <w:color w:val="auto"/>
              </w:rPr>
            </w:pPr>
          </w:p>
        </w:tc>
        <w:tc>
          <w:tcPr>
            <w:tcW w:w="280" w:type="dxa"/>
            <w:vAlign w:val="bottom"/>
            <w:tcBorders>
              <w:bottom w:val="single" w:sz="8" w:color="000B78"/>
            </w:tcBorders>
          </w:tcPr>
          <w:p>
            <w:pPr>
              <w:spacing w:after="0"/>
              <w:rPr>
                <w:sz w:val="10"/>
                <w:szCs w:val="10"/>
                <w:color w:val="auto"/>
              </w:rPr>
            </w:pPr>
          </w:p>
        </w:tc>
        <w:tc>
          <w:tcPr>
            <w:tcW w:w="20" w:type="dxa"/>
            <w:vAlign w:val="bottom"/>
            <w:tcBorders>
              <w:bottom w:val="single" w:sz="8" w:color="000B78"/>
            </w:tcBorders>
          </w:tcPr>
          <w:p>
            <w:pPr>
              <w:spacing w:after="0"/>
              <w:rPr>
                <w:sz w:val="10"/>
                <w:szCs w:val="10"/>
                <w:color w:val="auto"/>
              </w:rPr>
            </w:pPr>
          </w:p>
        </w:tc>
        <w:tc>
          <w:tcPr>
            <w:tcW w:w="140" w:type="dxa"/>
            <w:vAlign w:val="bottom"/>
            <w:tcBorders>
              <w:bottom w:val="single" w:sz="8" w:color="000B78"/>
            </w:tcBorders>
          </w:tcPr>
          <w:p>
            <w:pPr>
              <w:spacing w:after="0"/>
              <w:rPr>
                <w:sz w:val="10"/>
                <w:szCs w:val="10"/>
                <w:color w:val="auto"/>
              </w:rPr>
            </w:pPr>
          </w:p>
        </w:tc>
        <w:tc>
          <w:tcPr>
            <w:tcW w:w="100" w:type="dxa"/>
            <w:vAlign w:val="bottom"/>
            <w:tcBorders>
              <w:bottom w:val="single" w:sz="8" w:color="000B78"/>
            </w:tcBorders>
          </w:tcPr>
          <w:p>
            <w:pPr>
              <w:spacing w:after="0"/>
              <w:rPr>
                <w:sz w:val="10"/>
                <w:szCs w:val="10"/>
                <w:color w:val="auto"/>
              </w:rPr>
            </w:pPr>
          </w:p>
        </w:tc>
        <w:tc>
          <w:tcPr>
            <w:tcW w:w="120" w:type="dxa"/>
            <w:vAlign w:val="bottom"/>
            <w:tcBorders>
              <w:bottom w:val="single" w:sz="8" w:color="000B78"/>
            </w:tcBorders>
          </w:tcPr>
          <w:p>
            <w:pPr>
              <w:spacing w:after="0"/>
              <w:rPr>
                <w:sz w:val="10"/>
                <w:szCs w:val="10"/>
                <w:color w:val="auto"/>
              </w:rPr>
            </w:pPr>
          </w:p>
        </w:tc>
        <w:tc>
          <w:tcPr>
            <w:tcW w:w="100" w:type="dxa"/>
            <w:vAlign w:val="bottom"/>
            <w:tcBorders>
              <w:bottom w:val="single" w:sz="8" w:color="000B78"/>
            </w:tcBorders>
          </w:tcPr>
          <w:p>
            <w:pPr>
              <w:spacing w:after="0"/>
              <w:rPr>
                <w:sz w:val="10"/>
                <w:szCs w:val="10"/>
                <w:color w:val="auto"/>
              </w:rPr>
            </w:pPr>
          </w:p>
        </w:tc>
        <w:tc>
          <w:tcPr>
            <w:tcW w:w="200" w:type="dxa"/>
            <w:vAlign w:val="bottom"/>
            <w:tcBorders>
              <w:bottom w:val="single" w:sz="8" w:color="000B78"/>
            </w:tcBorders>
          </w:tcPr>
          <w:p>
            <w:pPr>
              <w:spacing w:after="0"/>
              <w:rPr>
                <w:sz w:val="10"/>
                <w:szCs w:val="10"/>
                <w:color w:val="auto"/>
              </w:rPr>
            </w:pPr>
          </w:p>
        </w:tc>
        <w:tc>
          <w:tcPr>
            <w:tcW w:w="120" w:type="dxa"/>
            <w:vAlign w:val="bottom"/>
            <w:tcBorders>
              <w:bottom w:val="single" w:sz="8" w:color="000B78"/>
            </w:tcBorders>
          </w:tcPr>
          <w:p>
            <w:pPr>
              <w:spacing w:after="0"/>
              <w:rPr>
                <w:sz w:val="10"/>
                <w:szCs w:val="10"/>
                <w:color w:val="auto"/>
              </w:rPr>
            </w:pPr>
          </w:p>
        </w:tc>
        <w:tc>
          <w:tcPr>
            <w:tcW w:w="120" w:type="dxa"/>
            <w:vAlign w:val="bottom"/>
            <w:tcBorders>
              <w:bottom w:val="single" w:sz="8" w:color="000B78"/>
            </w:tcBorders>
          </w:tcPr>
          <w:p>
            <w:pPr>
              <w:spacing w:after="0"/>
              <w:rPr>
                <w:sz w:val="10"/>
                <w:szCs w:val="10"/>
                <w:color w:val="auto"/>
              </w:rPr>
            </w:pPr>
          </w:p>
        </w:tc>
        <w:tc>
          <w:tcPr>
            <w:tcW w:w="120" w:type="dxa"/>
            <w:vAlign w:val="bottom"/>
            <w:tcBorders>
              <w:bottom w:val="single" w:sz="8" w:color="000B78"/>
            </w:tcBorders>
          </w:tcPr>
          <w:p>
            <w:pPr>
              <w:spacing w:after="0"/>
              <w:rPr>
                <w:sz w:val="10"/>
                <w:szCs w:val="10"/>
                <w:color w:val="auto"/>
              </w:rPr>
            </w:pPr>
          </w:p>
        </w:tc>
        <w:tc>
          <w:tcPr>
            <w:tcW w:w="240" w:type="dxa"/>
            <w:vAlign w:val="bottom"/>
            <w:tcBorders>
              <w:bottom w:val="single" w:sz="8" w:color="000B78"/>
            </w:tcBorders>
          </w:tcPr>
          <w:p>
            <w:pPr>
              <w:spacing w:after="0"/>
              <w:rPr>
                <w:sz w:val="10"/>
                <w:szCs w:val="10"/>
                <w:color w:val="auto"/>
              </w:rPr>
            </w:pPr>
          </w:p>
        </w:tc>
        <w:tc>
          <w:tcPr>
            <w:tcW w:w="180" w:type="dxa"/>
            <w:vAlign w:val="bottom"/>
            <w:tcBorders>
              <w:bottom w:val="single" w:sz="8" w:color="000B78"/>
            </w:tcBorders>
          </w:tcPr>
          <w:p>
            <w:pPr>
              <w:spacing w:after="0"/>
              <w:rPr>
                <w:sz w:val="10"/>
                <w:szCs w:val="10"/>
                <w:color w:val="auto"/>
              </w:rPr>
            </w:pPr>
          </w:p>
        </w:tc>
        <w:tc>
          <w:tcPr>
            <w:tcW w:w="160" w:type="dxa"/>
            <w:vAlign w:val="bottom"/>
            <w:tcBorders>
              <w:bottom w:val="single" w:sz="8" w:color="000B78"/>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right w:val="single" w:sz="8" w:color="2264AD"/>
            </w:tcBorders>
          </w:tcPr>
          <w:p>
            <w:pPr>
              <w:spacing w:after="0"/>
              <w:rPr>
                <w:sz w:val="9"/>
                <w:szCs w:val="9"/>
                <w:color w:val="auto"/>
              </w:rPr>
            </w:pPr>
          </w:p>
        </w:tc>
        <w:tc>
          <w:tcPr>
            <w:tcW w:w="300" w:type="dxa"/>
            <w:vAlign w:val="bottom"/>
            <w:shd w:val="clear" w:color="auto" w:fill="2264AD"/>
          </w:tcPr>
          <w:p>
            <w:pPr>
              <w:spacing w:after="0"/>
              <w:rPr>
                <w:sz w:val="9"/>
                <w:szCs w:val="9"/>
                <w:color w:val="auto"/>
              </w:rPr>
            </w:pPr>
          </w:p>
        </w:tc>
        <w:tc>
          <w:tcPr>
            <w:tcW w:w="120" w:type="dxa"/>
            <w:vAlign w:val="bottom"/>
            <w:shd w:val="clear" w:color="auto" w:fill="2264AD"/>
          </w:tcPr>
          <w:p>
            <w:pPr>
              <w:spacing w:after="0"/>
              <w:rPr>
                <w:sz w:val="9"/>
                <w:szCs w:val="9"/>
                <w:color w:val="auto"/>
              </w:rPr>
            </w:pPr>
          </w:p>
        </w:tc>
        <w:tc>
          <w:tcPr>
            <w:tcW w:w="140" w:type="dxa"/>
            <w:vAlign w:val="bottom"/>
            <w:shd w:val="clear" w:color="auto" w:fill="2264AD"/>
          </w:tcPr>
          <w:p>
            <w:pPr>
              <w:spacing w:after="0"/>
              <w:rPr>
                <w:sz w:val="9"/>
                <w:szCs w:val="9"/>
                <w:color w:val="auto"/>
              </w:rPr>
            </w:pPr>
          </w:p>
        </w:tc>
        <w:tc>
          <w:tcPr>
            <w:tcW w:w="220" w:type="dxa"/>
            <w:vAlign w:val="bottom"/>
            <w:shd w:val="clear" w:color="auto" w:fill="2264AD"/>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shd w:val="clear" w:color="auto" w:fill="000B78"/>
          </w:tcPr>
          <w:p>
            <w:pPr>
              <w:spacing w:after="0"/>
              <w:rPr>
                <w:sz w:val="9"/>
                <w:szCs w:val="9"/>
                <w:color w:val="auto"/>
              </w:rPr>
            </w:pPr>
          </w:p>
        </w:tc>
        <w:tc>
          <w:tcPr>
            <w:tcW w:w="40" w:type="dxa"/>
            <w:vAlign w:val="bottom"/>
            <w:shd w:val="clear" w:color="auto" w:fill="000B78"/>
          </w:tcPr>
          <w:p>
            <w:pPr>
              <w:spacing w:after="0"/>
              <w:rPr>
                <w:sz w:val="9"/>
                <w:szCs w:val="9"/>
                <w:color w:val="auto"/>
              </w:rPr>
            </w:pPr>
          </w:p>
        </w:tc>
        <w:tc>
          <w:tcPr>
            <w:tcW w:w="220" w:type="dxa"/>
            <w:vAlign w:val="bottom"/>
            <w:shd w:val="clear" w:color="auto" w:fill="000B78"/>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4"/>
            <w:vMerge w:val="restart"/>
            <w:shd w:val="clear" w:color="auto" w:fill="2264AD"/>
          </w:tcPr>
          <w:p>
            <w:pPr>
              <w:jc w:val="right"/>
              <w:ind w:right="160"/>
              <w:spacing w:after="0"/>
              <w:rPr>
                <w:sz w:val="20"/>
                <w:szCs w:val="20"/>
                <w:color w:val="auto"/>
              </w:rPr>
            </w:pPr>
            <w:r>
              <w:rPr>
                <w:rFonts w:ascii="Arial" w:cs="Arial" w:eastAsia="Arial" w:hAnsi="Arial"/>
                <w:sz w:val="16"/>
                <w:szCs w:val="16"/>
                <w:b w:val="1"/>
                <w:bCs w:val="1"/>
                <w:color w:val="FFFFFF"/>
              </w:rPr>
              <w:t>-6.4%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5"/>
            <w:vMerge w:val="restart"/>
            <w:shd w:val="clear" w:color="auto" w:fill="000B78"/>
          </w:tcPr>
          <w:p>
            <w:pPr>
              <w:jc w:val="right"/>
              <w:ind w:right="160"/>
              <w:spacing w:after="0"/>
              <w:rPr>
                <w:sz w:val="20"/>
                <w:szCs w:val="20"/>
                <w:color w:val="auto"/>
              </w:rPr>
            </w:pPr>
            <w:r>
              <w:rPr>
                <w:rFonts w:ascii="Arial" w:cs="Arial" w:eastAsia="Arial" w:hAnsi="Arial"/>
                <w:sz w:val="16"/>
                <w:szCs w:val="16"/>
                <w:b w:val="1"/>
                <w:bCs w:val="1"/>
                <w:color w:val="FFFFFF"/>
              </w:rPr>
              <w:t>-6.5%</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0B78"/>
              </w:rPr>
              <w:t>$0</w:t>
            </w:r>
          </w:p>
        </w:tc>
        <w:tc>
          <w:tcPr>
            <w:tcW w:w="140" w:type="dxa"/>
            <w:vAlign w:val="bottom"/>
            <w:tcBorders>
              <w:bottom w:val="single" w:sz="8" w:color="000B78"/>
            </w:tcBorders>
          </w:tcPr>
          <w:p>
            <w:pPr>
              <w:spacing w:after="0"/>
              <w:rPr>
                <w:sz w:val="23"/>
                <w:szCs w:val="23"/>
                <w:color w:val="auto"/>
              </w:rPr>
            </w:pPr>
          </w:p>
        </w:tc>
        <w:tc>
          <w:tcPr>
            <w:tcW w:w="120" w:type="dxa"/>
            <w:vAlign w:val="bottom"/>
            <w:tcBorders>
              <w:bottom w:val="single" w:sz="8" w:color="000B78"/>
            </w:tcBorders>
          </w:tcPr>
          <w:p>
            <w:pPr>
              <w:spacing w:after="0"/>
              <w:rPr>
                <w:sz w:val="23"/>
                <w:szCs w:val="23"/>
                <w:color w:val="auto"/>
              </w:rPr>
            </w:pPr>
          </w:p>
        </w:tc>
        <w:tc>
          <w:tcPr>
            <w:tcW w:w="40" w:type="dxa"/>
            <w:vAlign w:val="bottom"/>
            <w:tcBorders>
              <w:bottom w:val="single" w:sz="8" w:color="000B78"/>
            </w:tcBorders>
          </w:tcPr>
          <w:p>
            <w:pPr>
              <w:spacing w:after="0"/>
              <w:rPr>
                <w:sz w:val="23"/>
                <w:szCs w:val="23"/>
                <w:color w:val="auto"/>
              </w:rPr>
            </w:pPr>
          </w:p>
        </w:tc>
        <w:tc>
          <w:tcPr>
            <w:tcW w:w="260" w:type="dxa"/>
            <w:vAlign w:val="bottom"/>
            <w:tcBorders>
              <w:bottom w:val="single" w:sz="8" w:color="000B78"/>
            </w:tcBorders>
          </w:tcPr>
          <w:p>
            <w:pPr>
              <w:spacing w:after="0"/>
              <w:rPr>
                <w:sz w:val="23"/>
                <w:szCs w:val="23"/>
                <w:color w:val="auto"/>
              </w:rPr>
            </w:pPr>
          </w:p>
        </w:tc>
        <w:tc>
          <w:tcPr>
            <w:tcW w:w="120" w:type="dxa"/>
            <w:vAlign w:val="bottom"/>
            <w:tcBorders>
              <w:bottom w:val="single" w:sz="8" w:color="000B78"/>
            </w:tcBorders>
          </w:tcPr>
          <w:p>
            <w:pPr>
              <w:spacing w:after="0"/>
              <w:rPr>
                <w:sz w:val="23"/>
                <w:szCs w:val="23"/>
                <w:color w:val="auto"/>
              </w:rPr>
            </w:pPr>
          </w:p>
        </w:tc>
        <w:tc>
          <w:tcPr>
            <w:tcW w:w="240" w:type="dxa"/>
            <w:vAlign w:val="bottom"/>
            <w:tcBorders>
              <w:bottom w:val="single" w:sz="8" w:color="000B78"/>
            </w:tcBorders>
          </w:tcPr>
          <w:p>
            <w:pPr>
              <w:spacing w:after="0"/>
              <w:rPr>
                <w:sz w:val="23"/>
                <w:szCs w:val="23"/>
                <w:color w:val="auto"/>
              </w:rPr>
            </w:pPr>
          </w:p>
        </w:tc>
        <w:tc>
          <w:tcPr>
            <w:tcW w:w="180" w:type="dxa"/>
            <w:vAlign w:val="bottom"/>
            <w:tcBorders>
              <w:bottom w:val="single" w:sz="8" w:color="000B78"/>
            </w:tcBorders>
          </w:tcPr>
          <w:p>
            <w:pPr>
              <w:spacing w:after="0"/>
              <w:rPr>
                <w:sz w:val="23"/>
                <w:szCs w:val="23"/>
                <w:color w:val="auto"/>
              </w:rPr>
            </w:pPr>
          </w:p>
        </w:tc>
        <w:tc>
          <w:tcPr>
            <w:tcW w:w="120" w:type="dxa"/>
            <w:vAlign w:val="bottom"/>
            <w:tcBorders>
              <w:bottom w:val="single" w:sz="8" w:color="000B78"/>
            </w:tcBorders>
          </w:tcPr>
          <w:p>
            <w:pPr>
              <w:spacing w:after="0"/>
              <w:rPr>
                <w:sz w:val="23"/>
                <w:szCs w:val="23"/>
                <w:color w:val="auto"/>
              </w:rPr>
            </w:pPr>
          </w:p>
        </w:tc>
        <w:tc>
          <w:tcPr>
            <w:tcW w:w="260" w:type="dxa"/>
            <w:vAlign w:val="bottom"/>
            <w:tcBorders>
              <w:bottom w:val="single" w:sz="8" w:color="000B78"/>
            </w:tcBorders>
          </w:tcPr>
          <w:p>
            <w:pPr>
              <w:spacing w:after="0"/>
              <w:rPr>
                <w:sz w:val="23"/>
                <w:szCs w:val="23"/>
                <w:color w:val="auto"/>
              </w:rPr>
            </w:pPr>
          </w:p>
        </w:tc>
        <w:tc>
          <w:tcPr>
            <w:tcW w:w="120" w:type="dxa"/>
            <w:vAlign w:val="bottom"/>
            <w:tcBorders>
              <w:bottom w:val="single" w:sz="8" w:color="000B78"/>
              <w:right w:val="single" w:sz="8" w:color="2264AD"/>
            </w:tcBorders>
          </w:tcPr>
          <w:p>
            <w:pPr>
              <w:spacing w:after="0"/>
              <w:rPr>
                <w:sz w:val="23"/>
                <w:szCs w:val="23"/>
                <w:color w:val="auto"/>
              </w:rPr>
            </w:pPr>
          </w:p>
        </w:tc>
        <w:tc>
          <w:tcPr>
            <w:tcW w:w="300" w:type="dxa"/>
            <w:vAlign w:val="bottom"/>
            <w:tcBorders>
              <w:bottom w:val="single" w:sz="8" w:color="000B78"/>
            </w:tcBorders>
            <w:shd w:val="clear" w:color="auto" w:fill="2264AD"/>
          </w:tcPr>
          <w:p>
            <w:pPr>
              <w:spacing w:after="0"/>
              <w:rPr>
                <w:sz w:val="23"/>
                <w:szCs w:val="23"/>
                <w:color w:val="auto"/>
              </w:rPr>
            </w:pPr>
          </w:p>
        </w:tc>
        <w:tc>
          <w:tcPr>
            <w:tcW w:w="120" w:type="dxa"/>
            <w:vAlign w:val="bottom"/>
            <w:tcBorders>
              <w:bottom w:val="single" w:sz="8" w:color="000B78"/>
            </w:tcBorders>
            <w:shd w:val="clear" w:color="auto" w:fill="2264AD"/>
          </w:tcPr>
          <w:p>
            <w:pPr>
              <w:spacing w:after="0"/>
              <w:rPr>
                <w:sz w:val="23"/>
                <w:szCs w:val="23"/>
                <w:color w:val="auto"/>
              </w:rPr>
            </w:pPr>
          </w:p>
        </w:tc>
        <w:tc>
          <w:tcPr>
            <w:tcW w:w="140" w:type="dxa"/>
            <w:vAlign w:val="bottom"/>
            <w:tcBorders>
              <w:bottom w:val="single" w:sz="8" w:color="000B78"/>
            </w:tcBorders>
            <w:shd w:val="clear" w:color="auto" w:fill="2264AD"/>
          </w:tcPr>
          <w:p>
            <w:pPr>
              <w:spacing w:after="0"/>
              <w:rPr>
                <w:sz w:val="23"/>
                <w:szCs w:val="23"/>
                <w:color w:val="auto"/>
              </w:rPr>
            </w:pPr>
          </w:p>
        </w:tc>
        <w:tc>
          <w:tcPr>
            <w:tcW w:w="220" w:type="dxa"/>
            <w:vAlign w:val="bottom"/>
            <w:tcBorders>
              <w:bottom w:val="single" w:sz="8" w:color="000B78"/>
            </w:tcBorders>
            <w:shd w:val="clear" w:color="auto" w:fill="2264AD"/>
          </w:tcPr>
          <w:p>
            <w:pPr>
              <w:spacing w:after="0"/>
              <w:rPr>
                <w:sz w:val="23"/>
                <w:szCs w:val="23"/>
                <w:color w:val="auto"/>
              </w:rPr>
            </w:pPr>
          </w:p>
        </w:tc>
        <w:tc>
          <w:tcPr>
            <w:tcW w:w="480" w:type="dxa"/>
            <w:vAlign w:val="bottom"/>
            <w:tcBorders>
              <w:bottom w:val="single" w:sz="8" w:color="000B78"/>
            </w:tcBorders>
          </w:tcPr>
          <w:p>
            <w:pPr>
              <w:spacing w:after="0"/>
              <w:rPr>
                <w:sz w:val="23"/>
                <w:szCs w:val="23"/>
                <w:color w:val="auto"/>
              </w:rPr>
            </w:pPr>
          </w:p>
        </w:tc>
        <w:tc>
          <w:tcPr>
            <w:tcW w:w="520" w:type="dxa"/>
            <w:vAlign w:val="bottom"/>
            <w:tcBorders>
              <w:bottom w:val="single" w:sz="8" w:color="000B78"/>
            </w:tcBorders>
            <w:shd w:val="clear" w:color="auto" w:fill="000B78"/>
          </w:tcPr>
          <w:p>
            <w:pPr>
              <w:spacing w:after="0"/>
              <w:rPr>
                <w:sz w:val="23"/>
                <w:szCs w:val="23"/>
                <w:color w:val="auto"/>
              </w:rPr>
            </w:pPr>
          </w:p>
        </w:tc>
        <w:tc>
          <w:tcPr>
            <w:tcW w:w="40" w:type="dxa"/>
            <w:vAlign w:val="bottom"/>
            <w:tcBorders>
              <w:bottom w:val="single" w:sz="8" w:color="000B78"/>
            </w:tcBorders>
            <w:shd w:val="clear" w:color="auto" w:fill="000B78"/>
          </w:tcPr>
          <w:p>
            <w:pPr>
              <w:spacing w:after="0"/>
              <w:rPr>
                <w:sz w:val="23"/>
                <w:szCs w:val="23"/>
                <w:color w:val="auto"/>
              </w:rPr>
            </w:pPr>
          </w:p>
        </w:tc>
        <w:tc>
          <w:tcPr>
            <w:tcW w:w="220" w:type="dxa"/>
            <w:vAlign w:val="bottom"/>
            <w:tcBorders>
              <w:bottom w:val="single" w:sz="8" w:color="000B78"/>
            </w:tcBorders>
            <w:shd w:val="clear" w:color="auto" w:fill="000B78"/>
          </w:tcPr>
          <w:p>
            <w:pPr>
              <w:spacing w:after="0"/>
              <w:rPr>
                <w:sz w:val="23"/>
                <w:szCs w:val="23"/>
                <w:color w:val="auto"/>
              </w:rPr>
            </w:pPr>
          </w:p>
        </w:tc>
        <w:tc>
          <w:tcPr>
            <w:tcW w:w="60" w:type="dxa"/>
            <w:vAlign w:val="bottom"/>
            <w:tcBorders>
              <w:bottom w:val="single" w:sz="8" w:color="000B78"/>
            </w:tcBorders>
          </w:tcPr>
          <w:p>
            <w:pPr>
              <w:spacing w:after="0"/>
              <w:rPr>
                <w:sz w:val="23"/>
                <w:szCs w:val="23"/>
                <w:color w:val="auto"/>
              </w:rPr>
            </w:pPr>
          </w:p>
        </w:tc>
        <w:tc>
          <w:tcPr>
            <w:tcW w:w="300" w:type="dxa"/>
            <w:vAlign w:val="bottom"/>
            <w:tcBorders>
              <w:bottom w:val="single" w:sz="8" w:color="000B78"/>
            </w:tcBorders>
          </w:tcPr>
          <w:p>
            <w:pPr>
              <w:spacing w:after="0"/>
              <w:rPr>
                <w:sz w:val="23"/>
                <w:szCs w:val="23"/>
                <w:color w:val="auto"/>
              </w:rPr>
            </w:pPr>
          </w:p>
        </w:tc>
        <w:tc>
          <w:tcPr>
            <w:tcW w:w="20" w:type="dxa"/>
            <w:vAlign w:val="bottom"/>
            <w:tcBorders>
              <w:bottom w:val="single" w:sz="8" w:color="000B78"/>
            </w:tcBorders>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5"/>
            <w:vMerge w:val="restart"/>
          </w:tcPr>
          <w:p>
            <w:pPr>
              <w:jc w:val="right"/>
              <w:ind w:right="20"/>
              <w:spacing w:after="0"/>
              <w:rPr>
                <w:sz w:val="20"/>
                <w:szCs w:val="20"/>
                <w:color w:val="auto"/>
              </w:rPr>
            </w:pPr>
            <w:r>
              <w:rPr>
                <w:rFonts w:ascii="Arial" w:cs="Arial" w:eastAsia="Arial" w:hAnsi="Arial"/>
                <w:sz w:val="16"/>
                <w:szCs w:val="16"/>
                <w:b w:val="1"/>
                <w:bCs w:val="1"/>
                <w:color w:val="000B78"/>
              </w:rPr>
              <w:t>-5%</w:t>
            </w:r>
          </w:p>
        </w:tc>
        <w:tc>
          <w:tcPr>
            <w:tcW w:w="280" w:type="dxa"/>
            <w:vAlign w:val="bottom"/>
            <w:tcBorders>
              <w:bottom w:val="single" w:sz="8" w:color="000B78"/>
            </w:tcBorders>
          </w:tcPr>
          <w:p>
            <w:pPr>
              <w:spacing w:after="0"/>
              <w:rPr>
                <w:sz w:val="23"/>
                <w:szCs w:val="23"/>
                <w:color w:val="auto"/>
              </w:rPr>
            </w:pPr>
          </w:p>
        </w:tc>
        <w:tc>
          <w:tcPr>
            <w:tcW w:w="20" w:type="dxa"/>
            <w:vAlign w:val="bottom"/>
            <w:tcBorders>
              <w:bottom w:val="single" w:sz="8" w:color="000B78"/>
            </w:tcBorders>
          </w:tcPr>
          <w:p>
            <w:pPr>
              <w:spacing w:after="0"/>
              <w:rPr>
                <w:sz w:val="23"/>
                <w:szCs w:val="23"/>
                <w:color w:val="auto"/>
              </w:rPr>
            </w:pPr>
          </w:p>
        </w:tc>
        <w:tc>
          <w:tcPr>
            <w:tcW w:w="80" w:type="dxa"/>
            <w:vAlign w:val="bottom"/>
            <w:tcBorders>
              <w:bottom w:val="single" w:sz="8" w:color="000B78"/>
            </w:tcBorders>
          </w:tcPr>
          <w:p>
            <w:pPr>
              <w:spacing w:after="0"/>
              <w:rPr>
                <w:sz w:val="23"/>
                <w:szCs w:val="23"/>
                <w:color w:val="auto"/>
              </w:rPr>
            </w:pPr>
          </w:p>
        </w:tc>
        <w:tc>
          <w:tcPr>
            <w:tcW w:w="160" w:type="dxa"/>
            <w:vAlign w:val="bottom"/>
            <w:tcBorders>
              <w:bottom w:val="single" w:sz="8" w:color="000B78"/>
            </w:tcBorders>
          </w:tcPr>
          <w:p>
            <w:pPr>
              <w:spacing w:after="0"/>
              <w:rPr>
                <w:sz w:val="23"/>
                <w:szCs w:val="23"/>
                <w:color w:val="auto"/>
              </w:rPr>
            </w:pPr>
          </w:p>
        </w:tc>
        <w:tc>
          <w:tcPr>
            <w:tcW w:w="540" w:type="dxa"/>
            <w:vAlign w:val="bottom"/>
            <w:tcBorders>
              <w:bottom w:val="single" w:sz="8" w:color="000B78"/>
            </w:tcBorders>
          </w:tcPr>
          <w:p>
            <w:pPr>
              <w:spacing w:after="0"/>
              <w:rPr>
                <w:sz w:val="23"/>
                <w:szCs w:val="23"/>
                <w:color w:val="auto"/>
              </w:rPr>
            </w:pPr>
          </w:p>
        </w:tc>
        <w:tc>
          <w:tcPr>
            <w:tcW w:w="480" w:type="dxa"/>
            <w:vAlign w:val="bottom"/>
            <w:tcBorders>
              <w:bottom w:val="single" w:sz="8" w:color="000B78"/>
            </w:tcBorders>
          </w:tcPr>
          <w:p>
            <w:pPr>
              <w:spacing w:after="0"/>
              <w:rPr>
                <w:sz w:val="23"/>
                <w:szCs w:val="23"/>
                <w:color w:val="auto"/>
              </w:rPr>
            </w:pPr>
          </w:p>
        </w:tc>
        <w:tc>
          <w:tcPr>
            <w:tcW w:w="800" w:type="dxa"/>
            <w:vAlign w:val="bottom"/>
            <w:tcBorders>
              <w:bottom w:val="single" w:sz="8" w:color="2264AD"/>
            </w:tcBorders>
            <w:gridSpan w:val="4"/>
            <w:vMerge w:val="continue"/>
            <w:shd w:val="clear" w:color="auto" w:fill="2264AD"/>
          </w:tcPr>
          <w:p>
            <w:pPr>
              <w:spacing w:after="0"/>
              <w:rPr>
                <w:sz w:val="23"/>
                <w:szCs w:val="23"/>
                <w:color w:val="auto"/>
              </w:rPr>
            </w:pPr>
          </w:p>
        </w:tc>
        <w:tc>
          <w:tcPr>
            <w:tcW w:w="20" w:type="dxa"/>
            <w:vAlign w:val="bottom"/>
            <w:tcBorders>
              <w:bottom w:val="single" w:sz="8" w:color="000B78"/>
            </w:tcBorders>
          </w:tcPr>
          <w:p>
            <w:pPr>
              <w:spacing w:after="0"/>
              <w:rPr>
                <w:sz w:val="23"/>
                <w:szCs w:val="23"/>
                <w:color w:val="auto"/>
              </w:rPr>
            </w:pPr>
          </w:p>
        </w:tc>
        <w:tc>
          <w:tcPr>
            <w:tcW w:w="140" w:type="dxa"/>
            <w:vAlign w:val="bottom"/>
            <w:tcBorders>
              <w:bottom w:val="single" w:sz="8" w:color="000B78"/>
            </w:tcBorders>
          </w:tcPr>
          <w:p>
            <w:pPr>
              <w:spacing w:after="0"/>
              <w:rPr>
                <w:sz w:val="23"/>
                <w:szCs w:val="23"/>
                <w:color w:val="auto"/>
              </w:rPr>
            </w:pPr>
          </w:p>
        </w:tc>
        <w:tc>
          <w:tcPr>
            <w:tcW w:w="100" w:type="dxa"/>
            <w:vAlign w:val="bottom"/>
            <w:tcBorders>
              <w:bottom w:val="single" w:sz="8" w:color="000B78"/>
            </w:tcBorders>
          </w:tcPr>
          <w:p>
            <w:pPr>
              <w:spacing w:after="0"/>
              <w:rPr>
                <w:sz w:val="23"/>
                <w:szCs w:val="23"/>
                <w:color w:val="auto"/>
              </w:rPr>
            </w:pPr>
          </w:p>
        </w:tc>
        <w:tc>
          <w:tcPr>
            <w:tcW w:w="220" w:type="dxa"/>
            <w:vAlign w:val="bottom"/>
            <w:tcBorders>
              <w:bottom w:val="single" w:sz="8" w:color="000B78"/>
            </w:tcBorders>
            <w:gridSpan w:val="2"/>
          </w:tcPr>
          <w:p>
            <w:pPr>
              <w:spacing w:after="0"/>
              <w:rPr>
                <w:sz w:val="23"/>
                <w:szCs w:val="23"/>
                <w:color w:val="auto"/>
              </w:rPr>
            </w:pPr>
          </w:p>
        </w:tc>
        <w:tc>
          <w:tcPr>
            <w:tcW w:w="800" w:type="dxa"/>
            <w:vAlign w:val="bottom"/>
            <w:tcBorders>
              <w:bottom w:val="single" w:sz="8" w:color="000B78"/>
            </w:tcBorders>
            <w:gridSpan w:val="5"/>
            <w:vMerge w:val="continue"/>
            <w:shd w:val="clear" w:color="auto" w:fill="000B78"/>
          </w:tcPr>
          <w:p>
            <w:pPr>
              <w:spacing w:after="0"/>
              <w:rPr>
                <w:sz w:val="23"/>
                <w:szCs w:val="23"/>
                <w:color w:val="auto"/>
              </w:rPr>
            </w:pPr>
          </w:p>
        </w:tc>
        <w:tc>
          <w:tcPr>
            <w:tcW w:w="180" w:type="dxa"/>
            <w:vAlign w:val="bottom"/>
            <w:tcBorders>
              <w:bottom w:val="single" w:sz="8" w:color="000B78"/>
            </w:tcBorders>
          </w:tcPr>
          <w:p>
            <w:pPr>
              <w:spacing w:after="0"/>
              <w:rPr>
                <w:sz w:val="23"/>
                <w:szCs w:val="23"/>
                <w:color w:val="auto"/>
              </w:rPr>
            </w:pPr>
          </w:p>
        </w:tc>
        <w:tc>
          <w:tcPr>
            <w:tcW w:w="160" w:type="dxa"/>
            <w:vAlign w:val="bottom"/>
            <w:tcBorders>
              <w:bottom w:val="single" w:sz="8" w:color="000B78"/>
            </w:tcBorders>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6"/>
            <w:vMerge w:val="restart"/>
          </w:tcPr>
          <w:p>
            <w:pPr>
              <w:jc w:val="center"/>
              <w:ind w:right="380"/>
              <w:spacing w:after="0"/>
              <w:rPr>
                <w:sz w:val="20"/>
                <w:szCs w:val="20"/>
                <w:color w:val="auto"/>
              </w:rPr>
            </w:pPr>
            <w:r>
              <w:rPr>
                <w:rFonts w:ascii="Arial" w:cs="Arial" w:eastAsia="Arial" w:hAnsi="Arial"/>
                <w:sz w:val="16"/>
                <w:szCs w:val="16"/>
                <w:b w:val="1"/>
                <w:bCs w:val="1"/>
                <w:color w:val="000B78"/>
              </w:rPr>
              <w:t>FY 2021</w:t>
            </w: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000B78"/>
              </w:rPr>
              <w:t>FY 2021</w:t>
            </w:r>
          </w:p>
        </w:tc>
        <w:tc>
          <w:tcPr>
            <w:tcW w:w="480" w:type="dxa"/>
            <w:vAlign w:val="bottom"/>
          </w:tcPr>
          <w:p>
            <w:pPr>
              <w:spacing w:after="0"/>
              <w:rPr>
                <w:sz w:val="7"/>
                <w:szCs w:val="7"/>
                <w:color w:val="auto"/>
              </w:rPr>
            </w:pPr>
          </w:p>
        </w:tc>
        <w:tc>
          <w:tcPr>
            <w:tcW w:w="800" w:type="dxa"/>
            <w:vAlign w:val="bottom"/>
            <w:gridSpan w:val="4"/>
            <w:vMerge w:val="continue"/>
            <w:shd w:val="clear" w:color="auto" w:fill="2264AD"/>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000B78"/>
            </w:tcBorders>
            <w:gridSpan w:val="5"/>
            <w:vMerge w:val="continue"/>
            <w:shd w:val="clear" w:color="auto" w:fill="000B78"/>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gridSpan w:val="6"/>
            <w:vMerge w:val="continue"/>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000B78"/>
              </w:rPr>
              <w:t>FY 2022</w:t>
            </w:r>
          </w:p>
        </w:tc>
        <w:tc>
          <w:tcPr>
            <w:tcW w:w="480" w:type="dxa"/>
            <w:vAlign w:val="bottom"/>
          </w:tcPr>
          <w:p>
            <w:pPr>
              <w:spacing w:after="0"/>
              <w:rPr>
                <w:sz w:val="23"/>
                <w:szCs w:val="23"/>
                <w:color w:val="auto"/>
              </w:rPr>
            </w:pPr>
          </w:p>
        </w:tc>
        <w:tc>
          <w:tcPr>
            <w:tcW w:w="1360" w:type="dxa"/>
            <w:vAlign w:val="bottom"/>
            <w:gridSpan w:val="7"/>
          </w:tcPr>
          <w:p>
            <w:pPr>
              <w:jc w:val="center"/>
              <w:ind w:right="580"/>
              <w:spacing w:after="0"/>
              <w:rPr>
                <w:sz w:val="20"/>
                <w:szCs w:val="20"/>
                <w:color w:val="auto"/>
              </w:rPr>
            </w:pPr>
            <w:r>
              <w:rPr>
                <w:rFonts w:ascii="Arial" w:cs="Arial" w:eastAsia="Arial" w:hAnsi="Arial"/>
                <w:sz w:val="16"/>
                <w:szCs w:val="16"/>
                <w:b w:val="1"/>
                <w:bCs w:val="1"/>
                <w:color w:val="000B78"/>
              </w:rPr>
              <w:t>FY 2023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gridSpan w:val="3"/>
            <w:vMerge w:val="continue"/>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000B78"/>
              </w:rPr>
              <w:t>FY 2022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7"/>
          </w:tcPr>
          <w:p>
            <w:pPr>
              <w:jc w:val="center"/>
              <w:ind w:right="340"/>
              <w:spacing w:after="0"/>
              <w:rPr>
                <w:sz w:val="20"/>
                <w:szCs w:val="20"/>
                <w:color w:val="auto"/>
              </w:rPr>
            </w:pPr>
            <w:r>
              <w:rPr>
                <w:rFonts w:ascii="Arial" w:cs="Arial" w:eastAsia="Arial" w:hAnsi="Arial"/>
                <w:sz w:val="16"/>
                <w:szCs w:val="16"/>
                <w:b w:val="1"/>
                <w:bCs w:val="1"/>
                <w:color w:val="000B78"/>
              </w:rPr>
              <w:t>FY 2023</w:t>
            </w:r>
          </w:p>
        </w:tc>
        <w:tc>
          <w:tcPr>
            <w:tcW w:w="0" w:type="dxa"/>
            <w:vAlign w:val="bottom"/>
          </w:tcPr>
          <w:p>
            <w:pPr>
              <w:spacing w:after="0"/>
              <w:rPr>
                <w:sz w:val="1"/>
                <w:szCs w:val="1"/>
                <w:color w:val="auto"/>
              </w:rPr>
            </w:pPr>
          </w:p>
        </w:tc>
      </w:tr>
      <w:tr>
        <w:trPr>
          <w:trHeight w:val="749"/>
        </w:trPr>
        <w:tc>
          <w:tcPr>
            <w:tcW w:w="560" w:type="dxa"/>
            <w:vAlign w:val="bottom"/>
          </w:tcPr>
          <w:p>
            <w:pPr>
              <w:spacing w:after="0"/>
              <w:rPr>
                <w:sz w:val="24"/>
                <w:szCs w:val="24"/>
                <w:color w:val="auto"/>
              </w:rPr>
            </w:pPr>
          </w:p>
        </w:tc>
        <w:tc>
          <w:tcPr>
            <w:tcW w:w="2380" w:type="dxa"/>
            <w:vAlign w:val="bottom"/>
            <w:gridSpan w:val="14"/>
          </w:tcPr>
          <w:p>
            <w:pPr>
              <w:spacing w:after="0"/>
              <w:rPr>
                <w:sz w:val="20"/>
                <w:szCs w:val="20"/>
                <w:color w:val="auto"/>
              </w:rPr>
            </w:pPr>
            <w:r>
              <w:rPr>
                <w:rFonts w:ascii="Arial" w:cs="Arial" w:eastAsia="Arial" w:hAnsi="Arial"/>
                <w:sz w:val="20"/>
                <w:szCs w:val="20"/>
                <w:b w:val="1"/>
                <w:bCs w:val="1"/>
                <w:color w:val="000B78"/>
              </w:rPr>
              <w:t>Pre-Tax Income</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gridSpan w:val="16"/>
          </w:tcPr>
          <w:p>
            <w:pPr>
              <w:ind w:left="40"/>
              <w:spacing w:after="0"/>
              <w:rPr>
                <w:sz w:val="20"/>
                <w:szCs w:val="20"/>
                <w:color w:val="auto"/>
              </w:rPr>
            </w:pPr>
            <w:r>
              <w:rPr>
                <w:rFonts w:ascii="Arial" w:cs="Arial" w:eastAsia="Arial" w:hAnsi="Arial"/>
                <w:sz w:val="20"/>
                <w:szCs w:val="20"/>
                <w:b w:val="1"/>
                <w:bCs w:val="1"/>
                <w:color w:val="000B78"/>
              </w:rPr>
              <w:t>Earnings per</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15"/>
          </w:tcPr>
          <w:p>
            <w:pPr>
              <w:spacing w:after="0"/>
              <w:rPr>
                <w:sz w:val="20"/>
                <w:szCs w:val="20"/>
                <w:color w:val="auto"/>
              </w:rPr>
            </w:pPr>
            <w:r>
              <w:rPr>
                <w:rFonts w:ascii="Arial" w:cs="Arial" w:eastAsia="Arial" w:hAnsi="Arial"/>
                <w:sz w:val="20"/>
                <w:szCs w:val="20"/>
                <w:b w:val="1"/>
                <w:bCs w:val="1"/>
                <w:color w:val="000B78"/>
              </w:rPr>
              <w:t>Adjusted Earnings</w:t>
            </w:r>
          </w:p>
        </w:tc>
        <w:tc>
          <w:tcPr>
            <w:tcW w:w="0" w:type="dxa"/>
            <w:vAlign w:val="bottom"/>
          </w:tcPr>
          <w:p>
            <w:pPr>
              <w:spacing w:after="0"/>
              <w:rPr>
                <w:sz w:val="1"/>
                <w:szCs w:val="1"/>
                <w:color w:val="auto"/>
              </w:rPr>
            </w:pPr>
          </w:p>
        </w:tc>
      </w:tr>
      <w:tr>
        <w:trPr>
          <w:trHeight w:val="291"/>
        </w:trPr>
        <w:tc>
          <w:tcPr>
            <w:tcW w:w="560" w:type="dxa"/>
            <w:vAlign w:val="bottom"/>
          </w:tcPr>
          <w:p>
            <w:pPr>
              <w:spacing w:after="0"/>
              <w:rPr>
                <w:sz w:val="24"/>
                <w:szCs w:val="24"/>
                <w:color w:val="auto"/>
              </w:rPr>
            </w:pPr>
          </w:p>
        </w:tc>
        <w:tc>
          <w:tcPr>
            <w:tcW w:w="1480" w:type="dxa"/>
            <w:vAlign w:val="bottom"/>
            <w:gridSpan w:val="9"/>
          </w:tcPr>
          <w:p>
            <w:pPr>
              <w:spacing w:after="0"/>
              <w:rPr>
                <w:sz w:val="20"/>
                <w:szCs w:val="20"/>
                <w:color w:val="auto"/>
              </w:rPr>
            </w:pPr>
            <w:r>
              <w:rPr>
                <w:rFonts w:ascii="Arial" w:cs="Arial" w:eastAsia="Arial" w:hAnsi="Arial"/>
                <w:sz w:val="14"/>
                <w:szCs w:val="14"/>
                <w:b w:val="1"/>
                <w:bCs w:val="1"/>
                <w:color w:val="000B78"/>
              </w:rPr>
              <w:t>(IN MILLIONS)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gridSpan w:val="16"/>
          </w:tcPr>
          <w:p>
            <w:pPr>
              <w:ind w:left="40"/>
              <w:spacing w:after="0"/>
              <w:rPr>
                <w:sz w:val="20"/>
                <w:szCs w:val="20"/>
                <w:color w:val="auto"/>
              </w:rPr>
            </w:pPr>
            <w:r>
              <w:rPr>
                <w:rFonts w:ascii="Arial" w:cs="Arial" w:eastAsia="Arial" w:hAnsi="Arial"/>
                <w:sz w:val="20"/>
                <w:szCs w:val="20"/>
                <w:b w:val="1"/>
                <w:bCs w:val="1"/>
                <w:color w:val="000B78"/>
              </w:rPr>
              <w:t>Share – Diluted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15"/>
          </w:tcPr>
          <w:p>
            <w:pPr>
              <w:spacing w:after="0"/>
              <w:rPr>
                <w:sz w:val="20"/>
                <w:szCs w:val="20"/>
                <w:color w:val="auto"/>
              </w:rPr>
            </w:pPr>
            <w:r>
              <w:rPr>
                <w:rFonts w:ascii="Arial" w:cs="Arial" w:eastAsia="Arial" w:hAnsi="Arial"/>
                <w:sz w:val="20"/>
                <w:szCs w:val="20"/>
                <w:b w:val="1"/>
                <w:bCs w:val="1"/>
                <w:color w:val="000B78"/>
              </w:rPr>
              <w:t>per Share – Diluted</w:t>
            </w:r>
            <w:r>
              <w:rPr>
                <w:rFonts w:ascii="Arial" w:cs="Arial" w:eastAsia="Arial" w:hAnsi="Arial"/>
                <w:sz w:val="9"/>
                <w:szCs w:val="9"/>
                <w:color w:val="000B78"/>
              </w:rPr>
              <w:t>(3)</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54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40" w:type="dxa"/>
            <w:vAlign w:val="bottom"/>
            <w:gridSpan w:val="4"/>
            <w:shd w:val="clear" w:color="auto" w:fill="C9E0EE"/>
          </w:tcPr>
          <w:p>
            <w:pPr>
              <w:ind w:left="40"/>
              <w:spacing w:after="0" w:line="109" w:lineRule="exact"/>
              <w:rPr>
                <w:sz w:val="20"/>
                <w:szCs w:val="20"/>
                <w:color w:val="auto"/>
              </w:rPr>
            </w:pPr>
            <w:r>
              <w:rPr>
                <w:rFonts w:ascii="Arial" w:cs="Arial" w:eastAsia="Arial" w:hAnsi="Arial"/>
                <w:sz w:val="12"/>
                <w:szCs w:val="12"/>
                <w:b w:val="1"/>
                <w:bCs w:val="1"/>
                <w:color w:val="000B78"/>
              </w:rPr>
              <w:t>$860</w:t>
            </w:r>
          </w:p>
        </w:tc>
        <w:tc>
          <w:tcPr>
            <w:tcW w:w="800" w:type="dxa"/>
            <w:vAlign w:val="bottom"/>
            <w:gridSpan w:val="4"/>
            <w:vMerge w:val="restart"/>
          </w:tcPr>
          <w:p>
            <w:pPr>
              <w:jc w:val="right"/>
              <w:ind w:right="200"/>
              <w:spacing w:after="0"/>
              <w:rPr>
                <w:sz w:val="20"/>
                <w:szCs w:val="20"/>
                <w:color w:val="auto"/>
              </w:rPr>
            </w:pPr>
            <w:r>
              <w:rPr>
                <w:rFonts w:ascii="Arial" w:cs="Arial" w:eastAsia="Arial" w:hAnsi="Arial"/>
                <w:sz w:val="16"/>
                <w:szCs w:val="16"/>
                <w:b w:val="1"/>
                <w:bCs w:val="1"/>
                <w:color w:val="2264AD"/>
              </w:rPr>
              <w:t>$818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0B78"/>
              </w:rPr>
              <w:t>$800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B78"/>
              </w:rPr>
              <w:t>$8.00</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000B78"/>
              </w:rPr>
              <w:t>$8.00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5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gridSpan w:val="3"/>
            <w:vMerge w:val="restart"/>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4"/>
            <w:vMerge w:val="restart"/>
            <w:shd w:val="clear" w:color="auto" w:fill="C9E0EE"/>
          </w:tcPr>
          <w:p>
            <w:pPr>
              <w:ind w:left="60"/>
              <w:spacing w:after="0" w:line="109" w:lineRule="exact"/>
              <w:rPr>
                <w:sz w:val="20"/>
                <w:szCs w:val="20"/>
                <w:color w:val="auto"/>
              </w:rPr>
            </w:pPr>
            <w:r>
              <w:rPr>
                <w:rFonts w:ascii="Arial" w:cs="Arial" w:eastAsia="Arial" w:hAnsi="Arial"/>
                <w:sz w:val="12"/>
                <w:szCs w:val="12"/>
                <w:b w:val="1"/>
                <w:bCs w:val="1"/>
                <w:color w:val="2264AD"/>
              </w:rPr>
              <w:t>$7.70</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5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2264AD"/>
            </w:tcBorders>
          </w:tcPr>
          <w:p>
            <w:pPr>
              <w:spacing w:after="0"/>
              <w:rPr>
                <w:sz w:val="9"/>
                <w:szCs w:val="9"/>
                <w:color w:val="auto"/>
              </w:rPr>
            </w:pPr>
          </w:p>
        </w:tc>
        <w:tc>
          <w:tcPr>
            <w:tcW w:w="120" w:type="dxa"/>
            <w:vAlign w:val="bottom"/>
            <w:tcBorders>
              <w:bottom w:val="single" w:sz="8" w:color="2264AD"/>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C9E0EE"/>
            </w:tcBorders>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C9E0EE"/>
            </w:tcBorders>
            <w:gridSpan w:val="4"/>
            <w:shd w:val="clear" w:color="auto" w:fill="C9E0EE"/>
          </w:tcPr>
          <w:p>
            <w:pPr>
              <w:jc w:val="right"/>
              <w:ind w:right="60"/>
              <w:spacing w:after="0" w:line="109" w:lineRule="exact"/>
              <w:rPr>
                <w:sz w:val="20"/>
                <w:szCs w:val="20"/>
                <w:color w:val="auto"/>
              </w:rPr>
            </w:pPr>
            <w:r>
              <w:rPr>
                <w:rFonts w:ascii="Arial" w:cs="Arial" w:eastAsia="Arial" w:hAnsi="Arial"/>
                <w:sz w:val="12"/>
                <w:szCs w:val="12"/>
                <w:b w:val="1"/>
                <w:bCs w:val="1"/>
                <w:color w:val="000B78"/>
              </w:rPr>
              <w:t>$7.60</w:t>
            </w:r>
          </w:p>
        </w:tc>
        <w:tc>
          <w:tcPr>
            <w:tcW w:w="100" w:type="dxa"/>
            <w:vAlign w:val="bottom"/>
          </w:tcPr>
          <w:p>
            <w:pPr>
              <w:spacing w:after="0"/>
              <w:rPr>
                <w:sz w:val="9"/>
                <w:szCs w:val="9"/>
                <w:color w:val="auto"/>
              </w:rPr>
            </w:pPr>
          </w:p>
        </w:tc>
        <w:tc>
          <w:tcPr>
            <w:tcW w:w="540" w:type="dxa"/>
            <w:vAlign w:val="bottom"/>
            <w:tcBorders>
              <w:bottom w:val="single" w:sz="8" w:color="C9E0EE"/>
            </w:tcBorders>
            <w:gridSpan w:val="4"/>
            <w:vMerge w:val="continue"/>
            <w:shd w:val="clear" w:color="auto" w:fill="C9E0E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140" w:type="dxa"/>
            <w:vAlign w:val="bottom"/>
            <w:tcBorders>
              <w:top w:val="single" w:sz="8" w:color="000B78"/>
            </w:tcBorders>
          </w:tcPr>
          <w:p>
            <w:pPr>
              <w:spacing w:after="0" w:line="20" w:lineRule="exact"/>
              <w:rPr>
                <w:sz w:val="1"/>
                <w:szCs w:val="1"/>
                <w:color w:val="auto"/>
              </w:rPr>
            </w:pPr>
          </w:p>
        </w:tc>
        <w:tc>
          <w:tcPr>
            <w:tcW w:w="120" w:type="dxa"/>
            <w:vAlign w:val="bottom"/>
            <w:tcBorders>
              <w:top w:val="single" w:sz="8" w:color="000B7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000B78"/>
            </w:tcBorders>
          </w:tcPr>
          <w:p>
            <w:pPr>
              <w:spacing w:after="0" w:line="20" w:lineRule="exact"/>
              <w:rPr>
                <w:sz w:val="1"/>
                <w:szCs w:val="1"/>
                <w:color w:val="auto"/>
              </w:rPr>
            </w:pPr>
          </w:p>
        </w:tc>
        <w:tc>
          <w:tcPr>
            <w:tcW w:w="240" w:type="dxa"/>
            <w:vAlign w:val="bottom"/>
            <w:tcBorders>
              <w:top w:val="single" w:sz="8" w:color="000B78"/>
            </w:tcBorders>
          </w:tcPr>
          <w:p>
            <w:pPr>
              <w:spacing w:after="0" w:line="20" w:lineRule="exact"/>
              <w:rPr>
                <w:sz w:val="1"/>
                <w:szCs w:val="1"/>
                <w:color w:val="auto"/>
              </w:rPr>
            </w:pPr>
          </w:p>
        </w:tc>
        <w:tc>
          <w:tcPr>
            <w:tcW w:w="180" w:type="dxa"/>
            <w:vAlign w:val="bottom"/>
            <w:tcBorders>
              <w:top w:val="single" w:sz="8" w:color="2264AD"/>
              <w:bottom w:val="single" w:sz="8" w:color="2264AD"/>
            </w:tcBorders>
            <w:shd w:val="clear" w:color="auto" w:fill="2264AD"/>
          </w:tcPr>
          <w:p>
            <w:pPr>
              <w:spacing w:after="0" w:line="20" w:lineRule="exact"/>
              <w:rPr>
                <w:sz w:val="1"/>
                <w:szCs w:val="1"/>
                <w:color w:val="auto"/>
              </w:rPr>
            </w:pPr>
          </w:p>
        </w:tc>
        <w:tc>
          <w:tcPr>
            <w:tcW w:w="120" w:type="dxa"/>
            <w:vAlign w:val="bottom"/>
            <w:tcBorders>
              <w:top w:val="single" w:sz="8" w:color="2264AD"/>
              <w:bottom w:val="single" w:sz="8" w:color="2264AD"/>
            </w:tcBorders>
            <w:shd w:val="clear" w:color="auto" w:fill="2264AD"/>
          </w:tcPr>
          <w:p>
            <w:pPr>
              <w:spacing w:after="0" w:line="20" w:lineRule="exact"/>
              <w:rPr>
                <w:sz w:val="1"/>
                <w:szCs w:val="1"/>
                <w:color w:val="auto"/>
              </w:rPr>
            </w:pPr>
          </w:p>
        </w:tc>
        <w:tc>
          <w:tcPr>
            <w:tcW w:w="260" w:type="dxa"/>
            <w:vAlign w:val="bottom"/>
            <w:tcBorders>
              <w:top w:val="single" w:sz="8" w:color="000B78"/>
            </w:tcBorders>
          </w:tcPr>
          <w:p>
            <w:pPr>
              <w:spacing w:after="0" w:line="20" w:lineRule="exact"/>
              <w:rPr>
                <w:sz w:val="1"/>
                <w:szCs w:val="1"/>
                <w:color w:val="auto"/>
              </w:rPr>
            </w:pPr>
          </w:p>
        </w:tc>
        <w:tc>
          <w:tcPr>
            <w:tcW w:w="120" w:type="dxa"/>
            <w:vAlign w:val="bottom"/>
            <w:tcBorders>
              <w:top w:val="single" w:sz="8" w:color="000B78"/>
            </w:tcBorders>
          </w:tcPr>
          <w:p>
            <w:pPr>
              <w:spacing w:after="0" w:line="20" w:lineRule="exact"/>
              <w:rPr>
                <w:sz w:val="1"/>
                <w:szCs w:val="1"/>
                <w:color w:val="auto"/>
              </w:rPr>
            </w:pPr>
          </w:p>
        </w:tc>
        <w:tc>
          <w:tcPr>
            <w:tcW w:w="300" w:type="dxa"/>
            <w:vAlign w:val="bottom"/>
            <w:tcBorders>
              <w:top w:val="single" w:sz="8" w:color="000B78"/>
            </w:tcBorders>
          </w:tcPr>
          <w:p>
            <w:pPr>
              <w:spacing w:after="0" w:line="20" w:lineRule="exact"/>
              <w:rPr>
                <w:sz w:val="1"/>
                <w:szCs w:val="1"/>
                <w:color w:val="auto"/>
              </w:rPr>
            </w:pPr>
          </w:p>
        </w:tc>
        <w:tc>
          <w:tcPr>
            <w:tcW w:w="120" w:type="dxa"/>
            <w:vAlign w:val="bottom"/>
            <w:tcBorders>
              <w:top w:val="single" w:sz="8" w:color="000B78"/>
            </w:tcBorders>
          </w:tcPr>
          <w:p>
            <w:pPr>
              <w:spacing w:after="0" w:line="20" w:lineRule="exact"/>
              <w:rPr>
                <w:sz w:val="1"/>
                <w:szCs w:val="1"/>
                <w:color w:val="auto"/>
              </w:rPr>
            </w:pPr>
          </w:p>
        </w:tc>
        <w:tc>
          <w:tcPr>
            <w:tcW w:w="140" w:type="dxa"/>
            <w:vAlign w:val="bottom"/>
            <w:tcBorders>
              <w:top w:val="single" w:sz="8" w:color="000B78"/>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tcBorders>
              <w:top w:val="single" w:sz="8" w:color="000B78"/>
              <w:bottom w:val="single" w:sz="8" w:color="000B78"/>
            </w:tcBorders>
            <w:gridSpan w:val="5"/>
            <w:vMerge w:val="restart"/>
          </w:tcPr>
          <w:p>
            <w:pPr>
              <w:jc w:val="right"/>
              <w:ind w:right="180"/>
              <w:spacing w:after="0" w:line="100" w:lineRule="exact"/>
              <w:rPr>
                <w:sz w:val="20"/>
                <w:szCs w:val="20"/>
                <w:color w:val="auto"/>
              </w:rPr>
            </w:pPr>
            <w:r>
              <w:rPr>
                <w:rFonts w:ascii="Arial" w:cs="Arial" w:eastAsia="Arial" w:hAnsi="Arial"/>
                <w:sz w:val="11"/>
                <w:szCs w:val="11"/>
                <w:b w:val="1"/>
                <w:bCs w:val="1"/>
                <w:color w:val="000B78"/>
              </w:rPr>
              <w:t>$7.12</w:t>
            </w:r>
          </w:p>
        </w:tc>
        <w:tc>
          <w:tcPr>
            <w:tcW w:w="520" w:type="dxa"/>
            <w:vAlign w:val="bottom"/>
            <w:tcBorders>
              <w:top w:val="single" w:sz="8" w:color="C9E0EE"/>
              <w:bottom w:val="single" w:sz="8" w:color="C9E0EE"/>
            </w:tcBorders>
            <w:gridSpan w:val="3"/>
            <w:shd w:val="clear" w:color="auto" w:fill="C9E0EE"/>
          </w:tcPr>
          <w:p>
            <w:pPr>
              <w:jc w:val="right"/>
              <w:ind w:right="40"/>
              <w:spacing w:after="0"/>
              <w:rPr>
                <w:sz w:val="20"/>
                <w:szCs w:val="20"/>
                <w:color w:val="auto"/>
              </w:rPr>
            </w:pPr>
            <w:r>
              <w:rPr>
                <w:rFonts w:ascii="Arial" w:cs="Arial" w:eastAsia="Arial" w:hAnsi="Arial"/>
                <w:sz w:val="1"/>
                <w:szCs w:val="1"/>
                <w:b w:val="1"/>
                <w:bCs w:val="1"/>
                <w:color w:val="2264AD"/>
              </w:rPr>
              <w:t>$7.49</w:t>
            </w:r>
          </w:p>
        </w:tc>
        <w:tc>
          <w:tcPr>
            <w:tcW w:w="160" w:type="dxa"/>
            <w:vAlign w:val="bottom"/>
            <w:tcBorders>
              <w:top w:val="single" w:sz="8" w:color="000B78"/>
            </w:tcBorders>
          </w:tcPr>
          <w:p>
            <w:pPr>
              <w:spacing w:after="0" w:line="20" w:lineRule="exact"/>
              <w:rPr>
                <w:sz w:val="1"/>
                <w:szCs w:val="1"/>
                <w:color w:val="auto"/>
              </w:rPr>
            </w:pPr>
          </w:p>
        </w:tc>
        <w:tc>
          <w:tcPr>
            <w:tcW w:w="140" w:type="dxa"/>
            <w:vAlign w:val="bottom"/>
            <w:tcBorders>
              <w:top w:val="single" w:sz="8" w:color="000B78"/>
            </w:tcBorders>
          </w:tcPr>
          <w:p>
            <w:pPr>
              <w:spacing w:after="0" w:line="20" w:lineRule="exact"/>
              <w:rPr>
                <w:sz w:val="1"/>
                <w:szCs w:val="1"/>
                <w:color w:val="auto"/>
              </w:rPr>
            </w:pPr>
          </w:p>
        </w:tc>
        <w:tc>
          <w:tcPr>
            <w:tcW w:w="280" w:type="dxa"/>
            <w:vAlign w:val="bottom"/>
            <w:tcBorders>
              <w:top w:val="single" w:sz="8" w:color="000B78"/>
            </w:tcBorders>
          </w:tcPr>
          <w:p>
            <w:pPr>
              <w:spacing w:after="0" w:line="20" w:lineRule="exact"/>
              <w:rPr>
                <w:sz w:val="1"/>
                <w:szCs w:val="1"/>
                <w:color w:val="auto"/>
              </w:rPr>
            </w:pPr>
          </w:p>
        </w:tc>
        <w:tc>
          <w:tcPr>
            <w:tcW w:w="20" w:type="dxa"/>
            <w:vAlign w:val="bottom"/>
            <w:tcBorders>
              <w:top w:val="single" w:sz="8" w:color="000B78"/>
            </w:tcBorders>
          </w:tcPr>
          <w:p>
            <w:pPr>
              <w:spacing w:after="0" w:line="20" w:lineRule="exact"/>
              <w:rPr>
                <w:sz w:val="1"/>
                <w:szCs w:val="1"/>
                <w:color w:val="auto"/>
              </w:rPr>
            </w:pPr>
          </w:p>
        </w:tc>
        <w:tc>
          <w:tcPr>
            <w:tcW w:w="80" w:type="dxa"/>
            <w:vAlign w:val="bottom"/>
            <w:tcBorders>
              <w:top w:val="single" w:sz="8" w:color="000B78"/>
            </w:tcBorders>
          </w:tcPr>
          <w:p>
            <w:pPr>
              <w:spacing w:after="0" w:line="20" w:lineRule="exact"/>
              <w:rPr>
                <w:sz w:val="1"/>
                <w:szCs w:val="1"/>
                <w:color w:val="auto"/>
              </w:rPr>
            </w:pPr>
          </w:p>
        </w:tc>
        <w:tc>
          <w:tcPr>
            <w:tcW w:w="160" w:type="dxa"/>
            <w:vAlign w:val="bottom"/>
            <w:tcBorders>
              <w:top w:val="single" w:sz="8" w:color="000B78"/>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40" w:type="dxa"/>
            <w:vAlign w:val="bottom"/>
            <w:tcBorders>
              <w:top w:val="single" w:sz="8" w:color="000B78"/>
            </w:tcBorders>
          </w:tcPr>
          <w:p>
            <w:pPr>
              <w:spacing w:after="0" w:line="20" w:lineRule="exact"/>
              <w:rPr>
                <w:sz w:val="1"/>
                <w:szCs w:val="1"/>
                <w:color w:val="auto"/>
              </w:rPr>
            </w:pPr>
          </w:p>
        </w:tc>
        <w:tc>
          <w:tcPr>
            <w:tcW w:w="560" w:type="dxa"/>
            <w:vAlign w:val="bottom"/>
            <w:tcBorders>
              <w:top w:val="single" w:sz="8" w:color="C9E0EE"/>
            </w:tcBorders>
            <w:gridSpan w:val="4"/>
          </w:tcPr>
          <w:p>
            <w:pPr>
              <w:spacing w:after="0" w:line="20" w:lineRule="exact"/>
              <w:rPr>
                <w:sz w:val="1"/>
                <w:szCs w:val="1"/>
                <w:color w:val="auto"/>
              </w:rPr>
            </w:pPr>
          </w:p>
        </w:tc>
        <w:tc>
          <w:tcPr>
            <w:tcW w:w="100" w:type="dxa"/>
            <w:vAlign w:val="bottom"/>
            <w:tcBorders>
              <w:top w:val="single" w:sz="8" w:color="000B78"/>
            </w:tcBorders>
          </w:tcPr>
          <w:p>
            <w:pPr>
              <w:spacing w:after="0" w:line="20" w:lineRule="exact"/>
              <w:rPr>
                <w:sz w:val="1"/>
                <w:szCs w:val="1"/>
                <w:color w:val="auto"/>
              </w:rPr>
            </w:pPr>
          </w:p>
        </w:tc>
        <w:tc>
          <w:tcPr>
            <w:tcW w:w="540" w:type="dxa"/>
            <w:vAlign w:val="bottom"/>
            <w:tcBorders>
              <w:top w:val="single" w:sz="8" w:color="C9E0EE"/>
            </w:tcBorders>
            <w:gridSpan w:val="4"/>
          </w:tcPr>
          <w:p>
            <w:pPr>
              <w:spacing w:after="0" w:line="20" w:lineRule="exact"/>
              <w:rPr>
                <w:sz w:val="1"/>
                <w:szCs w:val="1"/>
                <w:color w:val="auto"/>
              </w:rPr>
            </w:pPr>
          </w:p>
        </w:tc>
        <w:tc>
          <w:tcPr>
            <w:tcW w:w="120" w:type="dxa"/>
            <w:vAlign w:val="bottom"/>
            <w:tcBorders>
              <w:top w:val="single" w:sz="8" w:color="000B78"/>
            </w:tcBorders>
          </w:tcPr>
          <w:p>
            <w:pPr>
              <w:spacing w:after="0" w:line="20" w:lineRule="exact"/>
              <w:rPr>
                <w:sz w:val="1"/>
                <w:szCs w:val="1"/>
                <w:color w:val="auto"/>
              </w:rPr>
            </w:pPr>
          </w:p>
        </w:tc>
        <w:tc>
          <w:tcPr>
            <w:tcW w:w="120" w:type="dxa"/>
            <w:vAlign w:val="bottom"/>
            <w:tcBorders>
              <w:top w:val="single" w:sz="8" w:color="000B78"/>
            </w:tcBorders>
          </w:tcPr>
          <w:p>
            <w:pPr>
              <w:spacing w:after="0" w:line="20" w:lineRule="exact"/>
              <w:rPr>
                <w:sz w:val="1"/>
                <w:szCs w:val="1"/>
                <w:color w:val="auto"/>
              </w:rPr>
            </w:pPr>
          </w:p>
        </w:tc>
        <w:tc>
          <w:tcPr>
            <w:tcW w:w="240" w:type="dxa"/>
            <w:vAlign w:val="bottom"/>
            <w:tcBorders>
              <w:top w:val="single" w:sz="8" w:color="000B78"/>
            </w:tcBorders>
          </w:tcPr>
          <w:p>
            <w:pPr>
              <w:spacing w:after="0" w:line="20" w:lineRule="exact"/>
              <w:rPr>
                <w:sz w:val="1"/>
                <w:szCs w:val="1"/>
                <w:color w:val="auto"/>
              </w:rPr>
            </w:pPr>
          </w:p>
        </w:tc>
        <w:tc>
          <w:tcPr>
            <w:tcW w:w="180" w:type="dxa"/>
            <w:vAlign w:val="bottom"/>
            <w:tcBorders>
              <w:top w:val="single" w:sz="8" w:color="000B78"/>
            </w:tcBorders>
          </w:tcPr>
          <w:p>
            <w:pPr>
              <w:spacing w:after="0" w:line="20" w:lineRule="exact"/>
              <w:rPr>
                <w:sz w:val="1"/>
                <w:szCs w:val="1"/>
                <w:color w:val="auto"/>
              </w:rPr>
            </w:pPr>
          </w:p>
        </w:tc>
        <w:tc>
          <w:tcPr>
            <w:tcW w:w="160" w:type="dxa"/>
            <w:vAlign w:val="bottom"/>
            <w:tcBorders>
              <w:top w:val="single" w:sz="8" w:color="000B7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2264AD"/>
            </w:tcBorders>
            <w:shd w:val="clear" w:color="auto" w:fill="2264AD"/>
          </w:tcPr>
          <w:p>
            <w:pPr>
              <w:spacing w:after="0"/>
              <w:rPr>
                <w:sz w:val="5"/>
                <w:szCs w:val="5"/>
                <w:color w:val="auto"/>
              </w:rPr>
            </w:pPr>
          </w:p>
        </w:tc>
        <w:tc>
          <w:tcPr>
            <w:tcW w:w="120" w:type="dxa"/>
            <w:vAlign w:val="bottom"/>
            <w:tcBorders>
              <w:bottom w:val="single" w:sz="8" w:color="2264AD"/>
            </w:tcBorders>
            <w:shd w:val="clear" w:color="auto" w:fill="2264AD"/>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800" w:type="dxa"/>
            <w:vAlign w:val="bottom"/>
            <w:tcBorders>
              <w:bottom w:val="single" w:sz="8" w:color="000B78"/>
            </w:tcBorders>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2264AD"/>
            </w:tcBorders>
          </w:tcPr>
          <w:p>
            <w:pPr>
              <w:spacing w:after="0"/>
              <w:rPr>
                <w:sz w:val="5"/>
                <w:szCs w:val="5"/>
                <w:color w:val="auto"/>
              </w:rPr>
            </w:pPr>
          </w:p>
        </w:tc>
        <w:tc>
          <w:tcPr>
            <w:tcW w:w="200" w:type="dxa"/>
            <w:vAlign w:val="bottom"/>
            <w:tcBorders>
              <w:bottom w:val="single" w:sz="8" w:color="2264AD"/>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C9E0EE"/>
            </w:tcBorders>
          </w:tcPr>
          <w:p>
            <w:pPr>
              <w:spacing w:after="0"/>
              <w:rPr>
                <w:sz w:val="5"/>
                <w:szCs w:val="5"/>
                <w:color w:val="auto"/>
              </w:rPr>
            </w:pPr>
          </w:p>
        </w:tc>
        <w:tc>
          <w:tcPr>
            <w:tcW w:w="240" w:type="dxa"/>
            <w:vAlign w:val="bottom"/>
            <w:tcBorders>
              <w:bottom w:val="single" w:sz="8" w:color="C9E0EE"/>
            </w:tcBorders>
          </w:tcPr>
          <w:p>
            <w:pPr>
              <w:spacing w:after="0"/>
              <w:rPr>
                <w:sz w:val="5"/>
                <w:szCs w:val="5"/>
                <w:color w:val="auto"/>
              </w:rPr>
            </w:pPr>
          </w:p>
        </w:tc>
        <w:tc>
          <w:tcPr>
            <w:tcW w:w="180" w:type="dxa"/>
            <w:vAlign w:val="bottom"/>
            <w:tcBorders>
              <w:bottom w:val="single" w:sz="8" w:color="C9E0EE"/>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0B78"/>
              </w:rPr>
              <w:t>$600</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shd w:val="clear" w:color="auto" w:fill="2264AD"/>
          </w:tcPr>
          <w:p>
            <w:pPr>
              <w:spacing w:after="0"/>
              <w:rPr>
                <w:sz w:val="7"/>
                <w:szCs w:val="7"/>
                <w:color w:val="auto"/>
              </w:rPr>
            </w:pPr>
          </w:p>
        </w:tc>
        <w:tc>
          <w:tcPr>
            <w:tcW w:w="120" w:type="dxa"/>
            <w:vAlign w:val="bottom"/>
            <w:shd w:val="clear" w:color="auto" w:fill="2264AD"/>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gridSpan w:val="3"/>
            <w:vMerge w:val="restart"/>
            <w:shd w:val="clear" w:color="auto" w:fill="C9E0EE"/>
          </w:tcPr>
          <w:p>
            <w:pPr>
              <w:jc w:val="right"/>
              <w:ind w:right="60"/>
              <w:spacing w:after="0" w:line="109" w:lineRule="exact"/>
              <w:rPr>
                <w:sz w:val="20"/>
                <w:szCs w:val="20"/>
                <w:color w:val="auto"/>
              </w:rPr>
            </w:pPr>
            <w:r>
              <w:rPr>
                <w:rFonts w:ascii="Arial" w:cs="Arial" w:eastAsia="Arial" w:hAnsi="Arial"/>
                <w:sz w:val="12"/>
                <w:szCs w:val="12"/>
                <w:b w:val="1"/>
                <w:bCs w:val="1"/>
                <w:color w:val="000B78"/>
                <w:shd w:val="clear" w:color="auto" w:fill="C9E0EE"/>
              </w:rPr>
              <w:t>$663</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B78"/>
              </w:rPr>
              <w:t>$6.00</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shd w:val="clear" w:color="auto" w:fill="2264AD"/>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gridSpan w:val="4"/>
            <w:vMerge w:val="restart"/>
            <w:shd w:val="clear" w:color="auto" w:fill="C9E0EE"/>
          </w:tcPr>
          <w:p>
            <w:pPr>
              <w:jc w:val="right"/>
              <w:spacing w:after="0" w:line="148" w:lineRule="exact"/>
              <w:rPr>
                <w:sz w:val="20"/>
                <w:szCs w:val="20"/>
                <w:color w:val="auto"/>
              </w:rPr>
            </w:pPr>
            <w:r>
              <w:rPr>
                <w:rFonts w:ascii="Arial" w:cs="Arial" w:eastAsia="Arial" w:hAnsi="Arial"/>
                <w:sz w:val="16"/>
                <w:szCs w:val="16"/>
                <w:b w:val="1"/>
                <w:bCs w:val="1"/>
                <w:color w:val="000B78"/>
              </w:rPr>
              <w:t>$6.70</w:t>
            </w: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000B78"/>
              </w:rPr>
              <w:t>$6.00</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shd w:val="clear" w:color="auto" w:fill="2264AD"/>
          </w:tcPr>
          <w:p>
            <w:pPr>
              <w:spacing w:after="0"/>
              <w:rPr>
                <w:sz w:val="7"/>
                <w:szCs w:val="7"/>
                <w:color w:val="auto"/>
              </w:rPr>
            </w:pPr>
          </w:p>
        </w:tc>
        <w:tc>
          <w:tcPr>
            <w:tcW w:w="200" w:type="dxa"/>
            <w:vAlign w:val="bottom"/>
            <w:shd w:val="clear" w:color="auto" w:fill="2264AD"/>
          </w:tcPr>
          <w:p>
            <w:pPr>
              <w:spacing w:after="0"/>
              <w:rPr>
                <w:sz w:val="7"/>
                <w:szCs w:val="7"/>
                <w:color w:val="auto"/>
              </w:rPr>
            </w:pPr>
          </w:p>
        </w:tc>
        <w:tc>
          <w:tcPr>
            <w:tcW w:w="240" w:type="dxa"/>
            <w:vAlign w:val="bottom"/>
            <w:gridSpan w:val="2"/>
          </w:tcPr>
          <w:p>
            <w:pPr>
              <w:spacing w:after="0"/>
              <w:rPr>
                <w:sz w:val="7"/>
                <w:szCs w:val="7"/>
                <w:color w:val="auto"/>
              </w:rPr>
            </w:pPr>
          </w:p>
        </w:tc>
        <w:tc>
          <w:tcPr>
            <w:tcW w:w="540" w:type="dxa"/>
            <w:vAlign w:val="bottom"/>
            <w:gridSpan w:val="3"/>
            <w:shd w:val="clear" w:color="auto" w:fill="C9E0EE"/>
          </w:tcPr>
          <w:p>
            <w:pPr>
              <w:jc w:val="right"/>
              <w:ind w:right="20"/>
              <w:spacing w:after="0" w:line="83" w:lineRule="exact"/>
              <w:rPr>
                <w:sz w:val="20"/>
                <w:szCs w:val="20"/>
                <w:color w:val="auto"/>
              </w:rPr>
            </w:pPr>
            <w:r>
              <w:rPr>
                <w:rFonts w:ascii="Arial" w:cs="Arial" w:eastAsia="Arial" w:hAnsi="Arial"/>
                <w:sz w:val="9"/>
                <w:szCs w:val="9"/>
                <w:b w:val="1"/>
                <w:bCs w:val="1"/>
                <w:color w:val="000B78"/>
                <w:shd w:val="clear" w:color="auto" w:fill="C9E0EE"/>
              </w:rPr>
              <w:t>$6.96</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2264AD"/>
          </w:tcPr>
          <w:p>
            <w:pPr>
              <w:spacing w:after="0" w:line="20" w:lineRule="exact"/>
              <w:rPr>
                <w:sz w:val="1"/>
                <w:szCs w:val="1"/>
                <w:color w:val="auto"/>
              </w:rPr>
            </w:pPr>
          </w:p>
        </w:tc>
        <w:tc>
          <w:tcPr>
            <w:tcW w:w="120" w:type="dxa"/>
            <w:vAlign w:val="bottom"/>
            <w:shd w:val="clear" w:color="auto" w:fill="2264A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vMerge w:val="continue"/>
            <w:shd w:val="clear" w:color="auto" w:fill="C9E0E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vMerge w:val="restart"/>
            <w:shd w:val="clear" w:color="auto" w:fill="2264AD"/>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520" w:type="dxa"/>
            <w:vAlign w:val="bottom"/>
            <w:gridSpan w:val="4"/>
            <w:vMerge w:val="continue"/>
            <w:shd w:val="clear" w:color="auto" w:fill="C9E0E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2264AD"/>
          </w:tcPr>
          <w:p>
            <w:pPr>
              <w:spacing w:after="0" w:line="20" w:lineRule="exact"/>
              <w:rPr>
                <w:sz w:val="1"/>
                <w:szCs w:val="1"/>
                <w:color w:val="auto"/>
              </w:rPr>
            </w:pPr>
          </w:p>
        </w:tc>
        <w:tc>
          <w:tcPr>
            <w:tcW w:w="200" w:type="dxa"/>
            <w:vAlign w:val="bottom"/>
            <w:shd w:val="clear" w:color="auto" w:fill="2264A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5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2264AD"/>
          </w:tcPr>
          <w:p>
            <w:pPr>
              <w:spacing w:after="0" w:line="20" w:lineRule="exact"/>
              <w:rPr>
                <w:sz w:val="1"/>
                <w:szCs w:val="1"/>
                <w:color w:val="auto"/>
              </w:rPr>
            </w:pPr>
          </w:p>
        </w:tc>
        <w:tc>
          <w:tcPr>
            <w:tcW w:w="120" w:type="dxa"/>
            <w:vAlign w:val="bottom"/>
            <w:shd w:val="clear" w:color="auto" w:fill="2264A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vMerge w:val="continue"/>
            <w:shd w:val="clear" w:color="auto" w:fill="C9E0E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00" w:type="dxa"/>
            <w:vAlign w:val="bottom"/>
            <w:vMerge w:val="continue"/>
            <w:shd w:val="clear" w:color="auto" w:fill="2264AD"/>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520" w:type="dxa"/>
            <w:vAlign w:val="bottom"/>
            <w:gridSpan w:val="4"/>
            <w:vMerge w:val="continue"/>
            <w:shd w:val="clear" w:color="auto" w:fill="C9E0E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2264AD"/>
          </w:tcPr>
          <w:p>
            <w:pPr>
              <w:spacing w:after="0" w:line="20" w:lineRule="exact"/>
              <w:rPr>
                <w:sz w:val="1"/>
                <w:szCs w:val="1"/>
                <w:color w:val="auto"/>
              </w:rPr>
            </w:pPr>
          </w:p>
        </w:tc>
        <w:tc>
          <w:tcPr>
            <w:tcW w:w="200" w:type="dxa"/>
            <w:vAlign w:val="bottom"/>
            <w:shd w:val="clear" w:color="auto" w:fill="2264A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5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264AD"/>
            </w:tcBorders>
            <w:shd w:val="clear" w:color="auto" w:fill="2264AD"/>
          </w:tcPr>
          <w:p>
            <w:pPr>
              <w:spacing w:after="0" w:line="20" w:lineRule="exact"/>
              <w:rPr>
                <w:sz w:val="1"/>
                <w:szCs w:val="1"/>
                <w:color w:val="auto"/>
              </w:rPr>
            </w:pPr>
          </w:p>
        </w:tc>
        <w:tc>
          <w:tcPr>
            <w:tcW w:w="120" w:type="dxa"/>
            <w:vAlign w:val="bottom"/>
            <w:tcBorders>
              <w:bottom w:val="single" w:sz="8" w:color="2264AD"/>
            </w:tcBorders>
            <w:shd w:val="clear" w:color="auto" w:fill="2264A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2264AD"/>
            </w:tcBorders>
            <w:shd w:val="clear" w:color="auto" w:fill="2264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C9E0EE"/>
            </w:tcBorders>
            <w:gridSpan w:val="4"/>
            <w:vMerge w:val="continue"/>
            <w:shd w:val="clear" w:color="auto" w:fill="C9E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264AD"/>
            </w:tcBorders>
            <w:shd w:val="clear" w:color="auto" w:fill="2264AD"/>
          </w:tcPr>
          <w:p>
            <w:pPr>
              <w:spacing w:after="0" w:line="20" w:lineRule="exact"/>
              <w:rPr>
                <w:sz w:val="1"/>
                <w:szCs w:val="1"/>
                <w:color w:val="auto"/>
              </w:rPr>
            </w:pPr>
          </w:p>
        </w:tc>
        <w:tc>
          <w:tcPr>
            <w:tcW w:w="200" w:type="dxa"/>
            <w:vAlign w:val="bottom"/>
            <w:tcBorders>
              <w:bottom w:val="single" w:sz="8" w:color="2264AD"/>
            </w:tcBorders>
            <w:shd w:val="clear" w:color="auto" w:fill="2264A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2264AD"/>
            </w:tcBorders>
            <w:shd w:val="clear" w:color="auto" w:fill="2264AD"/>
          </w:tcPr>
          <w:p>
            <w:pPr>
              <w:spacing w:after="0"/>
              <w:rPr>
                <w:sz w:val="5"/>
                <w:szCs w:val="5"/>
                <w:color w:val="auto"/>
              </w:rPr>
            </w:pPr>
          </w:p>
        </w:tc>
        <w:tc>
          <w:tcPr>
            <w:tcW w:w="120" w:type="dxa"/>
            <w:vAlign w:val="bottom"/>
            <w:tcBorders>
              <w:bottom w:val="single" w:sz="8" w:color="2264AD"/>
            </w:tcBorders>
            <w:shd w:val="clear" w:color="auto" w:fill="2264AD"/>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000B78"/>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bottom w:val="single" w:sz="8" w:color="2264AD"/>
            </w:tcBorders>
            <w:shd w:val="clear" w:color="auto" w:fill="2264AD"/>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2264AD"/>
            </w:tcBorders>
            <w:shd w:val="clear" w:color="auto" w:fill="2264AD"/>
          </w:tcPr>
          <w:p>
            <w:pPr>
              <w:spacing w:after="0"/>
              <w:rPr>
                <w:sz w:val="5"/>
                <w:szCs w:val="5"/>
                <w:color w:val="auto"/>
              </w:rPr>
            </w:pPr>
          </w:p>
        </w:tc>
        <w:tc>
          <w:tcPr>
            <w:tcW w:w="200" w:type="dxa"/>
            <w:vAlign w:val="bottom"/>
            <w:tcBorders>
              <w:bottom w:val="single" w:sz="8" w:color="2264AD"/>
            </w:tcBorders>
            <w:shd w:val="clear" w:color="auto" w:fill="2264AD"/>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000B78"/>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0" w:type="dxa"/>
            <w:vAlign w:val="bottom"/>
            <w:vMerge w:val="continue"/>
          </w:tcPr>
          <w:p>
            <w:pPr>
              <w:spacing w:after="0"/>
              <w:rPr>
                <w:sz w:val="17"/>
                <w:szCs w:val="17"/>
                <w:color w:val="auto"/>
              </w:rPr>
            </w:pPr>
          </w:p>
        </w:tc>
        <w:tc>
          <w:tcPr>
            <w:tcW w:w="140" w:type="dxa"/>
            <w:vAlign w:val="bottom"/>
            <w:tcBorders>
              <w:bottom w:val="single" w:sz="8" w:color="000B78"/>
            </w:tcBorders>
          </w:tcPr>
          <w:p>
            <w:pPr>
              <w:spacing w:after="0"/>
              <w:rPr>
                <w:sz w:val="17"/>
                <w:szCs w:val="17"/>
                <w:color w:val="auto"/>
              </w:rPr>
            </w:pPr>
          </w:p>
        </w:tc>
        <w:tc>
          <w:tcPr>
            <w:tcW w:w="120" w:type="dxa"/>
            <w:vAlign w:val="bottom"/>
            <w:tcBorders>
              <w:bottom w:val="single" w:sz="8" w:color="000B78"/>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000B78"/>
            </w:tcBorders>
          </w:tcPr>
          <w:p>
            <w:pPr>
              <w:spacing w:after="0"/>
              <w:rPr>
                <w:sz w:val="17"/>
                <w:szCs w:val="17"/>
                <w:color w:val="auto"/>
              </w:rPr>
            </w:pPr>
          </w:p>
        </w:tc>
        <w:tc>
          <w:tcPr>
            <w:tcW w:w="240" w:type="dxa"/>
            <w:vAlign w:val="bottom"/>
            <w:tcBorders>
              <w:bottom w:val="single" w:sz="8" w:color="000B78"/>
            </w:tcBorders>
          </w:tcPr>
          <w:p>
            <w:pPr>
              <w:spacing w:after="0"/>
              <w:rPr>
                <w:sz w:val="17"/>
                <w:szCs w:val="17"/>
                <w:color w:val="auto"/>
              </w:rPr>
            </w:pPr>
          </w:p>
        </w:tc>
        <w:tc>
          <w:tcPr>
            <w:tcW w:w="180" w:type="dxa"/>
            <w:vAlign w:val="bottom"/>
            <w:tcBorders>
              <w:bottom w:val="single" w:sz="8" w:color="2264AD"/>
            </w:tcBorders>
            <w:shd w:val="clear" w:color="auto" w:fill="2264AD"/>
          </w:tcPr>
          <w:p>
            <w:pPr>
              <w:spacing w:after="0"/>
              <w:rPr>
                <w:sz w:val="17"/>
                <w:szCs w:val="17"/>
                <w:color w:val="auto"/>
              </w:rPr>
            </w:pPr>
          </w:p>
        </w:tc>
        <w:tc>
          <w:tcPr>
            <w:tcW w:w="120" w:type="dxa"/>
            <w:vAlign w:val="bottom"/>
            <w:tcBorders>
              <w:bottom w:val="single" w:sz="8" w:color="2264AD"/>
            </w:tcBorders>
            <w:shd w:val="clear" w:color="auto" w:fill="2264AD"/>
          </w:tcPr>
          <w:p>
            <w:pPr>
              <w:spacing w:after="0"/>
              <w:rPr>
                <w:sz w:val="17"/>
                <w:szCs w:val="17"/>
                <w:color w:val="auto"/>
              </w:rPr>
            </w:pPr>
          </w:p>
        </w:tc>
        <w:tc>
          <w:tcPr>
            <w:tcW w:w="260" w:type="dxa"/>
            <w:vAlign w:val="bottom"/>
            <w:tcBorders>
              <w:bottom w:val="single" w:sz="8" w:color="000B78"/>
            </w:tcBorders>
          </w:tcPr>
          <w:p>
            <w:pPr>
              <w:spacing w:after="0"/>
              <w:rPr>
                <w:sz w:val="17"/>
                <w:szCs w:val="17"/>
                <w:color w:val="auto"/>
              </w:rPr>
            </w:pPr>
          </w:p>
        </w:tc>
        <w:tc>
          <w:tcPr>
            <w:tcW w:w="120" w:type="dxa"/>
            <w:vAlign w:val="bottom"/>
            <w:tcBorders>
              <w:bottom w:val="single" w:sz="8" w:color="000B78"/>
            </w:tcBorders>
          </w:tcPr>
          <w:p>
            <w:pPr>
              <w:spacing w:after="0"/>
              <w:rPr>
                <w:sz w:val="17"/>
                <w:szCs w:val="17"/>
                <w:color w:val="auto"/>
              </w:rPr>
            </w:pPr>
          </w:p>
        </w:tc>
        <w:tc>
          <w:tcPr>
            <w:tcW w:w="300" w:type="dxa"/>
            <w:vAlign w:val="bottom"/>
            <w:tcBorders>
              <w:bottom w:val="single" w:sz="8" w:color="000B78"/>
            </w:tcBorders>
            <w:shd w:val="clear" w:color="auto" w:fill="000B78"/>
          </w:tcPr>
          <w:p>
            <w:pPr>
              <w:spacing w:after="0"/>
              <w:rPr>
                <w:sz w:val="17"/>
                <w:szCs w:val="17"/>
                <w:color w:val="auto"/>
              </w:rPr>
            </w:pPr>
          </w:p>
        </w:tc>
        <w:tc>
          <w:tcPr>
            <w:tcW w:w="120" w:type="dxa"/>
            <w:vAlign w:val="bottom"/>
            <w:tcBorders>
              <w:bottom w:val="single" w:sz="8" w:color="000B78"/>
            </w:tcBorders>
          </w:tcPr>
          <w:p>
            <w:pPr>
              <w:spacing w:after="0"/>
              <w:rPr>
                <w:sz w:val="17"/>
                <w:szCs w:val="17"/>
                <w:color w:val="auto"/>
              </w:rPr>
            </w:pPr>
          </w:p>
        </w:tc>
        <w:tc>
          <w:tcPr>
            <w:tcW w:w="140" w:type="dxa"/>
            <w:vAlign w:val="bottom"/>
            <w:tcBorders>
              <w:bottom w:val="single" w:sz="8" w:color="000B78"/>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000B78"/>
            </w:tcBorders>
          </w:tcPr>
          <w:p>
            <w:pPr>
              <w:spacing w:after="0"/>
              <w:rPr>
                <w:sz w:val="17"/>
                <w:szCs w:val="17"/>
                <w:color w:val="auto"/>
              </w:rPr>
            </w:pPr>
          </w:p>
        </w:tc>
        <w:tc>
          <w:tcPr>
            <w:tcW w:w="60" w:type="dxa"/>
            <w:vAlign w:val="bottom"/>
            <w:tcBorders>
              <w:bottom w:val="single" w:sz="8" w:color="000B78"/>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000B78"/>
            </w:tcBorders>
          </w:tcPr>
          <w:p>
            <w:pPr>
              <w:spacing w:after="0"/>
              <w:rPr>
                <w:sz w:val="17"/>
                <w:szCs w:val="17"/>
                <w:color w:val="auto"/>
              </w:rPr>
            </w:pPr>
          </w:p>
        </w:tc>
        <w:tc>
          <w:tcPr>
            <w:tcW w:w="200" w:type="dxa"/>
            <w:vAlign w:val="bottom"/>
            <w:tcBorders>
              <w:bottom w:val="single" w:sz="8" w:color="000B78"/>
            </w:tcBorders>
          </w:tcPr>
          <w:p>
            <w:pPr>
              <w:spacing w:after="0"/>
              <w:rPr>
                <w:sz w:val="17"/>
                <w:szCs w:val="17"/>
                <w:color w:val="auto"/>
              </w:rPr>
            </w:pPr>
          </w:p>
        </w:tc>
        <w:tc>
          <w:tcPr>
            <w:tcW w:w="140" w:type="dxa"/>
            <w:vAlign w:val="bottom"/>
            <w:tcBorders>
              <w:bottom w:val="single" w:sz="8" w:color="000B78"/>
            </w:tcBorders>
          </w:tcPr>
          <w:p>
            <w:pPr>
              <w:spacing w:after="0"/>
              <w:rPr>
                <w:sz w:val="17"/>
                <w:szCs w:val="17"/>
                <w:color w:val="auto"/>
              </w:rPr>
            </w:pPr>
          </w:p>
        </w:tc>
        <w:tc>
          <w:tcPr>
            <w:tcW w:w="300" w:type="dxa"/>
            <w:vAlign w:val="bottom"/>
            <w:tcBorders>
              <w:bottom w:val="single" w:sz="8" w:color="2264AD"/>
            </w:tcBorders>
            <w:shd w:val="clear" w:color="auto" w:fill="2264AD"/>
          </w:tcPr>
          <w:p>
            <w:pPr>
              <w:spacing w:after="0"/>
              <w:rPr>
                <w:sz w:val="17"/>
                <w:szCs w:val="17"/>
                <w:color w:val="auto"/>
              </w:rPr>
            </w:pPr>
          </w:p>
        </w:tc>
        <w:tc>
          <w:tcPr>
            <w:tcW w:w="80" w:type="dxa"/>
            <w:vAlign w:val="bottom"/>
            <w:tcBorders>
              <w:bottom w:val="single" w:sz="8" w:color="000B78"/>
            </w:tcBorders>
          </w:tcPr>
          <w:p>
            <w:pPr>
              <w:spacing w:after="0"/>
              <w:rPr>
                <w:sz w:val="17"/>
                <w:szCs w:val="17"/>
                <w:color w:val="auto"/>
              </w:rPr>
            </w:pPr>
          </w:p>
        </w:tc>
        <w:tc>
          <w:tcPr>
            <w:tcW w:w="160" w:type="dxa"/>
            <w:vAlign w:val="bottom"/>
            <w:tcBorders>
              <w:bottom w:val="single" w:sz="8" w:color="000B78"/>
            </w:tcBorders>
          </w:tcPr>
          <w:p>
            <w:pPr>
              <w:spacing w:after="0"/>
              <w:rPr>
                <w:sz w:val="17"/>
                <w:szCs w:val="17"/>
                <w:color w:val="auto"/>
              </w:rPr>
            </w:pPr>
          </w:p>
        </w:tc>
        <w:tc>
          <w:tcPr>
            <w:tcW w:w="140" w:type="dxa"/>
            <w:vAlign w:val="bottom"/>
            <w:tcBorders>
              <w:bottom w:val="single" w:sz="8" w:color="000B78"/>
              <w:right w:val="single" w:sz="8" w:color="000B78"/>
            </w:tcBorders>
          </w:tcPr>
          <w:p>
            <w:pPr>
              <w:spacing w:after="0"/>
              <w:rPr>
                <w:sz w:val="17"/>
                <w:szCs w:val="17"/>
                <w:color w:val="auto"/>
              </w:rPr>
            </w:pPr>
          </w:p>
        </w:tc>
        <w:tc>
          <w:tcPr>
            <w:tcW w:w="280" w:type="dxa"/>
            <w:vAlign w:val="bottom"/>
            <w:tcBorders>
              <w:bottom w:val="single" w:sz="8" w:color="000B78"/>
            </w:tcBorders>
            <w:shd w:val="clear" w:color="auto" w:fill="000B78"/>
          </w:tcPr>
          <w:p>
            <w:pPr>
              <w:spacing w:after="0"/>
              <w:rPr>
                <w:sz w:val="17"/>
                <w:szCs w:val="17"/>
                <w:color w:val="auto"/>
              </w:rPr>
            </w:pPr>
          </w:p>
        </w:tc>
        <w:tc>
          <w:tcPr>
            <w:tcW w:w="20" w:type="dxa"/>
            <w:vAlign w:val="bottom"/>
            <w:tcBorders>
              <w:bottom w:val="single" w:sz="8" w:color="000B78"/>
            </w:tcBorders>
          </w:tcPr>
          <w:p>
            <w:pPr>
              <w:spacing w:after="0"/>
              <w:rPr>
                <w:sz w:val="17"/>
                <w:szCs w:val="17"/>
                <w:color w:val="auto"/>
              </w:rPr>
            </w:pPr>
          </w:p>
        </w:tc>
        <w:tc>
          <w:tcPr>
            <w:tcW w:w="80" w:type="dxa"/>
            <w:vAlign w:val="bottom"/>
            <w:tcBorders>
              <w:bottom w:val="single" w:sz="8" w:color="000B78"/>
            </w:tcBorders>
          </w:tcPr>
          <w:p>
            <w:pPr>
              <w:spacing w:after="0"/>
              <w:rPr>
                <w:sz w:val="17"/>
                <w:szCs w:val="17"/>
                <w:color w:val="auto"/>
              </w:rPr>
            </w:pPr>
          </w:p>
        </w:tc>
        <w:tc>
          <w:tcPr>
            <w:tcW w:w="160" w:type="dxa"/>
            <w:vAlign w:val="bottom"/>
            <w:tcBorders>
              <w:bottom w:val="single" w:sz="8" w:color="000B78"/>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Borders>
              <w:bottom w:val="single" w:sz="8" w:color="000B78"/>
            </w:tcBorders>
          </w:tcPr>
          <w:p>
            <w:pPr>
              <w:spacing w:after="0"/>
              <w:rPr>
                <w:sz w:val="17"/>
                <w:szCs w:val="17"/>
                <w:color w:val="auto"/>
              </w:rPr>
            </w:pPr>
          </w:p>
        </w:tc>
        <w:tc>
          <w:tcPr>
            <w:tcW w:w="120" w:type="dxa"/>
            <w:vAlign w:val="bottom"/>
            <w:tcBorders>
              <w:bottom w:val="single" w:sz="8" w:color="000B78"/>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000B78"/>
            </w:tcBorders>
          </w:tcPr>
          <w:p>
            <w:pPr>
              <w:spacing w:after="0"/>
              <w:rPr>
                <w:sz w:val="17"/>
                <w:szCs w:val="17"/>
                <w:color w:val="auto"/>
              </w:rPr>
            </w:pPr>
          </w:p>
        </w:tc>
        <w:tc>
          <w:tcPr>
            <w:tcW w:w="100" w:type="dxa"/>
            <w:vAlign w:val="bottom"/>
            <w:tcBorders>
              <w:bottom w:val="single" w:sz="8" w:color="000B78"/>
            </w:tcBorders>
          </w:tcPr>
          <w:p>
            <w:pPr>
              <w:spacing w:after="0"/>
              <w:rPr>
                <w:sz w:val="17"/>
                <w:szCs w:val="17"/>
                <w:color w:val="auto"/>
              </w:rPr>
            </w:pPr>
          </w:p>
        </w:tc>
        <w:tc>
          <w:tcPr>
            <w:tcW w:w="120" w:type="dxa"/>
            <w:vAlign w:val="bottom"/>
            <w:tcBorders>
              <w:bottom w:val="single" w:sz="8" w:color="000B78"/>
            </w:tcBorders>
          </w:tcPr>
          <w:p>
            <w:pPr>
              <w:spacing w:after="0"/>
              <w:rPr>
                <w:sz w:val="17"/>
                <w:szCs w:val="17"/>
                <w:color w:val="auto"/>
              </w:rPr>
            </w:pPr>
          </w:p>
        </w:tc>
        <w:tc>
          <w:tcPr>
            <w:tcW w:w="100" w:type="dxa"/>
            <w:vAlign w:val="bottom"/>
            <w:tcBorders>
              <w:bottom w:val="single" w:sz="8" w:color="2264AD"/>
            </w:tcBorders>
            <w:shd w:val="clear" w:color="auto" w:fill="2264AD"/>
          </w:tcPr>
          <w:p>
            <w:pPr>
              <w:spacing w:after="0"/>
              <w:rPr>
                <w:sz w:val="17"/>
                <w:szCs w:val="17"/>
                <w:color w:val="auto"/>
              </w:rPr>
            </w:pPr>
          </w:p>
        </w:tc>
        <w:tc>
          <w:tcPr>
            <w:tcW w:w="200" w:type="dxa"/>
            <w:vAlign w:val="bottom"/>
            <w:tcBorders>
              <w:bottom w:val="single" w:sz="8" w:color="2264AD"/>
            </w:tcBorders>
            <w:shd w:val="clear" w:color="auto" w:fill="2264AD"/>
          </w:tcPr>
          <w:p>
            <w:pPr>
              <w:spacing w:after="0"/>
              <w:rPr>
                <w:sz w:val="17"/>
                <w:szCs w:val="17"/>
                <w:color w:val="auto"/>
              </w:rPr>
            </w:pPr>
          </w:p>
        </w:tc>
        <w:tc>
          <w:tcPr>
            <w:tcW w:w="120" w:type="dxa"/>
            <w:vAlign w:val="bottom"/>
            <w:tcBorders>
              <w:bottom w:val="single" w:sz="8" w:color="000B78"/>
            </w:tcBorders>
          </w:tcPr>
          <w:p>
            <w:pPr>
              <w:spacing w:after="0"/>
              <w:rPr>
                <w:sz w:val="17"/>
                <w:szCs w:val="17"/>
                <w:color w:val="auto"/>
              </w:rPr>
            </w:pPr>
          </w:p>
        </w:tc>
        <w:tc>
          <w:tcPr>
            <w:tcW w:w="120" w:type="dxa"/>
            <w:vAlign w:val="bottom"/>
            <w:tcBorders>
              <w:bottom w:val="single" w:sz="8" w:color="000B78"/>
            </w:tcBorders>
          </w:tcPr>
          <w:p>
            <w:pPr>
              <w:spacing w:after="0"/>
              <w:rPr>
                <w:sz w:val="17"/>
                <w:szCs w:val="17"/>
                <w:color w:val="auto"/>
              </w:rPr>
            </w:pPr>
          </w:p>
        </w:tc>
        <w:tc>
          <w:tcPr>
            <w:tcW w:w="120" w:type="dxa"/>
            <w:vAlign w:val="bottom"/>
            <w:tcBorders>
              <w:bottom w:val="single" w:sz="8" w:color="000B78"/>
            </w:tcBorders>
          </w:tcPr>
          <w:p>
            <w:pPr>
              <w:spacing w:after="0"/>
              <w:rPr>
                <w:sz w:val="17"/>
                <w:szCs w:val="17"/>
                <w:color w:val="auto"/>
              </w:rPr>
            </w:pPr>
          </w:p>
        </w:tc>
        <w:tc>
          <w:tcPr>
            <w:tcW w:w="240" w:type="dxa"/>
            <w:vAlign w:val="bottom"/>
            <w:tcBorders>
              <w:bottom w:val="single" w:sz="8" w:color="000B78"/>
            </w:tcBorders>
            <w:shd w:val="clear" w:color="auto" w:fill="000B78"/>
          </w:tcPr>
          <w:p>
            <w:pPr>
              <w:spacing w:after="0"/>
              <w:rPr>
                <w:sz w:val="17"/>
                <w:szCs w:val="17"/>
                <w:color w:val="auto"/>
              </w:rPr>
            </w:pPr>
          </w:p>
        </w:tc>
        <w:tc>
          <w:tcPr>
            <w:tcW w:w="180" w:type="dxa"/>
            <w:vAlign w:val="bottom"/>
            <w:tcBorders>
              <w:left w:val="single" w:sz="8" w:color="000B78"/>
              <w:bottom w:val="single" w:sz="8" w:color="000B78"/>
            </w:tcBorders>
          </w:tcPr>
          <w:p>
            <w:pPr>
              <w:spacing w:after="0"/>
              <w:rPr>
                <w:sz w:val="17"/>
                <w:szCs w:val="17"/>
                <w:color w:val="auto"/>
              </w:rPr>
            </w:pPr>
          </w:p>
        </w:tc>
        <w:tc>
          <w:tcPr>
            <w:tcW w:w="160" w:type="dxa"/>
            <w:vAlign w:val="bottom"/>
            <w:tcBorders>
              <w:bottom w:val="single" w:sz="8" w:color="000B78"/>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shd w:val="clear" w:color="auto" w:fill="2264AD"/>
          </w:tcPr>
          <w:p>
            <w:pPr>
              <w:spacing w:after="0"/>
              <w:rPr>
                <w:sz w:val="8"/>
                <w:szCs w:val="8"/>
                <w:color w:val="auto"/>
              </w:rPr>
            </w:pPr>
          </w:p>
        </w:tc>
        <w:tc>
          <w:tcPr>
            <w:tcW w:w="120" w:type="dxa"/>
            <w:vAlign w:val="bottom"/>
            <w:shd w:val="clear" w:color="auto" w:fill="2264AD"/>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shd w:val="clear" w:color="auto" w:fill="000B78"/>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shd w:val="clear" w:color="auto" w:fill="2264AD"/>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right w:val="single" w:sz="8" w:color="000B78"/>
            </w:tcBorders>
          </w:tcPr>
          <w:p>
            <w:pPr>
              <w:spacing w:after="0"/>
              <w:rPr>
                <w:sz w:val="8"/>
                <w:szCs w:val="8"/>
                <w:color w:val="auto"/>
              </w:rPr>
            </w:pPr>
          </w:p>
        </w:tc>
        <w:tc>
          <w:tcPr>
            <w:tcW w:w="280" w:type="dxa"/>
            <w:vAlign w:val="bottom"/>
            <w:shd w:val="clear" w:color="auto" w:fill="000B78"/>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shd w:val="clear" w:color="auto" w:fill="2264AD"/>
          </w:tcPr>
          <w:p>
            <w:pPr>
              <w:spacing w:after="0"/>
              <w:rPr>
                <w:sz w:val="8"/>
                <w:szCs w:val="8"/>
                <w:color w:val="auto"/>
              </w:rPr>
            </w:pPr>
          </w:p>
        </w:tc>
        <w:tc>
          <w:tcPr>
            <w:tcW w:w="200" w:type="dxa"/>
            <w:vAlign w:val="bottom"/>
            <w:shd w:val="clear" w:color="auto" w:fill="2264AD"/>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shd w:val="clear" w:color="auto" w:fill="000B78"/>
          </w:tcPr>
          <w:p>
            <w:pPr>
              <w:spacing w:after="0"/>
              <w:rPr>
                <w:sz w:val="8"/>
                <w:szCs w:val="8"/>
                <w:color w:val="auto"/>
              </w:rPr>
            </w:pPr>
          </w:p>
        </w:tc>
        <w:tc>
          <w:tcPr>
            <w:tcW w:w="180" w:type="dxa"/>
            <w:vAlign w:val="bottom"/>
            <w:tcBorders>
              <w:left w:val="single" w:sz="8" w:color="000B78"/>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4"/>
        </w:trPr>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0B78"/>
              </w:rPr>
              <w:t>$400</w:t>
            </w:r>
          </w:p>
        </w:tc>
        <w:tc>
          <w:tcPr>
            <w:tcW w:w="14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240" w:type="dxa"/>
            <w:vAlign w:val="bottom"/>
            <w:tcBorders>
              <w:bottom w:val="single" w:sz="8" w:color="000B78"/>
            </w:tcBorders>
          </w:tcPr>
          <w:p>
            <w:pPr>
              <w:spacing w:after="0"/>
              <w:rPr>
                <w:sz w:val="24"/>
                <w:szCs w:val="24"/>
                <w:color w:val="auto"/>
              </w:rPr>
            </w:pPr>
          </w:p>
        </w:tc>
        <w:tc>
          <w:tcPr>
            <w:tcW w:w="180" w:type="dxa"/>
            <w:vAlign w:val="bottom"/>
            <w:tcBorders>
              <w:bottom w:val="single" w:sz="8" w:color="2264AD"/>
            </w:tcBorders>
            <w:shd w:val="clear" w:color="auto" w:fill="2264AD"/>
          </w:tcPr>
          <w:p>
            <w:pPr>
              <w:spacing w:after="0"/>
              <w:rPr>
                <w:sz w:val="24"/>
                <w:szCs w:val="24"/>
                <w:color w:val="auto"/>
              </w:rPr>
            </w:pPr>
          </w:p>
        </w:tc>
        <w:tc>
          <w:tcPr>
            <w:tcW w:w="120" w:type="dxa"/>
            <w:vAlign w:val="bottom"/>
            <w:tcBorders>
              <w:bottom w:val="single" w:sz="8" w:color="2264AD"/>
            </w:tcBorders>
            <w:shd w:val="clear" w:color="auto" w:fill="2264AD"/>
          </w:tcPr>
          <w:p>
            <w:pPr>
              <w:spacing w:after="0"/>
              <w:rPr>
                <w:sz w:val="24"/>
                <w:szCs w:val="24"/>
                <w:color w:val="auto"/>
              </w:rPr>
            </w:pPr>
          </w:p>
        </w:tc>
        <w:tc>
          <w:tcPr>
            <w:tcW w:w="26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300" w:type="dxa"/>
            <w:vAlign w:val="bottom"/>
            <w:tcBorders>
              <w:bottom w:val="single" w:sz="8" w:color="000B78"/>
            </w:tcBorders>
            <w:shd w:val="clear" w:color="auto" w:fill="000B78"/>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B78"/>
              </w:rPr>
              <w:t>$4.00</w:t>
            </w:r>
          </w:p>
        </w:tc>
        <w:tc>
          <w:tcPr>
            <w:tcW w:w="40" w:type="dxa"/>
            <w:vAlign w:val="bottom"/>
          </w:tcPr>
          <w:p>
            <w:pPr>
              <w:spacing w:after="0"/>
              <w:rPr>
                <w:sz w:val="24"/>
                <w:szCs w:val="24"/>
                <w:color w:val="auto"/>
              </w:rPr>
            </w:pPr>
          </w:p>
        </w:tc>
        <w:tc>
          <w:tcPr>
            <w:tcW w:w="220" w:type="dxa"/>
            <w:vAlign w:val="bottom"/>
            <w:tcBorders>
              <w:bottom w:val="single" w:sz="8" w:color="000B78"/>
            </w:tcBorders>
          </w:tcPr>
          <w:p>
            <w:pPr>
              <w:spacing w:after="0"/>
              <w:rPr>
                <w:sz w:val="24"/>
                <w:szCs w:val="24"/>
                <w:color w:val="auto"/>
              </w:rPr>
            </w:pPr>
          </w:p>
        </w:tc>
        <w:tc>
          <w:tcPr>
            <w:tcW w:w="60" w:type="dxa"/>
            <w:vAlign w:val="bottom"/>
            <w:tcBorders>
              <w:bottom w:val="single" w:sz="8" w:color="000B78"/>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000B78"/>
            </w:tcBorders>
          </w:tcPr>
          <w:p>
            <w:pPr>
              <w:spacing w:after="0"/>
              <w:rPr>
                <w:sz w:val="24"/>
                <w:szCs w:val="24"/>
                <w:color w:val="auto"/>
              </w:rPr>
            </w:pPr>
          </w:p>
        </w:tc>
        <w:tc>
          <w:tcPr>
            <w:tcW w:w="20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tcBorders>
          </w:tcPr>
          <w:p>
            <w:pPr>
              <w:spacing w:after="0"/>
              <w:rPr>
                <w:sz w:val="24"/>
                <w:szCs w:val="24"/>
                <w:color w:val="auto"/>
              </w:rPr>
            </w:pPr>
          </w:p>
        </w:tc>
        <w:tc>
          <w:tcPr>
            <w:tcW w:w="300" w:type="dxa"/>
            <w:vAlign w:val="bottom"/>
            <w:tcBorders>
              <w:bottom w:val="single" w:sz="8" w:color="2264AD"/>
            </w:tcBorders>
            <w:shd w:val="clear" w:color="auto" w:fill="2264AD"/>
          </w:tcPr>
          <w:p>
            <w:pPr>
              <w:spacing w:after="0"/>
              <w:rPr>
                <w:sz w:val="24"/>
                <w:szCs w:val="24"/>
                <w:color w:val="auto"/>
              </w:rPr>
            </w:pPr>
          </w:p>
        </w:tc>
        <w:tc>
          <w:tcPr>
            <w:tcW w:w="80" w:type="dxa"/>
            <w:vAlign w:val="bottom"/>
            <w:tcBorders>
              <w:bottom w:val="single" w:sz="8" w:color="000B78"/>
            </w:tcBorders>
          </w:tcPr>
          <w:p>
            <w:pPr>
              <w:spacing w:after="0"/>
              <w:rPr>
                <w:sz w:val="24"/>
                <w:szCs w:val="24"/>
                <w:color w:val="auto"/>
              </w:rPr>
            </w:pPr>
          </w:p>
        </w:tc>
        <w:tc>
          <w:tcPr>
            <w:tcW w:w="16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right w:val="single" w:sz="8" w:color="000B78"/>
            </w:tcBorders>
          </w:tcPr>
          <w:p>
            <w:pPr>
              <w:spacing w:after="0"/>
              <w:rPr>
                <w:sz w:val="24"/>
                <w:szCs w:val="24"/>
                <w:color w:val="auto"/>
              </w:rPr>
            </w:pPr>
          </w:p>
        </w:tc>
        <w:tc>
          <w:tcPr>
            <w:tcW w:w="280" w:type="dxa"/>
            <w:vAlign w:val="bottom"/>
            <w:tcBorders>
              <w:bottom w:val="single" w:sz="8" w:color="000B78"/>
            </w:tcBorders>
            <w:shd w:val="clear" w:color="auto" w:fill="000B78"/>
          </w:tcPr>
          <w:p>
            <w:pPr>
              <w:spacing w:after="0"/>
              <w:rPr>
                <w:sz w:val="24"/>
                <w:szCs w:val="24"/>
                <w:color w:val="auto"/>
              </w:rPr>
            </w:pPr>
          </w:p>
        </w:tc>
        <w:tc>
          <w:tcPr>
            <w:tcW w:w="20" w:type="dxa"/>
            <w:vAlign w:val="bottom"/>
            <w:tcBorders>
              <w:bottom w:val="single" w:sz="8" w:color="000B78"/>
            </w:tcBorders>
          </w:tcPr>
          <w:p>
            <w:pPr>
              <w:spacing w:after="0"/>
              <w:rPr>
                <w:sz w:val="24"/>
                <w:szCs w:val="24"/>
                <w:color w:val="auto"/>
              </w:rPr>
            </w:pPr>
          </w:p>
        </w:tc>
        <w:tc>
          <w:tcPr>
            <w:tcW w:w="80" w:type="dxa"/>
            <w:vAlign w:val="bottom"/>
            <w:tcBorders>
              <w:bottom w:val="single" w:sz="8" w:color="000B78"/>
            </w:tcBorders>
          </w:tcPr>
          <w:p>
            <w:pPr>
              <w:spacing w:after="0"/>
              <w:rPr>
                <w:sz w:val="24"/>
                <w:szCs w:val="24"/>
                <w:color w:val="auto"/>
              </w:rPr>
            </w:pPr>
          </w:p>
        </w:tc>
        <w:tc>
          <w:tcPr>
            <w:tcW w:w="160" w:type="dxa"/>
            <w:vAlign w:val="bottom"/>
            <w:tcBorders>
              <w:bottom w:val="single" w:sz="8" w:color="000B78"/>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000B78"/>
              </w:rPr>
              <w:t>$4.00</w:t>
            </w:r>
          </w:p>
        </w:tc>
        <w:tc>
          <w:tcPr>
            <w:tcW w:w="14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000B78"/>
            </w:tcBorders>
          </w:tcPr>
          <w:p>
            <w:pPr>
              <w:spacing w:after="0"/>
              <w:rPr>
                <w:sz w:val="24"/>
                <w:szCs w:val="24"/>
                <w:color w:val="auto"/>
              </w:rPr>
            </w:pPr>
          </w:p>
        </w:tc>
        <w:tc>
          <w:tcPr>
            <w:tcW w:w="10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00" w:type="dxa"/>
            <w:vAlign w:val="bottom"/>
            <w:tcBorders>
              <w:bottom w:val="single" w:sz="8" w:color="2264AD"/>
            </w:tcBorders>
            <w:shd w:val="clear" w:color="auto" w:fill="2264AD"/>
          </w:tcPr>
          <w:p>
            <w:pPr>
              <w:spacing w:after="0"/>
              <w:rPr>
                <w:sz w:val="24"/>
                <w:szCs w:val="24"/>
                <w:color w:val="auto"/>
              </w:rPr>
            </w:pPr>
          </w:p>
        </w:tc>
        <w:tc>
          <w:tcPr>
            <w:tcW w:w="200" w:type="dxa"/>
            <w:vAlign w:val="bottom"/>
            <w:tcBorders>
              <w:bottom w:val="single" w:sz="8" w:color="2264AD"/>
            </w:tcBorders>
            <w:shd w:val="clear" w:color="auto" w:fill="2264AD"/>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240" w:type="dxa"/>
            <w:vAlign w:val="bottom"/>
            <w:tcBorders>
              <w:bottom w:val="single" w:sz="8" w:color="000B78"/>
            </w:tcBorders>
            <w:shd w:val="clear" w:color="auto" w:fill="000B78"/>
          </w:tcPr>
          <w:p>
            <w:pPr>
              <w:spacing w:after="0"/>
              <w:rPr>
                <w:sz w:val="24"/>
                <w:szCs w:val="24"/>
                <w:color w:val="auto"/>
              </w:rPr>
            </w:pPr>
          </w:p>
        </w:tc>
        <w:tc>
          <w:tcPr>
            <w:tcW w:w="180" w:type="dxa"/>
            <w:vAlign w:val="bottom"/>
            <w:tcBorders>
              <w:left w:val="single" w:sz="8" w:color="000B78"/>
              <w:bottom w:val="single" w:sz="8" w:color="000B78"/>
            </w:tcBorders>
          </w:tcPr>
          <w:p>
            <w:pPr>
              <w:spacing w:after="0"/>
              <w:rPr>
                <w:sz w:val="24"/>
                <w:szCs w:val="24"/>
                <w:color w:val="auto"/>
              </w:rPr>
            </w:pPr>
          </w:p>
        </w:tc>
        <w:tc>
          <w:tcPr>
            <w:tcW w:w="160" w:type="dxa"/>
            <w:vAlign w:val="bottom"/>
            <w:tcBorders>
              <w:bottom w:val="single" w:sz="8" w:color="000B78"/>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shd w:val="clear" w:color="auto" w:fill="2264AD"/>
          </w:tcPr>
          <w:p>
            <w:pPr>
              <w:spacing w:after="0"/>
              <w:rPr>
                <w:sz w:val="8"/>
                <w:szCs w:val="8"/>
                <w:color w:val="auto"/>
              </w:rPr>
            </w:pPr>
          </w:p>
        </w:tc>
        <w:tc>
          <w:tcPr>
            <w:tcW w:w="120" w:type="dxa"/>
            <w:vAlign w:val="bottom"/>
            <w:shd w:val="clear" w:color="auto" w:fill="2264AD"/>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shd w:val="clear" w:color="auto" w:fill="000B78"/>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shd w:val="clear" w:color="auto" w:fill="2264AD"/>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right w:val="single" w:sz="8" w:color="000B78"/>
            </w:tcBorders>
          </w:tcPr>
          <w:p>
            <w:pPr>
              <w:spacing w:after="0"/>
              <w:rPr>
                <w:sz w:val="8"/>
                <w:szCs w:val="8"/>
                <w:color w:val="auto"/>
              </w:rPr>
            </w:pPr>
          </w:p>
        </w:tc>
        <w:tc>
          <w:tcPr>
            <w:tcW w:w="280" w:type="dxa"/>
            <w:vAlign w:val="bottom"/>
            <w:shd w:val="clear" w:color="auto" w:fill="000B78"/>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shd w:val="clear" w:color="auto" w:fill="2264AD"/>
          </w:tcPr>
          <w:p>
            <w:pPr>
              <w:spacing w:after="0"/>
              <w:rPr>
                <w:sz w:val="8"/>
                <w:szCs w:val="8"/>
                <w:color w:val="auto"/>
              </w:rPr>
            </w:pPr>
          </w:p>
        </w:tc>
        <w:tc>
          <w:tcPr>
            <w:tcW w:w="200" w:type="dxa"/>
            <w:vAlign w:val="bottom"/>
            <w:shd w:val="clear" w:color="auto" w:fill="2264AD"/>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shd w:val="clear" w:color="auto" w:fill="000B78"/>
          </w:tcPr>
          <w:p>
            <w:pPr>
              <w:spacing w:after="0"/>
              <w:rPr>
                <w:sz w:val="8"/>
                <w:szCs w:val="8"/>
                <w:color w:val="auto"/>
              </w:rPr>
            </w:pPr>
          </w:p>
        </w:tc>
        <w:tc>
          <w:tcPr>
            <w:tcW w:w="180" w:type="dxa"/>
            <w:vAlign w:val="bottom"/>
            <w:tcBorders>
              <w:left w:val="single" w:sz="8" w:color="000B78"/>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4"/>
        </w:trPr>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0B78"/>
              </w:rPr>
              <w:t>$200</w:t>
            </w:r>
          </w:p>
        </w:tc>
        <w:tc>
          <w:tcPr>
            <w:tcW w:w="14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240" w:type="dxa"/>
            <w:vAlign w:val="bottom"/>
            <w:tcBorders>
              <w:bottom w:val="single" w:sz="8" w:color="000B78"/>
            </w:tcBorders>
          </w:tcPr>
          <w:p>
            <w:pPr>
              <w:spacing w:after="0"/>
              <w:rPr>
                <w:sz w:val="24"/>
                <w:szCs w:val="24"/>
                <w:color w:val="auto"/>
              </w:rPr>
            </w:pPr>
          </w:p>
        </w:tc>
        <w:tc>
          <w:tcPr>
            <w:tcW w:w="180" w:type="dxa"/>
            <w:vAlign w:val="bottom"/>
            <w:tcBorders>
              <w:bottom w:val="single" w:sz="8" w:color="2264AD"/>
            </w:tcBorders>
            <w:shd w:val="clear" w:color="auto" w:fill="2264AD"/>
          </w:tcPr>
          <w:p>
            <w:pPr>
              <w:spacing w:after="0"/>
              <w:rPr>
                <w:sz w:val="24"/>
                <w:szCs w:val="24"/>
                <w:color w:val="auto"/>
              </w:rPr>
            </w:pPr>
          </w:p>
        </w:tc>
        <w:tc>
          <w:tcPr>
            <w:tcW w:w="120" w:type="dxa"/>
            <w:vAlign w:val="bottom"/>
            <w:tcBorders>
              <w:bottom w:val="single" w:sz="8" w:color="2264AD"/>
            </w:tcBorders>
            <w:shd w:val="clear" w:color="auto" w:fill="2264AD"/>
          </w:tcPr>
          <w:p>
            <w:pPr>
              <w:spacing w:after="0"/>
              <w:rPr>
                <w:sz w:val="24"/>
                <w:szCs w:val="24"/>
                <w:color w:val="auto"/>
              </w:rPr>
            </w:pPr>
          </w:p>
        </w:tc>
        <w:tc>
          <w:tcPr>
            <w:tcW w:w="26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300" w:type="dxa"/>
            <w:vAlign w:val="bottom"/>
            <w:tcBorders>
              <w:bottom w:val="single" w:sz="8" w:color="000B78"/>
            </w:tcBorders>
            <w:shd w:val="clear" w:color="auto" w:fill="000B78"/>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B78"/>
              </w:rPr>
              <w:t>$2.00</w:t>
            </w:r>
          </w:p>
        </w:tc>
        <w:tc>
          <w:tcPr>
            <w:tcW w:w="40" w:type="dxa"/>
            <w:vAlign w:val="bottom"/>
          </w:tcPr>
          <w:p>
            <w:pPr>
              <w:spacing w:after="0"/>
              <w:rPr>
                <w:sz w:val="24"/>
                <w:szCs w:val="24"/>
                <w:color w:val="auto"/>
              </w:rPr>
            </w:pPr>
          </w:p>
        </w:tc>
        <w:tc>
          <w:tcPr>
            <w:tcW w:w="220" w:type="dxa"/>
            <w:vAlign w:val="bottom"/>
            <w:tcBorders>
              <w:bottom w:val="single" w:sz="8" w:color="000B78"/>
            </w:tcBorders>
          </w:tcPr>
          <w:p>
            <w:pPr>
              <w:spacing w:after="0"/>
              <w:rPr>
                <w:sz w:val="24"/>
                <w:szCs w:val="24"/>
                <w:color w:val="auto"/>
              </w:rPr>
            </w:pPr>
          </w:p>
        </w:tc>
        <w:tc>
          <w:tcPr>
            <w:tcW w:w="60" w:type="dxa"/>
            <w:vAlign w:val="bottom"/>
            <w:tcBorders>
              <w:bottom w:val="single" w:sz="8" w:color="000B78"/>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000B78"/>
            </w:tcBorders>
          </w:tcPr>
          <w:p>
            <w:pPr>
              <w:spacing w:after="0"/>
              <w:rPr>
                <w:sz w:val="24"/>
                <w:szCs w:val="24"/>
                <w:color w:val="auto"/>
              </w:rPr>
            </w:pPr>
          </w:p>
        </w:tc>
        <w:tc>
          <w:tcPr>
            <w:tcW w:w="20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tcBorders>
          </w:tcPr>
          <w:p>
            <w:pPr>
              <w:spacing w:after="0"/>
              <w:rPr>
                <w:sz w:val="24"/>
                <w:szCs w:val="24"/>
                <w:color w:val="auto"/>
              </w:rPr>
            </w:pPr>
          </w:p>
        </w:tc>
        <w:tc>
          <w:tcPr>
            <w:tcW w:w="300" w:type="dxa"/>
            <w:vAlign w:val="bottom"/>
            <w:tcBorders>
              <w:bottom w:val="single" w:sz="8" w:color="2264AD"/>
            </w:tcBorders>
            <w:shd w:val="clear" w:color="auto" w:fill="2264AD"/>
          </w:tcPr>
          <w:p>
            <w:pPr>
              <w:spacing w:after="0"/>
              <w:rPr>
                <w:sz w:val="24"/>
                <w:szCs w:val="24"/>
                <w:color w:val="auto"/>
              </w:rPr>
            </w:pPr>
          </w:p>
        </w:tc>
        <w:tc>
          <w:tcPr>
            <w:tcW w:w="80" w:type="dxa"/>
            <w:vAlign w:val="bottom"/>
            <w:tcBorders>
              <w:bottom w:val="single" w:sz="8" w:color="000B78"/>
            </w:tcBorders>
          </w:tcPr>
          <w:p>
            <w:pPr>
              <w:spacing w:after="0"/>
              <w:rPr>
                <w:sz w:val="24"/>
                <w:szCs w:val="24"/>
                <w:color w:val="auto"/>
              </w:rPr>
            </w:pPr>
          </w:p>
        </w:tc>
        <w:tc>
          <w:tcPr>
            <w:tcW w:w="16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right w:val="single" w:sz="8" w:color="000B78"/>
            </w:tcBorders>
          </w:tcPr>
          <w:p>
            <w:pPr>
              <w:spacing w:after="0"/>
              <w:rPr>
                <w:sz w:val="24"/>
                <w:szCs w:val="24"/>
                <w:color w:val="auto"/>
              </w:rPr>
            </w:pPr>
          </w:p>
        </w:tc>
        <w:tc>
          <w:tcPr>
            <w:tcW w:w="280" w:type="dxa"/>
            <w:vAlign w:val="bottom"/>
            <w:tcBorders>
              <w:bottom w:val="single" w:sz="8" w:color="000B78"/>
            </w:tcBorders>
            <w:shd w:val="clear" w:color="auto" w:fill="000B78"/>
          </w:tcPr>
          <w:p>
            <w:pPr>
              <w:spacing w:after="0"/>
              <w:rPr>
                <w:sz w:val="24"/>
                <w:szCs w:val="24"/>
                <w:color w:val="auto"/>
              </w:rPr>
            </w:pPr>
          </w:p>
        </w:tc>
        <w:tc>
          <w:tcPr>
            <w:tcW w:w="20" w:type="dxa"/>
            <w:vAlign w:val="bottom"/>
            <w:tcBorders>
              <w:bottom w:val="single" w:sz="8" w:color="000B78"/>
            </w:tcBorders>
          </w:tcPr>
          <w:p>
            <w:pPr>
              <w:spacing w:after="0"/>
              <w:rPr>
                <w:sz w:val="24"/>
                <w:szCs w:val="24"/>
                <w:color w:val="auto"/>
              </w:rPr>
            </w:pPr>
          </w:p>
        </w:tc>
        <w:tc>
          <w:tcPr>
            <w:tcW w:w="80" w:type="dxa"/>
            <w:vAlign w:val="bottom"/>
            <w:tcBorders>
              <w:bottom w:val="single" w:sz="8" w:color="000B78"/>
            </w:tcBorders>
          </w:tcPr>
          <w:p>
            <w:pPr>
              <w:spacing w:after="0"/>
              <w:rPr>
                <w:sz w:val="24"/>
                <w:szCs w:val="24"/>
                <w:color w:val="auto"/>
              </w:rPr>
            </w:pPr>
          </w:p>
        </w:tc>
        <w:tc>
          <w:tcPr>
            <w:tcW w:w="160" w:type="dxa"/>
            <w:vAlign w:val="bottom"/>
            <w:tcBorders>
              <w:bottom w:val="single" w:sz="8" w:color="000B78"/>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000B78"/>
              </w:rPr>
              <w:t>$2.00</w:t>
            </w:r>
          </w:p>
        </w:tc>
        <w:tc>
          <w:tcPr>
            <w:tcW w:w="14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000B78"/>
            </w:tcBorders>
          </w:tcPr>
          <w:p>
            <w:pPr>
              <w:spacing w:after="0"/>
              <w:rPr>
                <w:sz w:val="24"/>
                <w:szCs w:val="24"/>
                <w:color w:val="auto"/>
              </w:rPr>
            </w:pPr>
          </w:p>
        </w:tc>
        <w:tc>
          <w:tcPr>
            <w:tcW w:w="10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00" w:type="dxa"/>
            <w:vAlign w:val="bottom"/>
            <w:tcBorders>
              <w:bottom w:val="single" w:sz="8" w:color="2264AD"/>
            </w:tcBorders>
            <w:shd w:val="clear" w:color="auto" w:fill="2264AD"/>
          </w:tcPr>
          <w:p>
            <w:pPr>
              <w:spacing w:after="0"/>
              <w:rPr>
                <w:sz w:val="24"/>
                <w:szCs w:val="24"/>
                <w:color w:val="auto"/>
              </w:rPr>
            </w:pPr>
          </w:p>
        </w:tc>
        <w:tc>
          <w:tcPr>
            <w:tcW w:w="200" w:type="dxa"/>
            <w:vAlign w:val="bottom"/>
            <w:tcBorders>
              <w:bottom w:val="single" w:sz="8" w:color="2264AD"/>
            </w:tcBorders>
            <w:shd w:val="clear" w:color="auto" w:fill="2264AD"/>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240" w:type="dxa"/>
            <w:vAlign w:val="bottom"/>
            <w:tcBorders>
              <w:bottom w:val="single" w:sz="8" w:color="000B78"/>
            </w:tcBorders>
            <w:shd w:val="clear" w:color="auto" w:fill="000B78"/>
          </w:tcPr>
          <w:p>
            <w:pPr>
              <w:spacing w:after="0"/>
              <w:rPr>
                <w:sz w:val="24"/>
                <w:szCs w:val="24"/>
                <w:color w:val="auto"/>
              </w:rPr>
            </w:pPr>
          </w:p>
        </w:tc>
        <w:tc>
          <w:tcPr>
            <w:tcW w:w="180" w:type="dxa"/>
            <w:vAlign w:val="bottom"/>
            <w:tcBorders>
              <w:left w:val="single" w:sz="8" w:color="000B78"/>
              <w:bottom w:val="single" w:sz="8" w:color="000B78"/>
            </w:tcBorders>
          </w:tcPr>
          <w:p>
            <w:pPr>
              <w:spacing w:after="0"/>
              <w:rPr>
                <w:sz w:val="24"/>
                <w:szCs w:val="24"/>
                <w:color w:val="auto"/>
              </w:rPr>
            </w:pPr>
          </w:p>
        </w:tc>
        <w:tc>
          <w:tcPr>
            <w:tcW w:w="160" w:type="dxa"/>
            <w:vAlign w:val="bottom"/>
            <w:tcBorders>
              <w:bottom w:val="single" w:sz="8" w:color="000B78"/>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shd w:val="clear" w:color="auto" w:fill="2264AD"/>
          </w:tcPr>
          <w:p>
            <w:pPr>
              <w:spacing w:after="0"/>
              <w:rPr>
                <w:sz w:val="8"/>
                <w:szCs w:val="8"/>
                <w:color w:val="auto"/>
              </w:rPr>
            </w:pPr>
          </w:p>
        </w:tc>
        <w:tc>
          <w:tcPr>
            <w:tcW w:w="120" w:type="dxa"/>
            <w:vAlign w:val="bottom"/>
            <w:shd w:val="clear" w:color="auto" w:fill="2264AD"/>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shd w:val="clear" w:color="auto" w:fill="000B78"/>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shd w:val="clear" w:color="auto" w:fill="2264AD"/>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right w:val="single" w:sz="8" w:color="000B78"/>
            </w:tcBorders>
          </w:tcPr>
          <w:p>
            <w:pPr>
              <w:spacing w:after="0"/>
              <w:rPr>
                <w:sz w:val="8"/>
                <w:szCs w:val="8"/>
                <w:color w:val="auto"/>
              </w:rPr>
            </w:pPr>
          </w:p>
        </w:tc>
        <w:tc>
          <w:tcPr>
            <w:tcW w:w="280" w:type="dxa"/>
            <w:vAlign w:val="bottom"/>
            <w:shd w:val="clear" w:color="auto" w:fill="000B78"/>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shd w:val="clear" w:color="auto" w:fill="2264AD"/>
          </w:tcPr>
          <w:p>
            <w:pPr>
              <w:spacing w:after="0"/>
              <w:rPr>
                <w:sz w:val="8"/>
                <w:szCs w:val="8"/>
                <w:color w:val="auto"/>
              </w:rPr>
            </w:pPr>
          </w:p>
        </w:tc>
        <w:tc>
          <w:tcPr>
            <w:tcW w:w="200" w:type="dxa"/>
            <w:vAlign w:val="bottom"/>
            <w:shd w:val="clear" w:color="auto" w:fill="2264AD"/>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shd w:val="clear" w:color="auto" w:fill="000B78"/>
          </w:tcPr>
          <w:p>
            <w:pPr>
              <w:spacing w:after="0"/>
              <w:rPr>
                <w:sz w:val="8"/>
                <w:szCs w:val="8"/>
                <w:color w:val="auto"/>
              </w:rPr>
            </w:pPr>
          </w:p>
        </w:tc>
        <w:tc>
          <w:tcPr>
            <w:tcW w:w="180" w:type="dxa"/>
            <w:vAlign w:val="bottom"/>
            <w:tcBorders>
              <w:left w:val="single" w:sz="8" w:color="000B78"/>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1"/>
        </w:trPr>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0B78"/>
              </w:rPr>
              <w:t>$0</w:t>
            </w:r>
          </w:p>
        </w:tc>
        <w:tc>
          <w:tcPr>
            <w:tcW w:w="14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40" w:type="dxa"/>
            <w:vAlign w:val="bottom"/>
            <w:tcBorders>
              <w:bottom w:val="single" w:sz="8" w:color="000B78"/>
            </w:tcBorders>
          </w:tcPr>
          <w:p>
            <w:pPr>
              <w:spacing w:after="0"/>
              <w:rPr>
                <w:sz w:val="24"/>
                <w:szCs w:val="24"/>
                <w:color w:val="auto"/>
              </w:rPr>
            </w:pPr>
          </w:p>
        </w:tc>
        <w:tc>
          <w:tcPr>
            <w:tcW w:w="26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240" w:type="dxa"/>
            <w:vAlign w:val="bottom"/>
            <w:tcBorders>
              <w:bottom w:val="single" w:sz="8" w:color="000B78"/>
            </w:tcBorders>
          </w:tcPr>
          <w:p>
            <w:pPr>
              <w:spacing w:after="0"/>
              <w:rPr>
                <w:sz w:val="24"/>
                <w:szCs w:val="24"/>
                <w:color w:val="auto"/>
              </w:rPr>
            </w:pPr>
          </w:p>
        </w:tc>
        <w:tc>
          <w:tcPr>
            <w:tcW w:w="180" w:type="dxa"/>
            <w:vAlign w:val="bottom"/>
            <w:tcBorders>
              <w:bottom w:val="single" w:sz="8" w:color="000B78"/>
            </w:tcBorders>
            <w:shd w:val="clear" w:color="auto" w:fill="2264AD"/>
          </w:tcPr>
          <w:p>
            <w:pPr>
              <w:spacing w:after="0"/>
              <w:rPr>
                <w:sz w:val="24"/>
                <w:szCs w:val="24"/>
                <w:color w:val="auto"/>
              </w:rPr>
            </w:pPr>
          </w:p>
        </w:tc>
        <w:tc>
          <w:tcPr>
            <w:tcW w:w="120" w:type="dxa"/>
            <w:vAlign w:val="bottom"/>
            <w:tcBorders>
              <w:bottom w:val="single" w:sz="8" w:color="000B78"/>
            </w:tcBorders>
            <w:shd w:val="clear" w:color="auto" w:fill="2264AD"/>
          </w:tcPr>
          <w:p>
            <w:pPr>
              <w:spacing w:after="0"/>
              <w:rPr>
                <w:sz w:val="24"/>
                <w:szCs w:val="24"/>
                <w:color w:val="auto"/>
              </w:rPr>
            </w:pPr>
          </w:p>
        </w:tc>
        <w:tc>
          <w:tcPr>
            <w:tcW w:w="26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300" w:type="dxa"/>
            <w:vAlign w:val="bottom"/>
            <w:tcBorders>
              <w:bottom w:val="single" w:sz="8" w:color="000B78"/>
            </w:tcBorders>
            <w:shd w:val="clear" w:color="auto" w:fill="000B78"/>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B78"/>
              </w:rPr>
              <w:t>$0.00</w:t>
            </w:r>
          </w:p>
        </w:tc>
        <w:tc>
          <w:tcPr>
            <w:tcW w:w="40" w:type="dxa"/>
            <w:vAlign w:val="bottom"/>
          </w:tcPr>
          <w:p>
            <w:pPr>
              <w:spacing w:after="0"/>
              <w:rPr>
                <w:sz w:val="24"/>
                <w:szCs w:val="24"/>
                <w:color w:val="auto"/>
              </w:rPr>
            </w:pPr>
          </w:p>
        </w:tc>
        <w:tc>
          <w:tcPr>
            <w:tcW w:w="220" w:type="dxa"/>
            <w:vAlign w:val="bottom"/>
            <w:tcBorders>
              <w:bottom w:val="single" w:sz="8" w:color="000B78"/>
            </w:tcBorders>
          </w:tcPr>
          <w:p>
            <w:pPr>
              <w:spacing w:after="0"/>
              <w:rPr>
                <w:sz w:val="24"/>
                <w:szCs w:val="24"/>
                <w:color w:val="auto"/>
              </w:rPr>
            </w:pPr>
          </w:p>
        </w:tc>
        <w:tc>
          <w:tcPr>
            <w:tcW w:w="60" w:type="dxa"/>
            <w:vAlign w:val="bottom"/>
            <w:tcBorders>
              <w:bottom w:val="single" w:sz="8" w:color="000B78"/>
            </w:tcBorders>
          </w:tcPr>
          <w:p>
            <w:pPr>
              <w:spacing w:after="0"/>
              <w:rPr>
                <w:sz w:val="24"/>
                <w:szCs w:val="24"/>
                <w:color w:val="auto"/>
              </w:rPr>
            </w:pPr>
          </w:p>
        </w:tc>
        <w:tc>
          <w:tcPr>
            <w:tcW w:w="300" w:type="dxa"/>
            <w:vAlign w:val="bottom"/>
            <w:tcBorders>
              <w:bottom w:val="single" w:sz="8" w:color="000B78"/>
            </w:tcBorders>
          </w:tcPr>
          <w:p>
            <w:pPr>
              <w:spacing w:after="0"/>
              <w:rPr>
                <w:sz w:val="24"/>
                <w:szCs w:val="24"/>
                <w:color w:val="auto"/>
              </w:rPr>
            </w:pPr>
          </w:p>
        </w:tc>
        <w:tc>
          <w:tcPr>
            <w:tcW w:w="20" w:type="dxa"/>
            <w:vAlign w:val="bottom"/>
            <w:tcBorders>
              <w:bottom w:val="single" w:sz="8" w:color="000B78"/>
            </w:tcBorders>
          </w:tcPr>
          <w:p>
            <w:pPr>
              <w:spacing w:after="0"/>
              <w:rPr>
                <w:sz w:val="24"/>
                <w:szCs w:val="24"/>
                <w:color w:val="auto"/>
              </w:rPr>
            </w:pPr>
          </w:p>
        </w:tc>
        <w:tc>
          <w:tcPr>
            <w:tcW w:w="20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tcBorders>
          </w:tcPr>
          <w:p>
            <w:pPr>
              <w:spacing w:after="0"/>
              <w:rPr>
                <w:sz w:val="24"/>
                <w:szCs w:val="24"/>
                <w:color w:val="auto"/>
              </w:rPr>
            </w:pPr>
          </w:p>
        </w:tc>
        <w:tc>
          <w:tcPr>
            <w:tcW w:w="300" w:type="dxa"/>
            <w:vAlign w:val="bottom"/>
            <w:tcBorders>
              <w:bottom w:val="single" w:sz="8" w:color="000B78"/>
            </w:tcBorders>
            <w:shd w:val="clear" w:color="auto" w:fill="2264AD"/>
          </w:tcPr>
          <w:p>
            <w:pPr>
              <w:spacing w:after="0"/>
              <w:rPr>
                <w:sz w:val="24"/>
                <w:szCs w:val="24"/>
                <w:color w:val="auto"/>
              </w:rPr>
            </w:pPr>
          </w:p>
        </w:tc>
        <w:tc>
          <w:tcPr>
            <w:tcW w:w="80" w:type="dxa"/>
            <w:vAlign w:val="bottom"/>
            <w:tcBorders>
              <w:bottom w:val="single" w:sz="8" w:color="000B78"/>
            </w:tcBorders>
          </w:tcPr>
          <w:p>
            <w:pPr>
              <w:spacing w:after="0"/>
              <w:rPr>
                <w:sz w:val="24"/>
                <w:szCs w:val="24"/>
                <w:color w:val="auto"/>
              </w:rPr>
            </w:pPr>
          </w:p>
        </w:tc>
        <w:tc>
          <w:tcPr>
            <w:tcW w:w="16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right w:val="single" w:sz="8" w:color="000B78"/>
            </w:tcBorders>
          </w:tcPr>
          <w:p>
            <w:pPr>
              <w:spacing w:after="0"/>
              <w:rPr>
                <w:sz w:val="24"/>
                <w:szCs w:val="24"/>
                <w:color w:val="auto"/>
              </w:rPr>
            </w:pPr>
          </w:p>
        </w:tc>
        <w:tc>
          <w:tcPr>
            <w:tcW w:w="280" w:type="dxa"/>
            <w:vAlign w:val="bottom"/>
            <w:tcBorders>
              <w:bottom w:val="single" w:sz="8" w:color="000B78"/>
            </w:tcBorders>
            <w:shd w:val="clear" w:color="auto" w:fill="000B78"/>
          </w:tcPr>
          <w:p>
            <w:pPr>
              <w:spacing w:after="0"/>
              <w:rPr>
                <w:sz w:val="24"/>
                <w:szCs w:val="24"/>
                <w:color w:val="auto"/>
              </w:rPr>
            </w:pPr>
          </w:p>
        </w:tc>
        <w:tc>
          <w:tcPr>
            <w:tcW w:w="20" w:type="dxa"/>
            <w:vAlign w:val="bottom"/>
            <w:tcBorders>
              <w:bottom w:val="single" w:sz="8" w:color="000B78"/>
            </w:tcBorders>
          </w:tcPr>
          <w:p>
            <w:pPr>
              <w:spacing w:after="0"/>
              <w:rPr>
                <w:sz w:val="24"/>
                <w:szCs w:val="24"/>
                <w:color w:val="auto"/>
              </w:rPr>
            </w:pPr>
          </w:p>
        </w:tc>
        <w:tc>
          <w:tcPr>
            <w:tcW w:w="80" w:type="dxa"/>
            <w:vAlign w:val="bottom"/>
            <w:tcBorders>
              <w:bottom w:val="single" w:sz="8" w:color="000B78"/>
            </w:tcBorders>
          </w:tcPr>
          <w:p>
            <w:pPr>
              <w:spacing w:after="0"/>
              <w:rPr>
                <w:sz w:val="24"/>
                <w:szCs w:val="24"/>
                <w:color w:val="auto"/>
              </w:rPr>
            </w:pPr>
          </w:p>
        </w:tc>
        <w:tc>
          <w:tcPr>
            <w:tcW w:w="160" w:type="dxa"/>
            <w:vAlign w:val="bottom"/>
            <w:tcBorders>
              <w:bottom w:val="single" w:sz="8" w:color="000B78"/>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000B78"/>
              </w:rPr>
              <w:t>$0.00</w:t>
            </w:r>
          </w:p>
        </w:tc>
        <w:tc>
          <w:tcPr>
            <w:tcW w:w="14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280" w:type="dxa"/>
            <w:vAlign w:val="bottom"/>
            <w:tcBorders>
              <w:bottom w:val="single" w:sz="8" w:color="000B78"/>
            </w:tcBorders>
          </w:tcPr>
          <w:p>
            <w:pPr>
              <w:spacing w:after="0"/>
              <w:rPr>
                <w:sz w:val="24"/>
                <w:szCs w:val="24"/>
                <w:color w:val="auto"/>
              </w:rPr>
            </w:pPr>
          </w:p>
        </w:tc>
        <w:tc>
          <w:tcPr>
            <w:tcW w:w="20" w:type="dxa"/>
            <w:vAlign w:val="bottom"/>
            <w:tcBorders>
              <w:bottom w:val="single" w:sz="8" w:color="000B78"/>
            </w:tcBorders>
          </w:tcPr>
          <w:p>
            <w:pPr>
              <w:spacing w:after="0"/>
              <w:rPr>
                <w:sz w:val="24"/>
                <w:szCs w:val="24"/>
                <w:color w:val="auto"/>
              </w:rPr>
            </w:pPr>
          </w:p>
        </w:tc>
        <w:tc>
          <w:tcPr>
            <w:tcW w:w="140" w:type="dxa"/>
            <w:vAlign w:val="bottom"/>
            <w:tcBorders>
              <w:bottom w:val="single" w:sz="8" w:color="000B78"/>
            </w:tcBorders>
          </w:tcPr>
          <w:p>
            <w:pPr>
              <w:spacing w:after="0"/>
              <w:rPr>
                <w:sz w:val="24"/>
                <w:szCs w:val="24"/>
                <w:color w:val="auto"/>
              </w:rPr>
            </w:pPr>
          </w:p>
        </w:tc>
        <w:tc>
          <w:tcPr>
            <w:tcW w:w="10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00" w:type="dxa"/>
            <w:vAlign w:val="bottom"/>
            <w:tcBorders>
              <w:bottom w:val="single" w:sz="8" w:color="000B78"/>
            </w:tcBorders>
            <w:shd w:val="clear" w:color="auto" w:fill="2264AD"/>
          </w:tcPr>
          <w:p>
            <w:pPr>
              <w:spacing w:after="0"/>
              <w:rPr>
                <w:sz w:val="24"/>
                <w:szCs w:val="24"/>
                <w:color w:val="auto"/>
              </w:rPr>
            </w:pPr>
          </w:p>
        </w:tc>
        <w:tc>
          <w:tcPr>
            <w:tcW w:w="200" w:type="dxa"/>
            <w:vAlign w:val="bottom"/>
            <w:tcBorders>
              <w:bottom w:val="single" w:sz="8" w:color="000B78"/>
            </w:tcBorders>
            <w:shd w:val="clear" w:color="auto" w:fill="2264AD"/>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120" w:type="dxa"/>
            <w:vAlign w:val="bottom"/>
            <w:tcBorders>
              <w:bottom w:val="single" w:sz="8" w:color="000B78"/>
            </w:tcBorders>
          </w:tcPr>
          <w:p>
            <w:pPr>
              <w:spacing w:after="0"/>
              <w:rPr>
                <w:sz w:val="24"/>
                <w:szCs w:val="24"/>
                <w:color w:val="auto"/>
              </w:rPr>
            </w:pPr>
          </w:p>
        </w:tc>
        <w:tc>
          <w:tcPr>
            <w:tcW w:w="240" w:type="dxa"/>
            <w:vAlign w:val="bottom"/>
            <w:tcBorders>
              <w:bottom w:val="single" w:sz="8" w:color="000B78"/>
            </w:tcBorders>
            <w:shd w:val="clear" w:color="auto" w:fill="000B78"/>
          </w:tcPr>
          <w:p>
            <w:pPr>
              <w:spacing w:after="0"/>
              <w:rPr>
                <w:sz w:val="24"/>
                <w:szCs w:val="24"/>
                <w:color w:val="auto"/>
              </w:rPr>
            </w:pPr>
          </w:p>
        </w:tc>
        <w:tc>
          <w:tcPr>
            <w:tcW w:w="180" w:type="dxa"/>
            <w:vAlign w:val="bottom"/>
            <w:tcBorders>
              <w:left w:val="single" w:sz="8" w:color="000B78"/>
              <w:bottom w:val="single" w:sz="8" w:color="000B78"/>
            </w:tcBorders>
          </w:tcPr>
          <w:p>
            <w:pPr>
              <w:spacing w:after="0"/>
              <w:rPr>
                <w:sz w:val="24"/>
                <w:szCs w:val="24"/>
                <w:color w:val="auto"/>
              </w:rPr>
            </w:pPr>
          </w:p>
        </w:tc>
        <w:tc>
          <w:tcPr>
            <w:tcW w:w="160" w:type="dxa"/>
            <w:vAlign w:val="bottom"/>
            <w:tcBorders>
              <w:bottom w:val="single" w:sz="8" w:color="000B78"/>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040" w:type="dxa"/>
            <w:vAlign w:val="bottom"/>
            <w:gridSpan w:val="10"/>
          </w:tcPr>
          <w:p>
            <w:pPr>
              <w:jc w:val="right"/>
              <w:ind w:right="180"/>
              <w:spacing w:after="0"/>
              <w:rPr>
                <w:sz w:val="20"/>
                <w:szCs w:val="20"/>
                <w:color w:val="auto"/>
              </w:rPr>
            </w:pPr>
            <w:r>
              <w:rPr>
                <w:rFonts w:ascii="Arial" w:cs="Arial" w:eastAsia="Arial" w:hAnsi="Arial"/>
                <w:sz w:val="16"/>
                <w:szCs w:val="16"/>
                <w:b w:val="1"/>
                <w:bCs w:val="1"/>
                <w:color w:val="000B78"/>
              </w:rPr>
              <w:t>FY  2021  2022</w:t>
            </w:r>
          </w:p>
        </w:tc>
        <w:tc>
          <w:tcPr>
            <w:tcW w:w="5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000B78"/>
              </w:rPr>
              <w:t>2023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7"/>
          </w:tcPr>
          <w:p>
            <w:pPr>
              <w:jc w:val="right"/>
              <w:ind w:right="180"/>
              <w:spacing w:after="0"/>
              <w:rPr>
                <w:sz w:val="20"/>
                <w:szCs w:val="20"/>
                <w:color w:val="auto"/>
              </w:rPr>
            </w:pPr>
            <w:r>
              <w:rPr>
                <w:rFonts w:ascii="Arial" w:cs="Arial" w:eastAsia="Arial" w:hAnsi="Arial"/>
                <w:sz w:val="16"/>
                <w:szCs w:val="16"/>
                <w:b w:val="1"/>
                <w:bCs w:val="1"/>
                <w:color w:val="000B78"/>
              </w:rPr>
              <w:t>FY  2021</w:t>
            </w:r>
          </w:p>
        </w:tc>
        <w:tc>
          <w:tcPr>
            <w:tcW w:w="1200" w:type="dxa"/>
            <w:vAlign w:val="bottom"/>
            <w:gridSpan w:val="8"/>
          </w:tcPr>
          <w:p>
            <w:pPr>
              <w:jc w:val="right"/>
              <w:spacing w:after="0"/>
              <w:rPr>
                <w:sz w:val="20"/>
                <w:szCs w:val="20"/>
                <w:color w:val="auto"/>
              </w:rPr>
            </w:pPr>
            <w:r>
              <w:rPr>
                <w:rFonts w:ascii="Arial" w:cs="Arial" w:eastAsia="Arial" w:hAnsi="Arial"/>
                <w:sz w:val="16"/>
                <w:szCs w:val="16"/>
                <w:b w:val="1"/>
                <w:bCs w:val="1"/>
                <w:color w:val="000B78"/>
              </w:rPr>
              <w:t>2022  2023</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000B78"/>
              </w:rPr>
              <w:t>FY</w:t>
            </w:r>
          </w:p>
        </w:tc>
        <w:tc>
          <w:tcPr>
            <w:tcW w:w="700" w:type="dxa"/>
            <w:vAlign w:val="bottom"/>
            <w:gridSpan w:val="5"/>
          </w:tcPr>
          <w:p>
            <w:pPr>
              <w:jc w:val="right"/>
              <w:ind w:right="80"/>
              <w:spacing w:after="0"/>
              <w:rPr>
                <w:sz w:val="20"/>
                <w:szCs w:val="20"/>
                <w:color w:val="auto"/>
              </w:rPr>
            </w:pPr>
            <w:r>
              <w:rPr>
                <w:rFonts w:ascii="Arial" w:cs="Arial" w:eastAsia="Arial" w:hAnsi="Arial"/>
                <w:sz w:val="16"/>
                <w:szCs w:val="16"/>
                <w:b w:val="1"/>
                <w:bCs w:val="1"/>
                <w:color w:val="000B78"/>
              </w:rPr>
              <w:t>2021</w:t>
            </w:r>
          </w:p>
        </w:tc>
        <w:tc>
          <w:tcPr>
            <w:tcW w:w="1300" w:type="dxa"/>
            <w:vAlign w:val="bottom"/>
            <w:gridSpan w:val="9"/>
          </w:tcPr>
          <w:p>
            <w:pPr>
              <w:ind w:left="160"/>
              <w:spacing w:after="0"/>
              <w:rPr>
                <w:sz w:val="20"/>
                <w:szCs w:val="20"/>
                <w:color w:val="auto"/>
              </w:rPr>
            </w:pPr>
            <w:r>
              <w:rPr>
                <w:rFonts w:ascii="Arial" w:cs="Arial" w:eastAsia="Arial" w:hAnsi="Arial"/>
                <w:sz w:val="16"/>
                <w:szCs w:val="16"/>
                <w:b w:val="1"/>
                <w:bCs w:val="1"/>
                <w:color w:val="000B78"/>
              </w:rPr>
              <w:t>2022  2023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00B78"/>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-92710</wp:posOffset>
                </wp:positionH>
                <wp:positionV relativeFrom="paragraph">
                  <wp:posOffset>227330</wp:posOffset>
                </wp:positionV>
                <wp:extent cx="23622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220" cy="4763"/>
                        </a:xfrm>
                        <a:prstGeom prst="line">
                          <a:avLst/>
                        </a:prstGeom>
                        <a:solidFill>
                          <a:srgbClr val="FFFFFF"/>
                        </a:solidFill>
                        <a:ln w="6350">
                          <a:solidFill>
                            <a:srgbClr val="2264AD"/>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999pt,17.9pt" to="11.3pt,17.9pt" o:allowincell="f" strokecolor="#2264AD"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5" w:type="dxa"/>
        <w:tblCellMar>
          <w:top w:w="0" w:type="dxa"/>
          <w:left w:w="0" w:type="dxa"/>
          <w:bottom w:w="0" w:type="dxa"/>
          <w:right w:w="0" w:type="dxa"/>
        </w:tblCellMar>
      </w:tblPr>
      <w:tr>
        <w:trPr>
          <w:trHeight w:val="1000"/>
        </w:trPr>
        <w:tc>
          <w:tcPr>
            <w:tcW w:w="161" w:type="dxa"/>
            <w:vAlign w:val="bottom"/>
            <w:textDirection w:val="tbRl"/>
          </w:tcPr>
          <w:p>
            <w:pPr>
              <w:spacing w:after="0"/>
              <w:rPr>
                <w:sz w:val="20"/>
                <w:szCs w:val="20"/>
                <w:color w:val="auto"/>
              </w:rPr>
            </w:pPr>
            <w:r>
              <w:rPr>
                <w:rFonts w:ascii="Arial" w:cs="Arial" w:eastAsia="Arial" w:hAnsi="Arial"/>
                <w:sz w:val="14"/>
                <w:szCs w:val="14"/>
                <w:b w:val="1"/>
                <w:bCs w:val="1"/>
                <w:color w:val="000B78"/>
              </w:rPr>
              <w:t>2023 Annual</w:t>
            </w:r>
          </w:p>
        </w:tc>
      </w:tr>
    </w:tbl>
    <w:p>
      <w:pPr>
        <w:spacing w:after="0" w:line="20" w:lineRule="exact"/>
        <w:rPr>
          <w:sz w:val="20"/>
          <w:szCs w:val="20"/>
          <w:color w:val="auto"/>
        </w:rPr>
      </w:pPr>
    </w:p>
    <w:tbl>
      <w:tblPr>
        <w:tblLayout w:type="fixed"/>
        <w:tblInd w:w="25" w:type="dxa"/>
        <w:tblCellMar>
          <w:top w:w="0" w:type="dxa"/>
          <w:left w:w="0" w:type="dxa"/>
          <w:bottom w:w="0" w:type="dxa"/>
          <w:right w:w="0" w:type="dxa"/>
        </w:tblCellMar>
      </w:tblPr>
      <w:tr>
        <w:trPr>
          <w:trHeight w:val="520"/>
        </w:trPr>
        <w:tc>
          <w:tcPr>
            <w:tcW w:w="161" w:type="dxa"/>
            <w:vAlign w:val="bottom"/>
            <w:textDirection w:val="tbRl"/>
          </w:tcPr>
          <w:p>
            <w:pPr>
              <w:spacing w:after="0"/>
              <w:rPr>
                <w:sz w:val="20"/>
                <w:szCs w:val="20"/>
                <w:color w:val="auto"/>
              </w:rPr>
            </w:pPr>
            <w:r>
              <w:rPr>
                <w:rFonts w:ascii="Arial" w:cs="Arial" w:eastAsia="Arial" w:hAnsi="Arial"/>
                <w:sz w:val="14"/>
                <w:szCs w:val="14"/>
                <w:b w:val="1"/>
                <w:bCs w:val="1"/>
                <w:color w:val="000B78"/>
              </w:rPr>
              <w:t>Report</w:t>
            </w:r>
          </w:p>
        </w:tc>
      </w:tr>
    </w:tbl>
    <w:p>
      <w:pPr>
        <w:spacing w:after="0" w:line="9787" w:lineRule="exact"/>
        <w:rPr>
          <w:sz w:val="20"/>
          <w:szCs w:val="20"/>
          <w:color w:val="auto"/>
        </w:rPr>
      </w:pPr>
    </w:p>
    <w:p>
      <w:pPr>
        <w:sectPr>
          <w:pgSz w:w="12240" w:h="15480" w:orient="portrait"/>
          <w:cols w:equalWidth="0" w:num="2">
            <w:col w:w="9680" w:space="720"/>
            <w:col w:w="186"/>
          </w:cols>
          <w:pgMar w:left="900" w:top="565" w:right="754" w:bottom="7" w:gutter="0" w:footer="0" w:header="0"/>
        </w:sectPr>
      </w:pPr>
    </w:p>
    <w:p>
      <w:pPr>
        <w:spacing w:after="0" w:line="196" w:lineRule="exact"/>
        <w:rPr>
          <w:sz w:val="20"/>
          <w:szCs w:val="20"/>
          <w:color w:val="auto"/>
        </w:rPr>
      </w:pPr>
    </w:p>
    <w:p>
      <w:pPr>
        <w:jc w:val="both"/>
        <w:ind w:left="180" w:firstLine="7"/>
        <w:spacing w:after="0" w:line="282" w:lineRule="auto"/>
        <w:tabs>
          <w:tab w:leader="none" w:pos="372" w:val="left"/>
        </w:tabs>
        <w:numPr>
          <w:ilvl w:val="0"/>
          <w:numId w:val="1"/>
        </w:numPr>
        <w:rPr>
          <w:rFonts w:ascii="Arial" w:cs="Arial" w:eastAsia="Arial" w:hAnsi="Arial"/>
          <w:sz w:val="12"/>
          <w:szCs w:val="12"/>
          <w:color w:val="000B78"/>
        </w:rPr>
      </w:pPr>
      <w:r>
        <w:rPr>
          <w:rFonts w:ascii="Arial" w:cs="Arial" w:eastAsia="Arial" w:hAnsi="Arial"/>
          <w:sz w:val="12"/>
          <w:szCs w:val="12"/>
          <w:color w:val="000B78"/>
        </w:rPr>
        <w:t>Adjusted earnings before interest, taxes, depreciation, and amortization (Adjusted EBITDA) excludes certain expenses that Management believes are not indicative of Academy’s underlying operating performance. Refer to our Annual Report on Form 10-K for the year ended February 3, 2024, for a full reconciliation and discussion of Adjusted EBITDA, which is a non-GAAP measure, to its closest comparable GAAP measure.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223" w:hanging="223"/>
        <w:spacing w:after="0"/>
        <w:tabs>
          <w:tab w:leader="none" w:pos="223" w:val="left"/>
        </w:tabs>
        <w:numPr>
          <w:ilvl w:val="0"/>
          <w:numId w:val="2"/>
        </w:numPr>
        <w:rPr>
          <w:rFonts w:ascii="Arial" w:cs="Arial" w:eastAsia="Arial" w:hAnsi="Arial"/>
          <w:sz w:val="12"/>
          <w:szCs w:val="12"/>
          <w:color w:val="000B78"/>
        </w:rPr>
      </w:pPr>
      <w:r>
        <w:rPr>
          <w:rFonts w:ascii="Arial" w:cs="Arial" w:eastAsia="Arial" w:hAnsi="Arial"/>
          <w:sz w:val="12"/>
          <w:szCs w:val="12"/>
          <w:color w:val="000B78"/>
        </w:rPr>
        <w:t>Return on Invested Capital (ROIC) is calculated as follows:</w:t>
      </w:r>
    </w:p>
    <w:p>
      <w:pPr>
        <w:spacing w:after="0" w:line="21" w:lineRule="exact"/>
        <w:rPr>
          <w:rFonts w:ascii="Arial" w:cs="Arial" w:eastAsia="Arial" w:hAnsi="Arial"/>
          <w:sz w:val="12"/>
          <w:szCs w:val="12"/>
          <w:color w:val="000B78"/>
        </w:rPr>
      </w:pPr>
    </w:p>
    <w:p>
      <w:pPr>
        <w:jc w:val="both"/>
        <w:ind w:left="3" w:firstLine="3"/>
        <w:spacing w:after="0" w:line="282" w:lineRule="auto"/>
        <w:rPr>
          <w:rFonts w:ascii="Arial" w:cs="Arial" w:eastAsia="Arial" w:hAnsi="Arial"/>
          <w:sz w:val="12"/>
          <w:szCs w:val="12"/>
          <w:color w:val="000B78"/>
        </w:rPr>
      </w:pPr>
      <w:r>
        <w:rPr>
          <w:rFonts w:ascii="Arial" w:cs="Arial" w:eastAsia="Arial" w:hAnsi="Arial"/>
          <w:sz w:val="12"/>
          <w:szCs w:val="12"/>
          <w:color w:val="000B78"/>
        </w:rPr>
        <w:t>(i) the numerator is defined as Adjusted EBITDA plus rent minus estimated taxes; and (ii) the denominator is defined as: (a) the sum of the 13-month average balances for: net receivables, inventory, prepaid expenses and other current assets, gross property and equipment, and other noncurrent assets, plus (b) total lease liabilities, minus (c) the sum of the 13-month average balances for: accounts payable, accrued liabilities, and income tax payable. Refer to our Annual Report on Form 10-K for the year ended February 3, 2024, for a full reconciliation and discussion of Adjusted EBITDA, which is a non-GAAP measure, to its closest comparable GAAP measure.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left="-2" w:right="686" w:firstLine="2"/>
        <w:spacing w:after="0" w:line="283" w:lineRule="auto"/>
        <w:tabs>
          <w:tab w:leader="none" w:pos="204" w:val="left"/>
        </w:tabs>
        <w:numPr>
          <w:ilvl w:val="0"/>
          <w:numId w:val="3"/>
        </w:numPr>
        <w:rPr>
          <w:rFonts w:ascii="Arial" w:cs="Arial" w:eastAsia="Arial" w:hAnsi="Arial"/>
          <w:sz w:val="12"/>
          <w:szCs w:val="12"/>
          <w:color w:val="000B78"/>
        </w:rPr>
      </w:pPr>
      <w:r>
        <w:rPr>
          <w:rFonts w:ascii="Arial" w:cs="Arial" w:eastAsia="Arial" w:hAnsi="Arial"/>
          <w:sz w:val="12"/>
          <w:szCs w:val="12"/>
          <w:color w:val="000B78"/>
        </w:rPr>
        <w:t>Adjusted Earnings per Share - Diluted is defined as Adjusted Net Income (which excludes certain expenses that Management believes are not indicative of Academy’s underlying operating performance) divided by the diluted weighted average common shares outstanding during the period. Refer to our Annual Report on Form 10-K for the year ended February 3, 2024, for a full discussion and reconciliations of Adjusted Net Income and Adjusted Earnings per Share, which are non-GAAP measures, to their closest comparable GAAP measures.</w:t>
      </w:r>
    </w:p>
    <w:p>
      <w:pPr>
        <w:sectPr>
          <w:pgSz w:w="12240" w:h="15480" w:orient="portrait"/>
          <w:cols w:equalWidth="0" w:num="3">
            <w:col w:w="2340" w:space="137"/>
            <w:col w:w="3663" w:space="142"/>
            <w:col w:w="4304"/>
          </w:cols>
          <w:pgMar w:left="900" w:top="565" w:right="754" w:bottom="7" w:gutter="0" w:footer="0" w:header="0"/>
          <w:type w:val="continuous"/>
        </w:sectPr>
      </w:pPr>
    </w:p>
    <w:bookmarkStart w:id="3" w:name="page4"/>
    <w:bookmarkEnd w:id="3"/>
    <w:p>
      <w:pPr>
        <w:ind w:left="45"/>
        <w:spacing w:after="0"/>
        <w:rPr>
          <w:sz w:val="20"/>
          <w:szCs w:val="20"/>
          <w:color w:val="auto"/>
        </w:rPr>
      </w:pPr>
      <w:r>
        <w:rPr>
          <w:rFonts w:ascii="Arial" w:cs="Arial" w:eastAsia="Arial" w:hAnsi="Arial"/>
          <w:sz w:val="14"/>
          <w:szCs w:val="14"/>
          <w:b w:val="1"/>
          <w:bCs w:val="1"/>
          <w:color w:val="000B78"/>
        </w:rPr>
        <w:drawing>
          <wp:anchor simplePos="0" relativeHeight="251657728" behindDoc="1" locked="0" layoutInCell="0" allowOverlap="1">
            <wp:simplePos x="0" y="0"/>
            <wp:positionH relativeFrom="page">
              <wp:posOffset>4482465</wp:posOffset>
            </wp:positionH>
            <wp:positionV relativeFrom="page">
              <wp:posOffset>0</wp:posOffset>
            </wp:positionV>
            <wp:extent cx="3027680" cy="266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3027680" cy="2664460"/>
                    </a:xfrm>
                    <a:prstGeom prst="rect">
                      <a:avLst/>
                    </a:prstGeom>
                    <a:noFill/>
                  </pic:spPr>
                </pic:pic>
              </a:graphicData>
            </a:graphic>
          </wp:anchor>
        </w:drawing>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224790</wp:posOffset>
            </wp:positionV>
            <wp:extent cx="3259455" cy="2971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3259455" cy="297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82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000B78"/>
              </w:rPr>
              <w:t>Outdoors+</w:t>
            </w: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4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000B78"/>
              </w:rPr>
              <w:t>SportsAcademy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25"/>
        <w:spacing w:after="0"/>
        <w:rPr>
          <w:sz w:val="20"/>
          <w:szCs w:val="20"/>
          <w:color w:val="auto"/>
        </w:rPr>
      </w:pPr>
      <w:r>
        <w:rPr>
          <w:rFonts w:ascii="Arial" w:cs="Arial" w:eastAsia="Arial" w:hAnsi="Arial"/>
          <w:sz w:val="34"/>
          <w:szCs w:val="34"/>
          <w:b w:val="1"/>
          <w:bCs w:val="1"/>
          <w:color w:val="000B78"/>
        </w:rPr>
        <w:t>Letter from our Chief</w:t>
      </w:r>
    </w:p>
    <w:p>
      <w:pPr>
        <w:spacing w:after="0" w:line="9" w:lineRule="exact"/>
        <w:rPr>
          <w:sz w:val="20"/>
          <w:szCs w:val="20"/>
          <w:color w:val="auto"/>
        </w:rPr>
      </w:pPr>
    </w:p>
    <w:p>
      <w:pPr>
        <w:ind w:left="1325"/>
        <w:spacing w:after="0"/>
        <w:rPr>
          <w:sz w:val="20"/>
          <w:szCs w:val="20"/>
          <w:color w:val="auto"/>
        </w:rPr>
      </w:pPr>
      <w:r>
        <w:rPr>
          <w:rFonts w:ascii="Arial" w:cs="Arial" w:eastAsia="Arial" w:hAnsi="Arial"/>
          <w:sz w:val="34"/>
          <w:szCs w:val="34"/>
          <w:b w:val="1"/>
          <w:bCs w:val="1"/>
          <w:color w:val="000B78"/>
        </w:rPr>
        <w:t>Executive Officer</w:t>
      </w:r>
    </w:p>
    <w:p>
      <w:pPr>
        <w:spacing w:after="0" w:line="296" w:lineRule="exact"/>
        <w:rPr>
          <w:sz w:val="20"/>
          <w:szCs w:val="20"/>
          <w:color w:val="auto"/>
        </w:rPr>
      </w:pPr>
    </w:p>
    <w:p>
      <w:pPr>
        <w:jc w:val="both"/>
        <w:ind w:left="1325" w:right="320" w:firstLine="3"/>
        <w:spacing w:after="0" w:line="281" w:lineRule="auto"/>
        <w:rPr>
          <w:sz w:val="20"/>
          <w:szCs w:val="20"/>
          <w:color w:val="auto"/>
        </w:rPr>
      </w:pPr>
      <w:r>
        <w:rPr>
          <w:rFonts w:ascii="Arial" w:cs="Arial" w:eastAsia="Arial" w:hAnsi="Arial"/>
          <w:sz w:val="20"/>
          <w:szCs w:val="20"/>
          <w:color w:val="auto"/>
        </w:rPr>
        <w:t>I am excited to address our shareholders in my first letter as Chief Executive Officer of Academy Sports + Outdoors, and I want to express my appreciation for your confidence in our team and company. I am proud of the resiliency the ~22,000 members of the Academy team have shown over the past year as we navigated a leadership transition during a challenging macro-economic backdrop. In 2023, we embarked on our new long-range plan, and we made a lot of progress in putting in place the building blocks for our future.</w:t>
      </w:r>
    </w:p>
    <w:p>
      <w:pPr>
        <w:spacing w:after="0" w:line="124" w:lineRule="exact"/>
        <w:rPr>
          <w:sz w:val="20"/>
          <w:szCs w:val="20"/>
          <w:color w:val="auto"/>
        </w:rPr>
      </w:pPr>
    </w:p>
    <w:p>
      <w:pPr>
        <w:jc w:val="right"/>
        <w:ind w:left="1325" w:right="320"/>
        <w:spacing w:after="0" w:line="271" w:lineRule="auto"/>
        <w:rPr>
          <w:sz w:val="20"/>
          <w:szCs w:val="20"/>
          <w:color w:val="auto"/>
        </w:rPr>
      </w:pPr>
      <w:r>
        <w:rPr>
          <w:rFonts w:ascii="Arial" w:cs="Arial" w:eastAsia="Arial" w:hAnsi="Arial"/>
          <w:sz w:val="20"/>
          <w:szCs w:val="20"/>
          <w:color w:val="auto"/>
        </w:rPr>
        <w:t>The strength and durability of our business model was demonstrated by a number of achievements in 2023, which include opening 14 new stores, implementing our new customer data platform to help unlock greater consumer insights, and laying groundwork for improvements in our supply chain as we completed most of the work to support the implementation of our new warehouse management system that will go live in 2024. We also</w:t>
      </w:r>
    </w:p>
    <w:tbl>
      <w:tblPr>
        <w:tblLayout w:type="fixed"/>
        <w:tblInd w:w="1325" w:type="dxa"/>
        <w:tblCellMar>
          <w:top w:w="0" w:type="dxa"/>
          <w:left w:w="0" w:type="dxa"/>
          <w:bottom w:w="0" w:type="dxa"/>
          <w:right w:w="0" w:type="dxa"/>
        </w:tblCellMar>
      </w:tblPr>
      <w:tr>
        <w:trPr>
          <w:trHeight w:val="269"/>
        </w:trPr>
        <w:tc>
          <w:tcPr>
            <w:tcW w:w="3220" w:type="dxa"/>
            <w:vAlign w:val="bottom"/>
          </w:tcPr>
          <w:p>
            <w:pPr>
              <w:spacing w:after="0" w:line="268" w:lineRule="exact"/>
              <w:rPr>
                <w:sz w:val="20"/>
                <w:szCs w:val="20"/>
                <w:color w:val="auto"/>
              </w:rPr>
            </w:pPr>
            <w:r>
              <w:rPr>
                <w:rFonts w:ascii="Times New Roman" w:cs="Times New Roman" w:eastAsia="Times New Roman" w:hAnsi="Times New Roman"/>
                <w:sz w:val="26"/>
                <w:szCs w:val="26"/>
                <w:b w:val="1"/>
                <w:bCs w:val="1"/>
                <w:color w:val="000B78"/>
              </w:rPr>
              <w:t>We are focused on</w:t>
            </w:r>
          </w:p>
        </w:tc>
        <w:tc>
          <w:tcPr>
            <w:tcW w:w="5160" w:type="dxa"/>
            <w:vAlign w:val="bottom"/>
          </w:tcPr>
          <w:p>
            <w:pPr>
              <w:ind w:left="140"/>
              <w:spacing w:after="0"/>
              <w:rPr>
                <w:sz w:val="20"/>
                <w:szCs w:val="20"/>
                <w:color w:val="auto"/>
              </w:rPr>
            </w:pPr>
            <w:r>
              <w:rPr>
                <w:rFonts w:ascii="Arial" w:cs="Arial" w:eastAsia="Arial" w:hAnsi="Arial"/>
                <w:sz w:val="20"/>
                <w:szCs w:val="20"/>
                <w:color w:val="auto"/>
                <w:w w:val="96"/>
              </w:rPr>
              <w:t>solidified our executive team with the appointments of Carl</w:t>
            </w:r>
          </w:p>
        </w:tc>
        <w:tc>
          <w:tcPr>
            <w:tcW w:w="0" w:type="dxa"/>
            <w:vAlign w:val="bottom"/>
          </w:tcPr>
          <w:p>
            <w:pPr>
              <w:spacing w:after="0"/>
              <w:rPr>
                <w:sz w:val="1"/>
                <w:szCs w:val="1"/>
                <w:color w:val="auto"/>
              </w:rPr>
            </w:pPr>
          </w:p>
        </w:tc>
      </w:t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6"/>
                <w:szCs w:val="26"/>
                <w:b w:val="1"/>
                <w:bCs w:val="1"/>
                <w:color w:val="000B78"/>
              </w:rPr>
              <w:t>returning to growth and</w:t>
            </w:r>
          </w:p>
        </w:tc>
        <w:tc>
          <w:tcPr>
            <w:tcW w:w="5160" w:type="dxa"/>
            <w:vAlign w:val="bottom"/>
          </w:tcPr>
          <w:p>
            <w:pPr>
              <w:ind w:left="140"/>
              <w:spacing w:after="0"/>
              <w:rPr>
                <w:sz w:val="20"/>
                <w:szCs w:val="20"/>
                <w:color w:val="auto"/>
              </w:rPr>
            </w:pPr>
            <w:r>
              <w:rPr>
                <w:rFonts w:ascii="Arial" w:cs="Arial" w:eastAsia="Arial" w:hAnsi="Arial"/>
                <w:sz w:val="20"/>
                <w:szCs w:val="20"/>
                <w:color w:val="auto"/>
                <w:w w:val="97"/>
              </w:rPr>
              <w:t>Ford as Chief Financial Officer and Matt McCabe as Chief</w:t>
            </w:r>
          </w:p>
        </w:tc>
        <w:tc>
          <w:tcPr>
            <w:tcW w:w="0" w:type="dxa"/>
            <w:vAlign w:val="bottom"/>
          </w:tcPr>
          <w:p>
            <w:pPr>
              <w:spacing w:after="0"/>
              <w:rPr>
                <w:sz w:val="1"/>
                <w:szCs w:val="1"/>
                <w:color w:val="auto"/>
              </w:rPr>
            </w:pPr>
          </w:p>
        </w:tc>
      </w:tr>
      <w:tr>
        <w:trPr>
          <w:trHeight w:val="252"/>
        </w:trPr>
        <w:tc>
          <w:tcPr>
            <w:tcW w:w="3220" w:type="dxa"/>
            <w:vAlign w:val="bottom"/>
            <w:vMerge w:val="continue"/>
          </w:tcPr>
          <w:p>
            <w:pPr>
              <w:spacing w:after="0"/>
              <w:rPr>
                <w:sz w:val="21"/>
                <w:szCs w:val="21"/>
                <w:color w:val="auto"/>
              </w:rPr>
            </w:pPr>
          </w:p>
        </w:tc>
        <w:tc>
          <w:tcPr>
            <w:tcW w:w="5160" w:type="dxa"/>
            <w:vAlign w:val="bottom"/>
          </w:tcPr>
          <w:p>
            <w:pPr>
              <w:ind w:left="140"/>
              <w:spacing w:after="0"/>
              <w:rPr>
                <w:sz w:val="20"/>
                <w:szCs w:val="20"/>
                <w:color w:val="auto"/>
              </w:rPr>
            </w:pPr>
            <w:r>
              <w:rPr>
                <w:rFonts w:ascii="Arial" w:cs="Arial" w:eastAsia="Arial" w:hAnsi="Arial"/>
                <w:sz w:val="20"/>
                <w:szCs w:val="20"/>
                <w:color w:val="auto"/>
                <w:w w:val="99"/>
              </w:rPr>
              <w:t>Merchandising Officer, while also strengthening the team</w:t>
            </w:r>
          </w:p>
        </w:tc>
        <w:tc>
          <w:tcPr>
            <w:tcW w:w="0" w:type="dxa"/>
            <w:vAlign w:val="bottom"/>
          </w:tcPr>
          <w:p>
            <w:pPr>
              <w:spacing w:after="0"/>
              <w:rPr>
                <w:sz w:val="1"/>
                <w:szCs w:val="1"/>
                <w:color w:val="auto"/>
              </w:rPr>
            </w:pPr>
          </w:p>
        </w:tc>
      </w:tr>
      <w:tr>
        <w:trPr>
          <w:trHeight w:val="268"/>
        </w:trPr>
        <w:tc>
          <w:tcPr>
            <w:tcW w:w="3220" w:type="dxa"/>
            <w:vAlign w:val="bottom"/>
          </w:tcPr>
          <w:p>
            <w:pPr>
              <w:spacing w:after="0" w:line="268" w:lineRule="exact"/>
              <w:rPr>
                <w:sz w:val="20"/>
                <w:szCs w:val="20"/>
                <w:color w:val="auto"/>
              </w:rPr>
            </w:pPr>
            <w:r>
              <w:rPr>
                <w:rFonts w:ascii="Times New Roman" w:cs="Times New Roman" w:eastAsia="Times New Roman" w:hAnsi="Times New Roman"/>
                <w:sz w:val="26"/>
                <w:szCs w:val="26"/>
                <w:b w:val="1"/>
                <w:bCs w:val="1"/>
                <w:color w:val="000B78"/>
              </w:rPr>
              <w:t>delivering long-term</w:t>
            </w:r>
          </w:p>
        </w:tc>
        <w:tc>
          <w:tcPr>
            <w:tcW w:w="5160" w:type="dxa"/>
            <w:vAlign w:val="bottom"/>
          </w:tcPr>
          <w:p>
            <w:pPr>
              <w:ind w:left="140"/>
              <w:spacing w:after="0"/>
              <w:rPr>
                <w:sz w:val="20"/>
                <w:szCs w:val="20"/>
                <w:color w:val="auto"/>
              </w:rPr>
            </w:pPr>
            <w:r>
              <w:rPr>
                <w:rFonts w:ascii="Arial" w:cs="Arial" w:eastAsia="Arial" w:hAnsi="Arial"/>
                <w:sz w:val="20"/>
                <w:szCs w:val="20"/>
                <w:color w:val="auto"/>
                <w:w w:val="96"/>
              </w:rPr>
              <w:t>with the additions of Chad Fox as our new Chief Customer</w:t>
            </w:r>
          </w:p>
        </w:tc>
        <w:tc>
          <w:tcPr>
            <w:tcW w:w="0" w:type="dxa"/>
            <w:vAlign w:val="bottom"/>
          </w:tcPr>
          <w:p>
            <w:pPr>
              <w:spacing w:after="0"/>
              <w:rPr>
                <w:sz w:val="1"/>
                <w:szCs w:val="1"/>
                <w:color w:val="auto"/>
              </w:rPr>
            </w:pPr>
          </w:p>
        </w:tc>
      </w:tr>
      <w:tr>
        <w:trPr>
          <w:trHeight w:val="260"/>
        </w:trPr>
        <w:tc>
          <w:tcPr>
            <w:tcW w:w="3220" w:type="dxa"/>
            <w:vAlign w:val="bottom"/>
            <w:vMerge w:val="restart"/>
          </w:tcPr>
          <w:p>
            <w:pPr>
              <w:spacing w:after="0"/>
              <w:rPr>
                <w:sz w:val="20"/>
                <w:szCs w:val="20"/>
                <w:color w:val="auto"/>
              </w:rPr>
            </w:pPr>
            <w:r>
              <w:rPr>
                <w:rFonts w:ascii="Times New Roman" w:cs="Times New Roman" w:eastAsia="Times New Roman" w:hAnsi="Times New Roman"/>
                <w:sz w:val="26"/>
                <w:szCs w:val="26"/>
                <w:b w:val="1"/>
                <w:bCs w:val="1"/>
                <w:color w:val="000B78"/>
              </w:rPr>
              <w:t>value to our customers</w:t>
            </w:r>
          </w:p>
        </w:tc>
        <w:tc>
          <w:tcPr>
            <w:tcW w:w="5160" w:type="dxa"/>
            <w:vAlign w:val="bottom"/>
          </w:tcPr>
          <w:p>
            <w:pPr>
              <w:ind w:left="120"/>
              <w:spacing w:after="0"/>
              <w:rPr>
                <w:sz w:val="20"/>
                <w:szCs w:val="20"/>
                <w:color w:val="auto"/>
              </w:rPr>
            </w:pPr>
            <w:r>
              <w:rPr>
                <w:rFonts w:ascii="Arial" w:cs="Arial" w:eastAsia="Arial" w:hAnsi="Arial"/>
                <w:sz w:val="20"/>
                <w:szCs w:val="20"/>
                <w:color w:val="auto"/>
              </w:rPr>
              <w:t>Officer and Rob Howell as our new Chief Supply Chain</w:t>
            </w:r>
          </w:p>
        </w:tc>
        <w:tc>
          <w:tcPr>
            <w:tcW w:w="0" w:type="dxa"/>
            <w:vAlign w:val="bottom"/>
          </w:tcPr>
          <w:p>
            <w:pPr>
              <w:spacing w:after="0"/>
              <w:rPr>
                <w:sz w:val="1"/>
                <w:szCs w:val="1"/>
                <w:color w:val="auto"/>
              </w:rPr>
            </w:pPr>
          </w:p>
        </w:tc>
      </w:tr>
      <w:tr>
        <w:trPr>
          <w:trHeight w:val="185"/>
        </w:trPr>
        <w:tc>
          <w:tcPr>
            <w:tcW w:w="3220" w:type="dxa"/>
            <w:vAlign w:val="bottom"/>
            <w:vMerge w:val="continue"/>
          </w:tcPr>
          <w:p>
            <w:pPr>
              <w:spacing w:after="0"/>
              <w:rPr>
                <w:sz w:val="16"/>
                <w:szCs w:val="16"/>
                <w:color w:val="auto"/>
              </w:rPr>
            </w:pPr>
          </w:p>
        </w:tc>
        <w:tc>
          <w:tcPr>
            <w:tcW w:w="5160" w:type="dxa"/>
            <w:vAlign w:val="bottom"/>
            <w:vMerge w:val="restart"/>
          </w:tcPr>
          <w:p>
            <w:pPr>
              <w:ind w:left="120"/>
              <w:spacing w:after="0"/>
              <w:rPr>
                <w:sz w:val="20"/>
                <w:szCs w:val="20"/>
                <w:color w:val="auto"/>
              </w:rPr>
            </w:pPr>
            <w:r>
              <w:rPr>
                <w:rFonts w:ascii="Arial" w:cs="Arial" w:eastAsia="Arial" w:hAnsi="Arial"/>
                <w:sz w:val="20"/>
                <w:szCs w:val="20"/>
                <w:color w:val="auto"/>
                <w:w w:val="97"/>
              </w:rPr>
              <w:t>Officer. The addition of these two experienced executives,</w:t>
            </w:r>
          </w:p>
        </w:tc>
        <w:tc>
          <w:tcPr>
            <w:tcW w:w="0" w:type="dxa"/>
            <w:vAlign w:val="bottom"/>
          </w:tcPr>
          <w:p>
            <w:pPr>
              <w:spacing w:after="0"/>
              <w:rPr>
                <w:sz w:val="1"/>
                <w:szCs w:val="1"/>
                <w:color w:val="auto"/>
              </w:rPr>
            </w:pPr>
          </w:p>
        </w:tc>
      </w:tr>
      <w:tr>
        <w:trPr>
          <w:trHeight w:val="75"/>
        </w:trPr>
        <w:tc>
          <w:tcPr>
            <w:tcW w:w="3220" w:type="dxa"/>
            <w:vAlign w:val="bottom"/>
            <w:vMerge w:val="restart"/>
          </w:tcPr>
          <w:p>
            <w:pPr>
              <w:spacing w:after="0"/>
              <w:rPr>
                <w:sz w:val="20"/>
                <w:szCs w:val="20"/>
                <w:color w:val="auto"/>
              </w:rPr>
            </w:pPr>
            <w:r>
              <w:rPr>
                <w:rFonts w:ascii="Times New Roman" w:cs="Times New Roman" w:eastAsia="Times New Roman" w:hAnsi="Times New Roman"/>
                <w:sz w:val="26"/>
                <w:szCs w:val="26"/>
                <w:b w:val="1"/>
                <w:bCs w:val="1"/>
                <w:color w:val="000B78"/>
              </w:rPr>
              <w:t>and investors.</w:t>
            </w:r>
          </w:p>
        </w:tc>
        <w:tc>
          <w:tcPr>
            <w:tcW w:w="5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3220" w:type="dxa"/>
            <w:vAlign w:val="bottom"/>
            <w:vMerge w:val="continue"/>
          </w:tcPr>
          <w:p>
            <w:pPr>
              <w:spacing w:after="0"/>
              <w:rPr>
                <w:sz w:val="22"/>
                <w:szCs w:val="22"/>
                <w:color w:val="auto"/>
              </w:rPr>
            </w:pPr>
          </w:p>
        </w:tc>
        <w:tc>
          <w:tcPr>
            <w:tcW w:w="5160" w:type="dxa"/>
            <w:vAlign w:val="bottom"/>
          </w:tcPr>
          <w:p>
            <w:pPr>
              <w:ind w:left="140"/>
              <w:spacing w:after="0"/>
              <w:rPr>
                <w:sz w:val="20"/>
                <w:szCs w:val="20"/>
                <w:color w:val="auto"/>
              </w:rPr>
            </w:pPr>
            <w:r>
              <w:rPr>
                <w:rFonts w:ascii="Arial" w:cs="Arial" w:eastAsia="Arial" w:hAnsi="Arial"/>
                <w:sz w:val="20"/>
                <w:szCs w:val="20"/>
                <w:color w:val="auto"/>
              </w:rPr>
              <w:t>coupled with combining supply chain and stores under</w:t>
            </w:r>
          </w:p>
        </w:tc>
        <w:tc>
          <w:tcPr>
            <w:tcW w:w="0" w:type="dxa"/>
            <w:vAlign w:val="bottom"/>
          </w:tcPr>
          <w:p>
            <w:pPr>
              <w:spacing w:after="0"/>
              <w:rPr>
                <w:sz w:val="1"/>
                <w:szCs w:val="1"/>
                <w:color w:val="auto"/>
              </w:rPr>
            </w:pPr>
          </w:p>
        </w:tc>
      </w:tr>
      <w:tr>
        <w:trPr>
          <w:trHeight w:val="260"/>
        </w:trPr>
        <w:tc>
          <w:tcPr>
            <w:tcW w:w="3220" w:type="dxa"/>
            <w:vAlign w:val="bottom"/>
          </w:tcPr>
          <w:p>
            <w:pPr>
              <w:spacing w:after="0"/>
              <w:rPr>
                <w:sz w:val="22"/>
                <w:szCs w:val="22"/>
                <w:color w:val="auto"/>
              </w:rPr>
            </w:pPr>
          </w:p>
        </w:tc>
        <w:tc>
          <w:tcPr>
            <w:tcW w:w="5160" w:type="dxa"/>
            <w:vAlign w:val="bottom"/>
          </w:tcPr>
          <w:p>
            <w:pPr>
              <w:ind w:left="140"/>
              <w:spacing w:after="0"/>
              <w:rPr>
                <w:sz w:val="20"/>
                <w:szCs w:val="20"/>
                <w:color w:val="auto"/>
              </w:rPr>
            </w:pPr>
            <w:r>
              <w:rPr>
                <w:rFonts w:ascii="Arial" w:cs="Arial" w:eastAsia="Arial" w:hAnsi="Arial"/>
                <w:sz w:val="20"/>
                <w:szCs w:val="20"/>
                <w:color w:val="auto"/>
              </w:rPr>
              <w:t>our President Sam Johnson, provides the right structure</w:t>
            </w:r>
          </w:p>
        </w:tc>
        <w:tc>
          <w:tcPr>
            <w:tcW w:w="0" w:type="dxa"/>
            <w:vAlign w:val="bottom"/>
          </w:tcPr>
          <w:p>
            <w:pPr>
              <w:spacing w:after="0"/>
              <w:rPr>
                <w:sz w:val="1"/>
                <w:szCs w:val="1"/>
                <w:color w:val="auto"/>
              </w:rPr>
            </w:pPr>
          </w:p>
        </w:tc>
      </w:tr>
    </w:tbl>
    <w:p>
      <w:pPr>
        <w:jc w:val="both"/>
        <w:ind w:left="1345" w:right="280"/>
        <w:spacing w:after="0" w:line="283" w:lineRule="auto"/>
        <w:rPr>
          <w:sz w:val="20"/>
          <w:szCs w:val="20"/>
          <w:color w:val="auto"/>
        </w:rPr>
      </w:pPr>
      <w:r>
        <w:rPr>
          <w:rFonts w:ascii="Arial" w:cs="Arial" w:eastAsia="Arial" w:hAnsi="Arial"/>
          <w:sz w:val="20"/>
          <w:szCs w:val="20"/>
          <w:color w:val="auto"/>
        </w:rPr>
        <w:t>and team to help accelerate our progress against our long-range goals. In addition to these business updates, Academy also proudly gave back to the communities we serve, distributing over $30 million to our customers and local and national charities through partnership support, merchandise discounts, and direct giving. 2023 was a busy year for us, and we made progress across multiple strategic fronts to generate further value for our shareholders.</w:t>
      </w:r>
    </w:p>
    <w:p>
      <w:pPr>
        <w:sectPr>
          <w:pgSz w:w="12240" w:h="15480" w:orient="portrait"/>
          <w:cols w:equalWidth="0" w:num="1">
            <w:col w:w="10005"/>
          </w:cols>
          <w:pgMar w:left="795" w:top="565" w:right="1440" w:bottom="1099" w:gutter="0" w:footer="0" w:header="0"/>
        </w:sectPr>
      </w:pPr>
    </w:p>
    <w:bookmarkStart w:id="4" w:name="page5"/>
    <w:bookmarkEnd w:id="4"/>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4"/>
          <w:szCs w:val="24"/>
          <w:b w:val="1"/>
          <w:bCs w:val="1"/>
          <w:color w:val="2264AD"/>
        </w:rPr>
        <w:t>Fiscal 2023 Financial and Operational Performance</w:t>
      </w:r>
    </w:p>
    <w:p>
      <w:pPr>
        <w:spacing w:after="0" w:line="189" w:lineRule="exact"/>
        <w:rPr>
          <w:sz w:val="20"/>
          <w:szCs w:val="20"/>
          <w:color w:val="auto"/>
        </w:rPr>
      </w:pPr>
    </w:p>
    <w:p>
      <w:pPr>
        <w:jc w:val="both"/>
        <w:ind w:left="400" w:right="500" w:firstLine="17"/>
        <w:spacing w:after="0" w:line="275" w:lineRule="auto"/>
        <w:rPr>
          <w:sz w:val="20"/>
          <w:szCs w:val="20"/>
          <w:color w:val="auto"/>
        </w:rPr>
      </w:pPr>
      <w:r>
        <w:rPr>
          <w:rFonts w:ascii="Arial" w:cs="Arial" w:eastAsia="Arial" w:hAnsi="Arial"/>
          <w:sz w:val="20"/>
          <w:szCs w:val="20"/>
          <w:color w:val="auto"/>
        </w:rPr>
        <w:t>For 2023, net sales were $6.2 billion, with comparable sales of negative 6.5% and e-commerce contributing 10.7% of total merchandise sales. Gross margin was 34.3%, marking the third consecutive year gross margin rate has exceeded 34%, which demonstrates that the merchandising and operational changes we have made over the last few years have structurally improved our margins for the longer term. We believe that the primary driver of our sales decline was underlying weakness in consumer spending due to a decline in overall consumer health. To address this, we are leaning into our position as the value leader in the sports and outdoors space by reinforcing and expanding our strong value messaging across a broad assortment of products. While our topline sales for the full year were impacted by customers being financially pressured, we diligently controlled inventory and operating costs, which enabled us to generate healthy free cash flow and profits as well as invest in future growth drivers. The work our team has done over the past couple of years has resulted in Academy being one of the top-ranked members of the class of 2020 IPOs in delivering value back to our shareholders.</w:t>
      </w:r>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4"/>
          <w:szCs w:val="24"/>
          <w:b w:val="1"/>
          <w:bCs w:val="1"/>
          <w:color w:val="2264AD"/>
        </w:rPr>
        <w:t>Return to Growth</w:t>
      </w:r>
    </w:p>
    <w:p>
      <w:pPr>
        <w:spacing w:after="0" w:line="189" w:lineRule="exact"/>
        <w:rPr>
          <w:sz w:val="20"/>
          <w:szCs w:val="20"/>
          <w:color w:val="auto"/>
        </w:rPr>
      </w:pPr>
    </w:p>
    <w:p>
      <w:pPr>
        <w:jc w:val="both"/>
        <w:ind w:left="420" w:right="520" w:hanging="7"/>
        <w:spacing w:after="0" w:line="278" w:lineRule="auto"/>
        <w:rPr>
          <w:sz w:val="20"/>
          <w:szCs w:val="20"/>
          <w:color w:val="auto"/>
        </w:rPr>
      </w:pPr>
      <w:r>
        <w:rPr>
          <w:rFonts w:ascii="Arial" w:cs="Arial" w:eastAsia="Arial" w:hAnsi="Arial"/>
          <w:sz w:val="20"/>
          <w:szCs w:val="20"/>
          <w:color w:val="auto"/>
        </w:rPr>
        <w:t>As we turn the page to a new year, we are focused on returning to growth and delivering long-term value to our customers and investors. We expect that discretionary consumer spending will remain under pressure during 2024, and our plan is to run the business as efficiently as possible through the short term while continuing to make longer term strategic investments that will support our future growth. Key focuses for 2024 will be on opening 15 to 17 new stores with a better balance between new markets and infilling our existing footprint, growing our omnichannel business, improving the effectiveness of our marketing investments, and modernizing and scaling our supply chain.</w:t>
      </w: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4"/>
          <w:szCs w:val="24"/>
          <w:b w:val="1"/>
          <w:bCs w:val="1"/>
          <w:color w:val="2264AD"/>
        </w:rPr>
        <w:t>Let’s Have Fun Out There</w:t>
      </w:r>
    </w:p>
    <w:p>
      <w:pPr>
        <w:spacing w:after="0" w:line="189" w:lineRule="exact"/>
        <w:rPr>
          <w:sz w:val="20"/>
          <w:szCs w:val="20"/>
          <w:color w:val="auto"/>
        </w:rPr>
      </w:pPr>
    </w:p>
    <w:p>
      <w:pPr>
        <w:jc w:val="both"/>
        <w:ind w:left="400" w:right="500" w:firstLine="15"/>
        <w:spacing w:after="0" w:line="275" w:lineRule="auto"/>
        <w:rPr>
          <w:sz w:val="20"/>
          <w:szCs w:val="20"/>
          <w:color w:val="auto"/>
        </w:rPr>
      </w:pPr>
      <w:r>
        <w:rPr>
          <w:rFonts w:ascii="Arial" w:cs="Arial" w:eastAsia="Arial" w:hAnsi="Arial"/>
          <w:sz w:val="20"/>
          <w:szCs w:val="20"/>
          <w:color w:val="auto"/>
        </w:rPr>
        <w:t>In closing, I am proud of how the team pulled together and thoughtfully managed the business through a challenging 2023 while also executing against our long-range plan. A big part of Academy’s success is rooted in our Team Members, who are incredibly dedicated to providing a great shopping experience for our customers every time they visit one of our stores or website. It is this dedication to providing outstanding service, combined with our broad and complete assortment and our compelling everyday value proposition, that has built deep customer affinity for our brand in our existing markets. Our mission is to help active young families across the country enjoy sports and the outdoors by expanding into new markets. Our team is energized and optimistic about the future of Academy. We are committed to our long-range plan which will be instrumental in driving growth and unlocking value for our shareholders. Thank you to our Board of Directors – your strategic expertise and guidance is an invaluable asset. Lastly, to our shareholders, thank you for your loyalty and ongoing support of Academy Sports + Outdoors. Now let’s have fun out there!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20"/>
          <w:szCs w:val="20"/>
          <w:color w:val="auto"/>
        </w:rPr>
        <w:t>My Sincerest Thanks,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10795</wp:posOffset>
            </wp:positionV>
            <wp:extent cx="1593215" cy="459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593215" cy="45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Steve Lawrence</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000B78"/>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wp:posOffset>
                </wp:positionH>
                <wp:positionV relativeFrom="paragraph">
                  <wp:posOffset>227330</wp:posOffset>
                </wp:positionV>
                <wp:extent cx="23622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220" cy="4763"/>
                        </a:xfrm>
                        <a:prstGeom prst="line">
                          <a:avLst/>
                        </a:prstGeom>
                        <a:solidFill>
                          <a:srgbClr val="FFFFFF"/>
                        </a:solidFill>
                        <a:ln w="6350">
                          <a:solidFill>
                            <a:srgbClr val="2264AD"/>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999pt,17.9pt" to="12.3pt,17.9pt" o:allowincell="f" strokecolor="#2264AD"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5" w:type="dxa"/>
        <w:tblCellMar>
          <w:top w:w="0" w:type="dxa"/>
          <w:left w:w="0" w:type="dxa"/>
          <w:bottom w:w="0" w:type="dxa"/>
          <w:right w:w="0" w:type="dxa"/>
        </w:tblCellMar>
      </w:tblPr>
      <w:tr>
        <w:trPr>
          <w:trHeight w:val="1000"/>
        </w:trPr>
        <w:tc>
          <w:tcPr>
            <w:tcW w:w="161" w:type="dxa"/>
            <w:vAlign w:val="bottom"/>
            <w:textDirection w:val="tbRl"/>
          </w:tcPr>
          <w:p>
            <w:pPr>
              <w:spacing w:after="0"/>
              <w:rPr>
                <w:sz w:val="20"/>
                <w:szCs w:val="20"/>
                <w:color w:val="auto"/>
              </w:rPr>
            </w:pPr>
            <w:r>
              <w:rPr>
                <w:rFonts w:ascii="Arial" w:cs="Arial" w:eastAsia="Arial" w:hAnsi="Arial"/>
                <w:sz w:val="14"/>
                <w:szCs w:val="14"/>
                <w:b w:val="1"/>
                <w:bCs w:val="1"/>
                <w:color w:val="000B78"/>
              </w:rPr>
              <w:t>2023 Annual</w:t>
            </w:r>
          </w:p>
        </w:tc>
      </w:tr>
    </w:tbl>
    <w:p>
      <w:pPr>
        <w:spacing w:after="0" w:line="20" w:lineRule="exact"/>
        <w:rPr>
          <w:sz w:val="20"/>
          <w:szCs w:val="20"/>
          <w:color w:val="auto"/>
        </w:rPr>
      </w:pPr>
    </w:p>
    <w:tbl>
      <w:tblPr>
        <w:tblLayout w:type="fixed"/>
        <w:tblInd w:w="45" w:type="dxa"/>
        <w:tblCellMar>
          <w:top w:w="0" w:type="dxa"/>
          <w:left w:w="0" w:type="dxa"/>
          <w:bottom w:w="0" w:type="dxa"/>
          <w:right w:w="0" w:type="dxa"/>
        </w:tblCellMar>
      </w:tblPr>
      <w:tr>
        <w:trPr>
          <w:trHeight w:val="520"/>
        </w:trPr>
        <w:tc>
          <w:tcPr>
            <w:tcW w:w="161" w:type="dxa"/>
            <w:vAlign w:val="bottom"/>
            <w:textDirection w:val="tbRl"/>
          </w:tcPr>
          <w:p>
            <w:pPr>
              <w:spacing w:after="0"/>
              <w:rPr>
                <w:sz w:val="20"/>
                <w:szCs w:val="20"/>
                <w:color w:val="auto"/>
              </w:rPr>
            </w:pPr>
            <w:r>
              <w:rPr>
                <w:rFonts w:ascii="Arial" w:cs="Arial" w:eastAsia="Arial" w:hAnsi="Arial"/>
                <w:sz w:val="14"/>
                <w:szCs w:val="14"/>
                <w:b w:val="1"/>
                <w:bCs w:val="1"/>
                <w:color w:val="000B78"/>
              </w:rPr>
              <w:t>Report</w:t>
            </w:r>
          </w:p>
        </w:tc>
      </w:tr>
    </w:tbl>
    <w:p>
      <w:pPr>
        <w:sectPr>
          <w:pgSz w:w="12240" w:h="15480" w:orient="portrait"/>
          <w:cols w:equalWidth="0" w:num="2">
            <w:col w:w="9120" w:space="720"/>
            <w:col w:w="206"/>
          </w:cols>
          <w:pgMar w:left="1440" w:top="565" w:right="754"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9829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772400" cy="9829800"/>
                    </a:xfrm>
                    <a:prstGeom prst="rect">
                      <a:avLst/>
                    </a:prstGeom>
                    <a:noFill/>
                  </pic:spPr>
                </pic:pic>
              </a:graphicData>
            </a:graphic>
          </wp:anchor>
        </w:drawing>
      </w:r>
    </w:p>
    <w:p>
      <w:pPr>
        <w:sectPr>
          <w:pgSz w:w="12240" w:h="15480"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1455420</wp:posOffset>
                </wp:positionH>
                <wp:positionV relativeFrom="paragraph">
                  <wp:posOffset>67945</wp:posOffset>
                </wp:positionV>
                <wp:extent cx="442912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29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6pt,5.35pt" to="463.35pt,5.35pt" o:allowincell="f" strokecolor="#000000" strokeweight="1pt"/>
            </w:pict>
          </mc:Fallback>
        </mc:AlternateConten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53" w:lineRule="exact"/>
        <w:rPr>
          <w:sz w:val="20"/>
          <w:szCs w:val="20"/>
          <w:color w:val="auto"/>
        </w:rPr>
      </w:pPr>
    </w:p>
    <w:p>
      <w:pPr>
        <w:ind w:left="1300" w:hanging="814"/>
        <w:spacing w:after="0"/>
        <w:tabs>
          <w:tab w:leader="none" w:pos="1300" w:val="left"/>
        </w:tabs>
        <w:numPr>
          <w:ilvl w:val="0"/>
          <w:numId w:val="4"/>
        </w:numPr>
        <w:rPr>
          <w:rFonts w:ascii="MS PGothic" w:cs="MS PGothic" w:eastAsia="MS PGothic" w:hAnsi="MS PGothic"/>
          <w:sz w:val="18"/>
          <w:szCs w:val="18"/>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44" w:lineRule="exact"/>
        <w:rPr>
          <w:rFonts w:ascii="MS PGothic" w:cs="MS PGothic" w:eastAsia="MS PGothic" w:hAnsi="MS PGothic"/>
          <w:sz w:val="18"/>
          <w:szCs w:val="18"/>
          <w:b w:val="1"/>
          <w:bCs w:val="1"/>
          <w:color w:val="auto"/>
        </w:rPr>
      </w:pPr>
    </w:p>
    <w:p>
      <w:pPr>
        <w:ind w:left="4080"/>
        <w:spacing w:after="0"/>
        <w:rPr>
          <w:rFonts w:ascii="MS PGothic" w:cs="MS PGothic" w:eastAsia="MS PGothic" w:hAnsi="MS PGothic"/>
          <w:sz w:val="18"/>
          <w:szCs w:val="18"/>
          <w:b w:val="1"/>
          <w:bCs w:val="1"/>
          <w:color w:val="auto"/>
        </w:rPr>
      </w:pPr>
      <w:r>
        <w:rPr>
          <w:rFonts w:ascii="Times New Roman" w:cs="Times New Roman" w:eastAsia="Times New Roman" w:hAnsi="Times New Roman"/>
          <w:sz w:val="18"/>
          <w:szCs w:val="18"/>
          <w:b w:val="1"/>
          <w:bCs w:val="1"/>
          <w:color w:val="auto"/>
        </w:rPr>
        <w:t>For the Fiscal Year Ended February 3,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0"/>
          <w:szCs w:val="20"/>
          <w:color w:val="auto"/>
        </w:rPr>
      </w:pPr>
    </w:p>
    <w:p>
      <w:pPr>
        <w:ind w:left="3460" w:right="980" w:hanging="2468"/>
        <w:spacing w:after="0" w:line="328" w:lineRule="auto"/>
        <w:tabs>
          <w:tab w:leader="none" w:pos="1402" w:val="left"/>
        </w:tabs>
        <w:numPr>
          <w:ilvl w:val="0"/>
          <w:numId w:val="5"/>
        </w:numPr>
        <w:rPr>
          <w:rFonts w:ascii="MS PGothic" w:cs="MS PGothic" w:eastAsia="MS PGothic" w:hAnsi="MS PGothic"/>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r>
        <w:rPr>
          <w:rFonts w:ascii="Times New Roman" w:cs="Times New Roman" w:eastAsia="Times New Roman" w:hAnsi="Times New Roman"/>
          <w:sz w:val="18"/>
          <w:szCs w:val="18"/>
          <w:color w:val="auto"/>
        </w:rPr>
        <w:t>.</w:t>
      </w:r>
    </w:p>
    <w:p>
      <w:pPr>
        <w:spacing w:after="0" w:line="1" w:lineRule="exact"/>
        <w:rPr>
          <w:rFonts w:ascii="MS PGothic" w:cs="MS PGothic" w:eastAsia="MS PGothic" w:hAnsi="MS PGothic"/>
          <w:sz w:val="18"/>
          <w:szCs w:val="18"/>
          <w:b w:val="1"/>
          <w:bCs w:val="1"/>
          <w:color w:val="auto"/>
        </w:rPr>
      </w:pPr>
    </w:p>
    <w:p>
      <w:pPr>
        <w:ind w:left="4580"/>
        <w:spacing w:after="0"/>
        <w:rPr>
          <w:rFonts w:ascii="MS PGothic" w:cs="MS PGothic" w:eastAsia="MS PGothic" w:hAnsi="MS PGothic"/>
          <w:sz w:val="18"/>
          <w:szCs w:val="18"/>
          <w:b w:val="1"/>
          <w:bCs w:val="1"/>
          <w:color w:val="auto"/>
        </w:rPr>
      </w:pPr>
      <w:r>
        <w:rPr>
          <w:rFonts w:ascii="Times New Roman" w:cs="Times New Roman" w:eastAsia="Times New Roman" w:hAnsi="Times New Roman"/>
          <w:sz w:val="18"/>
          <w:szCs w:val="18"/>
          <w:b w:val="1"/>
          <w:bCs w:val="1"/>
          <w:color w:val="auto"/>
        </w:rPr>
        <w:t>Commission File No. 001-39589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149860</wp:posOffset>
            </wp:positionV>
            <wp:extent cx="1524000" cy="466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1524000" cy="4667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1455420</wp:posOffset>
                </wp:positionH>
                <wp:positionV relativeFrom="paragraph">
                  <wp:posOffset>60325</wp:posOffset>
                </wp:positionV>
                <wp:extent cx="44291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29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6pt,4.75pt" to="463.35pt,4.7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Academy Sports and Outdoors, Inc.</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2260" w:type="dxa"/>
            <w:vAlign w:val="bottom"/>
            <w:gridSpan w:val="2"/>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85-1800912</w:t>
            </w:r>
          </w:p>
        </w:tc>
      </w:tr>
      <w:tr>
        <w:trPr>
          <w:trHeight w:val="295"/>
        </w:trPr>
        <w:tc>
          <w:tcPr>
            <w:tcW w:w="7580" w:type="dxa"/>
            <w:vAlign w:val="bottom"/>
            <w:gridSpan w:val="6"/>
          </w:tcPr>
          <w:p>
            <w:pPr>
              <w:jc w:val="center"/>
              <w:ind w:right="3200"/>
              <w:spacing w:after="0"/>
              <w:rPr>
                <w:sz w:val="20"/>
                <w:szCs w:val="20"/>
                <w:color w:val="auto"/>
              </w:rPr>
            </w:pPr>
            <w:r>
              <w:rPr>
                <w:rFonts w:ascii="Times New Roman" w:cs="Times New Roman" w:eastAsia="Times New Roman" w:hAnsi="Times New Roman"/>
                <w:sz w:val="18"/>
                <w:szCs w:val="18"/>
                <w:b w:val="1"/>
                <w:bCs w:val="1"/>
                <w:i w:val="1"/>
                <w:iCs w:val="1"/>
                <w:color w:val="auto"/>
                <w:w w:val="97"/>
              </w:rPr>
              <w:t>(State or other jurisdiction of incorporation or organization)</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(I.R.S. Employer Identification No.)</w:t>
            </w:r>
          </w:p>
        </w:tc>
      </w:tr>
      <w:tr>
        <w:trPr>
          <w:trHeight w:val="345"/>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1800 North Mason Road</w:t>
            </w:r>
          </w:p>
        </w:tc>
        <w:tc>
          <w:tcPr>
            <w:tcW w:w="3300" w:type="dxa"/>
            <w:vAlign w:val="bottom"/>
          </w:tcPr>
          <w:p>
            <w:pPr>
              <w:spacing w:after="0"/>
              <w:rPr>
                <w:sz w:val="24"/>
                <w:szCs w:val="24"/>
                <w:color w:val="auto"/>
              </w:rPr>
            </w:pPr>
          </w:p>
        </w:tc>
      </w:tr>
      <w:tr>
        <w:trPr>
          <w:trHeight w:val="285"/>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Katy, Texas 77449</w:t>
            </w:r>
          </w:p>
        </w:tc>
        <w:tc>
          <w:tcPr>
            <w:tcW w:w="3300" w:type="dxa"/>
            <w:vAlign w:val="bottom"/>
          </w:tcPr>
          <w:p>
            <w:pPr>
              <w:spacing w:after="0"/>
              <w:rPr>
                <w:sz w:val="24"/>
                <w:szCs w:val="24"/>
                <w:color w:val="auto"/>
              </w:rPr>
            </w:pPr>
          </w:p>
        </w:tc>
      </w:tr>
      <w:tr>
        <w:trPr>
          <w:trHeight w:val="285"/>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(Address of principal executive offices) (Zip Code)</w:t>
            </w:r>
          </w:p>
        </w:tc>
        <w:tc>
          <w:tcPr>
            <w:tcW w:w="3300" w:type="dxa"/>
            <w:vAlign w:val="bottom"/>
          </w:tcPr>
          <w:p>
            <w:pPr>
              <w:spacing w:after="0"/>
              <w:rPr>
                <w:sz w:val="24"/>
                <w:szCs w:val="24"/>
                <w:color w:val="auto"/>
              </w:rPr>
            </w:pPr>
          </w:p>
        </w:tc>
      </w:tr>
      <w:tr>
        <w:trPr>
          <w:trHeight w:val="345"/>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(281) 646-5200</w:t>
            </w:r>
          </w:p>
        </w:tc>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85"/>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20" w:type="dxa"/>
            <w:vAlign w:val="bottom"/>
            <w:gridSpan w:val="5"/>
          </w:tcPr>
          <w:p>
            <w:pPr>
              <w:jc w:val="center"/>
              <w:ind w:right="2290"/>
              <w:spacing w:after="0"/>
              <w:rPr>
                <w:sz w:val="20"/>
                <w:szCs w:val="20"/>
                <w:color w:val="auto"/>
              </w:rPr>
            </w:pPr>
            <w:r>
              <w:rPr>
                <w:rFonts w:ascii="Times New Roman" w:cs="Times New Roman" w:eastAsia="Times New Roman" w:hAnsi="Times New Roman"/>
                <w:sz w:val="18"/>
                <w:szCs w:val="18"/>
                <w:b w:val="1"/>
                <w:bCs w:val="1"/>
                <w:i w:val="1"/>
                <w:iCs w:val="1"/>
                <w:color w:val="auto"/>
                <w:w w:val="96"/>
              </w:rPr>
              <w:t>(Registrant’s Telephone Number, including Area Code)</w:t>
            </w:r>
          </w:p>
        </w:tc>
      </w:tr>
      <w:tr>
        <w:trPr>
          <w:trHeight w:val="345"/>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20" w:type="dxa"/>
            <w:vAlign w:val="bottom"/>
            <w:gridSpan w:val="5"/>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27"/>
        </w:trPr>
        <w:tc>
          <w:tcPr>
            <w:tcW w:w="1520" w:type="dxa"/>
            <w:vAlign w:val="bottom"/>
          </w:tcPr>
          <w:p>
            <w:pPr>
              <w:spacing w:after="0"/>
              <w:rPr>
                <w:sz w:val="19"/>
                <w:szCs w:val="19"/>
                <w:color w:val="auto"/>
              </w:rPr>
            </w:pPr>
          </w:p>
        </w:tc>
        <w:tc>
          <w:tcPr>
            <w:tcW w:w="2260" w:type="dxa"/>
            <w:vAlign w:val="bottom"/>
            <w:gridSpan w:val="2"/>
          </w:tcPr>
          <w:p>
            <w:pPr>
              <w:jc w:val="center"/>
              <w:ind w:right="830"/>
              <w:spacing w:after="0"/>
              <w:rPr>
                <w:sz w:val="20"/>
                <w:szCs w:val="20"/>
                <w:color w:val="auto"/>
              </w:rPr>
            </w:pPr>
            <w:r>
              <w:rPr>
                <w:rFonts w:ascii="Times New Roman" w:cs="Times New Roman" w:eastAsia="Times New Roman" w:hAnsi="Times New Roman"/>
                <w:sz w:val="18"/>
                <w:szCs w:val="18"/>
                <w:b w:val="1"/>
                <w:bCs w:val="1"/>
                <w:i w:val="1"/>
                <w:iCs w:val="1"/>
                <w:color w:val="auto"/>
              </w:rPr>
              <w:t>Title of each class</w:t>
            </w:r>
          </w:p>
        </w:tc>
        <w:tc>
          <w:tcPr>
            <w:tcW w:w="1260" w:type="dxa"/>
            <w:vAlign w:val="bottom"/>
          </w:tcPr>
          <w:p>
            <w:pPr>
              <w:spacing w:after="0"/>
              <w:rPr>
                <w:sz w:val="19"/>
                <w:szCs w:val="19"/>
                <w:color w:val="auto"/>
              </w:rPr>
            </w:pPr>
          </w:p>
        </w:tc>
        <w:tc>
          <w:tcPr>
            <w:tcW w:w="25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i w:val="1"/>
                <w:iCs w:val="1"/>
                <w:color w:val="auto"/>
              </w:rPr>
              <w:t>Trading Symbol(s)</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307"/>
        </w:trPr>
        <w:tc>
          <w:tcPr>
            <w:tcW w:w="37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4"/>
                <w:szCs w:val="24"/>
                <w:color w:val="auto"/>
              </w:rPr>
            </w:pPr>
          </w:p>
        </w:tc>
        <w:tc>
          <w:tcPr>
            <w:tcW w:w="25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ASO</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39" w:lineRule="exact"/>
        <w:rPr>
          <w:sz w:val="20"/>
          <w:szCs w:val="20"/>
          <w:color w:val="auto"/>
        </w:rPr>
      </w:pPr>
    </w:p>
    <w:p>
      <w:pPr>
        <w:sectPr>
          <w:pgSz w:w="12240" w:h="15840" w:orient="portrait"/>
          <w:cols w:equalWidth="0" w:num="1">
            <w:col w:w="11560"/>
          </w:cols>
          <w:pgMar w:left="340" w:top="135" w:right="340" w:bottom="75" w:gutter="0" w:footer="0" w:header="0"/>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6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0"/>
          <w:szCs w:val="20"/>
          <w:color w:val="auto"/>
        </w:rPr>
      </w:pPr>
      <w:r>
        <w:rPr>
          <w:sz w:val="20"/>
          <w:szCs w:val="20"/>
          <w:color w:val="auto"/>
        </w:rPr>
        <w:br w:type="column"/>
      </w:r>
    </w:p>
    <w:p>
      <w:pPr>
        <w:spacing w:after="0" w:line="164" w:lineRule="exact"/>
        <w:tabs>
          <w:tab w:leader="none" w:pos="7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101" w:lineRule="exact"/>
        <w:rPr>
          <w:sz w:val="20"/>
          <w:szCs w:val="20"/>
          <w:color w:val="auto"/>
        </w:rPr>
      </w:pPr>
    </w:p>
    <w:p>
      <w:pPr>
        <w:spacing w:after="0" w:line="184" w:lineRule="exact"/>
        <w:tabs>
          <w:tab w:leader="none" w:pos="6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200" w:lineRule="exact"/>
        <w:rPr>
          <w:sz w:val="20"/>
          <w:szCs w:val="20"/>
          <w:color w:val="auto"/>
        </w:rPr>
      </w:pPr>
    </w:p>
    <w:p>
      <w:pPr>
        <w:spacing w:after="0" w:line="201" w:lineRule="exact"/>
        <w:rPr>
          <w:sz w:val="20"/>
          <w:szCs w:val="20"/>
          <w:color w:val="auto"/>
        </w:rPr>
      </w:pPr>
    </w:p>
    <w:p>
      <w:pPr>
        <w:spacing w:after="0" w:line="184" w:lineRule="exact"/>
        <w:tabs>
          <w:tab w:leader="none" w:pos="6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200" w:lineRule="exact"/>
        <w:rPr>
          <w:sz w:val="20"/>
          <w:szCs w:val="20"/>
          <w:color w:val="auto"/>
        </w:rPr>
      </w:pPr>
    </w:p>
    <w:p>
      <w:pPr>
        <w:spacing w:after="0" w:line="216" w:lineRule="exact"/>
        <w:rPr>
          <w:sz w:val="20"/>
          <w:szCs w:val="20"/>
          <w:color w:val="auto"/>
        </w:rPr>
      </w:pPr>
    </w:p>
    <w:p>
      <w:pPr>
        <w:spacing w:after="0" w:line="184" w:lineRule="exact"/>
        <w:tabs>
          <w:tab w:leader="none" w:pos="6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141" w:lineRule="exact"/>
        <w:rPr>
          <w:sz w:val="20"/>
          <w:szCs w:val="20"/>
          <w:color w:val="auto"/>
        </w:rPr>
      </w:pPr>
    </w:p>
    <w:p>
      <w:pPr>
        <w:sectPr>
          <w:pgSz w:w="12240" w:h="15840" w:orient="portrait"/>
          <w:cols w:equalWidth="0" w:num="2">
            <w:col w:w="9220" w:space="100"/>
            <w:col w:w="2240"/>
          </w:cols>
          <w:pgMar w:left="340" w:top="135" w:right="340" w:bottom="75"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41"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38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Accelerated filer</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55"/>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38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55"/>
        </w:trPr>
        <w:tc>
          <w:tcPr>
            <w:tcW w:w="1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38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Emerging growth company</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97" w:lineRule="exact"/>
        <w:rPr>
          <w:sz w:val="20"/>
          <w:szCs w:val="20"/>
          <w:color w:val="auto"/>
        </w:rPr>
      </w:pPr>
    </w:p>
    <w:p>
      <w:pPr>
        <w:jc w:val="both"/>
        <w:spacing w:after="0" w:line="19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98" w:lineRule="exact"/>
        <w:rPr>
          <w:sz w:val="20"/>
          <w:szCs w:val="20"/>
          <w:color w:val="auto"/>
        </w:rPr>
      </w:pPr>
    </w:p>
    <w:p>
      <w:pPr>
        <w:jc w:val="both"/>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98" w:lineRule="exact"/>
        <w:rPr>
          <w:sz w:val="20"/>
          <w:szCs w:val="20"/>
          <w:color w:val="auto"/>
        </w:rPr>
      </w:pPr>
    </w:p>
    <w:p>
      <w:pPr>
        <w:ind w:right="80"/>
        <w:spacing w:after="0" w:line="19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98" w:lineRule="exact"/>
        <w:rPr>
          <w:sz w:val="20"/>
          <w:szCs w:val="20"/>
          <w:color w:val="auto"/>
        </w:rPr>
      </w:pPr>
    </w:p>
    <w:p>
      <w:pPr>
        <w:jc w:val="both"/>
        <w:ind w:right="20"/>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111" w:lineRule="exact"/>
        <w:rPr>
          <w:sz w:val="20"/>
          <w:szCs w:val="20"/>
          <w:color w:val="auto"/>
        </w:rPr>
      </w:pPr>
    </w:p>
    <w:p>
      <w:pPr>
        <w:spacing w:after="0" w:line="184" w:lineRule="exact"/>
        <w:tabs>
          <w:tab w:leader="none" w:pos="80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b w:val="1"/>
          <w:bCs w:val="1"/>
          <w:color w:val="auto"/>
        </w:rPr>
        <w:t>☑</w:t>
      </w:r>
    </w:p>
    <w:p>
      <w:pPr>
        <w:spacing w:after="0" w:line="1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based on the closing price of the Common Stock on the Nasdaq Stock Market LLC on July 29, 2023, the last business day of the registrant's most recently completed second fiscal quarter, was approximately $4.3 billion.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14, 2024, Academy Sports and Outdoors, Inc. had 74,405,351 shares of common stock, par value $0.01 per share, outstanding.</w:t>
      </w:r>
    </w:p>
    <w:p>
      <w:pPr>
        <w:spacing w:after="0" w:line="20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Documents Incorporated by Reference: Part III of this Annual Report on Form 10-K incorporates certain information from the registrant's definite proxy statement for its 2024 Annual Meeting of Stockholders, which shall be filed with the Securities and Exchange Commission pursuant to Regulation 14A of the Securities Exchange Act of 1934, as amended, within 120 days of the registrant's fiscal year end.</w:t>
      </w:r>
    </w:p>
    <w:p>
      <w:pPr>
        <w:sectPr>
          <w:pgSz w:w="12240" w:h="15840" w:orient="portrait"/>
          <w:cols w:equalWidth="0" w:num="1">
            <w:col w:w="11560"/>
          </w:cols>
          <w:pgMar w:left="340" w:top="135" w:right="340" w:bottom="75" w:gutter="0" w:footer="0" w:header="0"/>
          <w:type w:val="continuous"/>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60" w:type="dxa"/>
            <w:vAlign w:val="bottom"/>
          </w:tcPr>
          <w:p>
            <w:pPr>
              <w:spacing w:after="0"/>
              <w:rPr>
                <w:sz w:val="23"/>
                <w:szCs w:val="23"/>
                <w:color w:val="auto"/>
              </w:rPr>
            </w:pPr>
          </w:p>
        </w:tc>
        <w:tc>
          <w:tcPr>
            <w:tcW w:w="15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90"/>
        </w:trPr>
        <w:tc>
          <w:tcPr>
            <w:tcW w:w="9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CAUTIONARY STATEMENT REGARDING FORWARD-LOOKING STATEMENTS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r>
      <w:tr>
        <w:trPr>
          <w:trHeight w:val="28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PART I</w:t>
            </w:r>
          </w:p>
        </w:tc>
        <w:tc>
          <w:tcPr>
            <w:tcW w:w="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r>
      <w:tr>
        <w:trPr>
          <w:trHeight w:val="313"/>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1.</w:t>
            </w: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6</w:t>
            </w:r>
          </w:p>
        </w:tc>
      </w:tr>
      <w:tr>
        <w:trPr>
          <w:trHeight w:val="287"/>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1A.</w:t>
            </w:r>
          </w:p>
        </w:tc>
        <w:tc>
          <w:tcPr>
            <w:tcW w:w="8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Risk Factors</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16</w:t>
            </w:r>
          </w:p>
        </w:tc>
      </w:tr>
      <w:tr>
        <w:trPr>
          <w:trHeight w:val="313"/>
        </w:trPr>
        <w:tc>
          <w:tcPr>
            <w:tcW w:w="92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40</w:t>
            </w:r>
          </w:p>
        </w:tc>
      </w:tr>
      <w:tr>
        <w:trPr>
          <w:trHeight w:val="287"/>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1C.</w:t>
            </w:r>
          </w:p>
        </w:tc>
        <w:tc>
          <w:tcPr>
            <w:tcW w:w="8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Cybersecurity</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41</w:t>
            </w:r>
          </w:p>
        </w:tc>
      </w:tr>
      <w:tr>
        <w:trPr>
          <w:trHeight w:val="313"/>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2.</w:t>
            </w: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Properties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42</w:t>
            </w:r>
          </w:p>
        </w:tc>
      </w:tr>
      <w:tr>
        <w:trPr>
          <w:trHeight w:val="287"/>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3.</w:t>
            </w: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Legal Proceedings</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43</w:t>
            </w:r>
          </w:p>
        </w:tc>
      </w:tr>
      <w:tr>
        <w:trPr>
          <w:trHeight w:val="313"/>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4.</w:t>
            </w: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Mine Safety Disclosures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43</w:t>
            </w:r>
          </w:p>
        </w:tc>
      </w:tr>
      <w:tr>
        <w:trPr>
          <w:trHeight w:val="28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PART II</w:t>
            </w:r>
          </w:p>
        </w:tc>
        <w:tc>
          <w:tcPr>
            <w:tcW w:w="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44</w:t>
            </w:r>
          </w:p>
        </w:tc>
      </w:tr>
      <w:tr>
        <w:trPr>
          <w:trHeight w:val="227"/>
        </w:trPr>
        <w:tc>
          <w:tcPr>
            <w:tcW w:w="9240" w:type="dxa"/>
            <w:vAlign w:val="bottom"/>
            <w:gridSpan w:val="3"/>
          </w:tcPr>
          <w:p>
            <w:pPr>
              <w:ind w:left="240"/>
              <w:spacing w:after="0" w:line="227" w:lineRule="exact"/>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 Equity</w:t>
            </w:r>
          </w:p>
        </w:tc>
        <w:tc>
          <w:tcPr>
            <w:tcW w:w="1520" w:type="dxa"/>
            <w:vAlign w:val="bottom"/>
            <w:tcBorders>
              <w:right w:val="single" w:sz="8" w:color="DEDEDE"/>
            </w:tcBorders>
          </w:tcPr>
          <w:p>
            <w:pPr>
              <w:spacing w:after="0"/>
              <w:rPr>
                <w:sz w:val="19"/>
                <w:szCs w:val="19"/>
                <w:color w:val="auto"/>
              </w:rPr>
            </w:pPr>
          </w:p>
        </w:tc>
      </w:tr>
      <w:tr>
        <w:trPr>
          <w:trHeight w:val="281"/>
        </w:trPr>
        <w:tc>
          <w:tcPr>
            <w:tcW w:w="92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Securities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44</w:t>
            </w:r>
          </w:p>
        </w:tc>
      </w:tr>
      <w:tr>
        <w:trPr>
          <w:trHeight w:val="287"/>
        </w:trPr>
        <w:tc>
          <w:tcPr>
            <w:tcW w:w="92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Item 6. Reserved</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45</w:t>
            </w:r>
          </w:p>
        </w:tc>
      </w:tr>
      <w:tr>
        <w:trPr>
          <w:trHeight w:val="313"/>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7.</w:t>
            </w: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46</w:t>
            </w:r>
          </w:p>
        </w:tc>
      </w:tr>
      <w:tr>
        <w:trPr>
          <w:trHeight w:val="287"/>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7A.</w:t>
            </w:r>
          </w:p>
        </w:tc>
        <w:tc>
          <w:tcPr>
            <w:tcW w:w="8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62</w:t>
            </w:r>
          </w:p>
        </w:tc>
      </w:tr>
      <w:tr>
        <w:trPr>
          <w:trHeight w:val="313"/>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8.</w:t>
            </w: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62</w:t>
            </w:r>
          </w:p>
        </w:tc>
      </w:tr>
      <w:tr>
        <w:trPr>
          <w:trHeight w:val="287"/>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Item 9.</w:t>
            </w: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62</w:t>
            </w:r>
          </w:p>
        </w:tc>
      </w:tr>
      <w:tr>
        <w:trPr>
          <w:trHeight w:val="313"/>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9A.</w:t>
            </w:r>
          </w:p>
        </w:tc>
        <w:tc>
          <w:tcPr>
            <w:tcW w:w="8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Controls and Procedures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63</w:t>
            </w:r>
          </w:p>
        </w:tc>
      </w:tr>
      <w:tr>
        <w:trPr>
          <w:trHeight w:val="287"/>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9B.</w:t>
            </w:r>
          </w:p>
        </w:tc>
        <w:tc>
          <w:tcPr>
            <w:tcW w:w="8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Information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r>
      <w:tr>
        <w:trPr>
          <w:trHeight w:val="313"/>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Item 9C.</w:t>
            </w:r>
          </w:p>
        </w:tc>
        <w:tc>
          <w:tcPr>
            <w:tcW w:w="8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67</w:t>
            </w:r>
          </w:p>
        </w:tc>
      </w:tr>
      <w:tr>
        <w:trPr>
          <w:trHeight w:val="28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PART III</w:t>
            </w:r>
          </w:p>
        </w:tc>
        <w:tc>
          <w:tcPr>
            <w:tcW w:w="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67</w:t>
            </w:r>
          </w:p>
        </w:tc>
      </w:tr>
      <w:tr>
        <w:trPr>
          <w:trHeight w:val="313"/>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5"/>
              </w:rPr>
              <w:t>Item 10.</w:t>
            </w:r>
          </w:p>
        </w:tc>
        <w:tc>
          <w:tcPr>
            <w:tcW w:w="80" w:type="dxa"/>
            <w:vAlign w:val="bottom"/>
          </w:tcPr>
          <w:p>
            <w:pPr>
              <w:spacing w:after="0"/>
              <w:rPr>
                <w:sz w:val="24"/>
                <w:szCs w:val="24"/>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67</w:t>
            </w:r>
          </w:p>
        </w:tc>
      </w:tr>
      <w:tr>
        <w:trPr>
          <w:trHeight w:val="287"/>
        </w:trPr>
        <w:tc>
          <w:tcPr>
            <w:tcW w:w="92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67</w:t>
            </w:r>
          </w:p>
        </w:tc>
      </w:tr>
      <w:tr>
        <w:trPr>
          <w:trHeight w:val="313"/>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5"/>
              </w:rPr>
              <w:t>Item 12.</w:t>
            </w:r>
          </w:p>
        </w:tc>
        <w:tc>
          <w:tcPr>
            <w:tcW w:w="80" w:type="dxa"/>
            <w:vAlign w:val="bottom"/>
          </w:tcPr>
          <w:p>
            <w:pPr>
              <w:spacing w:after="0"/>
              <w:rPr>
                <w:sz w:val="24"/>
                <w:szCs w:val="24"/>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Shareholder Matters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r>
      <w:tr>
        <w:trPr>
          <w:trHeight w:val="287"/>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5"/>
              </w:rPr>
              <w:t>Item 13.</w:t>
            </w:r>
          </w:p>
        </w:tc>
        <w:tc>
          <w:tcPr>
            <w:tcW w:w="80" w:type="dxa"/>
            <w:vAlign w:val="bottom"/>
          </w:tcPr>
          <w:p>
            <w:pPr>
              <w:spacing w:after="0"/>
              <w:rPr>
                <w:sz w:val="24"/>
                <w:szCs w:val="24"/>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r>
      <w:tr>
        <w:trPr>
          <w:trHeight w:val="313"/>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5"/>
              </w:rPr>
              <w:t>Item 14.</w:t>
            </w:r>
          </w:p>
        </w:tc>
        <w:tc>
          <w:tcPr>
            <w:tcW w:w="80" w:type="dxa"/>
            <w:vAlign w:val="bottom"/>
          </w:tcPr>
          <w:p>
            <w:pPr>
              <w:spacing w:after="0"/>
              <w:rPr>
                <w:sz w:val="24"/>
                <w:szCs w:val="24"/>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r>
      <w:tr>
        <w:trPr>
          <w:trHeight w:val="28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PART IV</w:t>
            </w:r>
          </w:p>
        </w:tc>
        <w:tc>
          <w:tcPr>
            <w:tcW w:w="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69</w:t>
            </w:r>
          </w:p>
        </w:tc>
      </w:tr>
      <w:tr>
        <w:trPr>
          <w:trHeight w:val="313"/>
        </w:trPr>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5"/>
              </w:rPr>
              <w:t>Item 15.</w:t>
            </w:r>
          </w:p>
        </w:tc>
        <w:tc>
          <w:tcPr>
            <w:tcW w:w="80" w:type="dxa"/>
            <w:vAlign w:val="bottom"/>
          </w:tcPr>
          <w:p>
            <w:pPr>
              <w:spacing w:after="0"/>
              <w:rPr>
                <w:sz w:val="24"/>
                <w:szCs w:val="24"/>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69</w:t>
            </w:r>
          </w:p>
        </w:tc>
      </w:tr>
      <w:tr>
        <w:trPr>
          <w:trHeight w:val="287"/>
        </w:trPr>
        <w:tc>
          <w:tcPr>
            <w:tcW w:w="92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Item 16. Form 10-K Summary</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106</w:t>
            </w:r>
          </w:p>
        </w:tc>
      </w:tr>
      <w:tr>
        <w:trPr>
          <w:trHeight w:val="313"/>
        </w:trPr>
        <w:tc>
          <w:tcPr>
            <w:tcW w:w="9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SIGNATURES</w:t>
            </w:r>
          </w:p>
        </w:tc>
        <w:tc>
          <w:tcPr>
            <w:tcW w:w="1520" w:type="dxa"/>
            <w:vAlign w:val="bottom"/>
            <w:tcBorders>
              <w:right w:val="single" w:sz="8" w:color="DEDEDE"/>
            </w:tcBorders>
          </w:tcPr>
          <w:p>
            <w:pPr>
              <w:jc w:val="center"/>
              <w:spacing w:after="0"/>
              <w:rPr>
                <w:sz w:val="20"/>
                <w:szCs w:val="20"/>
                <w:color w:val="auto"/>
              </w:rPr>
            </w:pPr>
            <w:r>
              <w:rPr>
                <w:rFonts w:ascii="Times New Roman" w:cs="Times New Roman" w:eastAsia="Times New Roman" w:hAnsi="Times New Roman"/>
                <w:sz w:val="20"/>
                <w:szCs w:val="20"/>
                <w:color w:val="auto"/>
                <w:w w:val="99"/>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-5660390</wp:posOffset>
            </wp:positionV>
            <wp:extent cx="6883400" cy="5673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6883400" cy="5673725"/>
                    </a:xfrm>
                    <a:prstGeom prst="rect">
                      <a:avLst/>
                    </a:prstGeom>
                    <a:noFill/>
                  </pic:spPr>
                </pic:pic>
              </a:graphicData>
            </a:graphic>
          </wp:anchor>
        </w:drawing>
      </w:r>
    </w:p>
    <w:p>
      <w:pPr>
        <w:sectPr>
          <w:pgSz w:w="12240" w:h="15840" w:orient="portrait"/>
          <w:cols w:equalWidth="0" w:num="1">
            <w:col w:w="10740"/>
          </w:cols>
          <w:pgMar w:left="780" w:top="101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740"/>
          </w:cols>
          <w:pgMar w:left="780" w:top="1011" w:right="720" w:bottom="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5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This Annual Report on Form 10-K (this "Annual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Annual Report, including in the section entitled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w:t>
      </w:r>
    </w:p>
    <w:p>
      <w:pPr>
        <w:spacing w:after="0" w:line="21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The forward-looking statements contained in this Annual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the section entitled "Risk Factors" in this Annual Report, as such risk factors may be updated from time to time in our periodic filings with the Securities and Exchange Commission, or SEC, and are accessible on the SEC's website at www.sec.gov.</w:t>
      </w:r>
    </w:p>
    <w:p>
      <w:pPr>
        <w:spacing w:after="0" w:line="20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Any forward-looking statement made by us in this Annual Report speaks only as of the date of this Annual Report and are expressly qualified in their entirety by the cautionary statements included in this Annual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00" w:lineRule="exact"/>
        <w:rPr>
          <w:sz w:val="20"/>
          <w:szCs w:val="20"/>
          <w:color w:val="auto"/>
        </w:rPr>
      </w:pPr>
    </w:p>
    <w:p>
      <w:pPr>
        <w:spacing w:after="0" w:line="237" w:lineRule="exact"/>
        <w:rPr>
          <w:sz w:val="20"/>
          <w:szCs w:val="20"/>
          <w:color w:val="auto"/>
        </w:rPr>
      </w:pPr>
    </w:p>
    <w:p>
      <w:pPr>
        <w:jc w:val="both"/>
        <w:ind w:firstLine="270"/>
        <w:spacing w:after="0" w:line="246" w:lineRule="auto"/>
        <w:rPr>
          <w:sz w:val="20"/>
          <w:szCs w:val="20"/>
          <w:color w:val="auto"/>
        </w:rPr>
      </w:pPr>
      <w:r>
        <w:rPr>
          <w:rFonts w:ascii="Times New Roman" w:cs="Times New Roman" w:eastAsia="Times New Roman" w:hAnsi="Times New Roman"/>
          <w:sz w:val="20"/>
          <w:szCs w:val="20"/>
          <w:color w:val="auto"/>
        </w:rPr>
        <w:t>All references to "Academy", "we", "us," "our" or the "Company" in this Annual Report and the accompanying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w:t>
      </w:r>
    </w:p>
    <w:p>
      <w:pPr>
        <w:spacing w:after="0" w:line="146"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0"/>
          <w:szCs w:val="20"/>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“2021,” “2022,” and “2023” relate to our fiscal years ended January 29, 2022, January 28, 2023, and February 3, 2024, respectively, unless the context requires otherwise.</w:t>
      </w:r>
    </w:p>
    <w:p>
      <w:pPr>
        <w:spacing w:after="0" w:line="19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0"/>
          <w:szCs w:val="20"/>
          <w:color w:val="auto"/>
        </w:rPr>
        <w:t>Numerical figures included in this Annual Report have been subject to rounding adjustments. Accordingly, numerical figures shown as totals in various tables may not be arithmetic aggregations of the figures that precede them.</w:t>
      </w:r>
    </w:p>
    <w:p>
      <w:pPr>
        <w:sectPr>
          <w:pgSz w:w="12240" w:h="15840" w:orient="portrait"/>
          <w:cols w:equalWidth="0" w:num="1">
            <w:col w:w="10700"/>
          </w:cols>
          <w:pgMar w:left="820" w:top="101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700"/>
          </w:cols>
          <w:pgMar w:left="820" w:top="1011" w:right="720" w:bottom="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7"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20"/>
          <w:szCs w:val="20"/>
          <w:color w:val="auto"/>
        </w:rPr>
        <w:t>Investing in our securities involves a high degree of risk. The following is a summary of the principal factors that make an investment in our securities speculative or risky, all of which are more fully described below in the section entitled “Risk Factors.” In addition to the following summary, you should consider the information set forth in the “Risk Factors” section and the other information contained in this Annual Report before investing in our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and Industry</w:t>
      </w:r>
    </w:p>
    <w:p>
      <w:pPr>
        <w:spacing w:after="0" w:line="36" w:lineRule="exact"/>
        <w:rPr>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decline in the health of the economy and consumer discretionary spending;</w:t>
      </w:r>
    </w:p>
    <w:p>
      <w:pPr>
        <w:spacing w:after="0" w:line="13"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predict or effectively react to changes in consumer tastes and preferences, to acquire and sell brand name merchandise at competitive prices and/or to manage our inventory balances;</w:t>
      </w: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our reliance on internationally manufactured merchandise;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safeguard sensitive or confidential data relating to us and our customers, team members and vendors;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intense competition in the sporting goods and outdoor recreation retail industries;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operate, update or implement our information systems;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disruptions in our supply chain and losses of merchandise purchasing incentives;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harm to our reputation;</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of our third-party vendors of outsourced business services and solutions;</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continue our store growth plans or manage our growth effectively, or any failure of our new stores to generate sales and/or achieve profitability;</w:t>
      </w: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our e-commerce business;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private label brand merchandise;</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disruption in the operation of our distribution centers;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and seasonal fluctuations in our operating results;</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severe weather events, catastrophic health events, natural or man-made disasters, social and political conditions or civil unrest;</w:t>
      </w:r>
    </w:p>
    <w:p>
      <w:pPr>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attract, train and retain quality team members in sufficient numbers, increases in wage and labor costs, and changes in laws and other labor issues;</w:t>
      </w: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key personnel;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geographic concentration of our stores;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merchandise (including raw materials) costs and availability;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payment-related risks;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marketing and advertising programs;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against inventory shrink;</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pursue strategic acquisitions and integrate acquired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and Regulatory Risks</w:t>
      </w:r>
    </w:p>
    <w:p>
      <w:pPr>
        <w:spacing w:after="0" w:line="36" w:lineRule="exact"/>
        <w:rPr>
          <w:sz w:val="20"/>
          <w:szCs w:val="20"/>
          <w:color w:val="auto"/>
        </w:rPr>
      </w:pPr>
    </w:p>
    <w:p>
      <w:pPr>
        <w:ind w:left="720" w:hanging="370"/>
        <w:spacing w:after="0" w:line="252" w:lineRule="auto"/>
        <w:tabs>
          <w:tab w:leader="none" w:pos="72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our ability to comply with laws and regulations affecting our business, including those relating to the sale, manufacture and import of consumer products;</w:t>
      </w: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climate change and other sustainability-related matters;</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demands and lawsuits to which we are, and may in the future, be subject and the risk that our insurance or indemnities coverage may not be sufficient;</w:t>
      </w: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product safety;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intellectual property and avoid the infringement of third-party intellectual property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Indebtedness</w:t>
      </w:r>
    </w:p>
    <w:p>
      <w:pPr>
        <w:spacing w:after="0" w:line="36" w:lineRule="exact"/>
        <w:rPr>
          <w:sz w:val="20"/>
          <w:szCs w:val="20"/>
          <w:color w:val="auto"/>
        </w:rPr>
      </w:pPr>
    </w:p>
    <w:p>
      <w:pPr>
        <w:ind w:left="720" w:hanging="370"/>
        <w:spacing w:after="0" w:line="252"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level of indebtedness and related debt service payments and our ability to generate sufficient cash flow to satisfy all of our obligations under our indebtedness;</w:t>
      </w: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incur substantially more debt;</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variable rate indebtedness subjects us to interest rate risk;</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our current and future operations imposed by the terms of our indebtedness;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borrow under the ABL Facility (as defined below);</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level of indebtedness may hinder our ability to negotiate favorable terms with our vendors.</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700"/>
          </w:cols>
          <w:pgMar w:left="820" w:top="1251" w:right="72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the Ownership of Our Common Stock</w:t>
      </w:r>
    </w:p>
    <w:p>
      <w:pPr>
        <w:spacing w:after="0" w:line="36" w:lineRule="exact"/>
        <w:rPr>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 price is volatile or may decline;</w:t>
      </w:r>
    </w:p>
    <w:p>
      <w:pPr>
        <w:spacing w:after="0" w:line="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or decision to pay dividends on our common stock or conduct stock repurchases;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anti-takeover provisions in our organizational documents could delay or prevent a change of control;</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exclusive forum provision; and</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be diluted by any future issuances of shares by us.</w:t>
      </w:r>
    </w:p>
    <w:p>
      <w:pPr>
        <w:spacing w:after="0" w:line="2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20"/>
          <w:szCs w:val="20"/>
          <w:color w:val="auto"/>
        </w:rPr>
        <w:t>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our forward-looking statements.</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700"/>
          </w:cols>
          <w:pgMar w:left="820" w:top="1009" w:right="720" w:bottom="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together with our financial statements and related notes included elsewhere in this Annual Report for the fiscal year ended February 3, 2024. 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We Are</w:t>
      </w:r>
    </w:p>
    <w:p>
      <w:pPr>
        <w:spacing w:after="0" w:line="19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Academy Sports + Outdoors is a leading full-line sporting goods and outdoor recreation retailer in the United States. Originally founded in 1938 as a family business in Texas, we now operate 282 stores across 18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28%, 28%, 24% and 20% of our 2023 net sales, respectively) through both leading national brands and a portfolio of 19 private label brands, which go well beyond traditional sporting goods and apparel offerings.</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believe the following attributes differentiate us from our competitors:</w:t>
      </w:r>
    </w:p>
    <w:p>
      <w:pPr>
        <w:spacing w:after="0" w:line="130" w:lineRule="exact"/>
        <w:rPr>
          <w:sz w:val="20"/>
          <w:szCs w:val="20"/>
          <w:color w:val="auto"/>
        </w:rPr>
      </w:pPr>
    </w:p>
    <w:p>
      <w:pPr>
        <w:ind w:left="1080" w:hanging="37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 assortment that extends beyond sporting goods and apparel to outdoor recreation and is localized for individual stores.</w:t>
      </w:r>
    </w:p>
    <w:p>
      <w:pPr>
        <w:spacing w:after="0" w:line="61"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Emerging, growing and profitable omnichannel strategy that leverages our buy-online-pickup-in-store program ("BOPIS") and shipping fulfillment capabilities.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Strong customer loyalty, with opportunities to increase penetration in existing markets.</w:t>
      </w:r>
    </w:p>
    <w:p>
      <w:pPr>
        <w:spacing w:after="0" w:line="130" w:lineRule="exact"/>
        <w:rPr>
          <w:rFonts w:ascii="Times New Roman" w:cs="Times New Roman" w:eastAsia="Times New Roman" w:hAnsi="Times New Roman"/>
          <w:sz w:val="20"/>
          <w:szCs w:val="20"/>
          <w:color w:val="auto"/>
        </w:rPr>
      </w:pPr>
    </w:p>
    <w:p>
      <w:pPr>
        <w:ind w:left="1080" w:hanging="370"/>
        <w:spacing w:after="0" w:line="281"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Regional focus in the southern United States with a growing presence in some of the fastest-growing Metropolitan Statistical Areas (or "MSAs").</w:t>
      </w:r>
    </w:p>
    <w:p>
      <w:pPr>
        <w:spacing w:after="0" w:line="6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Core customers comprising active families that we support with one-stop shop convenience.</w:t>
      </w:r>
    </w:p>
    <w:p>
      <w:pPr>
        <w:spacing w:after="0" w:line="13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whitespace opportunity for new stores for both existing and adjacent geographies and new markets.</w:t>
      </w:r>
    </w:p>
    <w:p>
      <w:pPr>
        <w:spacing w:after="0" w:line="25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appeals to customers from beginners to experts, including families and casual participants.</w:t>
      </w:r>
    </w:p>
    <w:p>
      <w:pPr>
        <w:spacing w:after="0" w:line="20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access to national brand and private label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2023 merchandise sales was comprised of national brand products, with the remainder coming from exclusive products in our portfolio of private label brands. No single brand we carry accounted for more than 12% of our 2023 sales.</w:t>
      </w:r>
    </w:p>
    <w:p>
      <w:pPr>
        <w:spacing w:after="0" w:line="20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endeavor to offer products for customers of all ages, incomes and aspirations across sporting and outdoor recreation activities, seasons and experience levels. As such, we have a balanced, year-round business and a large customer base. Our average customer visits our stores anywhere from two to three times per year.</w:t>
      </w:r>
    </w:p>
    <w:p>
      <w:pPr>
        <w:sectPr>
          <w:pgSz w:w="12240" w:h="15840" w:orient="portrait"/>
          <w:cols w:equalWidth="0" w:num="1">
            <w:col w:w="10700"/>
          </w:cols>
          <w:pgMar w:left="820" w:top="101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700"/>
          </w:cols>
          <w:pgMar w:left="820" w:top="1011" w:right="72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Our Industry</w:t>
      </w:r>
    </w:p>
    <w:p>
      <w:pPr>
        <w:spacing w:after="0" w:line="19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The retail business is highly competitive based on many variables including price, product assortment, customer service, omnichannel experience and store locations.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retail sporting goods and outdoor recreation retail industry comprises six principal categories of retailers:</w:t>
      </w:r>
    </w:p>
    <w:p>
      <w:pPr>
        <w:spacing w:after="0" w:line="126" w:lineRule="exact"/>
        <w:rPr>
          <w:sz w:val="20"/>
          <w:szCs w:val="20"/>
          <w:color w:val="auto"/>
        </w:rPr>
      </w:pPr>
    </w:p>
    <w:p>
      <w:pPr>
        <w:jc w:val="both"/>
        <w:ind w:left="720" w:hanging="370"/>
        <w:spacing w:after="0" w:line="268"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Mass general merchants </w:t>
      </w:r>
      <w:r>
        <w:rPr>
          <w:rFonts w:ascii="Times New Roman" w:cs="Times New Roman" w:eastAsia="Times New Roman" w:hAnsi="Times New Roman"/>
          <w:sz w:val="20"/>
          <w:szCs w:val="20"/>
          <w:color w:val="auto"/>
        </w:rPr>
        <w:t>(examples: Walmart, Kohl’s and Target) generally range in size from 50,000 to over 200,000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square feet and are typically located in shopping centers, free-standing sites or regional malls. Sporting goods merchandise and apparel and outdoor recreation products may represent a small portion of the total merchandise in these stores.</w:t>
      </w:r>
    </w:p>
    <w:p>
      <w:pPr>
        <w:spacing w:after="0" w:line="69" w:lineRule="exact"/>
        <w:rPr>
          <w:rFonts w:ascii="Times New Roman" w:cs="Times New Roman" w:eastAsia="Times New Roman" w:hAnsi="Times New Roman"/>
          <w:sz w:val="20"/>
          <w:szCs w:val="20"/>
          <w:color w:val="auto"/>
        </w:rPr>
      </w:pPr>
    </w:p>
    <w:p>
      <w:pPr>
        <w:ind w:left="720" w:hanging="370"/>
        <w:spacing w:after="0" w:line="285"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Large format sporting goods stores </w:t>
      </w:r>
      <w:r>
        <w:rPr>
          <w:rFonts w:ascii="Times New Roman" w:cs="Times New Roman" w:eastAsia="Times New Roman" w:hAnsi="Times New Roman"/>
          <w:sz w:val="20"/>
          <w:szCs w:val="20"/>
          <w:color w:val="auto"/>
        </w:rPr>
        <w:t>(examples: Dick’s Sporting Goods and Scheels) generally range in size from 20,000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 100,000 square feet and offer a broad selection of sporting goods and outdoor recreation merchandise.</w:t>
      </w:r>
    </w:p>
    <w:p>
      <w:pPr>
        <w:spacing w:after="0" w:line="53" w:lineRule="exact"/>
        <w:rPr>
          <w:rFonts w:ascii="Times New Roman" w:cs="Times New Roman" w:eastAsia="Times New Roman" w:hAnsi="Times New Roman"/>
          <w:sz w:val="20"/>
          <w:szCs w:val="20"/>
          <w:color w:val="auto"/>
        </w:rPr>
      </w:pPr>
    </w:p>
    <w:p>
      <w:pPr>
        <w:jc w:val="both"/>
        <w:ind w:left="720" w:hanging="370"/>
        <w:spacing w:after="0" w:line="268"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Traditional sporting goods stores </w:t>
      </w:r>
      <w:r>
        <w:rPr>
          <w:rFonts w:ascii="Times New Roman" w:cs="Times New Roman" w:eastAsia="Times New Roman" w:hAnsi="Times New Roman"/>
          <w:sz w:val="20"/>
          <w:szCs w:val="20"/>
          <w:color w:val="auto"/>
        </w:rPr>
        <w:t>(examples: Hibbett Sports and Big 5 Sporting Goods) generally range in size from 5,000</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20,000 square feet and are frequently located in regional malls and shopping centers and typically carry a varied assortment of primarily sporting goods merchandise.</w:t>
      </w:r>
    </w:p>
    <w:p>
      <w:pPr>
        <w:spacing w:after="0" w:line="69" w:lineRule="exact"/>
        <w:rPr>
          <w:rFonts w:ascii="Times New Roman" w:cs="Times New Roman" w:eastAsia="Times New Roman" w:hAnsi="Times New Roman"/>
          <w:sz w:val="20"/>
          <w:szCs w:val="20"/>
          <w:color w:val="auto"/>
        </w:rPr>
      </w:pPr>
    </w:p>
    <w:p>
      <w:pPr>
        <w:ind w:left="720" w:hanging="370"/>
        <w:spacing w:after="0" w:line="285"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Specialty outdoor retailers </w:t>
      </w:r>
      <w:r>
        <w:rPr>
          <w:rFonts w:ascii="Times New Roman" w:cs="Times New Roman" w:eastAsia="Times New Roman" w:hAnsi="Times New Roman"/>
          <w:sz w:val="20"/>
          <w:szCs w:val="20"/>
          <w:color w:val="auto"/>
        </w:rPr>
        <w:t>(examples: Bass Pro Shop/Cabela’s and Sportsman’s Warehouse) generally range in size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7,500 to over 100,000 square feet and typically focus on specific categories such as outdoor recreation.</w:t>
      </w:r>
    </w:p>
    <w:p>
      <w:pPr>
        <w:spacing w:after="0" w:line="53" w:lineRule="exact"/>
        <w:rPr>
          <w:rFonts w:ascii="Times New Roman" w:cs="Times New Roman" w:eastAsia="Times New Roman" w:hAnsi="Times New Roman"/>
          <w:sz w:val="20"/>
          <w:szCs w:val="20"/>
          <w:color w:val="auto"/>
        </w:rPr>
      </w:pPr>
    </w:p>
    <w:p>
      <w:pPr>
        <w:ind w:left="720" w:hanging="370"/>
        <w:spacing w:after="0" w:line="285"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Specialty footwear retailers </w:t>
      </w:r>
      <w:r>
        <w:rPr>
          <w:rFonts w:ascii="Times New Roman" w:cs="Times New Roman" w:eastAsia="Times New Roman" w:hAnsi="Times New Roman"/>
          <w:sz w:val="20"/>
          <w:szCs w:val="20"/>
          <w:color w:val="auto"/>
        </w:rPr>
        <w:t>(examples: Foot Locker, Boot Barn and The Finish Line) generally range in size from 2,000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20,000 square feet and typically focus on specific categories such as athletic footwear.</w:t>
      </w:r>
    </w:p>
    <w:p>
      <w:pPr>
        <w:spacing w:after="0" w:line="53" w:lineRule="exact"/>
        <w:rPr>
          <w:rFonts w:ascii="Times New Roman" w:cs="Times New Roman" w:eastAsia="Times New Roman" w:hAnsi="Times New Roman"/>
          <w:sz w:val="20"/>
          <w:szCs w:val="20"/>
          <w:color w:val="auto"/>
        </w:rPr>
      </w:pPr>
    </w:p>
    <w:p>
      <w:pPr>
        <w:jc w:val="both"/>
        <w:ind w:left="720" w:hanging="370"/>
        <w:spacing w:after="0" w:line="268"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Catalogue &amp; Internet retailers </w:t>
      </w:r>
      <w:r>
        <w:rPr>
          <w:rFonts w:ascii="Times New Roman" w:cs="Times New Roman" w:eastAsia="Times New Roman" w:hAnsi="Times New Roman"/>
          <w:sz w:val="20"/>
          <w:szCs w:val="20"/>
          <w:color w:val="auto"/>
        </w:rPr>
        <w:t>(examples: Amazon, eBay, and Fanatics) do not typically operate brick and mortar stores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primarily rely on delivery of goods. Sporting goods merchandise and apparel and outdoor recreation products may represent a small portion of the total merchandise on their websites.</w:t>
      </w:r>
    </w:p>
    <w:p>
      <w:pPr>
        <w:spacing w:after="0" w:line="13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Our primary competitors are large format sporting goods stores and mass general merchants that offer sporting goods, outdoor recreation products and other lifestyle and recreational merchandise.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Merchandising</w:t>
      </w:r>
    </w:p>
    <w:p>
      <w:pPr>
        <w:spacing w:after="0" w:line="25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merchandise consists of national brand products that we purchase and license from various vendors, private label brand products that we brand with our internal brands and exclusive license products that we purchase and license from vendors and carry exclusively. We have long-standing relationships with many of our suppliers and have partnered with them to grow our business over time. In 2023, we purchased merchandise from approximately 1,400 vendors. For 2023, 2022 and 2021 no vendor represented more than 11% of our total purchases.</w:t>
      </w:r>
    </w:p>
    <w:p>
      <w:pPr>
        <w:spacing w:after="0" w:line="204"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have preferred access to hundreds of well-recognized national brands, such as Nike, Under Armour, adidas, Winchester, Columbia Sportswear, Brooks, Skechers, Yeti and Carhartt, which are critical to our market penetration. These and some of our other national brands rely on us to broaden their consumer reach, which fosters a mutually beneficial relationship when it comes to pricing and assortment, and we play a critical role in delivering customer volume for these brands. Our national brand assortment spans across each brand’s price spectrum, which we complement with an assortment of our private label brands priced below the national brand price spectrum. As such, we receive favorable product allocations from leading suppliers.</w:t>
      </w:r>
    </w:p>
    <w:p>
      <w:pPr>
        <w:spacing w:after="0" w:line="20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Our private label brand portfolio consists of 19 brands, including Academy Sports + Outdoors, Magellan Outdoors, BCG, O'rageous, Game Winner, Outdoor Gourmet, Freely and R.O.W. Our private label brand strategy focuses on in-filling categories and price points that our national brand products may not satisfy. Our private label brand offerings support and complement our overall merchandising strategy due to limited price-point overlap with national brands. Additionally, our private label brands generate strong brand equity and drive significant customer loyalty. Approximately 55% of our customers purchased a private label brand from us in 2023.</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700"/>
          </w:cols>
          <w:pgMar w:left="820" w:top="1251" w:right="720" w:bottom="0" w:gutter="0" w:footer="0" w:header="0"/>
          <w:type w:val="continuous"/>
        </w:sectPr>
      </w:pPr>
    </w:p>
    <w:bookmarkStart w:id="13" w:name="page14"/>
    <w:bookmarkEnd w:id="13"/>
    <w:p>
      <w:pPr>
        <w:ind w:left="360"/>
        <w:spacing w:after="0"/>
        <w:rPr>
          <w:sz w:val="20"/>
          <w:szCs w:val="20"/>
          <w:color w:val="auto"/>
        </w:rPr>
      </w:pPr>
      <w:r>
        <w:rPr>
          <w:rFonts w:ascii="Times New Roman" w:cs="Times New Roman" w:eastAsia="Times New Roman" w:hAnsi="Times New Roman"/>
          <w:sz w:val="20"/>
          <w:szCs w:val="20"/>
          <w:color w:val="auto"/>
        </w:rPr>
        <w:t>As of February 3, 2024, we generally organized our merchandise in four divisions made up of sixteen categories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Division</w:t>
            </w:r>
          </w:p>
        </w:tc>
        <w:tc>
          <w:tcPr>
            <w:tcW w:w="2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Category</w:t>
            </w:r>
          </w:p>
        </w:tc>
        <w:tc>
          <w:tcPr>
            <w:tcW w:w="6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Primary product types</w:t>
            </w:r>
          </w:p>
        </w:tc>
      </w:tr>
      <w:tr>
        <w:trPr>
          <w:trHeight w:val="95"/>
        </w:trPr>
        <w:tc>
          <w:tcPr>
            <w:tcW w:w="19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20" w:type="dxa"/>
            <w:vAlign w:val="bottom"/>
          </w:tcPr>
          <w:p>
            <w:pPr>
              <w:spacing w:after="0"/>
              <w:rPr>
                <w:sz w:val="8"/>
                <w:szCs w:val="8"/>
                <w:color w:val="auto"/>
              </w:rPr>
            </w:pPr>
          </w:p>
        </w:tc>
      </w:tr>
      <w:tr>
        <w:trPr>
          <w:trHeight w:val="274"/>
        </w:trPr>
        <w:tc>
          <w:tcPr>
            <w:tcW w:w="1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Outdoors</w:t>
            </w: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Camping</w:t>
            </w:r>
          </w:p>
        </w:tc>
        <w:tc>
          <w:tcPr>
            <w:tcW w:w="6620" w:type="dxa"/>
            <w:vAlign w:val="bottom"/>
            <w:tcBorders>
              <w:right w:val="single" w:sz="8" w:color="DEDEDE"/>
            </w:tcBorders>
          </w:tcPr>
          <w:p>
            <w:pPr>
              <w:ind w:left="200"/>
              <w:spacing w:after="0"/>
              <w:rPr>
                <w:sz w:val="20"/>
                <w:szCs w:val="20"/>
                <w:color w:val="auto"/>
              </w:rPr>
            </w:pPr>
            <w:r>
              <w:rPr>
                <w:rFonts w:ascii="Times New Roman" w:cs="Times New Roman" w:eastAsia="Times New Roman" w:hAnsi="Times New Roman"/>
                <w:sz w:val="20"/>
                <w:szCs w:val="20"/>
                <w:color w:val="auto"/>
              </w:rPr>
              <w:t>Coolers and drinkware, camping accessories and camping equipment</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Borders>
              <w:right w:val="single" w:sz="8" w:color="DEDEDE"/>
            </w:tcBorders>
          </w:tcPr>
          <w:p>
            <w:pPr>
              <w:spacing w:after="0"/>
              <w:rPr>
                <w:sz w:val="19"/>
                <w:szCs w:val="19"/>
                <w:color w:val="auto"/>
              </w:rPr>
            </w:pPr>
          </w:p>
        </w:tc>
      </w:tr>
      <w:tr>
        <w:trPr>
          <w:trHeight w:val="274"/>
        </w:trPr>
        <w:tc>
          <w:tcPr>
            <w:tcW w:w="1980" w:type="dxa"/>
            <w:vAlign w:val="bottom"/>
          </w:tcPr>
          <w:p>
            <w:pPr>
              <w:spacing w:after="0"/>
              <w:rPr>
                <w:sz w:val="23"/>
                <w:szCs w:val="23"/>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Fishing</w:t>
            </w:r>
          </w:p>
        </w:tc>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Marine equipment and fishing rods, reels, baits and equipment</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237"/>
        </w:trPr>
        <w:tc>
          <w:tcPr>
            <w:tcW w:w="1980" w:type="dxa"/>
            <w:vAlign w:val="bottom"/>
          </w:tcPr>
          <w:p>
            <w:pPr>
              <w:spacing w:after="0"/>
              <w:rPr>
                <w:sz w:val="20"/>
                <w:szCs w:val="20"/>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Hunting</w:t>
            </w:r>
          </w:p>
        </w:tc>
        <w:tc>
          <w:tcPr>
            <w:tcW w:w="6620" w:type="dxa"/>
            <w:vAlign w:val="bottom"/>
            <w:tcBorders>
              <w:right w:val="single" w:sz="8" w:color="DEDEDE"/>
            </w:tcBorders>
          </w:tcPr>
          <w:p>
            <w:pPr>
              <w:ind w:left="200"/>
              <w:spacing w:after="0"/>
              <w:rPr>
                <w:sz w:val="20"/>
                <w:szCs w:val="20"/>
                <w:color w:val="auto"/>
              </w:rPr>
            </w:pPr>
            <w:r>
              <w:rPr>
                <w:rFonts w:ascii="Times New Roman" w:cs="Times New Roman" w:eastAsia="Times New Roman" w:hAnsi="Times New Roman"/>
                <w:sz w:val="20"/>
                <w:szCs w:val="20"/>
                <w:color w:val="auto"/>
              </w:rPr>
              <w:t>Firearms, ammunition, archery and archery equipment, camouflage apparel,</w:t>
            </w:r>
          </w:p>
        </w:tc>
      </w:tr>
      <w:tr>
        <w:trPr>
          <w:trHeight w:val="258"/>
        </w:trPr>
        <w:tc>
          <w:tcPr>
            <w:tcW w:w="19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20" w:type="dxa"/>
            <w:vAlign w:val="bottom"/>
            <w:tcBorders>
              <w:right w:val="single" w:sz="8" w:color="DEDEDE"/>
            </w:tcBorders>
          </w:tcPr>
          <w:p>
            <w:pPr>
              <w:ind w:left="200"/>
              <w:spacing w:after="0"/>
              <w:rPr>
                <w:sz w:val="20"/>
                <w:szCs w:val="20"/>
                <w:color w:val="auto"/>
              </w:rPr>
            </w:pPr>
            <w:r>
              <w:rPr>
                <w:rFonts w:ascii="Times New Roman" w:cs="Times New Roman" w:eastAsia="Times New Roman" w:hAnsi="Times New Roman"/>
                <w:sz w:val="20"/>
                <w:szCs w:val="20"/>
                <w:color w:val="auto"/>
              </w:rPr>
              <w:t>waders, shooting accessories, gun safes, optics, airguns and hunting equipment</w:t>
            </w:r>
          </w:p>
        </w:tc>
      </w:tr>
      <w:tr>
        <w:trPr>
          <w:trHeight w:val="105"/>
        </w:trPr>
        <w:tc>
          <w:tcPr>
            <w:tcW w:w="1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620" w:type="dxa"/>
            <w:vAlign w:val="bottom"/>
          </w:tcPr>
          <w:p>
            <w:pPr>
              <w:spacing w:after="0"/>
              <w:rPr>
                <w:sz w:val="9"/>
                <w:szCs w:val="9"/>
                <w:color w:val="auto"/>
              </w:rPr>
            </w:pPr>
          </w:p>
        </w:tc>
      </w:tr>
      <w:tr>
        <w:trPr>
          <w:trHeight w:val="274"/>
        </w:trPr>
        <w:tc>
          <w:tcPr>
            <w:tcW w:w="1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Sports and Recreation</w:t>
            </w: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Fitness</w:t>
            </w:r>
          </w:p>
        </w:tc>
        <w:tc>
          <w:tcPr>
            <w:tcW w:w="6620" w:type="dxa"/>
            <w:vAlign w:val="bottom"/>
            <w:tcBorders>
              <w:right w:val="single" w:sz="8" w:color="DEDEDE"/>
            </w:tcBorders>
          </w:tcPr>
          <w:p>
            <w:pPr>
              <w:ind w:left="200"/>
              <w:spacing w:after="0"/>
              <w:rPr>
                <w:sz w:val="20"/>
                <w:szCs w:val="20"/>
                <w:color w:val="auto"/>
              </w:rPr>
            </w:pPr>
            <w:r>
              <w:rPr>
                <w:rFonts w:ascii="Times New Roman" w:cs="Times New Roman" w:eastAsia="Times New Roman" w:hAnsi="Times New Roman"/>
                <w:sz w:val="20"/>
                <w:szCs w:val="20"/>
                <w:color w:val="auto"/>
              </w:rPr>
              <w:t>Fitness equipment, fitness accessories and nutrition supplies</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Borders>
              <w:right w:val="single" w:sz="8" w:color="DEDEDE"/>
            </w:tcBorders>
          </w:tcPr>
          <w:p>
            <w:pPr>
              <w:spacing w:after="0"/>
              <w:rPr>
                <w:sz w:val="19"/>
                <w:szCs w:val="19"/>
                <w:color w:val="auto"/>
              </w:rPr>
            </w:pPr>
          </w:p>
        </w:tc>
      </w:tr>
      <w:tr>
        <w:trPr>
          <w:trHeight w:val="214"/>
        </w:trPr>
        <w:tc>
          <w:tcPr>
            <w:tcW w:w="1980" w:type="dxa"/>
            <w:vAlign w:val="bottom"/>
          </w:tcPr>
          <w:p>
            <w:pPr>
              <w:spacing w:after="0"/>
              <w:rPr>
                <w:sz w:val="18"/>
                <w:szCs w:val="18"/>
                <w:color w:val="auto"/>
              </w:rPr>
            </w:pPr>
          </w:p>
        </w:tc>
        <w:tc>
          <w:tcPr>
            <w:tcW w:w="2120" w:type="dxa"/>
            <w:vAlign w:val="bottom"/>
          </w:tcPr>
          <w:p>
            <w:pPr>
              <w:ind w:left="200"/>
              <w:spacing w:after="0" w:line="213" w:lineRule="exact"/>
              <w:rPr>
                <w:sz w:val="20"/>
                <w:szCs w:val="20"/>
                <w:color w:val="auto"/>
              </w:rPr>
            </w:pPr>
            <w:r>
              <w:rPr>
                <w:rFonts w:ascii="Times New Roman" w:cs="Times New Roman" w:eastAsia="Times New Roman" w:hAnsi="Times New Roman"/>
                <w:sz w:val="20"/>
                <w:szCs w:val="20"/>
                <w:color w:val="auto"/>
              </w:rPr>
              <w:t>Team sports</w:t>
            </w:r>
          </w:p>
        </w:tc>
        <w:tc>
          <w:tcPr>
            <w:tcW w:w="6620" w:type="dxa"/>
            <w:vAlign w:val="bottom"/>
          </w:tcPr>
          <w:p>
            <w:pPr>
              <w:ind w:left="200"/>
              <w:spacing w:after="0" w:line="213" w:lineRule="exact"/>
              <w:rPr>
                <w:sz w:val="20"/>
                <w:szCs w:val="20"/>
                <w:color w:val="auto"/>
              </w:rPr>
            </w:pPr>
            <w:r>
              <w:rPr>
                <w:rFonts w:ascii="Times New Roman" w:cs="Times New Roman" w:eastAsia="Times New Roman" w:hAnsi="Times New Roman"/>
                <w:sz w:val="20"/>
                <w:szCs w:val="20"/>
                <w:color w:val="auto"/>
              </w:rPr>
              <w:t>Team and specialty sports equipment, including baseball, football, basketball,</w:t>
            </w:r>
          </w:p>
        </w:tc>
      </w:tr>
      <w:tr>
        <w:trPr>
          <w:trHeight w:val="260"/>
        </w:trPr>
        <w:tc>
          <w:tcPr>
            <w:tcW w:w="19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soccer, golf, racket sports, and volleyball, and backpacks and sports bags</w:t>
            </w:r>
          </w:p>
        </w:tc>
      </w:tr>
      <w:tr>
        <w:trPr>
          <w:trHeight w:val="21"/>
        </w:trPr>
        <w:tc>
          <w:tcPr>
            <w:tcW w:w="1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14"/>
        </w:trPr>
        <w:tc>
          <w:tcPr>
            <w:tcW w:w="1980" w:type="dxa"/>
            <w:vAlign w:val="bottom"/>
          </w:tcPr>
          <w:p>
            <w:pPr>
              <w:spacing w:after="0"/>
              <w:rPr>
                <w:sz w:val="18"/>
                <w:szCs w:val="18"/>
                <w:color w:val="auto"/>
              </w:rPr>
            </w:pPr>
          </w:p>
        </w:tc>
        <w:tc>
          <w:tcPr>
            <w:tcW w:w="2120" w:type="dxa"/>
            <w:vAlign w:val="bottom"/>
          </w:tcPr>
          <w:p>
            <w:pPr>
              <w:ind w:left="200"/>
              <w:spacing w:after="0" w:line="213" w:lineRule="exact"/>
              <w:rPr>
                <w:sz w:val="20"/>
                <w:szCs w:val="20"/>
                <w:color w:val="auto"/>
              </w:rPr>
            </w:pPr>
            <w:r>
              <w:rPr>
                <w:rFonts w:ascii="Times New Roman" w:cs="Times New Roman" w:eastAsia="Times New Roman" w:hAnsi="Times New Roman"/>
                <w:sz w:val="20"/>
                <w:szCs w:val="20"/>
                <w:color w:val="auto"/>
              </w:rPr>
              <w:t>Recreation</w:t>
            </w:r>
          </w:p>
        </w:tc>
        <w:tc>
          <w:tcPr>
            <w:tcW w:w="6620" w:type="dxa"/>
            <w:vAlign w:val="bottom"/>
            <w:tcBorders>
              <w:right w:val="single" w:sz="8" w:color="DEDEDE"/>
            </w:tcBorders>
          </w:tcPr>
          <w:p>
            <w:pPr>
              <w:ind w:left="200"/>
              <w:spacing w:after="0" w:line="213" w:lineRule="exact"/>
              <w:rPr>
                <w:sz w:val="20"/>
                <w:szCs w:val="20"/>
                <w:color w:val="auto"/>
              </w:rPr>
            </w:pPr>
            <w:r>
              <w:rPr>
                <w:rFonts w:ascii="Times New Roman" w:cs="Times New Roman" w:eastAsia="Times New Roman" w:hAnsi="Times New Roman"/>
                <w:sz w:val="20"/>
                <w:szCs w:val="20"/>
                <w:color w:val="auto"/>
              </w:rPr>
              <w:t>Patio furniture, outdoor cooking, wheeled goods (bicycles, skateboards and</w:t>
            </w:r>
          </w:p>
        </w:tc>
      </w:tr>
      <w:tr>
        <w:trPr>
          <w:trHeight w:val="281"/>
        </w:trPr>
        <w:tc>
          <w:tcPr>
            <w:tcW w:w="1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20" w:type="dxa"/>
            <w:vAlign w:val="bottom"/>
            <w:tcBorders>
              <w:right w:val="single" w:sz="8" w:color="DEDEDE"/>
            </w:tcBorders>
          </w:tcPr>
          <w:p>
            <w:pPr>
              <w:ind w:left="200"/>
              <w:spacing w:after="0"/>
              <w:rPr>
                <w:sz w:val="20"/>
                <w:szCs w:val="20"/>
                <w:color w:val="auto"/>
              </w:rPr>
            </w:pPr>
            <w:r>
              <w:rPr>
                <w:rFonts w:ascii="Times New Roman" w:cs="Times New Roman" w:eastAsia="Times New Roman" w:hAnsi="Times New Roman"/>
                <w:sz w:val="20"/>
                <w:szCs w:val="20"/>
                <w:color w:val="auto"/>
              </w:rPr>
              <w:t>other ride-on toys), trampolines, play sets, watersports and pet equipment</w:t>
            </w:r>
          </w:p>
        </w:tc>
      </w:tr>
      <w:tr>
        <w:trPr>
          <w:trHeight w:val="274"/>
        </w:trPr>
        <w:tc>
          <w:tcPr>
            <w:tcW w:w="1980" w:type="dxa"/>
            <w:vAlign w:val="bottom"/>
          </w:tcPr>
          <w:p>
            <w:pPr>
              <w:spacing w:after="0"/>
              <w:rPr>
                <w:sz w:val="23"/>
                <w:szCs w:val="23"/>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Front end</w:t>
            </w:r>
          </w:p>
        </w:tc>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Electronics, watches, sunglasses and front-end (consumables, batteries, etc.)</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105"/>
        </w:trPr>
        <w:tc>
          <w:tcPr>
            <w:tcW w:w="1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620" w:type="dxa"/>
            <w:vAlign w:val="bottom"/>
            <w:tcBorders>
              <w:right w:val="single" w:sz="8" w:color="DEDEDE"/>
            </w:tcBorders>
          </w:tcPr>
          <w:p>
            <w:pPr>
              <w:spacing w:after="0"/>
              <w:rPr>
                <w:sz w:val="9"/>
                <w:szCs w:val="9"/>
                <w:color w:val="auto"/>
              </w:rPr>
            </w:pPr>
          </w:p>
        </w:tc>
      </w:tr>
      <w:tr>
        <w:trPr>
          <w:trHeight w:val="214"/>
        </w:trPr>
        <w:tc>
          <w:tcPr>
            <w:tcW w:w="198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Apparel</w:t>
            </w:r>
          </w:p>
        </w:tc>
        <w:tc>
          <w:tcPr>
            <w:tcW w:w="2120" w:type="dxa"/>
            <w:vAlign w:val="bottom"/>
          </w:tcPr>
          <w:p>
            <w:pPr>
              <w:ind w:left="200"/>
              <w:spacing w:after="0" w:line="213" w:lineRule="exact"/>
              <w:rPr>
                <w:sz w:val="20"/>
                <w:szCs w:val="20"/>
                <w:color w:val="auto"/>
              </w:rPr>
            </w:pPr>
            <w:r>
              <w:rPr>
                <w:rFonts w:ascii="Times New Roman" w:cs="Times New Roman" w:eastAsia="Times New Roman" w:hAnsi="Times New Roman"/>
                <w:sz w:val="20"/>
                <w:szCs w:val="20"/>
                <w:color w:val="auto"/>
              </w:rPr>
              <w:t>Outdoor and seasonal</w:t>
            </w:r>
          </w:p>
        </w:tc>
        <w:tc>
          <w:tcPr>
            <w:tcW w:w="6620" w:type="dxa"/>
            <w:vAlign w:val="bottom"/>
          </w:tcPr>
          <w:p>
            <w:pPr>
              <w:ind w:left="200"/>
              <w:spacing w:after="0" w:line="213" w:lineRule="exact"/>
              <w:rPr>
                <w:sz w:val="20"/>
                <w:szCs w:val="20"/>
                <w:color w:val="auto"/>
              </w:rPr>
            </w:pPr>
            <w:r>
              <w:rPr>
                <w:rFonts w:ascii="Times New Roman" w:cs="Times New Roman" w:eastAsia="Times New Roman" w:hAnsi="Times New Roman"/>
                <w:sz w:val="20"/>
                <w:szCs w:val="20"/>
                <w:color w:val="auto"/>
              </w:rPr>
              <w:t>Outdoor apparel, seasonal apparel, denim, work apparel, graphic t-shirts and</w:t>
            </w:r>
          </w:p>
        </w:tc>
      </w:tr>
      <w:tr>
        <w:trPr>
          <w:trHeight w:val="260"/>
        </w:trPr>
        <w:tc>
          <w:tcPr>
            <w:tcW w:w="1980" w:type="dxa"/>
            <w:vAlign w:val="bottom"/>
          </w:tcPr>
          <w:p>
            <w:pPr>
              <w:spacing w:after="0"/>
              <w:rPr>
                <w:sz w:val="22"/>
                <w:szCs w:val="22"/>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apparel</w:t>
            </w:r>
          </w:p>
        </w:tc>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accessories</w:t>
            </w:r>
          </w:p>
        </w:tc>
      </w:tr>
      <w:tr>
        <w:trPr>
          <w:trHeight w:val="21"/>
        </w:trPr>
        <w:tc>
          <w:tcPr>
            <w:tcW w:w="1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74"/>
        </w:trPr>
        <w:tc>
          <w:tcPr>
            <w:tcW w:w="1980" w:type="dxa"/>
            <w:vAlign w:val="bottom"/>
          </w:tcPr>
          <w:p>
            <w:pPr>
              <w:spacing w:after="0"/>
              <w:rPr>
                <w:sz w:val="23"/>
                <w:szCs w:val="23"/>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Youth apparel</w:t>
            </w:r>
          </w:p>
        </w:tc>
        <w:tc>
          <w:tcPr>
            <w:tcW w:w="6620" w:type="dxa"/>
            <w:vAlign w:val="bottom"/>
            <w:tcBorders>
              <w:right w:val="single" w:sz="8" w:color="DEDEDE"/>
            </w:tcBorders>
          </w:tcPr>
          <w:p>
            <w:pPr>
              <w:ind w:left="200"/>
              <w:spacing w:after="0"/>
              <w:rPr>
                <w:sz w:val="20"/>
                <w:szCs w:val="20"/>
                <w:color w:val="auto"/>
              </w:rPr>
            </w:pPr>
            <w:r>
              <w:rPr>
                <w:rFonts w:ascii="Times New Roman" w:cs="Times New Roman" w:eastAsia="Times New Roman" w:hAnsi="Times New Roman"/>
                <w:sz w:val="20"/>
                <w:szCs w:val="20"/>
                <w:color w:val="auto"/>
              </w:rPr>
              <w:t>Boys and girls outdoor and athletic apparel</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Borders>
              <w:right w:val="single" w:sz="8" w:color="DEDEDE"/>
            </w:tcBorders>
          </w:tcPr>
          <w:p>
            <w:pPr>
              <w:spacing w:after="0"/>
              <w:rPr>
                <w:sz w:val="19"/>
                <w:szCs w:val="19"/>
                <w:color w:val="auto"/>
              </w:rPr>
            </w:pPr>
          </w:p>
        </w:tc>
      </w:tr>
      <w:tr>
        <w:trPr>
          <w:trHeight w:val="274"/>
        </w:trPr>
        <w:tc>
          <w:tcPr>
            <w:tcW w:w="1980" w:type="dxa"/>
            <w:vAlign w:val="bottom"/>
          </w:tcPr>
          <w:p>
            <w:pPr>
              <w:spacing w:after="0"/>
              <w:rPr>
                <w:sz w:val="23"/>
                <w:szCs w:val="23"/>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Athletic apparel</w:t>
            </w:r>
          </w:p>
        </w:tc>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Sporting apparel and apparel for fitness</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274"/>
        </w:trPr>
        <w:tc>
          <w:tcPr>
            <w:tcW w:w="1980" w:type="dxa"/>
            <w:vAlign w:val="bottom"/>
          </w:tcPr>
          <w:p>
            <w:pPr>
              <w:spacing w:after="0"/>
              <w:rPr>
                <w:sz w:val="23"/>
                <w:szCs w:val="23"/>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Licensed apparel</w:t>
            </w:r>
          </w:p>
        </w:tc>
        <w:tc>
          <w:tcPr>
            <w:tcW w:w="6620" w:type="dxa"/>
            <w:vAlign w:val="bottom"/>
            <w:tcBorders>
              <w:right w:val="single" w:sz="8" w:color="DEDEDE"/>
            </w:tcBorders>
          </w:tcPr>
          <w:p>
            <w:pPr>
              <w:ind w:left="200"/>
              <w:spacing w:after="0"/>
              <w:rPr>
                <w:sz w:val="20"/>
                <w:szCs w:val="20"/>
                <w:color w:val="auto"/>
              </w:rPr>
            </w:pPr>
            <w:r>
              <w:rPr>
                <w:rFonts w:ascii="Times New Roman" w:cs="Times New Roman" w:eastAsia="Times New Roman" w:hAnsi="Times New Roman"/>
                <w:sz w:val="20"/>
                <w:szCs w:val="20"/>
                <w:color w:val="auto"/>
              </w:rPr>
              <w:t>Professional and collegiate team licensed apparel and accessories</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Borders>
              <w:right w:val="single" w:sz="8" w:color="DEDEDE"/>
            </w:tcBorders>
          </w:tcPr>
          <w:p>
            <w:pPr>
              <w:spacing w:after="0"/>
              <w:rPr>
                <w:sz w:val="19"/>
                <w:szCs w:val="19"/>
                <w:color w:val="auto"/>
              </w:rPr>
            </w:pPr>
          </w:p>
        </w:tc>
      </w:tr>
      <w:tr>
        <w:trPr>
          <w:trHeight w:val="105"/>
        </w:trPr>
        <w:tc>
          <w:tcPr>
            <w:tcW w:w="1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620" w:type="dxa"/>
            <w:vAlign w:val="bottom"/>
          </w:tcPr>
          <w:p>
            <w:pPr>
              <w:spacing w:after="0"/>
              <w:rPr>
                <w:sz w:val="9"/>
                <w:szCs w:val="9"/>
                <w:color w:val="auto"/>
              </w:rPr>
            </w:pPr>
          </w:p>
        </w:tc>
      </w:tr>
      <w:tr>
        <w:trPr>
          <w:trHeight w:val="214"/>
        </w:trPr>
        <w:tc>
          <w:tcPr>
            <w:tcW w:w="198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Footwear</w:t>
            </w:r>
          </w:p>
        </w:tc>
        <w:tc>
          <w:tcPr>
            <w:tcW w:w="2120" w:type="dxa"/>
            <w:vAlign w:val="bottom"/>
          </w:tcPr>
          <w:p>
            <w:pPr>
              <w:ind w:left="200"/>
              <w:spacing w:after="0" w:line="213" w:lineRule="exact"/>
              <w:rPr>
                <w:sz w:val="20"/>
                <w:szCs w:val="20"/>
                <w:color w:val="auto"/>
              </w:rPr>
            </w:pPr>
            <w:r>
              <w:rPr>
                <w:rFonts w:ascii="Times New Roman" w:cs="Times New Roman" w:eastAsia="Times New Roman" w:hAnsi="Times New Roman"/>
                <w:sz w:val="20"/>
                <w:szCs w:val="20"/>
                <w:color w:val="auto"/>
              </w:rPr>
              <w:t>Casual and seasonal</w:t>
            </w:r>
          </w:p>
        </w:tc>
        <w:tc>
          <w:tcPr>
            <w:tcW w:w="6620" w:type="dxa"/>
            <w:vAlign w:val="bottom"/>
            <w:tcBorders>
              <w:right w:val="single" w:sz="8" w:color="DEDEDE"/>
            </w:tcBorders>
          </w:tcPr>
          <w:p>
            <w:pPr>
              <w:ind w:left="200"/>
              <w:spacing w:after="0" w:line="213" w:lineRule="exact"/>
              <w:rPr>
                <w:sz w:val="20"/>
                <w:szCs w:val="20"/>
                <w:color w:val="auto"/>
              </w:rPr>
            </w:pPr>
            <w:r>
              <w:rPr>
                <w:rFonts w:ascii="Times New Roman" w:cs="Times New Roman" w:eastAsia="Times New Roman" w:hAnsi="Times New Roman"/>
                <w:sz w:val="20"/>
                <w:szCs w:val="20"/>
                <w:color w:val="auto"/>
              </w:rPr>
              <w:t>Casual shoes, slippers, seasonal footwear and socks</w:t>
            </w:r>
          </w:p>
        </w:tc>
      </w:tr>
      <w:tr>
        <w:trPr>
          <w:trHeight w:val="281"/>
        </w:trPr>
        <w:tc>
          <w:tcPr>
            <w:tcW w:w="1980" w:type="dxa"/>
            <w:vAlign w:val="bottom"/>
          </w:tcPr>
          <w:p>
            <w:pPr>
              <w:spacing w:after="0"/>
              <w:rPr>
                <w:sz w:val="24"/>
                <w:szCs w:val="24"/>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footwear</w:t>
            </w:r>
          </w:p>
        </w:tc>
        <w:tc>
          <w:tcPr>
            <w:tcW w:w="6620" w:type="dxa"/>
            <w:vAlign w:val="bottom"/>
            <w:tcBorders>
              <w:right w:val="single" w:sz="8" w:color="DEDEDE"/>
            </w:tcBorders>
          </w:tcPr>
          <w:p>
            <w:pPr>
              <w:spacing w:after="0"/>
              <w:rPr>
                <w:sz w:val="24"/>
                <w:szCs w:val="24"/>
                <w:color w:val="auto"/>
              </w:rPr>
            </w:pPr>
          </w:p>
        </w:tc>
      </w:tr>
      <w:tr>
        <w:trPr>
          <w:trHeight w:val="274"/>
        </w:trPr>
        <w:tc>
          <w:tcPr>
            <w:tcW w:w="1980" w:type="dxa"/>
            <w:vAlign w:val="bottom"/>
          </w:tcPr>
          <w:p>
            <w:pPr>
              <w:spacing w:after="0"/>
              <w:rPr>
                <w:sz w:val="23"/>
                <w:szCs w:val="23"/>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Work footwear</w:t>
            </w:r>
          </w:p>
        </w:tc>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Work and western boots, shoes and hunting footwear</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274"/>
        </w:trPr>
        <w:tc>
          <w:tcPr>
            <w:tcW w:w="1980" w:type="dxa"/>
            <w:vAlign w:val="bottom"/>
          </w:tcPr>
          <w:p>
            <w:pPr>
              <w:spacing w:after="0"/>
              <w:rPr>
                <w:sz w:val="23"/>
                <w:szCs w:val="23"/>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Youth footwear</w:t>
            </w:r>
          </w:p>
        </w:tc>
        <w:tc>
          <w:tcPr>
            <w:tcW w:w="6620" w:type="dxa"/>
            <w:vAlign w:val="bottom"/>
            <w:tcBorders>
              <w:right w:val="single" w:sz="8" w:color="DEDEDE"/>
            </w:tcBorders>
          </w:tcPr>
          <w:p>
            <w:pPr>
              <w:ind w:left="200"/>
              <w:spacing w:after="0"/>
              <w:rPr>
                <w:sz w:val="20"/>
                <w:szCs w:val="20"/>
                <w:color w:val="auto"/>
              </w:rPr>
            </w:pPr>
            <w:r>
              <w:rPr>
                <w:rFonts w:ascii="Times New Roman" w:cs="Times New Roman" w:eastAsia="Times New Roman" w:hAnsi="Times New Roman"/>
                <w:sz w:val="20"/>
                <w:szCs w:val="20"/>
                <w:color w:val="auto"/>
              </w:rPr>
              <w:t>Boys and girls footwear</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Borders>
              <w:right w:val="single" w:sz="8" w:color="DEDEDE"/>
            </w:tcBorders>
          </w:tcPr>
          <w:p>
            <w:pPr>
              <w:spacing w:after="0"/>
              <w:rPr>
                <w:sz w:val="19"/>
                <w:szCs w:val="19"/>
                <w:color w:val="auto"/>
              </w:rPr>
            </w:pPr>
          </w:p>
        </w:tc>
      </w:tr>
      <w:tr>
        <w:trPr>
          <w:trHeight w:val="274"/>
        </w:trPr>
        <w:tc>
          <w:tcPr>
            <w:tcW w:w="1980" w:type="dxa"/>
            <w:vAlign w:val="bottom"/>
          </w:tcPr>
          <w:p>
            <w:pPr>
              <w:spacing w:after="0"/>
              <w:rPr>
                <w:sz w:val="23"/>
                <w:szCs w:val="23"/>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Athletic footwear</w:t>
            </w:r>
          </w:p>
        </w:tc>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Running shoes, athletic lifestyle and training shoes</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274"/>
        </w:trPr>
        <w:tc>
          <w:tcPr>
            <w:tcW w:w="1980" w:type="dxa"/>
            <w:vAlign w:val="bottom"/>
          </w:tcPr>
          <w:p>
            <w:pPr>
              <w:spacing w:after="0"/>
              <w:rPr>
                <w:sz w:val="23"/>
                <w:szCs w:val="23"/>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Team sports footwear</w:t>
            </w:r>
          </w:p>
        </w:tc>
        <w:tc>
          <w:tcPr>
            <w:tcW w:w="6620" w:type="dxa"/>
            <w:vAlign w:val="bottom"/>
            <w:tcBorders>
              <w:right w:val="single" w:sz="8" w:color="DEDEDE"/>
            </w:tcBorders>
          </w:tcPr>
          <w:p>
            <w:pPr>
              <w:ind w:left="200"/>
              <w:spacing w:after="0"/>
              <w:rPr>
                <w:sz w:val="20"/>
                <w:szCs w:val="20"/>
                <w:color w:val="auto"/>
              </w:rPr>
            </w:pPr>
            <w:r>
              <w:rPr>
                <w:rFonts w:ascii="Times New Roman" w:cs="Times New Roman" w:eastAsia="Times New Roman" w:hAnsi="Times New Roman"/>
                <w:sz w:val="20"/>
                <w:szCs w:val="20"/>
                <w:color w:val="auto"/>
              </w:rPr>
              <w:t>Team and specialty sports footwear and slides</w:t>
            </w:r>
          </w:p>
        </w:tc>
      </w:tr>
      <w:tr>
        <w:trPr>
          <w:trHeight w:val="221"/>
        </w:trPr>
        <w:tc>
          <w:tcPr>
            <w:tcW w:w="1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20" w:type="dxa"/>
            <w:vAlign w:val="bottom"/>
            <w:tcBorders>
              <w:right w:val="single" w:sz="8" w:color="DEDEDE"/>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-5241290</wp:posOffset>
            </wp:positionV>
            <wp:extent cx="6826250" cy="5254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6826250" cy="5254625"/>
                    </a:xfrm>
                    <a:prstGeom prst="rect">
                      <a:avLst/>
                    </a:prstGeom>
                    <a:noFill/>
                  </pic:spPr>
                </pic:pic>
              </a:graphicData>
            </a:graphic>
          </wp:anchor>
        </w:drawing>
      </w:r>
    </w:p>
    <w:p>
      <w:pPr>
        <w:sectPr>
          <w:pgSz w:w="12240" w:h="15840" w:orient="portrait"/>
          <w:cols w:equalWidth="0" w:num="1">
            <w:col w:w="10700"/>
          </w:cols>
          <w:pgMar w:left="820" w:top="12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700"/>
          </w:cols>
          <w:pgMar w:left="820" w:top="1258" w:right="720" w:bottom="0" w:gutter="0" w:footer="0" w:header="0"/>
          <w:type w:val="continuous"/>
        </w:sectPr>
      </w:pPr>
    </w:p>
    <w:bookmarkStart w:id="14" w:name="page15"/>
    <w:bookmarkEnd w:id="14"/>
    <w:p>
      <w:pPr>
        <w:ind w:left="10" w:right="14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sets forth the approximate amount of sales (all of which are based in the U.S.) by merchandise divisions for the periods presented (amounts in thousands):</w:t>
      </w:r>
    </w:p>
    <w:p>
      <w:pPr>
        <w:spacing w:after="0" w:line="41"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46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r>
      <w:tr>
        <w:trPr>
          <w:trHeight w:val="295"/>
        </w:trPr>
        <w:tc>
          <w:tcPr>
            <w:tcW w:w="4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343"/>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Merchandise sales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64"/>
        </w:trPr>
        <w:tc>
          <w:tcPr>
            <w:tcW w:w="4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Outdoors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1,727,018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1,819,418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2,060,046</w:t>
            </w:r>
          </w:p>
        </w:tc>
      </w:tr>
      <w:tr>
        <w:trPr>
          <w:trHeight w:val="315"/>
        </w:trPr>
        <w:tc>
          <w:tcPr>
            <w:tcW w:w="4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Sports and recreation</w:t>
            </w:r>
          </w:p>
        </w:tc>
        <w:tc>
          <w:tcPr>
            <w:tcW w:w="2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1,452,377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1,488,187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1,577,776</w:t>
            </w:r>
          </w:p>
        </w:tc>
      </w:tr>
      <w:tr>
        <w:trPr>
          <w:trHeight w:val="315"/>
        </w:trPr>
        <w:tc>
          <w:tcPr>
            <w:tcW w:w="4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Apparel</w:t>
            </w:r>
          </w:p>
        </w:tc>
        <w:tc>
          <w:tcPr>
            <w:tcW w:w="2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1,710,838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1,758,993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1,810,345</w:t>
            </w:r>
          </w:p>
        </w:tc>
      </w:tr>
      <w:tr>
        <w:trPr>
          <w:trHeight w:val="318"/>
        </w:trPr>
        <w:tc>
          <w:tcPr>
            <w:tcW w:w="4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Footwear</w:t>
            </w: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1,235,643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1,291,227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1,290,197</w:t>
            </w:r>
          </w:p>
        </w:tc>
      </w:tr>
      <w:tr>
        <w:trPr>
          <w:trHeight w:val="328"/>
        </w:trPr>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 xml:space="preserve">Total merchandise sales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6,125,876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6,357,825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6,738,364</w:t>
            </w:r>
          </w:p>
        </w:tc>
      </w:tr>
      <w:tr>
        <w:trPr>
          <w:trHeight w:val="282"/>
        </w:trPr>
        <w:tc>
          <w:tcPr>
            <w:tcW w:w="464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 xml:space="preserve">Other sales </w:t>
            </w:r>
            <w:r>
              <w:rPr>
                <w:rFonts w:ascii="Times New Roman" w:cs="Times New Roman" w:eastAsia="Times New Roman" w:hAnsi="Times New Roman"/>
                <w:sz w:val="26"/>
                <w:szCs w:val="26"/>
                <w:color w:val="auto"/>
                <w:vertAlign w:val="superscript"/>
              </w:rPr>
              <w:t>(3)</w:t>
            </w: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33,415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37,248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34,764</w:t>
            </w:r>
          </w:p>
        </w:tc>
      </w:tr>
      <w:tr>
        <w:trPr>
          <w:trHeight w:val="275"/>
        </w:trPr>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6,159,291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6,395,073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6,773,128</w:t>
            </w: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-1631315</wp:posOffset>
            </wp:positionV>
            <wp:extent cx="6826250" cy="163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826250" cy="1638300"/>
                    </a:xfrm>
                    <a:prstGeom prst="rect">
                      <a:avLst/>
                    </a:prstGeom>
                    <a:noFill/>
                  </pic:spPr>
                </pic:pic>
              </a:graphicData>
            </a:graphic>
          </wp:anchor>
        </w:drawing>
      </w:r>
    </w:p>
    <w:p>
      <w:pPr>
        <w:spacing w:after="0" w:line="60" w:lineRule="exact"/>
        <w:rPr>
          <w:sz w:val="20"/>
          <w:szCs w:val="20"/>
          <w:color w:val="auto"/>
        </w:rPr>
      </w:pPr>
    </w:p>
    <w:p>
      <w:pPr>
        <w:jc w:val="both"/>
        <w:ind w:left="270" w:hanging="270"/>
        <w:spacing w:after="0" w:line="266" w:lineRule="auto"/>
        <w:tabs>
          <w:tab w:leader="none" w:pos="27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products and categories were re-categorized among various categories and divisions, respectively, during 2023 as compared to prior years in order to better align with our current merchandising strategy and view of the business. As a result, we have reclassified sales between divisions for 2022 and 2021 for comparability purposes. This reclassification is in divisional presentation only and did not impact the overall net sales balances previously disclosed.</w:t>
      </w:r>
    </w:p>
    <w:p>
      <w:pPr>
        <w:spacing w:after="0" w:line="24" w:lineRule="exact"/>
        <w:rPr>
          <w:rFonts w:ascii="Times New Roman" w:cs="Times New Roman" w:eastAsia="Times New Roman" w:hAnsi="Times New Roman"/>
          <w:sz w:val="16"/>
          <w:szCs w:val="16"/>
          <w:color w:val="auto"/>
        </w:rPr>
      </w:pPr>
    </w:p>
    <w:p>
      <w:pPr>
        <w:ind w:left="270" w:hanging="270"/>
        <w:spacing w:after="0"/>
        <w:tabs>
          <w:tab w:leader="none" w:pos="27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E-commerce sales consist of 10.7%, 10.7% and 9.3% of merchandise sales for 2023, 2022 and 2021, respectively.</w:t>
      </w:r>
    </w:p>
    <w:p>
      <w:pPr>
        <w:spacing w:after="0" w:line="68" w:lineRule="exact"/>
        <w:rPr>
          <w:rFonts w:ascii="Times New Roman" w:cs="Times New Roman" w:eastAsia="Times New Roman" w:hAnsi="Times New Roman"/>
          <w:sz w:val="16"/>
          <w:szCs w:val="16"/>
          <w:color w:val="auto"/>
        </w:rPr>
      </w:pPr>
    </w:p>
    <w:p>
      <w:pPr>
        <w:ind w:left="270" w:hanging="270"/>
        <w:spacing w:after="0" w:line="282" w:lineRule="auto"/>
        <w:tabs>
          <w:tab w:leader="none" w:pos="27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sales consists primarily of the gift card breakage income, credit card bounties and royalties, shipping income, net hunting and fishing license income, sales return allowance and other items.</w:t>
      </w:r>
    </w:p>
    <w:p>
      <w:pPr>
        <w:spacing w:after="0" w:line="200" w:lineRule="exact"/>
        <w:rPr>
          <w:sz w:val="20"/>
          <w:szCs w:val="20"/>
          <w:color w:val="auto"/>
        </w:rPr>
      </w:pPr>
    </w:p>
    <w:p>
      <w:pPr>
        <w:spacing w:after="0" w:line="3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Stores</w:t>
      </w:r>
    </w:p>
    <w:p>
      <w:pPr>
        <w:spacing w:after="0" w:line="257" w:lineRule="exact"/>
        <w:rPr>
          <w:sz w:val="20"/>
          <w:szCs w:val="20"/>
          <w:color w:val="auto"/>
        </w:rPr>
      </w:pPr>
    </w:p>
    <w:p>
      <w:pPr>
        <w:jc w:val="both"/>
        <w:ind w:left="10" w:firstLine="360"/>
        <w:spacing w:after="0" w:line="256" w:lineRule="auto"/>
        <w:rPr>
          <w:sz w:val="20"/>
          <w:szCs w:val="20"/>
          <w:color w:val="auto"/>
        </w:rPr>
      </w:pPr>
      <w:r>
        <w:rPr>
          <w:rFonts w:ascii="Times New Roman" w:cs="Times New Roman" w:eastAsia="Times New Roman" w:hAnsi="Times New Roman"/>
          <w:sz w:val="20"/>
          <w:szCs w:val="20"/>
          <w:color w:val="auto"/>
        </w:rPr>
        <w:t>Our stores, all of which are based in the U.S., are designed to provide our customers with an easy-in, easy-out shopping experience. The interior of most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208" w:lineRule="exact"/>
        <w:rPr>
          <w:sz w:val="20"/>
          <w:szCs w:val="20"/>
          <w:color w:val="auto"/>
        </w:rPr>
      </w:pPr>
    </w:p>
    <w:p>
      <w:pPr>
        <w:jc w:val="both"/>
        <w:ind w:left="10" w:firstLine="360"/>
        <w:spacing w:after="0" w:line="255" w:lineRule="auto"/>
        <w:rPr>
          <w:sz w:val="20"/>
          <w:szCs w:val="20"/>
          <w:color w:val="auto"/>
        </w:rPr>
      </w:pPr>
      <w:r>
        <w:rPr>
          <w:rFonts w:ascii="Times New Roman" w:cs="Times New Roman" w:eastAsia="Times New Roman" w:hAnsi="Times New Roman"/>
          <w:sz w:val="20"/>
          <w:szCs w:val="20"/>
          <w:color w:val="auto"/>
        </w:rPr>
        <w:t>Our stores average approximately 70,000 gross square feet, of which approximately 85% is dedicated to selling space. 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At this time, no stores are connected to malls. We seek to lease all of our stores in long-term lease agreements with third-party landlords, which typically range from 15 to 20 years. Of the 282 stores operated as of February 3, 2024, 281 are leased from third parties and one store is owned by the Company.</w:t>
      </w:r>
    </w:p>
    <w:p>
      <w:pPr>
        <w:spacing w:after="0" w:line="210" w:lineRule="exact"/>
        <w:rPr>
          <w:sz w:val="20"/>
          <w:szCs w:val="20"/>
          <w:color w:val="auto"/>
        </w:rPr>
      </w:pPr>
    </w:p>
    <w:p>
      <w:pPr>
        <w:jc w:val="both"/>
        <w:ind w:left="10" w:firstLine="360"/>
        <w:spacing w:after="0" w:line="281" w:lineRule="auto"/>
        <w:rPr>
          <w:sz w:val="20"/>
          <w:szCs w:val="20"/>
          <w:color w:val="auto"/>
        </w:rPr>
      </w:pPr>
      <w:r>
        <w:rPr>
          <w:rFonts w:ascii="Times New Roman" w:cs="Times New Roman" w:eastAsia="Times New Roman" w:hAnsi="Times New Roman"/>
          <w:sz w:val="20"/>
          <w:szCs w:val="20"/>
          <w:color w:val="auto"/>
        </w:rPr>
        <w:t>We are active members of the communities in which we operate, and our long-time customers have grown up with Academy and passed their passion for us on to the next generation, enabling us to benefit from strong customer loyalty and shopping frequency.</w:t>
      </w:r>
    </w:p>
    <w:p>
      <w:pPr>
        <w:sectPr>
          <w:pgSz w:w="12240" w:h="15840" w:orient="portrait"/>
          <w:cols w:equalWidth="0" w:num="1">
            <w:col w:w="10710"/>
          </w:cols>
          <w:pgMar w:left="810" w:top="12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710"/>
          </w:cols>
          <w:pgMar w:left="810" w:top="1258" w:right="720" w:bottom="0" w:gutter="0" w:footer="0" w:header="0"/>
          <w:type w:val="continuous"/>
        </w:sectPr>
      </w:pPr>
    </w:p>
    <w:bookmarkStart w:id="15" w:name="page16"/>
    <w:bookmarkEnd w:id="15"/>
    <w:p>
      <w:pPr>
        <w:ind w:left="360"/>
        <w:spacing w:after="0"/>
        <w:rPr>
          <w:sz w:val="20"/>
          <w:szCs w:val="20"/>
          <w:color w:val="auto"/>
        </w:rPr>
      </w:pPr>
      <w:r>
        <w:rPr>
          <w:rFonts w:ascii="Times New Roman" w:cs="Times New Roman" w:eastAsia="Times New Roman" w:hAnsi="Times New Roman"/>
          <w:sz w:val="20"/>
          <w:szCs w:val="20"/>
          <w:color w:val="auto"/>
        </w:rPr>
        <w:t>As of February 3, 2024, the number of stores that we operated, exclusively in the U.S., by state was as follows:</w:t>
      </w:r>
    </w:p>
    <w:p>
      <w:pPr>
        <w:spacing w:after="0" w:line="349" w:lineRule="exact"/>
        <w:rPr>
          <w:sz w:val="20"/>
          <w:szCs w:val="20"/>
          <w:color w:val="auto"/>
        </w:rPr>
      </w:pPr>
    </w:p>
    <w:tbl>
      <w:tblPr>
        <w:tblLayout w:type="fixed"/>
        <w:tblInd w:w="2100" w:type="dxa"/>
        <w:tblCellMar>
          <w:top w:w="0" w:type="dxa"/>
          <w:left w:w="0" w:type="dxa"/>
          <w:bottom w:w="0" w:type="dxa"/>
          <w:right w:w="0" w:type="dxa"/>
        </w:tblCellMar>
      </w:tblPr>
      <w:tr>
        <w:trPr>
          <w:trHeight w:val="267"/>
        </w:trPr>
        <w:tc>
          <w:tcPr>
            <w:tcW w:w="43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20"/>
                <w:szCs w:val="20"/>
                <w:b w:val="1"/>
                <w:bCs w:val="1"/>
                <w:color w:val="auto"/>
              </w:rPr>
              <w:t>State</w:t>
            </w:r>
          </w:p>
        </w:tc>
        <w:tc>
          <w:tcPr>
            <w:tcW w:w="60" w:type="dxa"/>
            <w:vAlign w:val="bottom"/>
          </w:tcPr>
          <w:p>
            <w:pPr>
              <w:spacing w:after="0"/>
              <w:rPr>
                <w:sz w:val="23"/>
                <w:szCs w:val="23"/>
                <w:color w:val="auto"/>
              </w:rPr>
            </w:pPr>
          </w:p>
        </w:tc>
        <w:tc>
          <w:tcPr>
            <w:tcW w:w="2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Number of Stores</w:t>
            </w:r>
          </w:p>
        </w:tc>
      </w:tr>
      <w:tr>
        <w:trPr>
          <w:trHeight w:val="292"/>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Texas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Georgia</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Louisiana</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Florida</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Alabama</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North Carolina</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Tennessee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Oklahoma</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Missouri</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South Carolina</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Arkansas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Mississippi</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Kansas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Kentucky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Indiana</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Illinois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15"/>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Virginia</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18"/>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West Virginia</w:t>
            </w:r>
          </w:p>
        </w:tc>
        <w:tc>
          <w:tcPr>
            <w:tcW w:w="60" w:type="dxa"/>
            <w:vAlign w:val="bottom"/>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75"/>
        </w:trPr>
        <w:tc>
          <w:tcPr>
            <w:tcW w:w="4320" w:type="dxa"/>
            <w:vAlign w:val="bottom"/>
          </w:tcPr>
          <w:p>
            <w:pPr>
              <w:spacing w:after="0"/>
              <w:rPr>
                <w:sz w:val="23"/>
                <w:szCs w:val="23"/>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w:t>
            </w:r>
          </w:p>
        </w:tc>
      </w:tr>
      <w:tr>
        <w:trPr>
          <w:trHeight w:val="20"/>
        </w:trPr>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-3831590</wp:posOffset>
            </wp:positionV>
            <wp:extent cx="4159250" cy="383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4159250" cy="3838575"/>
                    </a:xfrm>
                    <a:prstGeom prst="rect">
                      <a:avLst/>
                    </a:prstGeom>
                    <a:noFill/>
                  </pic:spPr>
                </pic:pic>
              </a:graphicData>
            </a:graphic>
          </wp:anchor>
        </w:drawing>
      </w:r>
    </w:p>
    <w:p>
      <w:pPr>
        <w:spacing w:after="0" w:line="22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believe our real estate strategy has positioned us well for further expansion, and our track record has demonstrated that we can open and operate stores profitably. We believe there is significant near-term opportunity for expansion in both new and existing markets.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w:t>
      </w:r>
    </w:p>
    <w:p>
      <w:pPr>
        <w:spacing w:after="0" w:line="25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Our marketing approach is anchored in helping active minded families have fun in their pursuit of sports and outdoors activities. The strategy is designed to generate awareness and consideration for the Academy brand while improving intent to purchase across the broad selection of fun categories, top national and private brands at a compelling value within our sporting goods assortment. We analyze first party data from across our customer data platform and data science environments, customer insights studies and retail industry market share data sources to develop annual and seasonal go to market strategies that lead to creation of engaging content and customer experiences that are communicated across a diverse range of owned and paid media channels.</w:t>
      </w:r>
    </w:p>
    <w:p>
      <w:pPr>
        <w:spacing w:after="0" w:line="235" w:lineRule="exact"/>
        <w:rPr>
          <w:sz w:val="20"/>
          <w:szCs w:val="20"/>
          <w:color w:val="auto"/>
        </w:rPr>
      </w:pPr>
    </w:p>
    <w:p>
      <w:pPr>
        <w:jc w:val="both"/>
        <w:ind w:firstLine="360"/>
        <w:spacing w:after="0" w:line="272" w:lineRule="auto"/>
        <w:rPr>
          <w:sz w:val="20"/>
          <w:szCs w:val="20"/>
          <w:color w:val="auto"/>
        </w:rPr>
      </w:pPr>
      <w:r>
        <w:rPr>
          <w:rFonts w:ascii="Times New Roman" w:cs="Times New Roman" w:eastAsia="Times New Roman" w:hAnsi="Times New Roman"/>
          <w:sz w:val="20"/>
          <w:szCs w:val="20"/>
          <w:color w:val="auto"/>
        </w:rPr>
        <w:t>Additionally, we utilize the customer data platform to generate first party data audiences for targeted customer lifecycle management campaigns designed to retain current customers and encourage omnichannel shopping behaviors. First party data is also used to inform creation of third party data audiences across a mix of media channels to drive engagement and acquisition of new customers through the use of brand designed, influencer and customer created content. These campaigns are executed across a blend of digital and traditional, including paid search, email, text message, mobile app, digital advertising networks, affiliates, and social media along with linear and digital video, audio, print, outdoor and direct mail.</w:t>
      </w:r>
    </w:p>
    <w:p>
      <w:pPr>
        <w:spacing w:after="0" w:line="24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We are focused on implementing and continually improving our customer centric marketing technologies, omnichannel services and experiences to save customers time and money while improving the long term health of our customer portfolio. The Academy Credit Card program and Academy Sports + Outdoors app are foundational to build loyalty among customers while providing a seamless omnichannel shopping experience.</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700"/>
          </w:cols>
          <w:pgMar w:left="820" w:top="1018" w:right="720" w:bottom="0" w:gutter="0" w:footer="0" w:header="0"/>
          <w:type w:val="continuous"/>
        </w:sectPr>
      </w:pPr>
    </w:p>
    <w:bookmarkStart w:id="16" w:name="page17"/>
    <w:bookmarkEnd w:id="16"/>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are committed to making a positive impact on the communities we serve and partner with over 750 organizations, including youth sports leagues that reach approximately 400,000 participants. We also partner with school districts, Historically Black Colleges and Universities (HBCUs), collegiate and professional sports properties, local parks, hunting and fishing organizations, military bases and local first responders.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Centers</w:t>
      </w:r>
    </w:p>
    <w:p>
      <w:pPr>
        <w:spacing w:after="0" w:line="25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the capacity to service up to approximately 120 stores per distribution center.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Systems</w:t>
      </w:r>
    </w:p>
    <w:p>
      <w:pPr>
        <w:spacing w:after="0" w:line="25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information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customer,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August/September back-to-school selling season during the third quarter and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Team Members</w:t>
      </w:r>
    </w:p>
    <w:p>
      <w:pPr>
        <w:spacing w:after="0" w:line="19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mission is to provide “Fun for All” and a critical component to our success is our people. As of February 3, 2024, we employed approximately 22,000 team members in the U.S. and eleven team members in Hong Kong. Of those team members, approximately 50% were full-time and 50% were part-time. Our employment levels may fluctuate over the course of the year due to the seasonality of our business. None of our team members are covered by collective bargaining agreements. The Company believes that it has a good working relationship with its team members.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700"/>
          </w:cols>
          <w:pgMar w:left="820" w:top="1018" w:right="720" w:bottom="0" w:gutter="0" w:footer="0" w:header="0"/>
          <w:type w:val="continuous"/>
        </w:sectPr>
      </w:pPr>
    </w:p>
    <w:bookmarkStart w:id="17" w:name="page18"/>
    <w:bookmarkEnd w:id="17"/>
    <w:p>
      <w:pPr>
        <w:jc w:val="both"/>
        <w:ind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Culture and Core Values. </w:t>
      </w:r>
      <w:r>
        <w:rPr>
          <w:rFonts w:ascii="Times New Roman" w:cs="Times New Roman" w:eastAsia="Times New Roman" w:hAnsi="Times New Roman"/>
          <w:sz w:val="20"/>
          <w:szCs w:val="20"/>
          <w:color w:val="auto"/>
        </w:rPr>
        <w:t>We strive to provide rewarding careers, benefits, and a workplace culture where team members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empowered to be their authentic self—drawing on their unique perspectives, passions, skills, interests, and experiences in their day-to-day jobs. Our core values establish a strong foundation for our culture and represent the key expectations we have of our team members. These include the following:</w:t>
      </w:r>
    </w:p>
    <w:p>
      <w:pPr>
        <w:spacing w:after="0" w:line="18" w:lineRule="exact"/>
        <w:rPr>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focus and service</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Excellence in all we do</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Responsible leadership</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Initiative with urgency</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Students of the business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Integrity always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impact on our communities</w:t>
      </w:r>
    </w:p>
    <w:p>
      <w:pPr>
        <w:spacing w:after="0" w:line="184"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Diversity, Inclusion and Belonging. </w:t>
      </w:r>
      <w:r>
        <w:rPr>
          <w:rFonts w:ascii="Times New Roman" w:cs="Times New Roman" w:eastAsia="Times New Roman" w:hAnsi="Times New Roman"/>
          <w:sz w:val="20"/>
          <w:szCs w:val="20"/>
          <w:color w:val="auto"/>
        </w:rPr>
        <w:t>At Academy, we believe the diversity of our team members, customers, and all others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whom we interact enhances the quality of our work environment and our customers’ shopping experience. Academy encourages team members to work together and to value the strengths each team member brings to the team. Our strategy begins with attracting, recruiting, developing, and retaining team members with backgrounds that are representative of our diverse communities because it makes our company and communities stronger. We require all team members to complete unintentional bias training to help eliminate biases from recruiting, hiring, promotions, job assignments and opportunities, evaluations, compensation, and customer service.</w:t>
      </w:r>
    </w:p>
    <w:p>
      <w:pPr>
        <w:spacing w:after="0" w:line="14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2020, we established our Diversity, Inclusion and Belonging Committee, and they led the organization in the creation of our team member led Diversity, Inclusion and Belonging groups throughout the Company. These groups provide a forum for team members with common interests and/or backgrounds to connect, network, and provide input on issues related events while helping educate and celebrate our team members' diverse backgrounds and experiences.</w:t>
      </w:r>
    </w:p>
    <w:p>
      <w:pPr>
        <w:spacing w:after="0" w:line="19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Talent Management. </w:t>
      </w:r>
      <w:r>
        <w:rPr>
          <w:rFonts w:ascii="Times New Roman" w:cs="Times New Roman" w:eastAsia="Times New Roman" w:hAnsi="Times New Roman"/>
          <w:sz w:val="20"/>
          <w:szCs w:val="20"/>
          <w:color w:val="auto"/>
        </w:rPr>
        <w:t>We believe the best way to serve our customers is to invest in top talent, be open to innovation, and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vision to succeed. We are focused on creating a winning team by recruiting and retaining great people, promoting teamwork, and fostering an enjoyable and rewarding work environment. We also strive to provide all team members with opportunities for personal growth, cross functional training, job opportunities and career advancement. We offer a mix of instructor-led, online, and blended courses in several key areas, including Career Development and Leadership Development. Our wide variety of courses ranges from job specific (i.e., functional) to broad based leadership training to safety, security, ethics, and compliance training. We also engage in regular and ongoing feedback, annual performance reviews and annual talent calibration conversations. Succession planning is conducted on an annual basis to identify suitable internal candidates for key positions within the Company.</w:t>
      </w:r>
    </w:p>
    <w:p>
      <w:pPr>
        <w:spacing w:after="0" w:line="205"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Compensation and Benefits. </w:t>
      </w:r>
      <w:r>
        <w:rPr>
          <w:rFonts w:ascii="Times New Roman" w:cs="Times New Roman" w:eastAsia="Times New Roman" w:hAnsi="Times New Roman"/>
          <w:sz w:val="20"/>
          <w:szCs w:val="20"/>
          <w:color w:val="auto"/>
        </w:rPr>
        <w:t>We offer a competitive compensation and benefits package. Our benefits package is designed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allow team members the ability to pick and choose which benefits are the best for their and their family’s health and well-being. Depending on the team member’s employment and work status, they may be eligible for: medical, dental, and vision insurance; participation in the Company’s 401(k) Plan with a six percent dollar for dollar match up to the IRS deferral limit; participation in the Company’s Employee Stock Purchase Plan which provides a 15 percent discount on the lower of the stock price at the beginning or the end of each offering period; paid time off and paid vacations; the ability for team members to get a portion of their earnings paid daily; tuition reimbursement programs; professional license/certification reimbursement; medical, family, and bereavement leave; additional voluntary short/long term, life, legal, pet, and accident insurance; paid maternity and parental leave; and a 20 percent team member discount on most all of our merchandise, to name a few. We also provide, in all our distribution centers and our Katy corporate office, subsidized meals for all team members at our onsite café and an annual health and benefits fair. Specific to our Katy corporate office, we engage our team members through the opportunity to participate in intramural sport teams, 5K fun walk/run events, subsidized membership in the company gym and exercise classes (this is also open to our Katy distribution team members); “food truck Thursdays”; onsite dental and car wash service; and a company holiday party and other team member appreciation events.</w:t>
      </w:r>
    </w:p>
    <w:p>
      <w:pPr>
        <w:spacing w:after="0" w:line="190"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Workplace, Health and Safety. </w:t>
      </w:r>
      <w:r>
        <w:rPr>
          <w:rFonts w:ascii="Times New Roman" w:cs="Times New Roman" w:eastAsia="Times New Roman" w:hAnsi="Times New Roman"/>
          <w:sz w:val="20"/>
          <w:szCs w:val="20"/>
          <w:color w:val="auto"/>
        </w:rPr>
        <w:t>The health and safety of our customers, team members, and communities is our top priority.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strive to ensure that a safe and hygienic working environment is provided and that occupational health and safety practices which prevent accidents and injury are promoted. Throughout our stores, distribution centers, and corporate headquarters, we employ policies, procedures, and training to promote safe and healthy work environments.</w:t>
      </w:r>
    </w:p>
    <w:p>
      <w:pPr>
        <w:sectPr>
          <w:pgSz w:w="12240" w:h="15840" w:orient="portrait"/>
          <w:cols w:equalWidth="0" w:num="1">
            <w:col w:w="10700"/>
          </w:cols>
          <w:pgMar w:left="820" w:top="101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700"/>
          </w:cols>
          <w:pgMar w:left="820" w:top="1012" w:right="720" w:bottom="0" w:gutter="0" w:footer="0" w:header="0"/>
          <w:type w:val="continuous"/>
        </w:sectPr>
      </w:pPr>
    </w:p>
    <w:bookmarkStart w:id="18" w:name="page19"/>
    <w:bookmarkEnd w:id="18"/>
    <w:p>
      <w:pPr>
        <w:jc w:val="both"/>
        <w:ind w:right="100" w:firstLine="360"/>
        <w:spacing w:after="0" w:line="256" w:lineRule="auto"/>
        <w:rPr>
          <w:sz w:val="20"/>
          <w:szCs w:val="20"/>
          <w:color w:val="auto"/>
        </w:rPr>
      </w:pPr>
      <w:r>
        <w:rPr>
          <w:rFonts w:ascii="Times New Roman" w:cs="Times New Roman" w:eastAsia="Times New Roman" w:hAnsi="Times New Roman"/>
          <w:sz w:val="20"/>
          <w:szCs w:val="20"/>
          <w:color w:val="auto"/>
        </w:rPr>
        <w:t>Our team member handbook outlines safety expectations, but we also empower our team members with knowledge and skills from various safety training courses during the onboarding process and on an ongoing basis through our learning engagement system with topics such as incident reporting, behavior-based safety, evacuation, active shooter response, hazardous materials, ergonomics, heat safety, electrical safety, industrial truck and pallet jack safety, confined space entry and parking lot and garage safety. We continue to focus on developing and driving our safety-first culture through awareness, training, and actions to reduce the frequency and severity of safety incidents.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about our Executive Officers</w:t>
      </w:r>
    </w:p>
    <w:p>
      <w:pPr>
        <w:spacing w:after="0" w:line="259" w:lineRule="exact"/>
        <w:rPr>
          <w:sz w:val="20"/>
          <w:szCs w:val="20"/>
          <w:color w:val="auto"/>
        </w:rPr>
      </w:pPr>
    </w:p>
    <w:p>
      <w:pPr>
        <w:jc w:val="both"/>
        <w:ind w:right="100" w:firstLine="360"/>
        <w:spacing w:after="0" w:line="281" w:lineRule="auto"/>
        <w:rPr>
          <w:sz w:val="20"/>
          <w:szCs w:val="20"/>
          <w:color w:val="auto"/>
        </w:rPr>
      </w:pPr>
      <w:r>
        <w:rPr>
          <w:rFonts w:ascii="Times New Roman" w:cs="Times New Roman" w:eastAsia="Times New Roman" w:hAnsi="Times New Roman"/>
          <w:sz w:val="20"/>
          <w:szCs w:val="20"/>
          <w:color w:val="auto"/>
        </w:rPr>
        <w:t>Below is a list of our executive officers, their respective ages as of March 21, 2024 and a brief account of the business experience of each of them.</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1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3"/>
                <w:szCs w:val="23"/>
                <w:color w:val="auto"/>
              </w:rPr>
            </w:pPr>
          </w:p>
        </w:tc>
        <w:tc>
          <w:tcPr>
            <w:tcW w:w="7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Age</w:t>
            </w:r>
          </w:p>
        </w:tc>
        <w:tc>
          <w:tcPr>
            <w:tcW w:w="60" w:type="dxa"/>
            <w:vAlign w:val="bottom"/>
          </w:tcPr>
          <w:p>
            <w:pPr>
              <w:spacing w:after="0"/>
              <w:rPr>
                <w:sz w:val="23"/>
                <w:szCs w:val="23"/>
                <w:color w:val="auto"/>
              </w:rPr>
            </w:pPr>
          </w:p>
        </w:tc>
        <w:tc>
          <w:tcPr>
            <w:tcW w:w="58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92"/>
        </w:trPr>
        <w:tc>
          <w:tcPr>
            <w:tcW w:w="4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Ken C. Hicks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24"/>
                <w:szCs w:val="24"/>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Chairman</w:t>
            </w:r>
          </w:p>
        </w:tc>
      </w:tr>
      <w:tr>
        <w:trPr>
          <w:trHeight w:val="315"/>
        </w:trPr>
        <w:tc>
          <w:tcPr>
            <w:tcW w:w="4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Steven (Steve) P. Lawrence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4"/>
                <w:szCs w:val="24"/>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315"/>
        </w:trPr>
        <w:tc>
          <w:tcPr>
            <w:tcW w:w="4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Samuel (Sam) J. Johnson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President</w:t>
            </w:r>
          </w:p>
        </w:tc>
      </w:tr>
      <w:tr>
        <w:trPr>
          <w:trHeight w:val="315"/>
        </w:trPr>
        <w:tc>
          <w:tcPr>
            <w:tcW w:w="4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Earl Carlton (Carl) Ford IV</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315"/>
        </w:trPr>
        <w:tc>
          <w:tcPr>
            <w:tcW w:w="4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Matthew (Matt) M. McCabe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24"/>
                <w:szCs w:val="24"/>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and Chief Merchandising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-1003935</wp:posOffset>
            </wp:positionV>
            <wp:extent cx="6883400" cy="1025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883400" cy="1025525"/>
                    </a:xfrm>
                    <a:prstGeom prst="rect">
                      <a:avLst/>
                    </a:prstGeom>
                    <a:noFill/>
                  </pic:spPr>
                </pic:pic>
              </a:graphicData>
            </a:graphic>
          </wp:anchor>
        </w:drawing>
      </w:r>
    </w:p>
    <w:p>
      <w:pPr>
        <w:spacing w:after="0" w:line="265" w:lineRule="exact"/>
        <w:rPr>
          <w:sz w:val="20"/>
          <w:szCs w:val="20"/>
          <w:color w:val="auto"/>
        </w:rPr>
      </w:pPr>
    </w:p>
    <w:p>
      <w:pPr>
        <w:jc w:val="both"/>
        <w:ind w:right="100" w:firstLine="36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 xml:space="preserve">Ken C. Hicks </w:t>
      </w:r>
      <w:r>
        <w:rPr>
          <w:rFonts w:ascii="Times New Roman" w:cs="Times New Roman" w:eastAsia="Times New Roman" w:hAnsi="Times New Roman"/>
          <w:sz w:val="20"/>
          <w:szCs w:val="20"/>
          <w:color w:val="auto"/>
        </w:rPr>
        <w:t>has served as the Executive Chairman of the Board of Directors since June 1, 2023. Mr. Hicks served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Chairman of the Board and Chief Executive Officer from May 2018 to June 2023. Mr. Hicks has served as a member of the Board of Directors since June 2020 and served as a member of the Board of Managers of New Academy Holding Company, LLC from May 2017 to June 2020.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as Chairman of the board of directors of Guitar Center Holdings, Inc. since October 2023. Previously, Mr. Hicks served on the board of directors and the Compensation Committee of Whole Foods Market, Inc. from May 2017 to August 2017. Mr. Hicks graduated from the United States Military Academy located in West Point, NY, and served in the U.S. Army. He also earned a Masters of Business Administration with highest distinction from Harvard Business School.</w:t>
      </w:r>
    </w:p>
    <w:p>
      <w:pPr>
        <w:spacing w:after="0" w:line="203" w:lineRule="exact"/>
        <w:rPr>
          <w:sz w:val="20"/>
          <w:szCs w:val="20"/>
          <w:color w:val="auto"/>
        </w:rPr>
      </w:pPr>
    </w:p>
    <w:p>
      <w:pPr>
        <w:jc w:val="both"/>
        <w:ind w:right="100" w:firstLine="360"/>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Steven (Steve) P. Lawrence </w:t>
      </w:r>
      <w:r>
        <w:rPr>
          <w:rFonts w:ascii="Times New Roman" w:cs="Times New Roman" w:eastAsia="Times New Roman" w:hAnsi="Times New Roman"/>
          <w:sz w:val="20"/>
          <w:szCs w:val="20"/>
          <w:color w:val="auto"/>
        </w:rPr>
        <w:t>has served as Chief Executive Officer and a member of the Board of Directors since June 2023. Mr.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Lawrence joined the Company in February 2019 as Executive Vice President and Chief Merchandising Officer. Prior to joining the Company, Mr. Lawrence was President, Chief Executive Officer and served on the board of directors at francesca’s from October 2016 to January 2019. From May 2012 to September 2016, he served as Chief Merchandising Officer at Stage Stores. Mr. Lawrence also spent nearly 12 years working in various merchandising leadership roles at J.C. Penney after 10 years at Foley’s/May Co. Mr. Lawrence obtained his Bachelor of Business Administration in Finance from the University of Notre Dame.</w:t>
      </w:r>
    </w:p>
    <w:p>
      <w:pPr>
        <w:spacing w:after="0" w:line="190" w:lineRule="exact"/>
        <w:rPr>
          <w:sz w:val="20"/>
          <w:szCs w:val="20"/>
          <w:color w:val="auto"/>
        </w:rPr>
      </w:pPr>
    </w:p>
    <w:p>
      <w:pPr>
        <w:jc w:val="both"/>
        <w:ind w:right="100" w:firstLine="36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Samuel (Sam) J. Johnson </w:t>
      </w:r>
      <w:r>
        <w:rPr>
          <w:rFonts w:ascii="Times New Roman" w:cs="Times New Roman" w:eastAsia="Times New Roman" w:hAnsi="Times New Roman"/>
          <w:sz w:val="20"/>
          <w:szCs w:val="20"/>
          <w:color w:val="auto"/>
        </w:rPr>
        <w:t>has served as President since October 2023. Mr. Johnson joined the Company in April 2017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Executive Vice President, Retail Operations. Prior to joining the Company,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206" w:lineRule="exact"/>
        <w:rPr>
          <w:sz w:val="20"/>
          <w:szCs w:val="20"/>
          <w:color w:val="auto"/>
        </w:rPr>
      </w:pPr>
    </w:p>
    <w:p>
      <w:pPr>
        <w:jc w:val="both"/>
        <w:ind w:right="100" w:firstLine="360"/>
        <w:spacing w:after="0" w:line="230" w:lineRule="auto"/>
        <w:rPr>
          <w:sz w:val="20"/>
          <w:szCs w:val="20"/>
          <w:color w:val="auto"/>
        </w:rPr>
      </w:pPr>
      <w:r>
        <w:rPr>
          <w:rFonts w:ascii="Times New Roman" w:cs="Times New Roman" w:eastAsia="Times New Roman" w:hAnsi="Times New Roman"/>
          <w:sz w:val="20"/>
          <w:szCs w:val="20"/>
          <w:b w:val="1"/>
          <w:bCs w:val="1"/>
          <w:i w:val="1"/>
          <w:iCs w:val="1"/>
          <w:color w:val="auto"/>
        </w:rPr>
        <w:t xml:space="preserve">Earl Carlton (Carl) Ford IV </w:t>
      </w:r>
      <w:r>
        <w:rPr>
          <w:rFonts w:ascii="Times New Roman" w:cs="Times New Roman" w:eastAsia="Times New Roman" w:hAnsi="Times New Roman"/>
          <w:sz w:val="20"/>
          <w:szCs w:val="20"/>
          <w:color w:val="auto"/>
        </w:rPr>
        <w:t>has served as Executive Vice President and Chief Financial Officer since July 2023. Mr. Ford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joined the Company in January 2019, and served as the Senior Vice President, Finance, where he led the Financial Planning and Analysis function of the Company from January 2019 to July 2023 and the Loss Prevention and Inventory Control teams from February 2020 to July 2023. Prior to joining the Company, Mr. Ford served as the Vice President of Financial Planning &amp; Analysis at Belk, Inc. He also served as the Vice President of Internal Audit and held other leadership roles in accounting and treasury during his 15 years at Belk, Inc. Prior to joining Belk, Inc., Mr. Ford worked for Deloitte &amp; Touche in their Audit practice. Mr. Ford holds a master's degree in accounting from the University of Alabama, a bachelor's degree in accounting from the University of Southern Mississippi and is an active Certified Public Accountant.</w:t>
      </w:r>
    </w:p>
    <w:p>
      <w:pPr>
        <w:sectPr>
          <w:pgSz w:w="12240" w:h="15840" w:orient="portrait"/>
          <w:cols w:equalWidth="0" w:num="1">
            <w:col w:w="10800"/>
          </w:cols>
          <w:pgMar w:left="820" w:top="1018"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820" w:top="1018" w:right="620" w:bottom="0" w:gutter="0" w:footer="0" w:header="0"/>
          <w:type w:val="continuous"/>
        </w:sectPr>
      </w:pPr>
    </w:p>
    <w:bookmarkStart w:id="19" w:name="page20"/>
    <w:bookmarkEnd w:id="19"/>
    <w:p>
      <w:pPr>
        <w:jc w:val="both"/>
        <w:ind w:firstLine="360"/>
        <w:spacing w:after="0" w:line="230"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Matthew (Matt) McCabe </w:t>
      </w:r>
      <w:r>
        <w:rPr>
          <w:rFonts w:ascii="Times New Roman" w:cs="Times New Roman" w:eastAsia="Times New Roman" w:hAnsi="Times New Roman"/>
          <w:sz w:val="20"/>
          <w:szCs w:val="20"/>
          <w:color w:val="auto"/>
        </w:rPr>
        <w:t>has served as the Executive Vice President and Chief Merchandising Officer since June 2023. Mr.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McCabe joined the Company in December 2016 as the Vice President, Divisional Merchandise Manager of Athletic and Licensed Apparel and served as the Senior Vice President, General Merchandise Manager of Footwear from September 2017 to June 2023. In this role, he was responsible for setting the merchandising objectives and business strategy for the Footwear division. Prior to joining the Company, Mr. McCabe served as Vice President at Golfsmith International, where he led the apparel, footwear and soft consumables buying and private brand businesses. He has more than 25 years of experience in men's and women's apparel and footwear, and held various leadership roles at The Bon Ton Department Stores, Bachrach, Sears &amp; Roebuck Co., and Mark Shale. Mr. McCabe holds a Bachelor of Science from Miami University.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5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trademarks, service marks, copyrights, patents, processes, trade secrets, domain names and other intellectual property, including our Academy Sports + Outdoors brand, our private label brands, such as Academy Sports + Outdoors, Magellan Outdoors, BCG, O’rageous, Game Winner, Outdoor Gourmet and Freely, and our designs, names, slogans, images and trade dress associated with these brands, are valuable assets that are critical to our success.</w:t>
      </w:r>
    </w:p>
    <w:p>
      <w:pPr>
        <w:spacing w:after="0" w:line="20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Regulations</w:t>
      </w:r>
    </w:p>
    <w:p>
      <w:pPr>
        <w:spacing w:after="0" w:line="25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operate in a complex regulatory and legal environment that exposes us to regulatory, compliance and litigation risks that could materially affect our operations and financial results. Specifically,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20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181"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product safety, product liability or consumer protection laws;</w:t>
      </w:r>
    </w:p>
    <w:p>
      <w:pPr>
        <w:spacing w:after="0" w:line="3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related to advertising, marketing, pricing and selling our products, including but not limited to firearms, ammunition, and related accessories;</w:t>
      </w: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 and employment laws, including wage and hour laws and forced labor prevention laws;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laws or interpretations thereof, including collection of state sales tax on e-commerce sales;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protection and privacy laws and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laws and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hazardous material laws and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customs or import and export laws and regulations, including collection of tariffs on product imports;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laws;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antitrust and competition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banking and anti-money laundering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Americans with Disabilities Act, or ADA, and similar state and local laws and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website design and content regulations;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Foreign Corrupt Practices Act, or FCPA, the U.K. Bribery Act, or UKBA, and other anti-corruption laws; and</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and exchange laws and regulations.</w:t>
      </w:r>
    </w:p>
    <w:p>
      <w:pPr>
        <w:sectPr>
          <w:pgSz w:w="12240" w:h="15840" w:orient="portrait"/>
          <w:cols w:equalWidth="0" w:num="1">
            <w:col w:w="10700"/>
          </w:cols>
          <w:pgMar w:left="820" w:top="101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700"/>
          </w:cols>
          <w:pgMar w:left="820" w:top="1012" w:right="720" w:bottom="0" w:gutter="0" w:footer="0" w:header="0"/>
          <w:type w:val="continuous"/>
        </w:sectPr>
      </w:pPr>
    </w:p>
    <w:bookmarkStart w:id="20" w:name="page21"/>
    <w:bookmarkEnd w:id="20"/>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We are a federally licensed firearms dealer, and we sell firearms, ammunition, and related accessories. Firearms represented approximately 5% of our net sales in 2023.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United States Department of Justice announced a new policy to underscore zero tolerance for willful violations of the law by federally licensed firearms dealers that put public safety at risk. In the future, there may be increased federal, state or local regulation and enforcement affecting the sale of firearms, ammunition, and related accessories, including taxation or restrictions on the type of firearms and ammunition available for retail sale, which could reduce our sales and profitability.</w:t>
      </w:r>
    </w:p>
    <w:p>
      <w:pPr>
        <w:spacing w:after="0" w:line="212"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For additional information, see the risk factors herein in "Item 1A. Risk Factors" under the sub-caption "Legal and Regulatory Risks".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website address is www.academy.com. We use our website as a channel of distribution for company information. We will make available free of charge on the Investor Relations section of our website our Annual Report on Form 10-K, Quarterly Reports on Form 10-Q, Current Reports on Form 8-K and all amendments to those reports as soon as reasonably practicable after such material is electronically filed with or furnished to the SEC pursuant to Section 13(a) or 15(d) of the Exchange Act. We will also make available through our website other reports filed with or furnished to the SEC under the Exchange Act, including our proxy statements and reports filed by officers and directors under Section 16(a) of the Exchange Act, as well as our Ethics and Code of Conduct Policy. Financial and other material information regarding the Company is routinely posted on our website and is readily accessible. We do not intend for information contained on our website to be part of this Annual Report on Form 10-K.</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700"/>
          </w:cols>
          <w:pgMar w:left="820" w:top="1018" w:right="72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Investing in our securities involves a high degree of risk. In addition to the other information contained in this Annual Report, you should consider the following risk factors before investing in our securities. Risks in this section are grouped in the following categories: (1) Risks Related to Our Business and Industry; (2) Legal and Regulatory Risks; (3) Risks Related to Our Indebtedness; and (4) Risks Related to the Ownership of Our Common Stock. Many risks affect more than one category, and the risks are not in order of significance or probability of occurrence because they have been grouped by categories.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general conditions that affect U.S. consumer discretionary spending in our markets include:</w:t>
      </w:r>
    </w:p>
    <w:p>
      <w:pPr>
        <w:spacing w:after="0" w:line="70" w:lineRule="exact"/>
        <w:rPr>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of the economy;</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confidence in the economy;</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wages, jobs and unemployment trends;</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health events (such as the COVID-19 pandemic) and their effect on our customers, team members, vendors/ suppliers and other stakeholders;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housing market, including real estate prices and mortgage rates;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credit availability;</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debt levels;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gasoline and fuel prices;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rates and inflation;</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rates and tax policy;</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immigration policy;</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 and customs duties/tariffs and policy;</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 of natural or man-made disasters;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legislation and regulations;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unrest, trade disputes, labor shortages, and other disruptions to the supply chain;</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raw material and commodity prices; and</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national and international security and safety concerns.</w:t>
      </w:r>
    </w:p>
    <w:p>
      <w:pPr>
        <w:spacing w:after="0" w:line="130"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Increasing volatility in financial markets may cause some of the aforementioned conditions to change with even greater degree of frequency and magnitude.</w:t>
      </w:r>
    </w:p>
    <w:p>
      <w:pPr>
        <w:spacing w:after="0" w:line="6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Our comparable sales, net sales per square foot, customer traffic or average value per transaction may be adversely affected if, for example, our customers reduce their purchases with us due to continued high inflation,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700"/>
          </w:cols>
          <w:pgMar w:left="820" w:top="1251" w:right="720" w:bottom="0" w:gutter="0" w:footer="0" w:header="0"/>
          <w:type w:val="continuous"/>
        </w:sectPr>
      </w:pPr>
    </w:p>
    <w:bookmarkStart w:id="22" w:name="page23"/>
    <w:bookmarkEnd w:id="22"/>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including as a result of continued increases in interest rates,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7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9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23" w:lineRule="exact"/>
        <w:rPr>
          <w:sz w:val="20"/>
          <w:szCs w:val="20"/>
          <w:color w:val="auto"/>
        </w:rPr>
      </w:pPr>
    </w:p>
    <w:p>
      <w:pPr>
        <w:ind w:left="1440" w:hanging="370"/>
        <w:spacing w:after="0" w:line="281" w:lineRule="auto"/>
        <w:tabs>
          <w:tab w:leader="none" w:pos="14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shifts in behavior away from team sports and outdoor activities in favor of travel, media (including social media) and electronics-driven leisure activities;</w:t>
      </w:r>
    </w:p>
    <w:p>
      <w:pPr>
        <w:spacing w:after="0" w:line="1"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local and federal government budget cuts on facilities and activities, such as school athletic budgets, parks, ball fields, recreational sports leagues, hunting and fishing services, etc.;</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weak economic conditions, recession, inflation or other factors, such as global or local pandemics;</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and regulatory changes in federal and state hunting and fishing seasons, bag limits and firearm and ammunition restrictions;</w:t>
      </w:r>
    </w:p>
    <w:p>
      <w:pPr>
        <w:spacing w:after="0" w:line="1" w:lineRule="exact"/>
        <w:rPr>
          <w:rFonts w:ascii="Times New Roman" w:cs="Times New Roman" w:eastAsia="Times New Roman" w:hAnsi="Times New Roman"/>
          <w:sz w:val="20"/>
          <w:szCs w:val="20"/>
          <w:color w:val="auto"/>
        </w:rPr>
      </w:pPr>
    </w:p>
    <w:p>
      <w:pPr>
        <w:jc w:val="both"/>
        <w:ind w:left="1440" w:hanging="370"/>
        <w:spacing w:after="0" w:line="266" w:lineRule="auto"/>
        <w:tabs>
          <w:tab w:leader="none" w:pos="14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15"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escalating costs of sporting and outdoor activities due to adverse changes in economic conditions, including inflation, rising fuel prices, rising participation fees and rising sporting license fees; and</w:t>
      </w:r>
    </w:p>
    <w:p>
      <w:pPr>
        <w:spacing w:after="0" w:line="1" w:lineRule="exact"/>
        <w:rPr>
          <w:rFonts w:ascii="Times New Roman" w:cs="Times New Roman" w:eastAsia="Times New Roman" w:hAnsi="Times New Roman"/>
          <w:sz w:val="20"/>
          <w:szCs w:val="20"/>
          <w:color w:val="auto"/>
        </w:rPr>
      </w:pPr>
    </w:p>
    <w:p>
      <w:pPr>
        <w:jc w:val="both"/>
        <w:ind w:left="1440" w:hanging="370"/>
        <w:spacing w:after="0" w:line="260" w:lineRule="auto"/>
        <w:tabs>
          <w:tab w:leader="none" w:pos="14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severe weather and natural or man-made disasters (e.g., an oil spill closing large areas of hunting or fishing), including heat waves, freezes, hurricanes, tornadoes, large storms and floods, and the effects of such events on consumer demand for certain seasonal goods and the ability of large urban areas to continue spending on sporting goods and outdoor recreation products.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700"/>
          </w:cols>
          <w:pgMar w:left="820" w:top="1018" w:right="720" w:bottom="0" w:gutter="0" w:footer="0" w:header="0"/>
          <w:type w:val="continuous"/>
        </w:sectPr>
      </w:pPr>
    </w:p>
    <w:bookmarkStart w:id="23" w:name="page24"/>
    <w:bookmarkEnd w:id="23"/>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their brand name merchandise, we may not be able to meet the demand of our customers for their brand names.</w:t>
      </w:r>
    </w:p>
    <w:p>
      <w:pPr>
        <w:spacing w:after="0" w:line="8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factors beyond our control, such as severe weather, local safety concerns, player-lockouts or strikes, may significantly affect whether or not certain sports leagues are able to host their games in their usual seasons, and if they are, whether or not spectators can or are able to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21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Intense competition in the sporting goods and outdoor recreation retail industries could limit our growth and reduce our profitability.</w:t>
      </w:r>
    </w:p>
    <w:p>
      <w:pPr>
        <w:spacing w:after="0" w:line="5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market for sporting and outdoor recreation goods is highly fragmented, intensely competitive, and continually evolving.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23" w:lineRule="exact"/>
        <w:rPr>
          <w:sz w:val="20"/>
          <w:szCs w:val="20"/>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mass general merchants;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department stores;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 format sporting goods stores;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traditional sporting goods stores;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specialty outdoor retailers;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specialty footwear retailers;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catalogue and internet retailers;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suppliers that sell directly to customers.</w:t>
      </w:r>
    </w:p>
    <w:p>
      <w:pPr>
        <w:spacing w:after="0" w:line="13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free merchandise shipping, and suppliers selling directly to consumers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700"/>
          </w:cols>
          <w:pgMar w:left="820" w:top="1018" w:right="720" w:bottom="0" w:gutter="0" w:footer="0" w:header="0"/>
          <w:type w:val="continuous"/>
        </w:sectPr>
      </w:pPr>
    </w:p>
    <w:bookmarkStart w:id="24" w:name="page25"/>
    <w:bookmarkEnd w:id="24"/>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Any failure to protect the integrity, confidentiality, and availability of our information systems (including our technology infrastructure and networks, third party services, and hosted and on-premises software) and data that we hold relating to us and our customers, team members, and partners (including vendors) could result in lost sales, fines, penalties, assessments, investigations, inquiries, and/or lawsuits, a loss of confidence in us, and harm to our reputation, business, results of operations, and financial condition.</w:t>
      </w:r>
    </w:p>
    <w:p>
      <w:pPr>
        <w:spacing w:after="0" w:line="8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security of our information systems (including our technology infrastructure and networks, third party services, and hosted and on-premises software) and data (including from our customers, team members and partners) is critical to our business as a retailer, and we devote significant resources to protecting our information systems and data. In order to operate our business and to provide products and services to our customers, we collect, source, store, maintain, and process data that can be used to identify a person (i.e., personal data or personally identifiable information), including customers, partners, and team members, along with our intellectual property and proprietary business information. We share data with third parties for further processing consistent with applicable terms and conditions. Our retail stores and online operations depend on the secure transmission and processing of confidential information and the continued operation of information systems necessary to perform store operations and to process transactions. Our customers provide payment card and gift card information, alternative payment information, and other personal information to purchase products or services, enroll in promotional programs, apply for credit, create accounts and make purchases on our website or mobile applications, or otherwise communicate and interact with us. Job applicants provide personal information in connection with their employment application and our team members provide personal information in connection with their continued employment. We may share information about individual persons with partners assisting with certain aspects of our business. Some personal data and personally identifiable information may be deemed sensitive or otherwise protected under applicable laws or regulations and may be subject to specific requirements for collection, processing, security, and disposal.</w:t>
      </w:r>
    </w:p>
    <w:p>
      <w:pPr>
        <w:spacing w:after="0" w:line="98"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We and our partners rely on commercially available information security technology and industry standard operational practices for collecting, storing, maintaining, transmitting, protecting, and processing data. Despite our security measures, we may not be able to anticipate, prevent, and stop future cybersecurity incidents, including attacks to our information systems and data and those of our partners. Threat actors may have the ability to defeat our security measures and may obtain access to data (including personal data or personally identifiable information) that we hold relating to us and our customers, team members, and vendors, or may cause operational harm. For example, ransomware events could cause key systems to be unavailable for use, or credential stuffing attacks of customer accounts on our website could cause customer privacy breaches and authorized charges to payment or gift cards, or phishing/smishing attacks, in which attackers masquerade as a trustworthy entity in an electronic communication (including email or text message), could gain control of a user's device and/or credentials. The techniques used by threat actors to attack or access systems and data evolve and may not be recognized until or after being launched against a target. We may not have the resources or technical sophistication to anticipate, prevent or stop new or evolving cybersecurity incidents, including attacks to our information systems and data and those of our partners. We may also be vulnerable to breaches due to human error or other disruptions, including data privacy breaches by employees, insiders or others with authorized access, or other cybersecurity incidents. As new and improved technologies and methodologies become available to threat actors (for example, artificial intelligence), increased risks and currently unknown vulnerabilities could result in significant future expenditures related to our information systems, technology infrastructure and operations. A future cybersecurity incident could also (1) result in unauthorized access, disclosure, loss, or misuse of our intellectual property, proprietary information, or team member, customer or supplier data, (2) attract substantial media attention, (3) damage our relationships with our customers, team members, and partners, (4) cause a loss of confidence in us or cause us to violate applicable privacy laws and obligations, (5) expose us to costly government enforcement actions or private litigation and financial liability (possibly beyond our insurance coverage), (6) increase the costs we incur to protect against or remediate cybersecurity incidents and vulnerabilities, (7) result in additional costs and operational activities to comply with consumer protection and data privacy laws and obligations, and/or (8) disrupt our operations and distract our management and other key personnel from performing their primary operational duties, any of which could adversely affect our reputation, competitiveness, business, results of operations, and financial condition. Any of the foregoing can be exacerbated by a delay or failure to detect a cybersecurity incident or the full extent of such incident.</w:t>
      </w:r>
    </w:p>
    <w:p>
      <w:pPr>
        <w:spacing w:after="0" w:line="10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maintain cyber liability insurance in an amount and coverage we deem appropriate, taking into account the specific coverages and coverage requirements in the marketplace. There is no guarantee that our cyber liability insurance will cover a particular cyber incident, that such coverage will be sufficient, or that insurance proceeds will be paid in a timely manner. If an insurance carrier seeks to deny coverage of a particular loss, we may incur costs to dispute the denial of coverage, which could result in paying costs that otherwise would be recovered from insurance and delays in or ultimate denial of coverage.</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700"/>
          </w:cols>
          <w:pgMar w:left="820" w:top="1009" w:right="720" w:bottom="0" w:gutter="0" w:footer="0" w:header="0"/>
          <w:type w:val="continuous"/>
        </w:sectPr>
      </w:pPr>
    </w:p>
    <w:bookmarkStart w:id="25" w:name="page26"/>
    <w:bookmarkEnd w:id="25"/>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data privacy and cybersecurity regulatory environment is constantly changing, with new and increasingly rigorous or complex requirements. Consumer data privacy and cybersecurity laws and related regulations have been enacted and additional laws and regulations are under consideration by various state and federal legislatures and regulatory authorities. Maintaining compliance with those requirements may require significant effort, cost, new or improved technical capabilities, and changes to our business practices, and may limit our ability to obtain or use data to provide a personalized customer experience or to engage in certain marketing practices. In addition, any alleged or actual failure to comply with applicable requirements could subject us to fines, sanctions, governmental investigations, lawsuits, reputational damage, and other risks and costs that may be difficult to anticipate but could become material.</w:t>
      </w:r>
    </w:p>
    <w:p>
      <w:pPr>
        <w:spacing w:after="0" w:line="1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11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 significant portion of the merchandise that we sell, including merchandise we purchase from domestic suppliers and much of our private label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supply chain disruptions including those caused by extreme weather, natural disasters, public health events (such as pandemics)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For example, in late 2021, the United States Government enacted the Uyghur Forced Labor Prevention Act (“UFLPA”), which presumes goods produced in the Xinjiang Uyghur Autonomous Region of China, or with labor linked to specified Chinese government-sponsored labor programs, were produced using forced labor and prohibits importation of such goods into the United States absent clear and convincing evidence proving otherwise. Compliance with UFLPA could have a material adverse effect on our business, financial condition and results of operations.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9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9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become more expensive or may no longer be available at a commercially attractive price or at all, each of which in turn could have a material adverse effect on our business, financial condition and results of operations.</w:t>
      </w:r>
    </w:p>
    <w:p>
      <w:pPr>
        <w:spacing w:after="0" w:line="8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 significant amount of our merchandise is produced in China. The ongoing COVID-19 pandemic in China has led to, and may continue to lead to,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again curtailed, we may need to seek alternate manufacturing sources, which may be more expensive. Alternate sources may not be available or may result in delays in shipments to us from our supply chain and subsequently to our customers, each of which would affect our results of operations. The duration of the production and supply chain disruption, and related financial impact, cannot be estimated at this time. Should such production and distribution closures continue or be re-imposed, the impact on our supply chain in China and globally could have a material adverse effect on our results of operations and cash flows.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700"/>
          </w:cols>
          <w:pgMar w:left="820" w:top="1018" w:right="720" w:bottom="0" w:gutter="0" w:footer="0" w:header="0"/>
          <w:type w:val="continuous"/>
        </w:sectPr>
      </w:pPr>
    </w:p>
    <w:bookmarkStart w:id="26" w:name="page27"/>
    <w:bookmarkEnd w:id="26"/>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In addition, the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8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General trade tensions between the United States and China began escalating in 2018, with the Trump administration ultimately imposing multiple rounds of tariffs on imports from China, where we and many of our vendors source commodities. As a result, we have experienced rising inventory costs on private label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have had an adverse effect on our business, financial condition and results of operations. In response, we have sought alternative suppliers or vendors, raised prices, and made changes to our operations. The continuation of this situation could have further adverse effects on our sales and profitability, results of operations and financial condition. Since the date of our last annual report, no significant modifications have been enacted relative to the escalated tariffs which impact our business.</w:t>
      </w:r>
    </w:p>
    <w:p>
      <w:pPr>
        <w:spacing w:after="0" w:line="204"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Problems with operating, updating or implementing our information systems could disrupt our operations and negatively impact our business operations and materially and adversely affect our financial results.</w:t>
      </w:r>
    </w:p>
    <w:p>
      <w:pPr>
        <w:spacing w:after="0" w:line="5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efficient operation of our business is dependent on the successful integration and operation of our information systems, some of which require interoperability to perform the intended function or are dependent on services managed or provided by third-parties. For example, we rely on our information systems to manage merchandise planning and replenishment, warehousing and distribution, store operations, customer relationships, e-commerce, and customer transactions, optimize our overall inventory levels, process financial information and sales transactions, pay and receive funds, prevent security breaches and fraud, communicate internally and externally, provide support services, and comply with legal and regulatory obligations.</w:t>
      </w:r>
    </w:p>
    <w:p>
      <w:pPr>
        <w:spacing w:after="0" w:line="8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information systems, if not functioning properly or if failing to function altogether, could disrupt our ability to track, record, and analyze sales and inventory and could cause disruptions of operations, including, among other things, our ability to order, process and ship inventory, process financial information including credit card transactions, prepare financial statements,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or other cybersecurity incidents, catastrophic events and severe weather such as fires, floods, tornadoes, earthquakes and hurricanes, and usage or coding errors by our team members or partners. From time to time we have experienced, and we may in the future further experience, interruptions, damages, or failures of our information systems, some of which disrupt our business and cause us to expend additional resources to rectify. Although we attempt to mitigate the risk of possible business interruptions by employing customary strategies, any material disruption, malfunction or any other similar problem in or with our information systems could negatively impact our business operations and materially and adversely affect our financial results.</w:t>
      </w:r>
    </w:p>
    <w:p>
      <w:pPr>
        <w:spacing w:after="0" w:line="9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From time to time, our information systems may require repair, upgrade, enhancement, integration and/or replacement for us to maintain successful current operations and achieve future sales and store growth.</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700"/>
          </w:cols>
          <w:pgMar w:left="820" w:top="1018" w:right="720" w:bottom="0" w:gutter="0" w:footer="0" w:header="0"/>
          <w:type w:val="continuous"/>
        </w:sectPr>
      </w:pPr>
    </w:p>
    <w:bookmarkStart w:id="27" w:name="page28"/>
    <w:bookmarkEnd w:id="27"/>
    <w:p>
      <w:pPr>
        <w:ind w:left="360"/>
        <w:spacing w:after="0"/>
        <w:rPr>
          <w:sz w:val="20"/>
          <w:szCs w:val="20"/>
          <w:color w:val="auto"/>
        </w:rPr>
      </w:pPr>
      <w:r>
        <w:rPr>
          <w:rFonts w:ascii="Times New Roman" w:cs="Times New Roman" w:eastAsia="Times New Roman" w:hAnsi="Times New Roman"/>
          <w:sz w:val="20"/>
          <w:szCs w:val="20"/>
          <w:color w:val="auto"/>
        </w:rPr>
        <w:t>Updating our existing information systems subjects us to numerous risks, including:</w:t>
      </w:r>
    </w:p>
    <w:p>
      <w:pPr>
        <w:spacing w:after="0" w:line="70" w:lineRule="exact"/>
        <w:rPr>
          <w:sz w:val="20"/>
          <w:szCs w:val="20"/>
          <w:color w:val="auto"/>
        </w:rPr>
      </w:pPr>
    </w:p>
    <w:p>
      <w:pPr>
        <w:ind w:left="1440" w:hanging="370"/>
        <w:spacing w:after="0"/>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information;</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normal operations;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or other operating procedures;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internal control over financial reporting or general computer controls;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problems maintaining accuracy of historical data;</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and dedication of key business resources to the updating of existing systems;</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attract and retain adequate experienced technical resources and third-party contractors for the updating of existing systems;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unknown impact on remaining systems;</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adequacy of training and change management to address critical changes in business processes and job functions; and</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updated information system ultimately does not meet the needs of the business.</w:t>
      </w:r>
    </w:p>
    <w:p>
      <w:pPr>
        <w:spacing w:after="0" w:line="13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Any failure to successfully update and maintain our information systems, and any missteps, delays, cost overruns, vendor disputes, technical challenges or other similar issues that may arise during the updating of our information systems, could have a material impact on our business, financial condition, results of operations, internal controls over financial reporting and ability to manage our business effectively.</w:t>
      </w:r>
    </w:p>
    <w:p>
      <w:pPr>
        <w:spacing w:after="0" w:line="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From time to time, we may undertake initiatives involving numerous information systems to improve and enhance our capabilities, whether for operational, financial or risk reduction purposes. Any failure to timely, properly or adequately implement these information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depend on approximately 1,400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76"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We depend on approximately 1,400 suppliers to supply us in a timely and efficient manner with the merchandise we sell. Our significant dependence on these suppliers exposes us to various risks that could have a material adverse effect on our business and results of operations. In 2023, purchases from our largest vendor represented approximately 11%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as a result of public health emergencies, such as the COVID-19 pandemic, and measures taken by the Chinese government or other governments in response to such events), we may experience merchandise out-of-stocks, delivery delays or increased delivery costs, or otherwise be unable to obtain the same merchandise from other suppliers in a timely and efficient manner and on acceptable terms, or at all, which could materially affect our results of operations and our customers’ confidence in us. For example, during fiscal 2021, we began to see increased competition across the industry for resources throughout the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 Fluctuations in the supply chain or changes in our relationships with our suppliers (which can occur for various reasons in or out of our control)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Further, vendors increasingly sell their products directly to customers or through broadened or alternative distribution channels, such as department stores, family footwear stores, or e-commerce companies.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700"/>
          </w:cols>
          <w:pgMar w:left="820" w:top="1018" w:right="720" w:bottom="0" w:gutter="0" w:footer="0" w:header="0"/>
          <w:type w:val="continuous"/>
        </w:sectPr>
      </w:pPr>
    </w:p>
    <w:bookmarkStart w:id="28" w:name="page29"/>
    <w:bookmarkEnd w:id="28"/>
    <w:p>
      <w:pPr>
        <w:ind w:right="2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Harm to our reputation could adversely impact our ability to attract and retain customers, team members, vendors and/or other partners.</w:t>
      </w:r>
    </w:p>
    <w:p>
      <w:pPr>
        <w:spacing w:after="0" w:line="57"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cybersecurity incidents, product liability and product recalls, our social media activity, our handling of issues relating to corporate responsibility matters, including our response to such matters, failure to comply with applicable laws and regulations or enforce our own policies, our policies related to the sale of firearms, ammunition and accessories, our policies relating to public health, public stances on controversial social or political issues, concerns surrounding labor, environmental, workplace safety and other practices that may vary from U.S. standards in any of our foreign manufacturers, whether directly or indirectly,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failure of our third-party vendors of outsourced business services and solutions to meet our performance standards and expectations could adversely affect our operations.</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As part of our long-term strategy, we look for opportunities to cost-effectively enhance the capabilities of our business services. In some cases, 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In some cases, we rely on a single vendor for such services. While we believe we conduct appropriate due diligence before entering into agreements with these third-parties, if we fail to properly manage these vendors or if they fail to meet, or are prevented from meeting, our performance standards and expectations, then our reputation, sales, and results of operations could be adversely affected. Any significant interruption in the operations of these service providers, over which we have no control, could also have an adverse effect on our business. In addition, we could face increased costs or incur substantial time in finding and implementing replacement service vendors or, alternatively, hiring new team members, making additional technology purchases, and changing information systems configurations to provide these business services and solutions in-house.</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700"/>
          </w:cols>
          <w:pgMar w:left="820" w:top="1009" w:right="720" w:bottom="0" w:gutter="0" w:footer="0" w:header="0"/>
          <w:type w:val="continuous"/>
        </w:sectPr>
      </w:pPr>
    </w:p>
    <w:bookmarkStart w:id="29" w:name="page30"/>
    <w:bookmarkEnd w:id="29"/>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7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vacant retail stores or developable store sites. The availability of second-generation retail store space and developable store sites (i.e., land and redevelopment sites) that meet our criteria is very low. In addition, land prices and lease rents have continued to increase due to various macroeconomic factors. Further,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9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typically lease our stores under operating leases with initial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8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our expansion in new and existing markets may present competitive, merchandising, marketing, human resources, distribution and regulatory challenges that differ from our current challenges, including expanding and improving our operating capabilities,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As a result of our anticipated growth, we may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9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 large part, upon our ability to open new stores in a timely manner and to operate them profitably. In 2020 and 2021, in response to the then-current retail environment, we temporarily stopped new store openings, before resuming in 2022 and continuing through the date of this Annual Report.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Furthermore, the success of our stores depends on several factors including the sustained success of the shopping center where the store is located, consumer demographics, and consumer shopping habits and patterns. Changes in consumer shopping habits and patterns, reduced customer traffic in the shopping centers where our stores are located, financial difficulties of our landlords, or the shopping center operators, anchor tenants or a significant number of other retailers, and shopping center vacancies or closures, could impact the profitability of our stores and increase the likelihood that our landlords or the shopping centers operators fail to fulfill their obligations and conditions under our lease agreements or governing documents. Thus, our failure to achieve our expansion plans could materially and adversely affect our business, financial condition and results of operations.</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700"/>
          </w:cols>
          <w:pgMar w:left="820" w:top="1009" w:right="720" w:bottom="0" w:gutter="0" w:footer="0" w:header="0"/>
          <w:type w:val="continuous"/>
        </w:sectPr>
      </w:pPr>
    </w:p>
    <w:bookmarkStart w:id="30" w:name="page31"/>
    <w:bookmarkEnd w:id="30"/>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e-commerce activities expose us to various risks that could have a material adverse impact on our overall results of operations.</w:t>
      </w:r>
    </w:p>
    <w:p>
      <w:pPr>
        <w:spacing w:after="0" w:line="5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33" w:lineRule="exact"/>
        <w:rPr>
          <w:sz w:val="20"/>
          <w:szCs w:val="20"/>
          <w:color w:val="auto"/>
        </w:rPr>
      </w:pPr>
    </w:p>
    <w:p>
      <w:pPr>
        <w:ind w:left="1440" w:hanging="370"/>
        <w:spacing w:after="0" w:line="281" w:lineRule="auto"/>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our sales across the United States, thereby, subjecting us to the regulatory and other requirements of the 50 states;</w:t>
      </w:r>
    </w:p>
    <w:p>
      <w:pPr>
        <w:spacing w:after="0" w:line="1"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website operating issues, including website availability, system reliability, website operation, Internet connectivity, website errors, computer viruses, telecommunication failures, electronic break-ins or similar disruptions;</w:t>
      </w:r>
    </w:p>
    <w:p>
      <w:pPr>
        <w:spacing w:after="0" w:line="1"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keep pace with rapid technological change and investments from competitors, and maintain investments necessary for our e-commerce operation;</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compliance issues related to the online sale of merchandise;</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litigation related to the enforcement of patent rights;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privacy and personal data security;</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 against credit card and gift card fraud;</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fulfillment, inventory control and shipping issues for e-commerce transactions;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issues, including state sales tax collection for e-commerce transactions;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hiring, retention and training of personnel qualified to conduct our e-commerce operation;</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procure adequate computer hardware and software and technology services and solutions from third-party providers; and</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in visits to, diversion and/or cannibalization of sales from, existing retail stores.</w:t>
      </w:r>
    </w:p>
    <w:p>
      <w:pPr>
        <w:spacing w:after="0" w:line="13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In addition, offering different products through each channel could cause conflicts and cause some of our current or potential e-commerce customers to consider our competitors. Offering products through our e-commerce platform could also cause some of our current or potential vendors to consider competing internet or mobile offerings of their products either on their own or through competing distributors. If we do not successfully manage the risks and navigate the challenges associated with our e-commerce activities, it could have a material adverse effect on our results of operations. 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700"/>
          </w:cols>
          <w:pgMar w:left="820" w:top="1009" w:right="720" w:bottom="0" w:gutter="0" w:footer="0" w:header="0"/>
          <w:type w:val="continuous"/>
        </w:sectPr>
      </w:pPr>
    </w:p>
    <w:bookmarkStart w:id="31" w:name="page32"/>
    <w:bookmarkEnd w:id="31"/>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private label brand merchandise exposes us to various risks generally encountered by companies that source, manufacture, market and retail exclusive private label brand merchandise.</w:t>
      </w:r>
    </w:p>
    <w:p>
      <w:pPr>
        <w:spacing w:after="0" w:line="5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In addition to national brand merchandise, we offer customers private label brand merchandise, most of which is sold exclusively by Academy. The sale of private label brand merchandise subjects us to certain risks, including:</w:t>
      </w:r>
    </w:p>
    <w:p>
      <w:pPr>
        <w:spacing w:after="0" w:line="1" w:lineRule="exact"/>
        <w:rPr>
          <w:sz w:val="20"/>
          <w:szCs w:val="20"/>
          <w:color w:val="auto"/>
        </w:rPr>
      </w:pPr>
    </w:p>
    <w:p>
      <w:pPr>
        <w:ind w:left="1440" w:hanging="370"/>
        <w:spacing w:after="0" w:line="281"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and profitably conduct sourcing and manufacturing activities internally or with third-party agents, manufacturers and distributors;</w:t>
      </w:r>
    </w:p>
    <w:p>
      <w:pPr>
        <w:spacing w:after="0" w:line="1"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mandatory or voluntary product recalls;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and lawsuits resulting from injuries associated with the use of our private label brand merchandise;</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protect our intellectual property or other proprietary rights (e.g., defending against counterfeit, knock-offs, grey-market, infringing or otherwise unauthorized goods);</w:t>
      </w:r>
    </w:p>
    <w:p>
      <w:pPr>
        <w:spacing w:after="0" w:line="1"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navigate and avoid claims related to the intellectual property or other proprietary rights of third parties;</w:t>
      </w:r>
    </w:p>
    <w:p>
      <w:pPr>
        <w:spacing w:after="0" w:line="1" w:lineRule="exact"/>
        <w:rPr>
          <w:rFonts w:ascii="Times New Roman" w:cs="Times New Roman" w:eastAsia="Times New Roman" w:hAnsi="Times New Roman"/>
          <w:sz w:val="20"/>
          <w:szCs w:val="20"/>
          <w:color w:val="auto"/>
        </w:rPr>
      </w:pPr>
    </w:p>
    <w:p>
      <w:pPr>
        <w:jc w:val="both"/>
        <w:ind w:left="1440" w:hanging="370"/>
        <w:spacing w:after="0" w:line="266"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15" w:lineRule="exact"/>
        <w:rPr>
          <w:rFonts w:ascii="Times New Roman" w:cs="Times New Roman" w:eastAsia="Times New Roman" w:hAnsi="Times New Roman"/>
          <w:sz w:val="20"/>
          <w:szCs w:val="20"/>
          <w:color w:val="auto"/>
        </w:rPr>
      </w:pPr>
    </w:p>
    <w:p>
      <w:pPr>
        <w:jc w:val="both"/>
        <w:ind w:left="1440" w:hanging="370"/>
        <w:spacing w:after="0" w:line="266"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15" w:lineRule="exact"/>
        <w:rPr>
          <w:rFonts w:ascii="Times New Roman" w:cs="Times New Roman" w:eastAsia="Times New Roman" w:hAnsi="Times New Roman"/>
          <w:sz w:val="20"/>
          <w:szCs w:val="20"/>
          <w:color w:val="auto"/>
        </w:rPr>
      </w:pPr>
    </w:p>
    <w:p>
      <w:pPr>
        <w:jc w:val="both"/>
        <w:ind w:left="1440" w:hanging="370"/>
        <w:spacing w:after="0" w:line="281" w:lineRule="auto"/>
        <w:tabs>
          <w:tab w:leader="none" w:pos="14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price of raw materials used in the manufacturing of our private label brand merchandise and other risks generally encountered by entities that source, manufacture, market and retail private label brand merchandise.</w:t>
      </w:r>
    </w:p>
    <w:p>
      <w:pPr>
        <w:spacing w:after="0" w:line="6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Our failure to adequately address some or all of these risks could have a material adverse effect on our business, results of operations and financial condition.</w:t>
      </w:r>
    </w:p>
    <w:p>
      <w:pPr>
        <w:spacing w:after="0" w:line="17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operate three distribution centers located in Katy, Texas; Twiggs County, Georgia; and Cookeville, Tennessee, to manage the receipt, storage, sorting, packing and distribution of our merchandise to the appropriate stores or to the customer directly. We depend in large part on the orderly operation of our receiving and distribution process, which depends, in turn, on adherence to shipping schedules, proper functioning of our information technology and inventory control systems and overall effective management of our distribution centers. As a result of damage to, or prolonged interruption of, operations or inventory at any of these facilities, or with respect to third-party transportation providers, due to a work stoppage, labor shortage, operations significantly below historical efficiency levels, supply chain disruption, public health events (such as pandemics), severe weather (such as tornadoes) or natural or man-made disasters (including events that may be caused or exacerbated by climate change), system failures or cyber incidents, slowdowns or strikes, acts of terror or other unforeseen events in the areas or regions of these facilities could impair our ability to adequately stock our stores, process returns of products to vendors and ship product to our e-commerce customers, thereby adversely 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8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Although we maintain business interruption and property insurance for these facilities, there can be no assurance that our insurance coverage will be sufficient, or that insurance proceeds will be timely paid to us, if our distribution centers are shut down or interrupted for any unplanned reason.</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700"/>
          </w:cols>
          <w:pgMar w:left="820" w:top="1009" w:right="72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Our quarterly operating results and comparable sales may fluctuate due to seasonality and other factors outside of our control.</w:t>
      </w:r>
    </w:p>
    <w:p>
      <w:pPr>
        <w:spacing w:after="0" w:line="1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We must carry a significant amount of inventory, particularly before these selling periods.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 If we are not successful in selling our inventory during these periods, we may be forced to rely on markdowns or promotional sales to dispose of the excess inventory or may not be able to sell the inventory at all, which could have a material adverse effect on our business, financial condition and results of operations.</w:t>
      </w:r>
    </w:p>
    <w:p>
      <w:pPr>
        <w:spacing w:after="0" w:line="96"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Our quarterly results of operations and comparable sales have historically fluctuated, and may continue to fluctuate, as a result of factors outside our control, including:</w:t>
      </w:r>
    </w:p>
    <w:p>
      <w:pPr>
        <w:spacing w:after="0" w:line="1" w:lineRule="exact"/>
        <w:rPr>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regional and national economic conditions;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confidence in the economy;</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unseasonal or extreme weather conditions, natural or man-made disasters or public health emergencies (such as snow storms, hurricanes, tornadoes, floods, pandemics, and civil disturbances);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catastrophic or tragic events (such as tragedies involving firearms);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demand for the products that we offer in our stores;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new product introduction;</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lockouts or strikes involving professional sports teams;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of sports superstars used in marketing various products;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sports scandals, including those involving leagues, associations, teams or athletes with ties to us or our markets;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the closure of existing stores;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or failure of college and professional sports teams in our markets;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existing or entry of new competitors into our markets;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of competitors in our markets;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shift in consumer tastes and fashion trends;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shifts or holiday or seasonal periods;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income tax refunds to customers;</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politics or consumer advocacy affecting our business, including sentiment relating to the sale of firearms and ammunition;</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cancellations of tax-free holidays in certain states;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promotions or other actions taken by us or our existing or possible new competitors; and</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other tenants or landlords or surrounding geographic circumstances in the shopping centers in which we are located.</w:t>
      </w:r>
    </w:p>
    <w:p>
      <w:pPr>
        <w:spacing w:after="0" w:line="6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700"/>
          </w:cols>
          <w:pgMar w:left="820" w:top="1009" w:right="720" w:bottom="0" w:gutter="0" w:footer="0" w:header="0"/>
          <w:type w:val="continuous"/>
        </w:sectPr>
      </w:pPr>
    </w:p>
    <w:bookmarkStart w:id="33" w:name="page34"/>
    <w:bookmarkEnd w:id="33"/>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occurrence of severe weather events, catastrophic public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our e-commerce orders, especially during peak shopping seasons.</w:t>
      </w:r>
    </w:p>
    <w:p>
      <w:pPr>
        <w:spacing w:after="0" w:line="8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Unforeseen events, including public health events, such as pandemics, natural disasters, such as earthquakes, hurricanes, tornadoes, freezes, snow or ice storms, floods and heavy rains, heatwaves,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Global climate change may result in significant natural disasters occurring more frequently or with greater intensity, such as drought, wildfires, storms, sea-level rise, and flooding. Socio-political factors, such as foreign wars, civil unrest or other economic or political uncertainties that contribute to consumer unease or harm to our supply chain or store base, may also result in decreased discretionary spending, property damage and/or business interruption losses. For example, we may face losses related to the civil unrest in the United States, such as that which occurred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and any precautions that we may take may not be adequate to mitigate the impact of such events. If these events impact areas in which we have our corporate headquarters, distribution centers, a concentration of retail stores or vendor sources or foreign and/or U.S. ports, such events could have a material adverse effect on our business, financial condition and results of operations.</w:t>
      </w:r>
    </w:p>
    <w:p>
      <w:pPr>
        <w:spacing w:after="0" w:line="2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failure to attract, train and retain quality team members in sufficient numbers, increases in wage and labor costs, and changes in laws and other labor issues could adversely affect our business.</w:t>
      </w:r>
    </w:p>
    <w:p>
      <w:pPr>
        <w:spacing w:after="0" w:line="17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 xml:space="preserve">The success of our business depends significantly on our ability to hire and retain quality team members, including store managers, </w:t>
      </w:r>
      <w:r>
        <w:rPr>
          <w:rFonts w:ascii="Times New Roman" w:cs="Times New Roman" w:eastAsia="Times New Roman" w:hAnsi="Times New Roman"/>
          <w:sz w:val="20"/>
          <w:szCs w:val="20"/>
          <w:b w:val="1"/>
          <w:bCs w:val="1"/>
          <w:i w:val="1"/>
          <w:iCs w:val="1"/>
          <w:color w:val="auto"/>
        </w:rPr>
        <w:t>Enthusiasts</w:t>
      </w:r>
      <w:r>
        <w:rPr>
          <w:rFonts w:ascii="Times New Roman" w:cs="Times New Roman" w:eastAsia="Times New Roman" w:hAnsi="Times New Roman"/>
          <w:sz w:val="20"/>
          <w:szCs w:val="20"/>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which can lead to increased training and retention costs, particularly if employment opportunities increase.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competition,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public health events, such as the COVID-19 pandemic. We have experienced, and expect to continue to experience, a shortage of labor for certain functions, which has increased our labor costs and negatively impacted our profitability. The extent and duration of the effect of these labor market challenges are subject to numerous factors, including availability of qualified persons in the markets where we and our contracted service providers operate and unemployment levels within these markets, behavioral changes, prevailing wage rates and other benefits, inflation, adoption of new or revised employment and labor laws and regulations (including increased minimum wage requirements) or government programs, safety levels of our operations, and our reputation within the labor market.</w:t>
      </w:r>
    </w:p>
    <w:p>
      <w:pPr>
        <w:spacing w:after="0" w:line="15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Recent or potential future legislative initiatives may seek to increase the federal minimum wage in the United States, as well as the minimum wage in a number of individual states or markets.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we continue to monitor which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700"/>
          </w:cols>
          <w:pgMar w:left="820" w:top="1009" w:right="720" w:bottom="0" w:gutter="0" w:footer="0" w:header="0"/>
          <w:type w:val="continuous"/>
        </w:sectPr>
      </w:pPr>
    </w:p>
    <w:bookmarkStart w:id="34" w:name="page35"/>
    <w:bookmarkEnd w:id="34"/>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31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depend on key personnel in order to support our existing business and future initiatives and may not be able to retain or replace these team members, recruit additional qualified personnel or effectively manage succession.</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future success may be adversely impacted if we are not able to attract, retain and develop talent and future leaders, including our senior executives and team members. Our senior executive team closely supervises all major aspects of our business, including the design and development of our strategy, and procurement of merchandise; operation of our information technology platforms, supply chain, and store network; development and retention of critical talent; and financial planning, reporting and compliance. Our senior executive team has substantial experience and expertise in our retail business, and serves an integral role in the growth and support of our various initiatives. If we were to lose the leadership of senior executives or other key team members without appropriate successors in place, our business could be adversely affected. In addition, if significant unexpected turnover occurs at the team member level, the loss of the services of these individuals, or any resulting negative perceptions of our business, could damage our reputation and our business. Competition for such qualified talent is significant, and we cannot be sure we will be able to find suitable successors promptly, or at all, or to successfully integrate any successors, or that we will be able to attract, retain, and develop a sufficient number of qualified individuals in future periods.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stores are located primarily in the southern United States which could subject us to regional risks.</w:t>
      </w:r>
    </w:p>
    <w:p>
      <w:pPr>
        <w:spacing w:after="0" w:line="1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2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5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 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8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For example, during fiscal 2021, we began to see increased competition across the industry for resources throughout the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 In addition, changes in regulations may result in higher fuel costs through taxation, transportation restrictions or other means. Fluctuations in transportation costs and availability could adversely affect our results of operations.</w:t>
      </w:r>
    </w:p>
    <w:p>
      <w:pPr>
        <w:spacing w:after="0" w:line="33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Labor shortages in the transportation industry have historically had and could potentially continue to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700"/>
          </w:cols>
          <w:pgMar w:left="820" w:top="1018" w:right="720" w:bottom="0" w:gutter="0" w:footer="0" w:header="0"/>
          <w:type w:val="continuous"/>
        </w:sectPr>
      </w:pPr>
    </w:p>
    <w:bookmarkStart w:id="35" w:name="page36"/>
    <w:bookmarkEnd w:id="35"/>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Difficulties in moving products manufactured overseas and through the ports of North America, whether due to port congestion, government shutdowns, labor disputes, product regulations and/or inspections or other factors, including man-made or natural disasters and public health events, could negatively affect our business.</w:t>
      </w:r>
    </w:p>
    <w:p>
      <w:pPr>
        <w:spacing w:after="0" w:line="18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5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The payment methods that we offer also subject us to potential fraud and theft by criminals, who are becoming increasingly sophisticated, seeking to obtain unauthorized access to or exploit weaknesses that may exist in the payment systems.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success depends on the effectiveness of our marketing and advertising programs.</w:t>
      </w:r>
    </w:p>
    <w:p>
      <w:pPr>
        <w:spacing w:after="0" w:line="1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against inventory shrink, our results of operations and financial condition could be adversely affected.</w:t>
      </w:r>
    </w:p>
    <w:p>
      <w:pPr>
        <w:spacing w:after="0" w:line="29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Our business depends on our ability to effectively manage our inventory. We have historically experienced loss of inventory (also called shrink) due to damage, theft (including from organized retail crime), and other causes. We continue to experience elevated levels of inventory shrink relative to historical levels, which has adversely affected, and could continue to adversely affect, our results of operations and financial condition. To protect against rising inventory shrink, we have taken, and may continue to take, certain operational and strategic actions that could adversely affect our reputation, customer experience, and results of operations. In addition, sustained high rates of inventory shrink at certain stores could impact the profitability of those stores and result in the impairment of long-term assets.</w:t>
      </w:r>
    </w:p>
    <w:p>
      <w:pPr>
        <w:spacing w:after="0" w:line="20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pursue strategic acquisitions, which could have an adverse impact on our business, as could assimilation of companies following acquisition.</w:t>
      </w:r>
    </w:p>
    <w:p>
      <w:pPr>
        <w:spacing w:after="0" w:line="5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700"/>
          </w:cols>
          <w:pgMar w:left="820" w:top="1018" w:right="72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Legal and Regulatory Risks</w:t>
      </w:r>
    </w:p>
    <w:p>
      <w:pPr>
        <w:spacing w:after="0" w:line="2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costs and risks associated with laws and regulations affecting our business, including those relating to the sale, manufacture and import of consumer products and other matters, and the substance or enforcement of such laws may change or become more stringent.</w:t>
      </w:r>
    </w:p>
    <w:p>
      <w:pPr>
        <w:spacing w:after="0" w:line="7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(DOJ), Department of Treasury, Federal Trade Commission, Customs and Border Protection, Bureau of Alcohol, Tobacco, Firearms and Explosives (ATF), SEC, Internal Revenue Service, or IRS, and Environmental Protection Agency and comparable state and local agencies.</w:t>
      </w:r>
    </w:p>
    <w:p>
      <w:pPr>
        <w:spacing w:after="0" w:line="8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1" w:lineRule="exact"/>
        <w:rPr>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product safety, product liability or consumer protection laws;</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related to advertising, marketing, pricing and selling our products, including but not limited to firearms, ammunition, and related accessories;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 and employment laws, including wage and hour laws;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laws or interpretations thereof, including collection of state sales tax on e-commerce sales;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protection and privacy laws and regulations;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laws and regulations;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hazardous material laws and regulations;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customs or import and export laws and regulations, including collection of tariffs on product imports;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laws;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antitrust and competition regulations;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banking and anti-money laundering regulations;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Americans with Disabilities Act, or ADA, and similar state and local laws and regulations;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website design and content regulations; and</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and exchange laws and regulations.</w:t>
      </w:r>
    </w:p>
    <w:p>
      <w:pPr>
        <w:spacing w:after="0" w:line="13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are a federally licensed firearms dealer and we sell firearms, ammunition, and related accessories. Firearms represented approximately 5% of our net sales in 2023.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DOJ announced a new policy to underscore zero tolerance for willful violations of the law by federally licensed firearms dealers that put public safety at risk. Since announcing this policy, ATF (a law enforcement agency in the DOJ) revoked 157 federal firearms licenses in 2023, compared to 88 licenses revoked in 2022 and five in the last six months of 2021. In the future, there may be increased federal, state or local regulation or enforcement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8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Another significant risk relating to our operations is compliance with the FCPA, the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ectPr>
          <w:pgSz w:w="12240" w:h="15840" w:orient="portrait"/>
          <w:cols w:equalWidth="0" w:num="1">
            <w:col w:w="10700"/>
          </w:cols>
          <w:pgMar w:left="820" w:top="101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700"/>
          </w:cols>
          <w:pgMar w:left="820" w:top="1011" w:right="720" w:bottom="0" w:gutter="0" w:footer="0" w:header="0"/>
          <w:type w:val="continuous"/>
        </w:sectPr>
      </w:pPr>
    </w:p>
    <w:bookmarkStart w:id="37" w:name="page38"/>
    <w:bookmarkEnd w:id="37"/>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140"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climate change and other sustainability-related matters, or legal, regulatory or market expectations and responses.</w:t>
      </w:r>
    </w:p>
    <w:p>
      <w:pPr>
        <w:spacing w:after="0" w:line="22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Climate change resulting from increased concentrations of carbon dioxide and other greenhouse gases in the atmosphere, including increases in global temperatures, changes in weather patterns and increasingly frequent and/or prolonged extreme weather and climate related events, could present risks to our operations. The potential impacts of climate change present a variety of risks. The physical effects of climate change, such as extreme weather conditions, drought, and rising sea levels, could adversely affect our results of operations, including by increasing our energy costs, disrupting our supply chain, negatively impacting our workforce, damaging our stores, distribution centers, and inventory, and threatening the habitability of the locations in which we operate.</w:t>
      </w:r>
    </w:p>
    <w:p>
      <w:pPr>
        <w:spacing w:after="0" w:line="19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have significant operations in certain states where natural disasters are more prevalent. Natural disasters in those states or in other areas where we operate could result in significant physical damage to or closure of one or more of our stores, distribution centers, facilities, or key vendors. In addition, weather conditions, natural disasters, and other catastrophic events in areas where we or our vendors operate, or depend upon for continued operations, could adversely affect the availability and cost of certain products within our supply chain, affect consumer purchasing power, and reduce consumer demand. Any of these events could adversely affect our results of operations. For additional information, see also our risk factor related to the impact of severe weather under “Risks Related to Our Business and Industry” above.</w:t>
      </w:r>
    </w:p>
    <w:p>
      <w:pPr>
        <w:spacing w:after="0" w:line="210"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0"/>
          <w:szCs w:val="20"/>
          <w:color w:val="auto"/>
        </w:rPr>
        <w:t>Climate change could exacerbate challenges relating to the availability and quality of water and raw materials, including those used in the production of the private label and other merchandise that we sell, may lead to increased energy usage and costs, and may result in changes in regulations or consumer preferences that could have a material adverse effect on our business, results of operations and financial condition. Uncharacteristic or significant weather conditions, including the physical impacts of climate change, can affect consumer shopping patterns, particularly in apparel and seasonal items, which could lead to lower sales or greater than expected markdowns and adversely affect our results of operations. There has been an increased focus by governmental and non-governmental organizations, customers, team members and other stakeholders on products that are sustainably made and other sustainability matters, including responsible sourcing, the use of plastic, conservation, energy and water, the recyclability of packaging and materials transparency, all of which may require us to incur increased costs for additional transparency, due diligence, and reporting. Additionally, recent proposed legislative and regulatory changes related to climate change and reporting at both the federal and state levels could increase the complexity of, and compliance costs associated with, such regulations, which could have a material adverse effect on our business, results of operations and financial condition.</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700"/>
          </w:cols>
          <w:pgMar w:left="820" w:top="1018" w:right="720" w:bottom="0" w:gutter="0" w:footer="0" w:header="0"/>
          <w:type w:val="continuous"/>
        </w:sectPr>
      </w:pPr>
    </w:p>
    <w:bookmarkStart w:id="38" w:name="page39"/>
    <w:bookmarkEnd w:id="38"/>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5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15" w:lineRule="exact"/>
        <w:rPr>
          <w:sz w:val="20"/>
          <w:szCs w:val="20"/>
          <w:color w:val="auto"/>
        </w:rPr>
      </w:pPr>
    </w:p>
    <w:p>
      <w:pPr>
        <w:jc w:val="both"/>
        <w:ind w:left="1440" w:hanging="370"/>
        <w:spacing w:after="0" w:line="260"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spacing w:after="0" w:line="23" w:lineRule="exact"/>
        <w:rPr>
          <w:rFonts w:ascii="Times New Roman" w:cs="Times New Roman" w:eastAsia="Times New Roman" w:hAnsi="Times New Roman"/>
          <w:sz w:val="20"/>
          <w:szCs w:val="20"/>
          <w:color w:val="auto"/>
        </w:rPr>
      </w:pPr>
    </w:p>
    <w:p>
      <w:pPr>
        <w:jc w:val="both"/>
        <w:ind w:left="1440" w:hanging="370"/>
        <w:spacing w:after="0" w:line="266"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15"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 purchase, manufacture, import, distribution and sale of our private label brand products;</w:t>
      </w:r>
    </w:p>
    <w:p>
      <w:pPr>
        <w:spacing w:after="0" w:line="70" w:lineRule="exact"/>
        <w:rPr>
          <w:rFonts w:ascii="Times New Roman" w:cs="Times New Roman" w:eastAsia="Times New Roman" w:hAnsi="Times New Roman"/>
          <w:sz w:val="20"/>
          <w:szCs w:val="20"/>
          <w:color w:val="auto"/>
        </w:rPr>
      </w:pPr>
    </w:p>
    <w:p>
      <w:pPr>
        <w:jc w:val="both"/>
        <w:ind w:left="1440" w:hanging="370"/>
        <w:spacing w:after="0" w:line="266"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15"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municipalities or other organizations attempting to recover costs from firearm manufacturers and retailers, relating to the use of firearms and ammunition;</w:t>
      </w:r>
    </w:p>
    <w:p>
      <w:pPr>
        <w:spacing w:after="0" w:line="1"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operations of a fleet of trucks for distribution purposes, including transportation of hazardous materials by such fleet;</w:t>
      </w:r>
    </w:p>
    <w:p>
      <w:pPr>
        <w:spacing w:after="0" w:line="1"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procurement and ownership, leasing or operation of property for retail stores, distribution centers and other corporate needs;</w:t>
      </w:r>
    </w:p>
    <w:p>
      <w:pPr>
        <w:spacing w:after="0" w:line="1"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alleged infringement upon intellectual property rights to merchandise we sell or technology or services we use, including information technology, marketing and advertising services;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sourcing, including international, customs and trade issues;</w:t>
      </w:r>
    </w:p>
    <w:p>
      <w:pPr>
        <w:spacing w:after="0" w:line="7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 estate issues, including construction, leasing, zoning and environmental issues;</w:t>
      </w:r>
    </w:p>
    <w:p>
      <w:pPr>
        <w:spacing w:after="0" w:line="70" w:lineRule="exact"/>
        <w:rPr>
          <w:rFonts w:ascii="Times New Roman" w:cs="Times New Roman" w:eastAsia="Times New Roman" w:hAnsi="Times New Roman"/>
          <w:sz w:val="20"/>
          <w:szCs w:val="20"/>
          <w:color w:val="auto"/>
        </w:rPr>
      </w:pPr>
    </w:p>
    <w:p>
      <w:pPr>
        <w:jc w:val="both"/>
        <w:ind w:left="1440" w:hanging="370"/>
        <w:spacing w:after="0" w:line="266"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15"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disputes, including contractual and business disputes with vendors, landlords, or competitors;</w:t>
      </w:r>
    </w:p>
    <w:p>
      <w:pPr>
        <w:spacing w:after="0" w:line="70"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tort, personal injury and property damage claims related to our stores, e-commerce, distribution centers or corporate headquarters;</w:t>
      </w:r>
    </w:p>
    <w:p>
      <w:pPr>
        <w:spacing w:after="0" w:line="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unauthorized access to our information systems or facilities that results in a breach of data security or privacy; and</w:t>
      </w:r>
    </w:p>
    <w:p>
      <w:pPr>
        <w:spacing w:after="0" w:line="70" w:lineRule="exact"/>
        <w:rPr>
          <w:rFonts w:ascii="Times New Roman" w:cs="Times New Roman" w:eastAsia="Times New Roman" w:hAnsi="Times New Roman"/>
          <w:sz w:val="20"/>
          <w:szCs w:val="20"/>
          <w:color w:val="auto"/>
        </w:rPr>
      </w:pPr>
    </w:p>
    <w:p>
      <w:pPr>
        <w:jc w:val="both"/>
        <w:ind w:left="1440" w:hanging="370"/>
        <w:spacing w:after="0" w:line="260" w:lineRule="auto"/>
        <w:tabs>
          <w:tab w:leader="none" w:pos="1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8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sell firearms, ammunition, and related accessories. These products are associated with an increased risk of injury and related lawsuits with respect to our compliance with federal and state laws and regulations covering such products. Any improper or illegal use by our customers of firearms, ammunition, or related accessories sold by us could have a negative impact on our reputation and business. We are, and may in the future also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9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700"/>
          </w:cols>
          <w:pgMar w:left="820" w:top="1009" w:right="720" w:bottom="0" w:gutter="0" w:footer="0" w:header="0"/>
          <w:type w:val="continuous"/>
        </w:sectPr>
      </w:pPr>
    </w:p>
    <w:bookmarkStart w:id="39" w:name="page40"/>
    <w:bookmarkEnd w:id="39"/>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maintain insurance coverage with third-party insurers. However, not every risk or liability is or can be protected by insurance, and, for those risks we insure, the limits of coverage we purchase or that are reasonably obtainable in the market may not be sufficient to cover all actual losses or liabilities incurred. Liability insurance coverage is expensive and there is a risk that commercially available liability insurance will not continue to be available to us at a reasonable cost, if at all. If we or other industry participants sustain significant losses or make significant insurance claims, our ability to obtain future insurance coverage at commercially reasonable rates could be materially adversely affected. An inability to obtain liability insurance, significant increases in the cost of insurance we obtain, or losses in excess of our liability insurance coverage could have a material adverse effect on us.</w:t>
      </w:r>
    </w:p>
    <w:p>
      <w:pPr>
        <w:spacing w:after="0" w:line="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Any insurance we carry, including the aforementioned insurance coverage, reflects deductibles, self-insured retentions, limits of liability and similar provisions that we believe are prudent based on our operations. 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9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carry or maintain such insurance coverage or meet their indemnity obligations or (3) we will be able to collect payments from our vendors sufficient to offset liability losses or, in the case of our private label brand products, where almost all of the manufacturing occurs outside the United States, that we will be able to collect anything at all.</w:t>
      </w:r>
    </w:p>
    <w:p>
      <w:pPr>
        <w:spacing w:after="0" w:line="8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With all claims and lawsuits, however, there is a risk that liabilities, fines and losses may not be covered by insurance or indemnity or may exceed insurance or indemnity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sales and operating results could be adversely affected by product safety concerns.</w:t>
      </w:r>
    </w:p>
    <w:p>
      <w:pPr>
        <w:spacing w:after="0" w:line="199" w:lineRule="exact"/>
        <w:rPr>
          <w:sz w:val="20"/>
          <w:szCs w:val="20"/>
          <w:color w:val="auto"/>
        </w:rPr>
      </w:pPr>
    </w:p>
    <w:p>
      <w:pPr>
        <w:jc w:val="both"/>
        <w:ind w:firstLine="360"/>
        <w:spacing w:after="0" w:line="276" w:lineRule="auto"/>
        <w:rPr>
          <w:sz w:val="20"/>
          <w:szCs w:val="20"/>
          <w:color w:val="auto"/>
        </w:rPr>
      </w:pPr>
      <w:r>
        <w:rPr>
          <w:rFonts w:ascii="Times New Roman" w:cs="Times New Roman" w:eastAsia="Times New Roman" w:hAnsi="Times New Roman"/>
          <w:sz w:val="20"/>
          <w:szCs w:val="20"/>
          <w:color w:val="auto"/>
        </w:rPr>
        <w:t>If the products that we offer, including from both national brands and our private label brands, do not meet applicable safety standards or our customers’ expectations regarding safety, we could experience decreased sales, increased costs, and/or be exposed to legal and reputational risk. All of our vendors must comply with applicable product safety laws, and we rely on our vendors to ensure that the products we buy comply with all federal, state, and local requirements for sale, including product safety, labeling, and testing requirements. Negative customer perceptions and publicity regarding the safety and sourcing of the products we sell, and events that give rise to actual, potential, or perceived product safety concerns could expose us to government enforcement action and/ or private litigation. Furthermore, reputational damage caused by real or perceived product safety concerns could have a negative impact on our sales and operating results.</w:t>
      </w:r>
    </w:p>
    <w:p>
      <w:pPr>
        <w:spacing w:after="0" w:line="1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believe that our trademarks, service marks, copyrights, patents, processes, trade secrets, domain names and other intellectual property, including our Academy Sports + Outdoors brand, our private label brands, such as Academy Sports + Outdoors, Magellan Outdoors, BCG, O'rageous, Game Winner, Outdoor Gourmet, Freely and R.O.W., and our goodwill, designs, names, slogans, images and trade dress associated with these brands, are valuable assets, and are essential to our success and our competitive position due to their name recognition with customers.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700"/>
          </w:cols>
          <w:pgMar w:left="820" w:top="1018" w:right="72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requires that we dedicate a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8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As of February 3, 2024, we had approximately $91.8 million outstanding under the Term Loan and $400.0 million outstanding under the Notes, all of which is secured. As of February 3, 2024, we had no borrowings outstanding under the ABL Facility (as defined in Note 4 of the accompanying financial statements), an available borrowing capacity under the ABL Facility of approximately $881.4 million (which is subject to customary borrowing conditions, including a borrowing base), and outstanding letters of credit of $11.6 million, all of which were issued under the ABL Facility.</w:t>
      </w:r>
    </w:p>
    <w:p>
      <w:pPr>
        <w:spacing w:after="0" w:line="8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overall level of indebtedness requires that we dedicate a portion of our cash flows to debt service payments. The Term Loan (as defined in Note 4 of the accompanying financial statements) requires quarterly principal payments through September 30, 2027, and monthly cash interest payments through maturity. The ABL Facility, under which we had no borrowings as of February 3, 2024, matures on November 6, 2025. The Notes (as defined in Note 4 of the accompanying financial statements) require semi-annual payments of interest (in arrears) and matures on November 15, 2027.</w:t>
      </w:r>
    </w:p>
    <w:p>
      <w:pPr>
        <w:spacing w:after="0" w:line="8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Our indebtedness reduces the funds that would otherwise be available for operations, future business opportunities and payments of our debt obligations and limits our ability to:</w:t>
      </w:r>
    </w:p>
    <w:p>
      <w:pPr>
        <w:spacing w:after="0" w:line="61" w:lineRule="exact"/>
        <w:rPr>
          <w:sz w:val="20"/>
          <w:szCs w:val="20"/>
          <w:color w:val="auto"/>
        </w:rPr>
      </w:pPr>
    </w:p>
    <w:p>
      <w:pPr>
        <w:ind w:left="1440" w:hanging="370"/>
        <w:spacing w:after="0" w:line="281" w:lineRule="auto"/>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additional financing, if necessary, for working capital and operations, or such financing may not be available on favorable terms;</w:t>
      </w:r>
    </w:p>
    <w:p>
      <w:pPr>
        <w:spacing w:after="0" w:line="61"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needed capital expenditures;</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strategic acquisitions or investments or enter into joint ventures;</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react to changes or withstand a future downturn in our business, the industry or the economy in general;</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meet store growth, distribution center expansion, e-commerce growth, budget targets and forecasts of future results;</w:t>
      </w:r>
    </w:p>
    <w:p>
      <w:pPr>
        <w:spacing w:after="0" w:line="141" w:lineRule="exact"/>
        <w:rPr>
          <w:rFonts w:ascii="Times New Roman" w:cs="Times New Roman" w:eastAsia="Times New Roman" w:hAnsi="Times New Roman"/>
          <w:sz w:val="19"/>
          <w:szCs w:val="19"/>
          <w:color w:val="auto"/>
        </w:rPr>
      </w:pPr>
    </w:p>
    <w:p>
      <w:pPr>
        <w:ind w:left="1440" w:hanging="370"/>
        <w:spacing w:after="0"/>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business activities, including future opportunities that may be in our interest; and</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react to competitive pressures or compete with competitors with less debt.</w:t>
      </w:r>
    </w:p>
    <w:p>
      <w:pPr>
        <w:spacing w:after="0" w:line="130"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61"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8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700"/>
          </w:cols>
          <w:pgMar w:left="820" w:top="1251" w:right="720" w:bottom="0" w:gutter="0" w:footer="0" w:header="0"/>
          <w:type w:val="continuous"/>
        </w:sectPr>
      </w:pPr>
    </w:p>
    <w:bookmarkStart w:id="41" w:name="page42"/>
    <w:bookmarkEnd w:id="41"/>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Despite our level of indebtedness, we may still be able to incur substantially more debt, which could further increase the risks to our financial condition described above.</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Despite our level of indebtedness, we may be able to incur significant additional indebtedness in the future, including off-balance sheet financings, trade credit, contractual obligations and general and commercial liabilities. Although the credit agreements governing the Term Loan and the ABL Facility and the indenture governing the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February 3, 2024, we had no borrowings outstanding under the ABL Facility, and an available borrowing capacity under the ABL Facility of approximately $881.4 million (which is subject to customary borrowing conditions, including a borrowing base). We may be able to increase the commitments under the ABL Facility by $250.0 million, subject to certain conditions. We may also be able to increase the capacity under the Term Loan by up to the greater of (x) $480.0 million and (y) 100% of the Consolidated EBITDA (as defined in the Term Loan),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1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and the ABL Facility and the indenture governing the Notes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9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1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terms of our outstanding indebtedness may restrict our current and future operations, particularly our ability to respond to changes or to take certain actions.</w:t>
      </w:r>
    </w:p>
    <w:p>
      <w:pPr>
        <w:spacing w:after="0" w:line="5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credit agreements governing the Term Loan and the ABL Facility and the indenture governing the Notes contain restrictive covenants that impose significant operating and financial restrictions on us and may limit our ability to engage in acts that may be in our best interest, including restrictions on our ability to:</w:t>
      </w:r>
    </w:p>
    <w:p>
      <w:pPr>
        <w:spacing w:after="0" w:line="15" w:lineRule="exact"/>
        <w:rPr>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 and guarantee indebtedness;</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or make other distributions in respect of, or repurchase or redeem, capital stock;</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 redeem or repurchase certain debt;</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loans, investments and other restricted payments;</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or otherwise dispose of assets;</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liens;</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the businesses we conduct;</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agreements restricting our subsidiaries’ ability to pay dividends; and</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or sell all or substantially all of our assets.</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700"/>
          </w:cols>
          <w:pgMar w:left="820" w:top="1009" w:right="720" w:bottom="0" w:gutter="0" w:footer="0" w:header="0"/>
          <w:type w:val="continuous"/>
        </w:sectPr>
      </w:pPr>
    </w:p>
    <w:bookmarkStart w:id="42" w:name="page43"/>
    <w:bookmarkEnd w:id="42"/>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Additionally, at certain times, the ABL Facility requires maintenance of a certain minimum adjusted fixed charge coverage ratio. Our ability to comply with the covenants and restrictions contained in our credit agreements and indenture may be affected by events beyond our control. If market or other economic conditions deteriorate, our ability to comply with these covenants and restrictions may be impaired.</w:t>
      </w:r>
    </w:p>
    <w:p>
      <w:pPr>
        <w:spacing w:after="0" w:line="8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 governing our ABL Facility would permit the lenders under our ABL Facility to terminate all commitments to extend further credit under that facility. Furthermore, if we were unable to repay the amounts due and payable under secured indebtedness, the lenders/holders of such indebtedness could proceed against the collateral granted to them to secure that indebtedness, and we could be forced into bankruptcy or liquidation.</w:t>
      </w:r>
    </w:p>
    <w:p>
      <w:pPr>
        <w:spacing w:after="0" w:line="20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variable rate indebtedness subjects us to interest rate risk, which could cause our debt service obligations to increase significantly.</w:t>
      </w:r>
    </w:p>
    <w:p>
      <w:pPr>
        <w:spacing w:after="0" w:line="5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Borrowings under the Term Loan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In the past we have used, and in the future we may again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89"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Secured Overnight Financing Rate (“SOFR”)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or our future debt linked to such a “benchmark” and our ability to service debt that bears interest at floating rates of interest.</w:t>
      </w:r>
    </w:p>
    <w:p>
      <w:pPr>
        <w:spacing w:after="0" w:line="1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5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(or at all), our liquidity may be adversely affected. In addition, the lenders under the ABL Facility may reduce the borrowing base under the facility in certain circumstances, which could adversely impact our liquidity and results of operations.</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7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new store profitability is partially attributable to our ability to negotiate attractive rental rates with our landlords and, in the future, to secure sale-leaseback financing at attractive cap rates. Our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700"/>
          </w:cols>
          <w:pgMar w:left="820" w:top="1018" w:right="720" w:bottom="0" w:gutter="0" w:footer="0" w:header="0"/>
          <w:type w:val="continuous"/>
        </w:sectPr>
      </w:pPr>
    </w:p>
    <w:bookmarkStart w:id="43" w:name="page44"/>
    <w:bookmarkEnd w:id="43"/>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successful retail strategy is partially attributable to our ability to negotiate favorable trade terms with our vendors. Our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level of indebtedness could adversely affect the profitability of our business, which could make it more difficult for us to generate cash flow sufficient to satisfy our obligations under our indebtedness.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Ownership of Our Common Stock</w:t>
      </w:r>
    </w:p>
    <w:p>
      <w:pPr>
        <w:spacing w:after="0" w:line="2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5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trading price of our common stock may be highly volatile and may be adversely affected due to a number of factors, many of which are beyond our control, including without limitation those listed elsewhere under this “Risk Factors” section, and the following:</w:t>
      </w:r>
    </w:p>
    <w:p>
      <w:pPr>
        <w:spacing w:after="0" w:line="15" w:lineRule="exact"/>
        <w:rPr>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operations that vary from the expectations of securities analysts and investors;</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operations that vary from those of our competitors;</w:t>
      </w:r>
    </w:p>
    <w:p>
      <w:pPr>
        <w:spacing w:after="0" w:line="70"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expectations as to our future financial performance, including financial estimates and investment recommendations by securities analysts and investors;</w:t>
      </w:r>
    </w:p>
    <w:p>
      <w:pPr>
        <w:spacing w:after="0" w:line="1"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economic conditions for companies in our industry;</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market valuations of, or earnings and other announcements by, companies in our industry;</w:t>
      </w:r>
    </w:p>
    <w:p>
      <w:pPr>
        <w:spacing w:after="0" w:line="70"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declines in the market prices of stocks generally, particularly those of sporting goods and outdoor recreation retail companies;</w:t>
      </w:r>
    </w:p>
    <w:p>
      <w:pPr>
        <w:spacing w:after="0" w:line="1"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management personnel;</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actions by us or our competitors;</w:t>
      </w:r>
    </w:p>
    <w:p>
      <w:pPr>
        <w:spacing w:after="0" w:line="70" w:lineRule="exact"/>
        <w:rPr>
          <w:rFonts w:ascii="Times New Roman" w:cs="Times New Roman" w:eastAsia="Times New Roman" w:hAnsi="Times New Roman"/>
          <w:sz w:val="20"/>
          <w:szCs w:val="20"/>
          <w:color w:val="auto"/>
        </w:rPr>
      </w:pPr>
    </w:p>
    <w:p>
      <w:pPr>
        <w:jc w:val="both"/>
        <w:ind w:left="1260" w:hanging="370"/>
        <w:spacing w:after="0" w:line="266"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15"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preference of our customers and our market share;</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general economic or market conditions or trends in our industry or the economy as a whole;</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governmental fiscal policy or interest rate regulation;</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business or regulatory conditions;</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sales of our common stock or other securities, or the perception that such sales may occur;</w:t>
      </w:r>
    </w:p>
    <w:p>
      <w:pPr>
        <w:spacing w:after="0" w:line="70"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perceptions of or the investment opportunity associated with our common stock relative to other investment alternatives;</w:t>
      </w:r>
    </w:p>
    <w:p>
      <w:pPr>
        <w:spacing w:after="0" w:line="1"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way we are perceived in the marketplace, including due to negative publicity or campaigns on social media to boycott certain of our products, our business or our industry;</w:t>
      </w:r>
    </w:p>
    <w:p>
      <w:pPr>
        <w:spacing w:after="0" w:line="1"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response to press releases or other public announcements by us or third parties, including our filings with the SEC;</w:t>
      </w:r>
    </w:p>
    <w:p>
      <w:pPr>
        <w:spacing w:after="0" w:line="1"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or proposed changes in laws or regulations or differing interpretations or enforcement thereof affecting our business;</w:t>
      </w:r>
    </w:p>
    <w:p>
      <w:pPr>
        <w:spacing w:after="0" w:line="1"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relating to litigation or governmental investigations;</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guidance, if any, that we provide to the public, any changes in this guidance or our failure to meet this guidance;</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and sustainability of an active trading market for our common stock;</w:t>
      </w:r>
    </w:p>
    <w:p>
      <w:pPr>
        <w:spacing w:after="0" w:line="70"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 and</w:t>
      </w:r>
    </w:p>
    <w:p>
      <w:pPr>
        <w:spacing w:after="0" w:line="70"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including those resulting from informational technology system failures and disruptions, epidemics, pandemics, natural disasters, acts of terrorism, civil unrest, wars or responses to these events.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700"/>
          </w:cols>
          <w:pgMar w:left="820" w:top="1018" w:right="720" w:bottom="0" w:gutter="0" w:footer="0" w:header="0"/>
          <w:type w:val="continuous"/>
        </w:sectPr>
      </w:pPr>
    </w:p>
    <w:bookmarkStart w:id="44" w:name="page45"/>
    <w:bookmarkEnd w:id="44"/>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19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cannot provide any guaranty of future dividend payments or that we will repurchase our common stock pursuant to our share repurchase program, and our indebtedness could limit our ability to pay future dividends on our common stock.</w:t>
      </w:r>
    </w:p>
    <w:p>
      <w:pPr>
        <w:spacing w:after="0" w:line="11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declared and paid our first quarterly cash dividend for the fourth quarter for fiscal 2021 and have paid a quarterly cash dividend consistently thereafter. However, we are not required to declare dividends. Any determination to pay future dividends to holders of our common stock will be at the discretion of our Board of Directors and will depend upon many factors, including our financial condition, results of operations, projections, liquidity, earnings, business strategy, legal requirements, covenant compliance, restrictions in our existing and any future debt agreements and other factors that our Board of Directors deems relevant. Therefore, there can be no assurance that we will pay any dividends to holders of our common stock or as to the amount of any such dividends. In addition, our historical results of operations, including cash flow, are not indicative of future financial performance, and our actual results of operations could differ significantly from our historical results of operations. We have not adopted, and do not currently expect to adopt, a separate written dividend policy. Furthermore, although our Board of Directors has authorized a share repurchase program, the timing, manner, price and amount of any common stock repurchases will be determined by the Company in its discretion and will depend on a variety of factors, including legal requirements, price and economic and market conditions. We are not obligated to make any purchases under the program, and we may discontinue it at any time.</w:t>
      </w:r>
    </w:p>
    <w:p>
      <w:pPr>
        <w:spacing w:after="0" w:line="21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Additionally, our operations are conducted through our wholly owned subsidiaries and our ability to generate cash to meet our debt service obligations or to make future dividend payments or conduct share repurchases, if any, is highly dependent on the earnings of, and the receipt of funds from, our subsidiaries via dividends or intercompany loans. In addition, Delaware law may impose requirements that may restrict our ability to pay dividends to holders of our common stock or our ability to repurchase our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Anti-takeover provisions in our organizational documents could delay or prevent a change of control.</w:t>
      </w:r>
    </w:p>
    <w:p>
      <w:pPr>
        <w:spacing w:after="0" w:line="1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These provisions provide for, among other things:</w:t>
      </w:r>
    </w:p>
    <w:p>
      <w:pPr>
        <w:spacing w:after="0" w:line="70" w:lineRule="exact"/>
        <w:rPr>
          <w:sz w:val="20"/>
          <w:szCs w:val="20"/>
          <w:color w:val="auto"/>
        </w:rPr>
      </w:pPr>
    </w:p>
    <w:p>
      <w:pPr>
        <w:ind w:left="1260" w:hanging="370"/>
        <w:spacing w:after="0" w:line="281" w:lineRule="auto"/>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of Directors, as a result of which our Board of Directors is divided into three classes, with each class serving for staggered three-year terms;</w:t>
      </w:r>
    </w:p>
    <w:p>
      <w:pPr>
        <w:spacing w:after="0" w:line="1"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Board of Directors to issue one or more series of preferred stock without stockholder approval;</w:t>
      </w:r>
    </w:p>
    <w:p>
      <w:pPr>
        <w:spacing w:after="0" w:line="70"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requirements for nominations of directors by stockholders and for stockholders to include matters to be considered at our annual meetings;</w:t>
      </w:r>
    </w:p>
    <w:p>
      <w:pPr>
        <w:spacing w:after="0" w:line="1" w:lineRule="exact"/>
        <w:rPr>
          <w:rFonts w:ascii="Times New Roman" w:cs="Times New Roman" w:eastAsia="Times New Roman" w:hAnsi="Times New Roman"/>
          <w:sz w:val="20"/>
          <w:szCs w:val="20"/>
          <w:color w:val="auto"/>
        </w:rPr>
      </w:pPr>
    </w:p>
    <w:p>
      <w:pPr>
        <w:ind w:left="1260" w:hanging="370"/>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limitations on convening special stockholder meetings;</w:t>
      </w:r>
    </w:p>
    <w:p>
      <w:pPr>
        <w:spacing w:after="0" w:line="70"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removal of directors only for cause and only upon the affirmative vote of the holders of at least 66 2/3% of the shares of common stock entitled to vote generally in the election of directors; and</w:t>
      </w:r>
    </w:p>
    <w:p>
      <w:pPr>
        <w:spacing w:after="0" w:line="1" w:lineRule="exact"/>
        <w:rPr>
          <w:rFonts w:ascii="Times New Roman" w:cs="Times New Roman" w:eastAsia="Times New Roman" w:hAnsi="Times New Roman"/>
          <w:sz w:val="20"/>
          <w:szCs w:val="20"/>
          <w:color w:val="auto"/>
        </w:rPr>
      </w:pPr>
    </w:p>
    <w:p>
      <w:pPr>
        <w:ind w:left="1260" w:hanging="370"/>
        <w:spacing w:after="0" w:line="281" w:lineRule="auto"/>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certain provisions may be amended only by the affirmative vote of at least 66 2/3% of shares of common stock entitled to vote generally in the election of directors.</w:t>
      </w:r>
    </w:p>
    <w:p>
      <w:pPr>
        <w:spacing w:after="0" w:line="6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700"/>
          </w:cols>
          <w:pgMar w:left="820" w:top="1018" w:right="720" w:bottom="0" w:gutter="0" w:footer="0" w:header="0"/>
          <w:type w:val="continuous"/>
        </w:sectPr>
      </w:pPr>
    </w:p>
    <w:bookmarkStart w:id="45" w:name="page46"/>
    <w:bookmarkEnd w:id="45"/>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8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deemed to have waived our compliance with these laws, rules and regulations.</w:t>
      </w:r>
    </w:p>
    <w:p>
      <w:pPr>
        <w:spacing w:after="0" w:line="9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You may be diluted by the future issuance of additional common stock in connection with our incentive plans, acquisitions or otherwise.</w:t>
      </w:r>
    </w:p>
    <w:p>
      <w:pPr>
        <w:spacing w:after="0" w:line="17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have approximately 226 million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New Academy Holding Company, LLC 2011 Unit Incentive Plan (the "2011 Equity Plan"), our 2020 Omnibus Incentive Plan (the "2020 Equity Plan"), and our 2020 Employee Stock Purchase Plan (the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700"/>
          </w:cols>
          <w:pgMar w:left="820" w:top="124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700"/>
          </w:cols>
          <w:pgMar w:left="820" w:top="1249" w:right="72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 security of our information systems and data is critical to our business as a retailer, and we devote significant resources to protecting our information systems and data. We continue to invest in people, technology, and processes to protect data and systems against evolving cybersecurity threats. We have implemented a cybersecurity program that we believe is reasonably designed to manage risks from cybersecurity threats, including those that may result in adverse effects on the confidentiality, integrity, and availability of our information systems, and impact the security of information we create, maintain, and process on our information systems. Our program is designed to enable us to prevent, monitor, identify, detect, investigate, respond to, mitigate, and report on cybersecurity threats and incidents.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Governance</w:t>
      </w:r>
    </w:p>
    <w:p>
      <w:pPr>
        <w:spacing w:after="0" w:line="25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has adopted a cross-functional and multi-management level approach to assessing and managing risks arising from cybersecurity threats. The audit committee of our Board of Directors (the “Audit Committee”) oversees the Company’s enterprise risk management program. As part of this oversight, the Audit Committee has primary responsibility for overseeing risks related to cybersecurity, although the full Board of Directors retains ultimate oversight over these risks. Cybersecurity is a standing agenda item of the Audit Committee’s regular quarterly meetings, where the Audit Committee reviews and discusses cybersecurity risks along with the Company’s cybersecurity programs and strategy with management. The Audit Committee receives reports and presentations from our Chief Information Officer (CIO) and our General Counsel at its quarterly meetings on a range of topics, including our cybersecurity program and processes, our information systems, risk identification and mitigation strategies, the evolving cybersecurity threat landscape, regulatory developments, board education, and notable incidents or threats affecting the Company. From time to time between quarterly meetings, our CIO and General Counsel or other members of management may hold additional cybersecurity-related discussions with the Audit Committee. The Audit Committee regularly reports on its cybersecurity program oversight to the Board of Directors.</w:t>
      </w:r>
    </w:p>
    <w:p>
      <w:pPr>
        <w:spacing w:after="0" w:line="21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CIO is the primary executive responsible for leading the Company’s cybersecurity risk management program and has over 20 years of experience in various technology-related roles, including responsibilities related to managing information security, developing cybersecurity strategy, and implementing cybersecurity programs. Our cybersecurity team is responsible for the operations of our cybersecurity program, including implementing, monitoring, and maintaining cybersecurity and data protection solutions and practices across the enterprise. The team is led by our Director of IT Security and Compliance (our “Security Director”), who reports to our CIO. Our Security Director has over 20 years of IT experience and over 12 years of cybersecurity experience, and holds a Master of Science in Cybersecurity and Information Assurance. Our cybersecurity team works with our crisis management team and cybersecurity advisors we may engage to respond to and manage the resolution of cybersecurity incidents. Our CIO, Security Director, and cybersecurity team also work closely with our legal team on various aspects of our cybersecurity program. We also periodically engage assessors, consultants, Payment Card Industry-Data Security Standards (PCI-DSS) auditors, or other third parties to assist with our cybersecurity program. When appropriate, we engage forensic investigators and legal counsel to investigate cybersecurity threats and incidents.</w:t>
      </w:r>
    </w:p>
    <w:p>
      <w:pPr>
        <w:spacing w:after="0" w:line="21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Cyber Security Committee is a management committee chartered to oversee our cybersecurity program. The Cyber Security Committee meets at least quarterly and more frequently as appropriate to review and discuss the Company’s cybersecurity program. Our CIO and Security Director provide reports at each Cyber Security Committee meeting on cybersecurity program matters and initiatives. The Cyber Security Committee reviews any significant cybersecurity threats or incidents reported by the Security Director. The Cyber Security Committee elevates cybersecurity threats and incidents to the Audit Committee, CEO and CFO, Disclosure Committee, and crisis management team, as appropriate. Our Disclosure Committee, a cross-functional group consisting of accounting, legal, finance, investor relations, internal audit, and IT management personnel, is responsible for disclosures concerning material cybersecurity incidents and the Company’s cybersecurity practices.</w:t>
      </w:r>
    </w:p>
    <w:p>
      <w:pPr>
        <w:sectPr>
          <w:pgSz w:w="12240" w:h="15840" w:orient="portrait"/>
          <w:cols w:equalWidth="0" w:num="1">
            <w:col w:w="10700"/>
          </w:cols>
          <w:pgMar w:left="820" w:top="101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700"/>
          </w:cols>
          <w:pgMar w:left="820" w:top="1011" w:right="720" w:bottom="0" w:gutter="0" w:footer="0" w:header="0"/>
          <w:type w:val="continuous"/>
        </w:sectPr>
      </w:pPr>
    </w:p>
    <w:bookmarkStart w:id="47" w:name="page48"/>
    <w:bookmarkEnd w:id="47"/>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59" w:lineRule="exact"/>
        <w:rPr>
          <w:sz w:val="20"/>
          <w:szCs w:val="20"/>
          <w:color w:val="auto"/>
        </w:rPr>
      </w:pPr>
    </w:p>
    <w:p>
      <w:pPr>
        <w:jc w:val="both"/>
        <w:ind w:left="10" w:firstLine="360"/>
        <w:spacing w:after="0" w:line="254" w:lineRule="auto"/>
        <w:rPr>
          <w:sz w:val="20"/>
          <w:szCs w:val="20"/>
          <w:color w:val="auto"/>
        </w:rPr>
      </w:pPr>
      <w:r>
        <w:rPr>
          <w:rFonts w:ascii="Times New Roman" w:cs="Times New Roman" w:eastAsia="Times New Roman" w:hAnsi="Times New Roman"/>
          <w:sz w:val="20"/>
          <w:szCs w:val="20"/>
          <w:color w:val="auto"/>
        </w:rPr>
        <w:t>Our cybersecurity program is based on the National Institute of Standards and Technology (NIST) Cybersecurity Framework and applies, as appropriate, to the Company’s internal and external information systems, applications, networks, and operations. We conduct scanning, testing, and assessments designed to identify risks from cybersecurity threats, assess controls, and calibrate planning in response to rapidly evolving cybersecurity risks, and use the results from this testing to adjust our cybersecurity program roadmap to mitigate cybersecurity risks as they evolve. Our internal audit team performs audits on various aspects of cybersecurity and reports the results of these audits in its quarterly reports to management, the Cyber Security Committee, and the Audit Committee. Our internal auditors assess the sufficiency of security controls for relevant systems. Leaders from our risk management and internal audit teams administer our enterprise risk management program, which is designed to identify, assess and manage our top enterprise risks, including risks arising from cybersecurity threats.</w:t>
      </w:r>
    </w:p>
    <w:p>
      <w:pPr>
        <w:spacing w:after="0" w:line="209" w:lineRule="exact"/>
        <w:rPr>
          <w:sz w:val="20"/>
          <w:szCs w:val="20"/>
          <w:color w:val="auto"/>
        </w:rPr>
      </w:pPr>
    </w:p>
    <w:p>
      <w:pPr>
        <w:jc w:val="both"/>
        <w:ind w:left="10" w:firstLine="360"/>
        <w:spacing w:after="0" w:line="255" w:lineRule="auto"/>
        <w:rPr>
          <w:sz w:val="20"/>
          <w:szCs w:val="20"/>
          <w:color w:val="auto"/>
        </w:rPr>
      </w:pPr>
      <w:r>
        <w:rPr>
          <w:rFonts w:ascii="Times New Roman" w:cs="Times New Roman" w:eastAsia="Times New Roman" w:hAnsi="Times New Roman"/>
          <w:sz w:val="20"/>
          <w:szCs w:val="20"/>
          <w:color w:val="auto"/>
        </w:rPr>
        <w:t>We employ a risk-based approach to secure access to our networks, systems, and applications by partners and vendors. We have implemented risk assessment processes for partners and vendors receiving access to our environment and data. Our partners and vendors with whom we share information to conduct our business are required to safeguard it by appropriate means, including elevated contractual commitments when appropriate. We provide cybersecurity training to our team members during onboarding and regularly thereafter. We maintain a software vulnerability management program supported by internal personnel and third-party service providers. We deploy technologies to automate and enhance our operational security capabilities. We also use third-party managed security services to augment our cybersecurity team’s capabilities.</w:t>
      </w:r>
    </w:p>
    <w:p>
      <w:pPr>
        <w:spacing w:after="0" w:line="210" w:lineRule="exact"/>
        <w:rPr>
          <w:sz w:val="20"/>
          <w:szCs w:val="20"/>
          <w:color w:val="auto"/>
        </w:rPr>
      </w:pPr>
    </w:p>
    <w:p>
      <w:pPr>
        <w:jc w:val="both"/>
        <w:ind w:left="10" w:firstLine="360"/>
        <w:spacing w:after="0" w:line="266" w:lineRule="auto"/>
        <w:rPr>
          <w:sz w:val="20"/>
          <w:szCs w:val="20"/>
          <w:color w:val="auto"/>
        </w:rPr>
      </w:pPr>
      <w:r>
        <w:rPr>
          <w:rFonts w:ascii="Times New Roman" w:cs="Times New Roman" w:eastAsia="Times New Roman" w:hAnsi="Times New Roman"/>
          <w:sz w:val="20"/>
          <w:szCs w:val="20"/>
          <w:color w:val="auto"/>
        </w:rPr>
        <w:t>We have adopted a Cyber Security Incident Response Plan (the “CSIRP”) to provide a standardized framework for responding to cybersecurity incidents. The CSIRP is a coordinated approach to investigate, contain, mitigate, and document cybersecurity incidents, including reporting and escalating findings as appropriate (including to the crisis management team).</w:t>
      </w:r>
    </w:p>
    <w:p>
      <w:pPr>
        <w:spacing w:after="0" w:line="195" w:lineRule="exact"/>
        <w:rPr>
          <w:sz w:val="20"/>
          <w:szCs w:val="20"/>
          <w:color w:val="auto"/>
        </w:rPr>
      </w:pPr>
    </w:p>
    <w:p>
      <w:pPr>
        <w:jc w:val="both"/>
        <w:ind w:left="10" w:firstLine="360"/>
        <w:spacing w:after="0" w:line="256" w:lineRule="auto"/>
        <w:rPr>
          <w:sz w:val="20"/>
          <w:szCs w:val="20"/>
          <w:color w:val="auto"/>
        </w:rPr>
      </w:pPr>
      <w:r>
        <w:rPr>
          <w:rFonts w:ascii="Times New Roman" w:cs="Times New Roman" w:eastAsia="Times New Roman" w:hAnsi="Times New Roman"/>
          <w:sz w:val="20"/>
          <w:szCs w:val="20"/>
          <w:color w:val="auto"/>
        </w:rPr>
        <w:t>To date, risks from cybersecurity threats, including as a result of any previous cybersecurity incidents, have not materially affected us, including our business strategy, results of operations or financial condition, and we do not believe that such risks are reasonably likely to have such an effect over the long term. However, due to evolving cybersecurity threats, despite our security measures, we may not able to anticipate, prevent, and stop future cybersecurity incidents, including attacks to our information systems and data and those of our partners. Additional information on cybersecurity risks we face is discussed in Item 1A of Part I, “Risk Factors”, which should be read in conjunction with the foregoing.</w:t>
      </w:r>
    </w:p>
    <w:p>
      <w:pPr>
        <w:spacing w:after="0" w:line="200" w:lineRule="exact"/>
        <w:rPr>
          <w:sz w:val="20"/>
          <w:szCs w:val="20"/>
          <w:color w:val="auto"/>
        </w:rPr>
      </w:pP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7" w:lineRule="exact"/>
        <w:rPr>
          <w:sz w:val="20"/>
          <w:szCs w:val="20"/>
          <w:color w:val="auto"/>
        </w:rPr>
      </w:pPr>
    </w:p>
    <w:p>
      <w:pPr>
        <w:ind w:left="10" w:right="140" w:firstLine="360"/>
        <w:spacing w:after="0" w:line="281" w:lineRule="auto"/>
        <w:rPr>
          <w:sz w:val="20"/>
          <w:szCs w:val="20"/>
          <w:color w:val="auto"/>
        </w:rPr>
      </w:pPr>
      <w:r>
        <w:rPr>
          <w:rFonts w:ascii="Times New Roman" w:cs="Times New Roman" w:eastAsia="Times New Roman" w:hAnsi="Times New Roman"/>
          <w:sz w:val="20"/>
          <w:szCs w:val="20"/>
          <w:color w:val="auto"/>
        </w:rPr>
        <w:t>We are headquartered at 1800 North Mason Road, Katy, Texas, 77449. The following table sets forth the location, use and size of our corporate and distribution center facilities:</w:t>
      </w:r>
    </w:p>
    <w:p>
      <w:pPr>
        <w:sectPr>
          <w:pgSz w:w="12240" w:h="15840" w:orient="portrait"/>
          <w:cols w:equalWidth="0" w:num="1">
            <w:col w:w="10710"/>
          </w:cols>
          <w:pgMar w:left="810" w:top="1009" w:right="720" w:bottom="0" w:gutter="0" w:footer="0" w:header="0"/>
        </w:sectPr>
      </w:pPr>
    </w:p>
    <w:tbl>
      <w:tblPr>
        <w:tblLayout w:type="fixed"/>
        <w:tblInd w:w="10" w:type="dxa"/>
        <w:tblCellMar>
          <w:top w:w="0" w:type="dxa"/>
          <w:left w:w="0" w:type="dxa"/>
          <w:bottom w:w="0" w:type="dxa"/>
          <w:right w:w="0" w:type="dxa"/>
        </w:tblCellMar>
      </w:tblPr>
      <w:tr>
        <w:trPr>
          <w:trHeight w:val="225"/>
        </w:trPr>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4160" w:type="dxa"/>
            <w:vAlign w:val="bottom"/>
            <w:vMerge w:val="restart"/>
          </w:tcPr>
          <w:p>
            <w:pPr>
              <w:ind w:left="900"/>
              <w:spacing w:after="0"/>
              <w:rPr>
                <w:sz w:val="20"/>
                <w:szCs w:val="20"/>
                <w:color w:val="auto"/>
              </w:rPr>
            </w:pPr>
            <w:r>
              <w:rPr>
                <w:rFonts w:ascii="Times New Roman" w:cs="Times New Roman" w:eastAsia="Times New Roman" w:hAnsi="Times New Roman"/>
                <w:sz w:val="20"/>
                <w:szCs w:val="20"/>
                <w:b w:val="1"/>
                <w:bCs w:val="1"/>
                <w:color w:val="auto"/>
              </w:rPr>
              <w:t>Use</w:t>
            </w:r>
          </w:p>
        </w:tc>
        <w:tc>
          <w:tcPr>
            <w:tcW w:w="28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Approximate Square</w:t>
            </w:r>
          </w:p>
        </w:tc>
        <w:tc>
          <w:tcPr>
            <w:tcW w:w="0" w:type="dxa"/>
            <w:vAlign w:val="bottom"/>
          </w:tcPr>
          <w:p>
            <w:pPr>
              <w:spacing w:after="0"/>
              <w:rPr>
                <w:sz w:val="1"/>
                <w:szCs w:val="1"/>
                <w:color w:val="auto"/>
              </w:rPr>
            </w:pPr>
          </w:p>
        </w:tc>
      </w:tr>
      <w:tr>
        <w:trPr>
          <w:trHeight w:val="263"/>
        </w:trPr>
        <w:tc>
          <w:tcPr>
            <w:tcW w:w="2940" w:type="dxa"/>
            <w:vAlign w:val="bottom"/>
            <w:tcBorders>
              <w:bottom w:val="single" w:sz="8" w:color="auto"/>
            </w:tcBorders>
            <w:vMerge w:val="continue"/>
          </w:tcPr>
          <w:p>
            <w:pPr>
              <w:spacing w:after="0"/>
              <w:rPr>
                <w:sz w:val="22"/>
                <w:szCs w:val="22"/>
                <w:color w:val="auto"/>
              </w:rPr>
            </w:pPr>
          </w:p>
        </w:tc>
        <w:tc>
          <w:tcPr>
            <w:tcW w:w="4160" w:type="dxa"/>
            <w:vAlign w:val="bottom"/>
            <w:tcBorders>
              <w:bottom w:val="single" w:sz="8" w:color="auto"/>
            </w:tcBorders>
            <w:vMerge w:val="continue"/>
          </w:tcPr>
          <w:p>
            <w:pPr>
              <w:spacing w:after="0"/>
              <w:rPr>
                <w:sz w:val="22"/>
                <w:szCs w:val="22"/>
                <w:color w:val="auto"/>
              </w:rPr>
            </w:pPr>
          </w:p>
        </w:tc>
        <w:tc>
          <w:tcPr>
            <w:tcW w:w="28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Footage</w:t>
            </w:r>
          </w:p>
        </w:tc>
        <w:tc>
          <w:tcPr>
            <w:tcW w:w="0" w:type="dxa"/>
            <w:vAlign w:val="bottom"/>
          </w:tcPr>
          <w:p>
            <w:pPr>
              <w:spacing w:after="0"/>
              <w:rPr>
                <w:sz w:val="1"/>
                <w:szCs w:val="1"/>
                <w:color w:val="auto"/>
              </w:rPr>
            </w:pPr>
          </w:p>
        </w:tc>
      </w:tr>
      <w:tr>
        <w:trPr>
          <w:trHeight w:val="277"/>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Katy, Texas</w:t>
            </w:r>
          </w:p>
        </w:tc>
        <w:tc>
          <w:tcPr>
            <w:tcW w:w="41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Corporate Office Building 1</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Katy, Texas</w:t>
            </w:r>
          </w:p>
        </w:tc>
        <w:tc>
          <w:tcPr>
            <w:tcW w:w="41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Corporate Office Building 2</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Katy, Texas</w:t>
            </w:r>
          </w:p>
        </w:tc>
        <w:tc>
          <w:tcPr>
            <w:tcW w:w="41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Bulk Warehouse</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Katy, Texas</w:t>
            </w:r>
          </w:p>
        </w:tc>
        <w:tc>
          <w:tcPr>
            <w:tcW w:w="41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Distribution Center</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1,400,000</w:t>
            </w: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Twiggs County, Georgia</w:t>
            </w:r>
          </w:p>
        </w:tc>
        <w:tc>
          <w:tcPr>
            <w:tcW w:w="41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Distribution Center</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1,600,000</w:t>
            </w: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Cookeville, Tennessee</w:t>
            </w:r>
          </w:p>
        </w:tc>
        <w:tc>
          <w:tcPr>
            <w:tcW w:w="41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Distribution Center</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1,600,000</w:t>
            </w:r>
          </w:p>
        </w:tc>
        <w:tc>
          <w:tcPr>
            <w:tcW w:w="0" w:type="dxa"/>
            <w:vAlign w:val="bottom"/>
          </w:tcPr>
          <w:p>
            <w:pPr>
              <w:spacing w:after="0"/>
              <w:rPr>
                <w:sz w:val="1"/>
                <w:szCs w:val="1"/>
                <w:color w:val="auto"/>
              </w:rPr>
            </w:pPr>
          </w:p>
        </w:tc>
      </w:tr>
      <w:tr>
        <w:trPr>
          <w:trHeight w:val="30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Kowloon, Hong Kong</w:t>
            </w:r>
          </w:p>
        </w:tc>
        <w:tc>
          <w:tcPr>
            <w:tcW w:w="41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Global Sourcing Office</w:t>
            </w:r>
          </w:p>
        </w:tc>
        <w:tc>
          <w:tcPr>
            <w:tcW w:w="2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-1337310</wp:posOffset>
            </wp:positionV>
            <wp:extent cx="6540500" cy="1358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6540500" cy="1358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w:t>
      </w:r>
    </w:p>
    <w:p>
      <w:pPr>
        <w:spacing w:after="0" w:line="169" w:lineRule="exact"/>
        <w:rPr>
          <w:sz w:val="20"/>
          <w:szCs w:val="20"/>
          <w:color w:val="auto"/>
        </w:rPr>
      </w:pPr>
    </w:p>
    <w:p>
      <w:pPr>
        <w:sectPr>
          <w:pgSz w:w="12240" w:h="15840" w:orient="portrait"/>
          <w:cols w:equalWidth="0" w:num="2">
            <w:col w:w="9970" w:space="40"/>
            <w:col w:w="700"/>
          </w:cols>
          <w:pgMar w:left="810" w:top="1009" w:right="720" w:bottom="0" w:gutter="0" w:footer="0" w:header="0"/>
          <w:type w:val="continuous"/>
        </w:sectPr>
      </w:pPr>
    </w:p>
    <w:p>
      <w:pPr>
        <w:ind w:left="270" w:hanging="270"/>
        <w:spacing w:after="0"/>
        <w:tabs>
          <w:tab w:leader="none" w:pos="27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year lease entered in 2007.</w:t>
      </w:r>
    </w:p>
    <w:p>
      <w:pPr>
        <w:spacing w:after="0" w:line="24" w:lineRule="exact"/>
        <w:rPr>
          <w:rFonts w:ascii="Times New Roman" w:cs="Times New Roman" w:eastAsia="Times New Roman" w:hAnsi="Times New Roman"/>
          <w:sz w:val="16"/>
          <w:szCs w:val="16"/>
          <w:color w:val="auto"/>
        </w:rPr>
      </w:pPr>
    </w:p>
    <w:p>
      <w:pPr>
        <w:ind w:left="270" w:hanging="270"/>
        <w:spacing w:after="0"/>
        <w:tabs>
          <w:tab w:leader="none" w:pos="27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year lease entered in 2015.</w:t>
      </w:r>
    </w:p>
    <w:p>
      <w:pPr>
        <w:spacing w:after="0" w:line="8" w:lineRule="exact"/>
        <w:rPr>
          <w:rFonts w:ascii="Times New Roman" w:cs="Times New Roman" w:eastAsia="Times New Roman" w:hAnsi="Times New Roman"/>
          <w:sz w:val="16"/>
          <w:szCs w:val="16"/>
          <w:color w:val="auto"/>
        </w:rPr>
      </w:pPr>
    </w:p>
    <w:p>
      <w:pPr>
        <w:ind w:left="270" w:hanging="270"/>
        <w:spacing w:after="0"/>
        <w:tabs>
          <w:tab w:leader="none" w:pos="27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year lease entered in 2012.</w:t>
      </w:r>
    </w:p>
    <w:p>
      <w:pPr>
        <w:spacing w:after="0" w:line="8" w:lineRule="exact"/>
        <w:rPr>
          <w:rFonts w:ascii="Times New Roman" w:cs="Times New Roman" w:eastAsia="Times New Roman" w:hAnsi="Times New Roman"/>
          <w:sz w:val="16"/>
          <w:szCs w:val="16"/>
          <w:color w:val="auto"/>
        </w:rPr>
      </w:pPr>
    </w:p>
    <w:p>
      <w:pPr>
        <w:ind w:left="270" w:hanging="270"/>
        <w:spacing w:after="0"/>
        <w:tabs>
          <w:tab w:leader="none" w:pos="27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year lease entered in 2007. Five year extension to original term entered in 2020.</w:t>
      </w:r>
    </w:p>
    <w:p>
      <w:pPr>
        <w:spacing w:after="0" w:line="8" w:lineRule="exact"/>
        <w:rPr>
          <w:rFonts w:ascii="Times New Roman" w:cs="Times New Roman" w:eastAsia="Times New Roman" w:hAnsi="Times New Roman"/>
          <w:sz w:val="16"/>
          <w:szCs w:val="16"/>
          <w:color w:val="auto"/>
        </w:rPr>
      </w:pPr>
    </w:p>
    <w:p>
      <w:pPr>
        <w:ind w:left="270" w:hanging="270"/>
        <w:spacing w:after="0"/>
        <w:tabs>
          <w:tab w:leader="none" w:pos="27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year lease entered in 2012. Five year lease extension to original term entered in 2020.</w:t>
      </w:r>
    </w:p>
    <w:p>
      <w:pPr>
        <w:spacing w:after="0" w:line="8" w:lineRule="exact"/>
        <w:rPr>
          <w:rFonts w:ascii="Times New Roman" w:cs="Times New Roman" w:eastAsia="Times New Roman" w:hAnsi="Times New Roman"/>
          <w:sz w:val="16"/>
          <w:szCs w:val="16"/>
          <w:color w:val="auto"/>
        </w:rPr>
      </w:pPr>
    </w:p>
    <w:p>
      <w:pPr>
        <w:ind w:left="270" w:hanging="270"/>
        <w:spacing w:after="0"/>
        <w:tabs>
          <w:tab w:leader="none" w:pos="27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year lease entered in 2016. Three year lease extension to original term entered in 2020.</w:t>
      </w:r>
    </w:p>
    <w:p>
      <w:pPr>
        <w:spacing w:after="0" w:line="8" w:lineRule="exact"/>
        <w:rPr>
          <w:rFonts w:ascii="Times New Roman" w:cs="Times New Roman" w:eastAsia="Times New Roman" w:hAnsi="Times New Roman"/>
          <w:sz w:val="16"/>
          <w:szCs w:val="16"/>
          <w:color w:val="auto"/>
        </w:rPr>
      </w:pPr>
    </w:p>
    <w:p>
      <w:pPr>
        <w:ind w:left="270" w:hanging="270"/>
        <w:spacing w:after="0"/>
        <w:tabs>
          <w:tab w:leader="none" w:pos="27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year lease entered in 2022.</w:t>
      </w:r>
    </w:p>
    <w:p>
      <w:pPr>
        <w:spacing w:after="0" w:line="220" w:lineRule="exact"/>
        <w:rPr>
          <w:sz w:val="20"/>
          <w:szCs w:val="20"/>
          <w:color w:val="auto"/>
        </w:rPr>
      </w:pPr>
    </w:p>
    <w:p>
      <w:pPr>
        <w:jc w:val="both"/>
        <w:ind w:left="10" w:firstLine="360"/>
        <w:spacing w:after="0" w:line="266" w:lineRule="auto"/>
        <w:rPr>
          <w:sz w:val="20"/>
          <w:szCs w:val="20"/>
          <w:color w:val="auto"/>
        </w:rPr>
      </w:pPr>
      <w:r>
        <w:rPr>
          <w:rFonts w:ascii="Times New Roman" w:cs="Times New Roman" w:eastAsia="Times New Roman" w:hAnsi="Times New Roman"/>
          <w:sz w:val="20"/>
          <w:szCs w:val="20"/>
          <w:color w:val="auto"/>
        </w:rPr>
        <w:t>We lease all but one of our stores. Our initial store lease terms are typically 15 to 20 years with various renewal options and lease escalation structures. We believe that all of our leases are entered into at then-prevailing market lease rates. As of February 3, 2024, our combined leased and owned store square footage was approximately 19.7 million square feet.</w:t>
      </w:r>
    </w:p>
    <w:p>
      <w:pPr>
        <w:sectPr>
          <w:pgSz w:w="12240" w:h="15840" w:orient="portrait"/>
          <w:cols w:equalWidth="0" w:num="1">
            <w:col w:w="10710"/>
          </w:cols>
          <w:pgMar w:left="810" w:top="1009" w:right="720" w:bottom="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9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710"/>
          </w:cols>
          <w:pgMar w:left="810" w:top="1009" w:right="72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7" w:lineRule="exact"/>
        <w:rPr>
          <w:sz w:val="20"/>
          <w:szCs w:val="20"/>
          <w:color w:val="auto"/>
        </w:rPr>
      </w:pPr>
    </w:p>
    <w:p>
      <w:pPr>
        <w:jc w:val="both"/>
        <w:ind w:left="360" w:firstLine="360"/>
        <w:spacing w:after="0" w:line="252" w:lineRule="auto"/>
        <w:rPr>
          <w:sz w:val="20"/>
          <w:szCs w:val="20"/>
          <w:color w:val="auto"/>
        </w:rPr>
      </w:pPr>
      <w:r>
        <w:rPr>
          <w:rFonts w:ascii="Times New Roman" w:cs="Times New Roman" w:eastAsia="Times New Roman" w:hAnsi="Times New Roman"/>
          <w:sz w:val="20"/>
          <w:szCs w:val="20"/>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In May and December 2023, U.S. Customs and Border Protection ("CBP") notified us that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anticipate that this matter will be resolved without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w:t>
      </w:r>
    </w:p>
    <w:p>
      <w:pPr>
        <w:spacing w:after="0" w:line="153" w:lineRule="exact"/>
        <w:rPr>
          <w:sz w:val="20"/>
          <w:szCs w:val="20"/>
          <w:color w:val="auto"/>
        </w:rPr>
      </w:pPr>
    </w:p>
    <w:p>
      <w:pPr>
        <w:jc w:val="both"/>
        <w:ind w:left="360" w:firstLine="428"/>
        <w:spacing w:after="0" w:line="266" w:lineRule="auto"/>
        <w:rPr>
          <w:sz w:val="20"/>
          <w:szCs w:val="20"/>
          <w:color w:val="auto"/>
        </w:rPr>
      </w:pPr>
      <w:r>
        <w:rPr>
          <w:rFonts w:ascii="Times New Roman" w:cs="Times New Roman" w:eastAsia="Times New Roman" w:hAnsi="Times New Roman"/>
          <w:sz w:val="20"/>
          <w:szCs w:val="20"/>
          <w:color w:val="auto"/>
        </w:rPr>
        <w:t>During 2023, the Company settled a legal matter pertaining to the overcharge of interchange feeds with certain financial institutions for prior periods dating back to 2004. In connection with this settlement, we recognized a net gain of approximately $15.9 million in Other (income), net on the Consolidated Statements of Income, when the gain became realizable.</w:t>
      </w:r>
    </w:p>
    <w:p>
      <w:pPr>
        <w:spacing w:after="0" w:line="135" w:lineRule="exact"/>
        <w:rPr>
          <w:sz w:val="20"/>
          <w:szCs w:val="20"/>
          <w:color w:val="auto"/>
        </w:rPr>
      </w:pPr>
    </w:p>
    <w:p>
      <w:pPr>
        <w:jc w:val="both"/>
        <w:ind w:left="360" w:firstLine="360"/>
        <w:spacing w:after="0" w:line="281" w:lineRule="auto"/>
        <w:rPr>
          <w:sz w:val="20"/>
          <w:szCs w:val="20"/>
          <w:color w:val="auto"/>
        </w:rPr>
      </w:pPr>
      <w:r>
        <w:rPr>
          <w:rFonts w:ascii="Times New Roman" w:cs="Times New Roman" w:eastAsia="Times New Roman" w:hAnsi="Times New Roman"/>
          <w:sz w:val="20"/>
          <w:szCs w:val="20"/>
          <w:color w:val="auto"/>
        </w:rPr>
        <w:t>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700"/>
          </w:cols>
          <w:pgMar w:left="820" w:top="1251" w:right="720" w:bottom="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259"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auto"/>
        </w:rPr>
        <w:t>Academy's common stock began trading on the Nasdaq Stock Market LLC, or Nasdaq, under the symbol "ASO" on October 2, 2020. Prior to that date, there was no public market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Graph</w:t>
      </w:r>
    </w:p>
    <w:p>
      <w:pPr>
        <w:spacing w:after="0" w:line="1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 The graph below presents the Company’s cumulative total stockholder returns relative to the performance of the Nasdaq US Benchmark Retail Index and the Russell 3000 Index commencing October 2, 2020 (the Company’s initial day of trading) through February 2, 2024. All values assume a $100 initial investment at the opening price of the Company’s common stock on Nasdaq and assumes all dividends were reinvested on the date paid. The points on the graph represent fiscal quarter-end values based on the last trading day of each fiscal quarter. The comparisons are based on historical data and are not indicative of, nor intended to forecast, the future performance of our common stock.</w:t>
      </w:r>
    </w:p>
    <w:p>
      <w:pPr>
        <w:spacing w:after="0" w:line="239"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-67945</wp:posOffset>
            </wp:positionV>
            <wp:extent cx="5772150" cy="2447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5772150" cy="2447925"/>
                    </a:xfrm>
                    <a:prstGeom prst="rect">
                      <a:avLst/>
                    </a:prstGeom>
                    <a:noFill/>
                  </pic:spPr>
                </pic:pic>
              </a:graphicData>
            </a:graphic>
          </wp:anchor>
        </w:drawing>
      </w:r>
    </w:p>
    <w:p>
      <w:pPr>
        <w:spacing w:after="0" w:line="95"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$550.00</w:t>
      </w:r>
    </w:p>
    <w:p>
      <w:pPr>
        <w:spacing w:after="0" w:line="100"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$500.00</w:t>
      </w:r>
    </w:p>
    <w:p>
      <w:pPr>
        <w:spacing w:after="0" w:line="115"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$450.00</w:t>
      </w:r>
    </w:p>
    <w:p>
      <w:pPr>
        <w:spacing w:after="0" w:line="115"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$400.00</w:t>
      </w:r>
    </w:p>
    <w:p>
      <w:pPr>
        <w:spacing w:after="0" w:line="115"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$350.00</w:t>
      </w:r>
    </w:p>
    <w:p>
      <w:pPr>
        <w:spacing w:after="0" w:line="100"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$300.00</w:t>
      </w:r>
    </w:p>
    <w:p>
      <w:pPr>
        <w:spacing w:after="0" w:line="115"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$250.00</w:t>
      </w:r>
    </w:p>
    <w:p>
      <w:pPr>
        <w:spacing w:after="0" w:line="115"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$200.00</w:t>
      </w:r>
    </w:p>
    <w:p>
      <w:pPr>
        <w:spacing w:after="0" w:line="115"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$150.00</w:t>
      </w:r>
    </w:p>
    <w:p>
      <w:pPr>
        <w:spacing w:after="0" w:line="100"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$100.00</w:t>
      </w:r>
    </w:p>
    <w:p>
      <w:pPr>
        <w:spacing w:after="0" w:line="115"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20"/>
          <w:szCs w:val="20"/>
          <w:color w:val="auto"/>
        </w:rPr>
        <w:t>$50.00</w:t>
      </w:r>
    </w:p>
    <w:tbl>
      <w:tblPr>
        <w:tblLayout w:type="fixed"/>
        <w:tblInd w:w="300" w:type="dxa"/>
        <w:tblCellMar>
          <w:top w:w="0" w:type="dxa"/>
          <w:left w:w="0" w:type="dxa"/>
          <w:bottom w:w="0" w:type="dxa"/>
          <w:right w:w="0" w:type="dxa"/>
        </w:tblCellMar>
      </w:tblPr>
      <w:tr>
        <w:trPr>
          <w:trHeight w:val="36"/>
        </w:trPr>
        <w:tc>
          <w:tcPr>
            <w:tcW w:w="2780" w:type="dxa"/>
            <w:vAlign w:val="bottom"/>
            <w:gridSpan w:val="3"/>
          </w:tcPr>
          <w:p>
            <w:pPr>
              <w:jc w:val="right"/>
              <w:spacing w:after="0" w:line="187" w:lineRule="auto"/>
              <w:rPr>
                <w:sz w:val="20"/>
                <w:szCs w:val="20"/>
                <w:color w:val="auto"/>
              </w:rPr>
            </w:pPr>
            <w:r>
              <w:rPr>
                <w:rFonts w:ascii="Times New Roman" w:cs="Times New Roman" w:eastAsia="Times New Roman" w:hAnsi="Times New Roman"/>
                <w:sz w:val="4"/>
                <w:szCs w:val="4"/>
                <w:color w:val="auto"/>
              </w:rPr>
              <w:t>10/2/20201/29/20214/30/20217/30/2021</w:t>
            </w:r>
          </w:p>
        </w:tc>
        <w:tc>
          <w:tcPr>
            <w:tcW w:w="3340" w:type="dxa"/>
            <w:vAlign w:val="bottom"/>
            <w:gridSpan w:val="3"/>
          </w:tcPr>
          <w:p>
            <w:pPr>
              <w:jc w:val="right"/>
              <w:ind w:right="519"/>
              <w:spacing w:after="0" w:line="187" w:lineRule="auto"/>
              <w:rPr>
                <w:sz w:val="20"/>
                <w:szCs w:val="20"/>
                <w:color w:val="auto"/>
              </w:rPr>
            </w:pPr>
            <w:r>
              <w:rPr>
                <w:rFonts w:ascii="Times New Roman" w:cs="Times New Roman" w:eastAsia="Times New Roman" w:hAnsi="Times New Roman"/>
                <w:sz w:val="4"/>
                <w:szCs w:val="4"/>
                <w:color w:val="auto"/>
              </w:rPr>
              <w:t>1/28/20224/29/20227/29/2022</w:t>
            </w:r>
          </w:p>
        </w:tc>
        <w:tc>
          <w:tcPr>
            <w:tcW w:w="2820" w:type="dxa"/>
            <w:vAlign w:val="bottom"/>
            <w:gridSpan w:val="2"/>
          </w:tcPr>
          <w:p>
            <w:pPr>
              <w:jc w:val="right"/>
              <w:ind w:right="607"/>
              <w:spacing w:after="0" w:line="187" w:lineRule="auto"/>
              <w:rPr>
                <w:sz w:val="20"/>
                <w:szCs w:val="20"/>
                <w:color w:val="auto"/>
              </w:rPr>
            </w:pPr>
            <w:r>
              <w:rPr>
                <w:rFonts w:ascii="Times New Roman" w:cs="Times New Roman" w:eastAsia="Times New Roman" w:hAnsi="Times New Roman"/>
                <w:sz w:val="4"/>
                <w:szCs w:val="4"/>
                <w:color w:val="auto"/>
              </w:rPr>
              <w:t>1/27/20234/28/20237/28/2023</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4"/>
                <w:szCs w:val="24"/>
                <w:color w:val="auto"/>
                <w:w w:val="70"/>
              </w:rPr>
              <w:t>2/2/2024</w:t>
            </w:r>
          </w:p>
        </w:tc>
        <w:tc>
          <w:tcPr>
            <w:tcW w:w="0" w:type="dxa"/>
            <w:vAlign w:val="bottom"/>
          </w:tcPr>
          <w:p>
            <w:pPr>
              <w:spacing w:after="0" w:line="20" w:lineRule="exact"/>
              <w:rPr>
                <w:sz w:val="1"/>
                <w:szCs w:val="1"/>
                <w:color w:val="auto"/>
              </w:rPr>
            </w:pPr>
          </w:p>
        </w:tc>
      </w:tr>
      <w:tr>
        <w:trPr>
          <w:trHeight w:val="564"/>
        </w:trPr>
        <w:tc>
          <w:tcPr>
            <w:tcW w:w="440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25"/>
                <w:szCs w:val="25"/>
                <w:color w:val="auto"/>
                <w:w w:val="70"/>
              </w:rPr>
              <w:t>10/29/2021</w:t>
            </w:r>
          </w:p>
        </w:tc>
        <w:tc>
          <w:tcPr>
            <w:tcW w:w="206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24"/>
                <w:szCs w:val="24"/>
                <w:color w:val="auto"/>
                <w:w w:val="71"/>
              </w:rPr>
              <w:t>10/28/2022</w:t>
            </w: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auto"/>
                <w:w w:val="70"/>
              </w:rPr>
              <w:t>10/27/2023</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400" w:type="dxa"/>
            <w:vAlign w:val="bottom"/>
            <w:gridSpan w:val="5"/>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24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340" w:type="dxa"/>
            <w:vAlign w:val="bottom"/>
            <w:tcBorders>
              <w:bottom w:val="single" w:sz="8" w:color="026DCE"/>
            </w:tcBorders>
          </w:tcPr>
          <w:p>
            <w:pPr>
              <w:spacing w:after="0"/>
              <w:rPr>
                <w:sz w:val="24"/>
                <w:szCs w:val="24"/>
                <w:color w:val="auto"/>
              </w:rPr>
            </w:pPr>
          </w:p>
        </w:tc>
        <w:tc>
          <w:tcPr>
            <w:tcW w:w="116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ASO, Inc.</w:t>
            </w:r>
          </w:p>
        </w:tc>
        <w:tc>
          <w:tcPr>
            <w:tcW w:w="340" w:type="dxa"/>
            <w:vAlign w:val="bottom"/>
            <w:tcBorders>
              <w:bottom w:val="single" w:sz="8" w:color="auto"/>
            </w:tcBorders>
          </w:tcPr>
          <w:p>
            <w:pPr>
              <w:spacing w:after="0"/>
              <w:rPr>
                <w:sz w:val="24"/>
                <w:szCs w:val="24"/>
                <w:color w:val="auto"/>
              </w:rPr>
            </w:pPr>
          </w:p>
        </w:tc>
        <w:tc>
          <w:tcPr>
            <w:tcW w:w="3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Nasdaq US Benchmark Retail Index</w:t>
            </w:r>
          </w:p>
        </w:tc>
        <w:tc>
          <w:tcPr>
            <w:tcW w:w="340" w:type="dxa"/>
            <w:vAlign w:val="bottom"/>
          </w:tcPr>
          <w:p>
            <w:pPr>
              <w:spacing w:after="0"/>
              <w:rPr>
                <w:sz w:val="24"/>
                <w:szCs w:val="24"/>
                <w:color w:val="auto"/>
              </w:rPr>
            </w:pPr>
          </w:p>
        </w:tc>
        <w:tc>
          <w:tcPr>
            <w:tcW w:w="2480" w:type="dxa"/>
            <w:vAlign w:val="bottom"/>
            <w:vMerge w:val="restart"/>
          </w:tcPr>
          <w:p>
            <w:pPr>
              <w:jc w:val="right"/>
              <w:ind w:right="507"/>
              <w:spacing w:after="0"/>
              <w:rPr>
                <w:sz w:val="20"/>
                <w:szCs w:val="20"/>
                <w:color w:val="auto"/>
              </w:rPr>
            </w:pPr>
            <w:r>
              <w:rPr>
                <w:rFonts w:ascii="Times New Roman" w:cs="Times New Roman" w:eastAsia="Times New Roman" w:hAnsi="Times New Roman"/>
                <w:sz w:val="20"/>
                <w:szCs w:val="20"/>
                <w:color w:val="auto"/>
              </w:rPr>
              <w:t>Russell 3000 Index</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0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-128905</wp:posOffset>
            </wp:positionV>
            <wp:extent cx="120650" cy="120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120650" cy="120650"/>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-128905</wp:posOffset>
            </wp:positionV>
            <wp:extent cx="120650" cy="120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120650" cy="12065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-135255</wp:posOffset>
            </wp:positionV>
            <wp:extent cx="209550" cy="133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209550" cy="133350"/>
                    </a:xfrm>
                    <a:prstGeom prst="rect">
                      <a:avLst/>
                    </a:prstGeom>
                    <a:noFill/>
                  </pic:spPr>
                </pic:pic>
              </a:graphicData>
            </a:graphic>
          </wp:anchor>
        </w:drawing>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60"/>
          </w:cols>
          <w:pgMar w:left="1000" w:top="786" w:right="980" w:bottom="0" w:gutter="0" w:footer="0" w:header="0"/>
          <w:type w:val="continuous"/>
        </w:sectPr>
      </w:pPr>
    </w:p>
    <w:bookmarkStart w:id="50" w:name="page51"/>
    <w:bookmarkEnd w:id="50"/>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Issuer Purchases of Equity Securities</w:t>
      </w:r>
    </w:p>
    <w:p>
      <w:pPr>
        <w:spacing w:after="0" w:line="139"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20"/>
          <w:szCs w:val="20"/>
          <w:color w:val="auto"/>
        </w:rPr>
        <w:t>The following table summarizes the repurchases and cancellations of our common stock during the fourth quarter of 2023:</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Total Number</w:t>
            </w:r>
          </w:p>
        </w:tc>
        <w:tc>
          <w:tcPr>
            <w:tcW w:w="60" w:type="dxa"/>
            <w:vAlign w:val="bottom"/>
          </w:tcPr>
          <w:p>
            <w:pPr>
              <w:spacing w:after="0"/>
              <w:rPr>
                <w:sz w:val="19"/>
                <w:szCs w:val="19"/>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Dollar Value of</w:t>
            </w: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of Share</w:t>
            </w:r>
          </w:p>
        </w:tc>
        <w:tc>
          <w:tcPr>
            <w:tcW w:w="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Purchased as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Shares that</w:t>
            </w: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Total Number</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Part of Publicly</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9"/>
              </w:rPr>
              <w:t>May Yet be</w:t>
            </w: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Average Price</w:t>
            </w:r>
          </w:p>
        </w:tc>
        <w:tc>
          <w:tcPr>
            <w:tcW w:w="60" w:type="dxa"/>
            <w:vAlign w:val="bottom"/>
          </w:tcPr>
          <w:p>
            <w:pPr>
              <w:spacing w:after="0"/>
              <w:rPr>
                <w:sz w:val="17"/>
                <w:szCs w:val="17"/>
                <w:color w:val="auto"/>
              </w:rPr>
            </w:pPr>
          </w:p>
        </w:tc>
        <w:tc>
          <w:tcPr>
            <w:tcW w:w="14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Announced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9"/>
              </w:rPr>
              <w:t>Purchased</w:t>
            </w:r>
          </w:p>
        </w:tc>
        <w:tc>
          <w:tcPr>
            <w:tcW w:w="0" w:type="dxa"/>
            <w:vAlign w:val="bottom"/>
          </w:tcPr>
          <w:p>
            <w:pPr>
              <w:spacing w:after="0"/>
              <w:rPr>
                <w:sz w:val="1"/>
                <w:szCs w:val="1"/>
                <w:color w:val="auto"/>
              </w:rPr>
            </w:pPr>
          </w:p>
        </w:tc>
      </w:tr>
      <w:tr>
        <w:trPr>
          <w:trHeight w:val="200"/>
        </w:trPr>
        <w:tc>
          <w:tcPr>
            <w:tcW w:w="4080" w:type="dxa"/>
            <w:vAlign w:val="bottom"/>
            <w:vMerge w:val="restart"/>
          </w:tcPr>
          <w:p>
            <w:pPr>
              <w:ind w:left="174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60" w:type="dxa"/>
            <w:vAlign w:val="bottom"/>
          </w:tcPr>
          <w:p>
            <w:pPr>
              <w:spacing w:after="0"/>
              <w:rPr>
                <w:sz w:val="17"/>
                <w:szCs w:val="17"/>
                <w:color w:val="auto"/>
              </w:rPr>
            </w:pPr>
          </w:p>
        </w:tc>
        <w:tc>
          <w:tcPr>
            <w:tcW w:w="14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of Shares</w:t>
            </w:r>
          </w:p>
        </w:tc>
        <w:tc>
          <w:tcPr>
            <w:tcW w:w="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Plans or</w:t>
            </w:r>
          </w:p>
        </w:tc>
        <w:tc>
          <w:tcPr>
            <w:tcW w:w="60" w:type="dxa"/>
            <w:vAlign w:val="bottom"/>
          </w:tcPr>
          <w:p>
            <w:pPr>
              <w:spacing w:after="0"/>
              <w:rPr>
                <w:sz w:val="17"/>
                <w:szCs w:val="17"/>
                <w:color w:val="auto"/>
              </w:rPr>
            </w:pPr>
          </w:p>
        </w:tc>
        <w:tc>
          <w:tcPr>
            <w:tcW w:w="15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Under the Plans</w:t>
            </w:r>
          </w:p>
        </w:tc>
        <w:tc>
          <w:tcPr>
            <w:tcW w:w="0" w:type="dxa"/>
            <w:vAlign w:val="bottom"/>
          </w:tcPr>
          <w:p>
            <w:pPr>
              <w:spacing w:after="0"/>
              <w:rPr>
                <w:sz w:val="1"/>
                <w:szCs w:val="1"/>
                <w:color w:val="auto"/>
              </w:rPr>
            </w:pPr>
          </w:p>
        </w:tc>
      </w:tr>
      <w:tr>
        <w:trPr>
          <w:trHeight w:val="263"/>
        </w:trPr>
        <w:tc>
          <w:tcPr>
            <w:tcW w:w="4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Purchased (a)</w:t>
            </w:r>
          </w:p>
        </w:tc>
        <w:tc>
          <w:tcPr>
            <w:tcW w:w="60" w:type="dxa"/>
            <w:vAlign w:val="bottom"/>
          </w:tcPr>
          <w:p>
            <w:pPr>
              <w:spacing w:after="0"/>
              <w:rPr>
                <w:sz w:val="22"/>
                <w:szCs w:val="2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Paid per Share</w:t>
            </w:r>
          </w:p>
        </w:tc>
        <w:tc>
          <w:tcPr>
            <w:tcW w:w="6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Programs (b)</w:t>
            </w:r>
          </w:p>
        </w:tc>
        <w:tc>
          <w:tcPr>
            <w:tcW w:w="60" w:type="dxa"/>
            <w:vAlign w:val="bottom"/>
          </w:tcPr>
          <w:p>
            <w:pPr>
              <w:spacing w:after="0"/>
              <w:rPr>
                <w:sz w:val="22"/>
                <w:szCs w:val="22"/>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or Programs (b)</w:t>
            </w:r>
          </w:p>
        </w:tc>
        <w:tc>
          <w:tcPr>
            <w:tcW w:w="0" w:type="dxa"/>
            <w:vAlign w:val="bottom"/>
          </w:tcPr>
          <w:p>
            <w:pPr>
              <w:spacing w:after="0"/>
              <w:rPr>
                <w:sz w:val="1"/>
                <w:szCs w:val="1"/>
                <w:color w:val="auto"/>
              </w:rPr>
            </w:pPr>
          </w:p>
        </w:tc>
      </w:tr>
      <w:tr>
        <w:trPr>
          <w:trHeight w:val="292"/>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October 29, 2023 to November 25, 2023</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99,411,688</w:t>
            </w:r>
          </w:p>
        </w:tc>
        <w:tc>
          <w:tcPr>
            <w:tcW w:w="0" w:type="dxa"/>
            <w:vAlign w:val="bottom"/>
          </w:tcPr>
          <w:p>
            <w:pPr>
              <w:spacing w:after="0"/>
              <w:rPr>
                <w:sz w:val="1"/>
                <w:szCs w:val="1"/>
                <w:color w:val="auto"/>
              </w:rPr>
            </w:pPr>
          </w:p>
        </w:tc>
      </w:tr>
      <w:tr>
        <w:trPr>
          <w:trHeight w:val="315"/>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November 26, 2023 to December 30, 2023</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699,411,688</w:t>
            </w:r>
          </w:p>
        </w:tc>
        <w:tc>
          <w:tcPr>
            <w:tcW w:w="0" w:type="dxa"/>
            <w:vAlign w:val="bottom"/>
          </w:tcPr>
          <w:p>
            <w:pPr>
              <w:spacing w:after="0"/>
              <w:rPr>
                <w:sz w:val="1"/>
                <w:szCs w:val="1"/>
                <w:color w:val="auto"/>
              </w:rPr>
            </w:pPr>
          </w:p>
        </w:tc>
      </w:tr>
      <w:tr>
        <w:trPr>
          <w:trHeight w:val="318"/>
        </w:trPr>
        <w:tc>
          <w:tcPr>
            <w:tcW w:w="4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31, 2023 to February 3, 2024</w:t>
            </w: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43,526</w:t>
            </w:r>
          </w:p>
        </w:tc>
        <w:tc>
          <w:tcPr>
            <w:tcW w:w="60" w:type="dxa"/>
            <w:vAlign w:val="bottom"/>
          </w:tcPr>
          <w:p>
            <w:pPr>
              <w:spacing w:after="0"/>
              <w:rPr>
                <w:sz w:val="24"/>
                <w:szCs w:val="24"/>
                <w:color w:val="auto"/>
              </w:rPr>
            </w:pPr>
          </w:p>
        </w:tc>
        <w:tc>
          <w:tcPr>
            <w:tcW w:w="5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62.57</w:t>
            </w: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696,688,936</w:t>
            </w:r>
          </w:p>
        </w:tc>
        <w:tc>
          <w:tcPr>
            <w:tcW w:w="0" w:type="dxa"/>
            <w:vAlign w:val="bottom"/>
          </w:tcPr>
          <w:p>
            <w:pPr>
              <w:spacing w:after="0"/>
              <w:rPr>
                <w:sz w:val="1"/>
                <w:szCs w:val="1"/>
                <w:color w:val="auto"/>
              </w:rPr>
            </w:pPr>
          </w:p>
        </w:tc>
      </w:tr>
      <w:tr>
        <w:trPr>
          <w:trHeight w:val="275"/>
        </w:trPr>
        <w:tc>
          <w:tcPr>
            <w:tcW w:w="40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43,526</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43,526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696,688,936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-831215</wp:posOffset>
            </wp:positionV>
            <wp:extent cx="6540500" cy="838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6540500" cy="838200"/>
                    </a:xfrm>
                    <a:prstGeom prst="rect">
                      <a:avLst/>
                    </a:prstGeom>
                    <a:noFill/>
                  </pic:spPr>
                </pic:pic>
              </a:graphicData>
            </a:graphic>
          </wp:anchor>
        </w:drawing>
      </w:r>
    </w:p>
    <w:p>
      <w:pPr>
        <w:ind w:left="270" w:right="20" w:hanging="270"/>
        <w:spacing w:after="0" w:line="282" w:lineRule="auto"/>
        <w:tabs>
          <w:tab w:leader="none" w:pos="2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shares purchased excludes shares which were net-settled, and therefore not issued, to cover employee withholding related to the vesting of certain restricted stock awards and exercise of certain stock option awards.</w:t>
      </w:r>
    </w:p>
    <w:p>
      <w:pPr>
        <w:spacing w:after="0" w:line="11" w:lineRule="exact"/>
        <w:rPr>
          <w:rFonts w:ascii="Times New Roman" w:cs="Times New Roman" w:eastAsia="Times New Roman" w:hAnsi="Times New Roman"/>
          <w:sz w:val="16"/>
          <w:szCs w:val="16"/>
          <w:color w:val="auto"/>
        </w:rPr>
      </w:pPr>
    </w:p>
    <w:p>
      <w:pPr>
        <w:jc w:val="both"/>
        <w:ind w:left="270" w:hanging="270"/>
        <w:spacing w:after="0" w:line="255" w:lineRule="auto"/>
        <w:tabs>
          <w:tab w:leader="none" w:pos="23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2, 2022, the Board of Directors of the Company authorized a share repurchase program (the "2022 Share Repurchase Program") under which the Company may purchase up to $600 million of its outstanding shares during the three-year period ending June 2, 2025. On November 29, 2023, the Board of Directors of the Company authorized a share repurchase program (the "2023 Share Repurchase Program") under which the Company may purchase up to $600 million of its outstanding shares during the three-year period ending November 29, 2026. The 2022 Share Repurchase Program and the 2023 Share Repurchase Program are collectively referred to as the "Share Repurchase Programs". As of February 3, 2024, approximately $696.7 million remained available for share repurchases pursuant to the Share Repurchase Programs (see Note 2 to the accompanying financial statements). The Share Repurchase Programs do not obligate the Company to acquire any particular number of common shares, and the programs may be suspended, extended, modified or discontinued at any time.</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Holders</w:t>
      </w:r>
    </w:p>
    <w:p>
      <w:pPr>
        <w:spacing w:after="0" w:line="259" w:lineRule="exact"/>
        <w:rPr>
          <w:sz w:val="20"/>
          <w:szCs w:val="20"/>
          <w:color w:val="auto"/>
        </w:rPr>
      </w:pPr>
    </w:p>
    <w:p>
      <w:pPr>
        <w:jc w:val="both"/>
        <w:ind w:left="10" w:right="20" w:firstLine="360"/>
        <w:spacing w:after="0" w:line="266" w:lineRule="auto"/>
        <w:rPr>
          <w:sz w:val="20"/>
          <w:szCs w:val="20"/>
          <w:color w:val="auto"/>
        </w:rPr>
      </w:pPr>
      <w:r>
        <w:rPr>
          <w:rFonts w:ascii="Times New Roman" w:cs="Times New Roman" w:eastAsia="Times New Roman" w:hAnsi="Times New Roman"/>
          <w:sz w:val="20"/>
          <w:szCs w:val="20"/>
          <w:color w:val="auto"/>
        </w:rPr>
        <w:t>As of March 14, 2024, there were 12 holders of record of ASO, Inc.'s common stock. The number of holders of record is based upon the actual number of holders registered at such date and does not include holders of shares in "street name" or persons, partnerships, associates, corporations or other entities identified in security position listing maintained by depositories.</w:t>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59" w:lineRule="exact"/>
        <w:rPr>
          <w:sz w:val="20"/>
          <w:szCs w:val="20"/>
          <w:color w:val="auto"/>
        </w:rPr>
      </w:pPr>
    </w:p>
    <w:p>
      <w:pPr>
        <w:jc w:val="both"/>
        <w:ind w:left="10" w:right="20" w:firstLine="360"/>
        <w:spacing w:after="0" w:line="256" w:lineRule="auto"/>
        <w:rPr>
          <w:sz w:val="20"/>
          <w:szCs w:val="20"/>
          <w:color w:val="auto"/>
        </w:rPr>
      </w:pPr>
      <w:r>
        <w:rPr>
          <w:rFonts w:ascii="Times New Roman" w:cs="Times New Roman" w:eastAsia="Times New Roman" w:hAnsi="Times New Roman"/>
          <w:sz w:val="20"/>
          <w:szCs w:val="20"/>
          <w:color w:val="auto"/>
        </w:rPr>
        <w:t>On March 7, 2024, the Company issued a press release announcing that the Board of Directors declared a quarterly cash dividend with respect to the quarter ended February 3, 2024 of $0.11 per share of common stock, payable on April 18, 2024, to stockholders of record as of the close of business on March 26, 2024. The declaration, timing, amount and payment of any future cash dividends will be subject to the discretion and approval of the Board of Directors, taking into account such considerations as the Board of Directors may deem relevant at the time, including, among others, the Company’s results, financial condition and capital allocation plans.</w:t>
      </w:r>
    </w:p>
    <w:p>
      <w:pPr>
        <w:spacing w:after="0" w:line="200" w:lineRule="exact"/>
        <w:rPr>
          <w:sz w:val="20"/>
          <w:szCs w:val="20"/>
          <w:color w:val="auto"/>
        </w:rPr>
      </w:pP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270"/>
          </w:cols>
          <w:pgMar w:left="99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70"/>
          </w:cols>
          <w:pgMar w:left="990" w:top="784" w:right="9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together with our consolidated financial statements and related notes included elsewhere in this Annual Report for the fiscal year ended February 3, 2024 (this "Annual Report").</w:t>
      </w:r>
    </w:p>
    <w:p>
      <w:pPr>
        <w:spacing w:after="0" w:line="7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Any reference in this Annual Report to "year" or any year in particular refers to our fiscal year, which represents the fifty-two or fifty-three week period ending on the Saturday closest to January 31. Unless otherwise specified, all comparisons or changes regarding 2023 are made to 2022.</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All references in this discussion and analysis to "2023", "2022" and "2021" or like terms relate to our fiscal years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Fiscal Year</w:t>
            </w:r>
          </w:p>
        </w:tc>
        <w:tc>
          <w:tcPr>
            <w:tcW w:w="60" w:type="dxa"/>
            <w:vAlign w:val="bottom"/>
          </w:tcPr>
          <w:p>
            <w:pPr>
              <w:spacing w:after="0"/>
              <w:rPr>
                <w:sz w:val="23"/>
                <w:szCs w:val="23"/>
                <w:color w:val="auto"/>
              </w:rPr>
            </w:pPr>
          </w:p>
        </w:tc>
        <w:tc>
          <w:tcPr>
            <w:tcW w:w="7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Ended</w:t>
            </w:r>
          </w:p>
        </w:tc>
        <w:tc>
          <w:tcPr>
            <w:tcW w:w="60" w:type="dxa"/>
            <w:vAlign w:val="bottom"/>
          </w:tcPr>
          <w:p>
            <w:pPr>
              <w:spacing w:after="0"/>
              <w:rPr>
                <w:sz w:val="23"/>
                <w:szCs w:val="2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Weeks</w:t>
            </w:r>
          </w:p>
        </w:tc>
      </w:tr>
      <w:tr>
        <w:trPr>
          <w:trHeight w:val="277"/>
        </w:trPr>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24"/>
                <w:szCs w:val="24"/>
                <w:color w:val="auto"/>
              </w:rPr>
            </w:pPr>
          </w:p>
        </w:tc>
        <w:tc>
          <w:tcPr>
            <w:tcW w:w="7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3, 2024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53</w:t>
            </w:r>
          </w:p>
        </w:tc>
      </w:tr>
      <w:tr>
        <w:trPr>
          <w:trHeight w:val="300"/>
        </w:trPr>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24"/>
                <w:szCs w:val="24"/>
                <w:color w:val="auto"/>
              </w:rPr>
            </w:pPr>
          </w:p>
        </w:tc>
        <w:tc>
          <w:tcPr>
            <w:tcW w:w="7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28, 2023</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52</w:t>
            </w:r>
          </w:p>
        </w:tc>
      </w:tr>
      <w:tr>
        <w:trPr>
          <w:trHeight w:val="300"/>
        </w:trPr>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24"/>
                <w:szCs w:val="24"/>
                <w:color w:val="auto"/>
              </w:rPr>
            </w:pPr>
          </w:p>
        </w:tc>
        <w:tc>
          <w:tcPr>
            <w:tcW w:w="7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29, 2022</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826250" cy="596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6826250" cy="59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9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outdoors, apparel, sports &amp; recreation and footwear (representing 28%, 28%, 24% and 20% of our 2023 net sales, respectively) through both leading national brands and a portfolio of private label brands, which go well beyond traditional sporting goods and apparel offerings.</w:t>
      </w:r>
    </w:p>
    <w:p>
      <w:pPr>
        <w:spacing w:after="0" w:line="14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4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As of February 3, 2024, we operated 282 stores that range in size from approximately 40,000 to 130,000 gross square feet, with an average size of approximately 70,000 gross square feet, throughout 18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700"/>
          </w:cols>
          <w:pgMar w:left="820" w:top="1251" w:right="720" w:bottom="0" w:gutter="0" w:footer="0" w:header="0"/>
          <w:type w:val="continuous"/>
        </w:sectPr>
      </w:pPr>
    </w:p>
    <w:bookmarkStart w:id="52" w:name="page53"/>
    <w:bookmarkEnd w:id="52"/>
    <w:p>
      <w:pPr>
        <w:ind w:left="360"/>
        <w:spacing w:after="0"/>
        <w:rPr>
          <w:sz w:val="20"/>
          <w:szCs w:val="20"/>
          <w:color w:val="auto"/>
        </w:rPr>
      </w:pPr>
      <w:r>
        <w:rPr>
          <w:rFonts w:ascii="Times New Roman" w:cs="Times New Roman" w:eastAsia="Times New Roman" w:hAnsi="Times New Roman"/>
          <w:sz w:val="20"/>
          <w:szCs w:val="20"/>
          <w:color w:val="auto"/>
        </w:rPr>
        <w:t>The following table summarizes store activity for the periods indicated:</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640" w:type="dxa"/>
            <w:vAlign w:val="bottom"/>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r>
      <w:tr>
        <w:trPr>
          <w:trHeight w:val="295"/>
        </w:trPr>
        <w:tc>
          <w:tcPr>
            <w:tcW w:w="4640" w:type="dxa"/>
            <w:vAlign w:val="bottom"/>
          </w:tcPr>
          <w:p>
            <w:pPr>
              <w:spacing w:after="0"/>
              <w:rPr>
                <w:sz w:val="24"/>
                <w:szCs w:val="24"/>
                <w:color w:val="auto"/>
              </w:rPr>
            </w:pPr>
          </w:p>
        </w:tc>
        <w:tc>
          <w:tcPr>
            <w:tcW w:w="1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9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19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9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Beginning stores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w:t>
            </w:r>
          </w:p>
        </w:tc>
      </w:tr>
      <w:tr>
        <w:trPr>
          <w:trHeight w:val="31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Q1 new stores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Q2 new stores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Q3 new stores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Q4 new stores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Closed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Ending stores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60" w:type="dxa"/>
            <w:vAlign w:val="bottom"/>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60" w:type="dxa"/>
            <w:vAlign w:val="bottom"/>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w:t>
            </w:r>
          </w:p>
        </w:tc>
      </w:tr>
      <w:tr>
        <w:trPr>
          <w:trHeight w:val="20"/>
        </w:trPr>
        <w:tc>
          <w:tcPr>
            <w:tcW w:w="46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587"/>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Relocated stores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-1804035</wp:posOffset>
            </wp:positionV>
            <wp:extent cx="6826250" cy="1825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6826250" cy="1825625"/>
                    </a:xfrm>
                    <a:prstGeom prst="rect">
                      <a:avLst/>
                    </a:prstGeom>
                    <a:noFill/>
                  </pic:spPr>
                </pic:pic>
              </a:graphicData>
            </a:graphic>
          </wp:anchor>
        </w:drawing>
      </w:r>
    </w:p>
    <w:p>
      <w:pPr>
        <w:spacing w:after="0" w:line="2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How We Assess the Performance of Our Business and Recent Trends</w:t>
      </w:r>
    </w:p>
    <w:p>
      <w:pPr>
        <w:spacing w:after="0" w:line="19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Comparable Sales. </w:t>
      </w:r>
      <w:r>
        <w:rPr>
          <w:rFonts w:ascii="Times New Roman" w:cs="Times New Roman" w:eastAsia="Times New Roman" w:hAnsi="Times New Roman"/>
          <w:sz w:val="20"/>
          <w:szCs w:val="20"/>
          <w:color w:val="auto"/>
        </w:rPr>
        <w:t>We define comparable sales as the percentage of period-over-period net sales increase or decrease,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aggregate, for stores open after thirteen full fiscal months, as well as for all e-commerce sales. There may be variations in the way in which some of our competitors and other retailers calculate comparable sales. As a result, data in this Annual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4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 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5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The comparable sales metric for 2023 (53 week fiscal year) compares the 52 weeks ended January 27, 2024, against the 52 weeks ended January 28, 2023 (52 week fiscal year). The 2023 53rd week ended February 3, 2024, is not included in comparable sales for 2023. Merchandise net sales for the 2023 53rd week ended February 3, 2024, were $73.3 million. We have seen significant comparable sales fluctuations in recent years from increases of 16.1% and 18.9% in 2020 and 2021, respectively, followed by decreases of 6.4% and 6.5% in 2022 and 2023, respectively. See the discussion on Net Sales below for some contributing factors to the recent changes.</w:t>
      </w:r>
    </w:p>
    <w:p>
      <w:pPr>
        <w:spacing w:after="0" w:line="186"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Transactions and average ticket. </w:t>
      </w:r>
      <w:r>
        <w:rPr>
          <w:rFonts w:ascii="Times New Roman" w:cs="Times New Roman" w:eastAsia="Times New Roman" w:hAnsi="Times New Roman"/>
          <w:sz w:val="20"/>
          <w:szCs w:val="20"/>
          <w:color w:val="auto"/>
        </w:rPr>
        <w:t>We define transactions as the number of customer transactions for stores and e-commerce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during a given period on a comparable sales basis. Transactions are influenced by customer traffic, the amount of customers that visited our stores or website, and sales conversion, the percent of those customers that made a purchase. We define average ticket as total comparable sales divided by the number of transactions during a given period, which tells us the average amount the customer is spending on a purchase.</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700"/>
          </w:cols>
          <w:pgMar w:left="820" w:top="1018" w:right="720" w:bottom="0" w:gutter="0" w:footer="0" w:header="0"/>
          <w:type w:val="continuous"/>
        </w:sectPr>
      </w:pPr>
    </w:p>
    <w:bookmarkStart w:id="53" w:name="page54"/>
    <w:bookmarkEnd w:id="53"/>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EBITDA, Adjusted EBIT, Adjusted Net Income, Adjusted Earnings per Share and Adjusted Free Cash Flow.</w:t>
      </w:r>
    </w:p>
    <w:p>
      <w:pPr>
        <w:spacing w:after="0" w:line="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45" w:lineRule="exact"/>
        <w:rPr>
          <w:sz w:val="20"/>
          <w:szCs w:val="20"/>
          <w:color w:val="auto"/>
        </w:rPr>
      </w:pPr>
    </w:p>
    <w:p>
      <w:pPr>
        <w:jc w:val="both"/>
        <w:ind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Components of Our Results of Operations. </w:t>
      </w:r>
      <w:r>
        <w:rPr>
          <w:rFonts w:ascii="Times New Roman" w:cs="Times New Roman" w:eastAsia="Times New Roman" w:hAnsi="Times New Roman"/>
          <w:sz w:val="20"/>
          <w:szCs w:val="20"/>
          <w:color w:val="auto"/>
        </w:rPr>
        <w:t>Our profitability is primarily influenced by fluctuations in net sales, gross margin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our ability to leverage selling, general and administrative expenses.</w:t>
      </w:r>
    </w:p>
    <w:p>
      <w:pPr>
        <w:spacing w:after="0" w:line="108" w:lineRule="exact"/>
        <w:rPr>
          <w:sz w:val="20"/>
          <w:szCs w:val="20"/>
          <w:color w:val="auto"/>
        </w:rPr>
      </w:pPr>
    </w:p>
    <w:p>
      <w:pPr>
        <w:jc w:val="both"/>
        <w:ind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Sales. </w:t>
      </w:r>
      <w:r>
        <w:rPr>
          <w:rFonts w:ascii="Times New Roman" w:cs="Times New Roman" w:eastAsia="Times New Roman" w:hAnsi="Times New Roman"/>
          <w:sz w:val="20"/>
          <w:szCs w:val="20"/>
          <w:color w:val="auto"/>
        </w:rPr>
        <w:t>Net sales are derived from in-store and e-commerce merchandise sales, net of sales tax and an allowance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merchandise returns.</w:t>
      </w:r>
    </w:p>
    <w:p>
      <w:pPr>
        <w:spacing w:after="0" w:line="11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14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4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broad assortment gives us an advantage over mass general merchants who typically do not carry the leading national brands sold at Academy. We have also continued to add private label brand products to our assortment of products, which we generally price lower than the national brand products of comparable quality that we also offer. A shift in our sales mix in which we sell more units of our private label brand products and fewer units of the national brand products would generally have a positive impact on our gross margin but an adverse impact on our total net sales.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 In recent years, we have experienced higher sales related to the outdoors and sports and recreation merchandise divisions, as our customers turned to us for isolated recreation and outdoor and leisure activities during the pandemic. As our business has normalized, we have experienced a shift in our sales mix from the outdoors and sports and recreation merchandise divisions to the footwear and apparel merchandise divisions, which has generally had a positive impact on our gross margin rate.</w:t>
      </w:r>
    </w:p>
    <w:p>
      <w:pPr>
        <w:spacing w:after="0" w:line="15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expansion and enhancement of our omnichannel capabilities has resulted in increased sales in recent years. We continue to invest in initiatives that will increase traffic to our stores and e-commerce platform, which includes our website and mobile app, and drive increased sales conversion. These initiatives include investments in our new customer data platform and the development of strategies, which focus on customer segmentation with the intention of improving customer identification and increasing customer engagement. Additionally, we recently implemented several innovative website features to enhance the customer online shopping experience, including a redesigned home page, additional BOPIS features, and enhanced shipping notifications. Our improved e-commerce platform supports our stores with digital marketing and our BOPIS and ship-to-store programs. These platforms allow us to connect further with our customers for marketing and product education and assists us in introducing customers to the Academy brand by reaching customers outside of our current store footprint. During 2023,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further investments by us.</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700"/>
          </w:cols>
          <w:pgMar w:left="820" w:top="1009" w:right="720" w:bottom="0" w:gutter="0" w:footer="0" w:header="0"/>
          <w:type w:val="continuous"/>
        </w:sectPr>
      </w:pPr>
    </w:p>
    <w:bookmarkStart w:id="54" w:name="page55"/>
    <w:bookmarkEnd w:id="54"/>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expect that new stores will be a key driver of growth in our net sales and gross margin in the future as we execute our new store opening growth plans. Our results of operations have been and will continue to be materially affected by the timing and number of new store openings. We are continually assessing the number of locations available that could accommodate our preferred size of stores in markets we would consider, and during 2023 we opened 14 new stores. We believe our real estate strategy has positioned us well for further expansion.</w:t>
      </w:r>
    </w:p>
    <w:p>
      <w:pPr>
        <w:spacing w:after="0" w:line="138"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Gross Margin. </w:t>
      </w:r>
      <w:r>
        <w:rPr>
          <w:rFonts w:ascii="Times New Roman" w:cs="Times New Roman" w:eastAsia="Times New Roman" w:hAnsi="Times New Roman"/>
          <w:sz w:val="20"/>
          <w:szCs w:val="20"/>
          <w:color w:val="auto"/>
        </w:rPr>
        <w:t>Gross margin is our net sales less cost of goods sold. Our cost of goods sold includes the direct cost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merchandise and costs related to procurement, warehousing and distribution, which consist primarily of payroll and benefits, distribution center occupancy costs and freight and are generally variable in nature relative to our sales volume.</w:t>
      </w:r>
    </w:p>
    <w:p>
      <w:pPr>
        <w:spacing w:after="0" w:line="13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gross margin depends on a number of factors, such as net sales increases or decreases, our promotional activities, product mix including private label brand merchandise sales, and our ability to control cost of goods sold, such as inventory and logistics cost management. Our gross margin is also impacted by variables including commodity costs, freight costs, shrinkage (discussed below) and inventory processing costs and e-commerce shipping costs. We track and measure gross margin as a percentage of net sales in order to evaluate our performance against profitability targets.</w:t>
      </w:r>
    </w:p>
    <w:p>
      <w:pPr>
        <w:spacing w:after="0" w:line="14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During 2021, we began to see increased competition across the industry for resources throughout a constrained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w:t>
      </w:r>
    </w:p>
    <w:p>
      <w:pPr>
        <w:spacing w:after="0" w:line="14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refer to loss or theft of inventory as "shrinkage" or "shrink". Over recent years, the United States retail industry, including Academy, has experienced a significant increase in inventory shrink, which has resulted in a negative impact to our gross margins. A prolonged period of significant increased shrink could have a material negative impact on our gross margin and results of operations.</w:t>
      </w:r>
    </w:p>
    <w:p>
      <w:pPr>
        <w:spacing w:after="0" w:line="1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Selling, General and Administrative Expenses. </w:t>
      </w:r>
      <w:r>
        <w:rPr>
          <w:rFonts w:ascii="Times New Roman" w:cs="Times New Roman" w:eastAsia="Times New Roman" w:hAnsi="Times New Roman"/>
          <w:sz w:val="20"/>
          <w:szCs w:val="20"/>
          <w:color w:val="auto"/>
        </w:rPr>
        <w:t>Selling, general and administrative ("SG&amp;A") expenses include store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corporate administrative 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21.4% in 2022 to 23.3% in 2023. The majority of the increase in SG&amp;A from the prior year was driven by investments in our growth initiatives, including costs related to new stores (such as additional property and facility fees, employee compensation costs and advertising costs). We track and measure operating expenses as a percentage of net sales in order to evaluate our performance against profitability targets. Management of SG&amp;A expenses depends on our ability to balance a control of operating costs, such as store and corporate headcount, information technology infrastructure and marketing and advertising expenses, while efficiently and effectively servicing our customers.</w:t>
      </w:r>
    </w:p>
    <w:p>
      <w:pPr>
        <w:spacing w:after="0" w:line="14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r>
      <w:tr>
        <w:trPr>
          <w:trHeight w:val="295"/>
        </w:trPr>
        <w:tc>
          <w:tcPr>
            <w:tcW w:w="4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92"/>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Number of new stores opened</w:t>
            </w:r>
          </w:p>
        </w:tc>
        <w:tc>
          <w:tcPr>
            <w:tcW w:w="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Pre-opening expenses (in millions)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-403860</wp:posOffset>
            </wp:positionV>
            <wp:extent cx="6826250" cy="425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6826250" cy="425450"/>
                    </a:xfrm>
                    <a:prstGeom prst="rect">
                      <a:avLst/>
                    </a:prstGeom>
                    <a:noFill/>
                  </pic:spPr>
                </pic:pic>
              </a:graphicData>
            </a:graphic>
          </wp:anchor>
        </w:drawing>
      </w:r>
    </w:p>
    <w:p>
      <w:pPr>
        <w:spacing w:after="0" w:line="205"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Interest expense includes regular interest payable related to our Term Loan, Notes and ABL Facility (see Note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4 to the accompanying financial statements) and the amortization of our deferred loan costs and original issuance discounts associated with the acquisition of the debt. In May of 2021, we entered into an amendment to our Term Loan which reduced the applicable margin on our LIBOR rate by 1.25%, and paid down $99 million. In December of 2022, we utilized cash on hand to voluntarily prepay $100 million of outstanding borrowings on our Term Loan. However, this prepayment in principal on our Term Loan was largely offset by increases made by the Federal Reserve to the federal funds benchmark rate during 2022 and 2023, resulting in a small decrease in interest expense in 2023 compared to 2022. In February of 2024, we made an additional prepayment of $100 million on our Term Loan, which we anticipate will result in decreased interest expense in fiscal 2024.</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700"/>
          </w:cols>
          <w:pgMar w:left="820" w:top="1018" w:right="720" w:bottom="0" w:gutter="0" w:footer="0" w:header="0"/>
          <w:type w:val="continuous"/>
        </w:sectPr>
      </w:pPr>
    </w:p>
    <w:bookmarkStart w:id="55" w:name="page56"/>
    <w:bookmarkEnd w:id="55"/>
    <w:p>
      <w:pPr>
        <w:jc w:val="both"/>
        <w:ind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Expense. </w:t>
      </w:r>
      <w:r>
        <w:rPr>
          <w:rFonts w:ascii="Times New Roman" w:cs="Times New Roman" w:eastAsia="Times New Roman" w:hAnsi="Times New Roman"/>
          <w:sz w:val="20"/>
          <w:szCs w:val="20"/>
          <w:color w:val="auto"/>
        </w:rPr>
        <w:t>ASO, Inc. is treated as a U.S. corporation for U.S. federal, state, and local income tax purposes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accordingly, a provision for income taxes has been recorded for the anticipated tax consequences of our reported results of operations for federal, state and local income taxes. Recent fluctuations in income tax expense have been primarily as a result of changes in income before income taxes.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9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 discussion regarding Results of Operations and Analysis of Financial Condition for the fiscal year ended January 28, 2023, as compared to the fiscal year ended January 29, 2022, is included in “Part II – Item 7. Management’s Discussion and Analysis of Financial Condition and Results of Operations” to our Annual Report on Form 10-K for the fiscal year ended January 28,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2023 (53 weeks) Compared to 2022 (52 weeks)</w:t>
      </w:r>
    </w:p>
    <w:p>
      <w:pPr>
        <w:spacing w:after="0" w:line="259" w:lineRule="exact"/>
        <w:rPr>
          <w:sz w:val="20"/>
          <w:szCs w:val="20"/>
          <w:color w:val="auto"/>
        </w:rPr>
      </w:pPr>
    </w:p>
    <w:p>
      <w:pPr>
        <w:ind w:right="50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sets forth amounts and information derived from our consolidated statements of income for the periods indicated as follows (dollar amounts 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35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5"/>
        </w:trPr>
        <w:tc>
          <w:tcPr>
            <w:tcW w:w="35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Dollars</w:t>
            </w: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6,159,291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100.0 %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6,395,073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(235,782)</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8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4,049,080</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65.7 %</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4,182,571</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65.4 %</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(133,491)</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64"/>
        </w:trPr>
        <w:tc>
          <w:tcPr>
            <w:tcW w:w="3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Gross margin</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2,110,211</w:t>
            </w: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34.3 %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2,212,502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34.6 %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(102,291)</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33"/>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1,432,356</w:t>
            </w:r>
          </w:p>
        </w:tc>
        <w:tc>
          <w:tcPr>
            <w:tcW w:w="80" w:type="dxa"/>
            <w:vAlign w:val="bottom"/>
            <w:vMerge w:val="restart"/>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23.3 %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1,365,953</w:t>
            </w:r>
          </w:p>
        </w:tc>
        <w:tc>
          <w:tcPr>
            <w:tcW w:w="80" w:type="dxa"/>
            <w:vAlign w:val="bottom"/>
            <w:vMerge w:val="restart"/>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21.4 %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66,403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0" w:type="dxa"/>
            <w:vAlign w:val="bottom"/>
          </w:tcPr>
          <w:p>
            <w:pPr>
              <w:spacing w:after="0"/>
              <w:rPr>
                <w:sz w:val="1"/>
                <w:szCs w:val="1"/>
                <w:color w:val="auto"/>
              </w:rPr>
            </w:pPr>
          </w:p>
        </w:tc>
      </w:tr>
      <w:tr>
        <w:trPr>
          <w:trHeight w:val="263"/>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Operating income</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677,855</w:t>
            </w: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11.0 %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846,549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(168,694)</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46,051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0.7 %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9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Loss on early retirement of debt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0.0 %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0" w:type="dxa"/>
            <w:vAlign w:val="bottom"/>
          </w:tcPr>
          <w:p>
            <w:pPr>
              <w:spacing w:after="0"/>
              <w:rPr>
                <w:sz w:val="1"/>
                <w:szCs w:val="1"/>
                <w:color w:val="auto"/>
              </w:rPr>
            </w:pPr>
          </w:p>
        </w:tc>
      </w:tr>
      <w:tr>
        <w:trPr>
          <w:trHeight w:val="28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(32,877)</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(20,175)</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(12,702)</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63.0 %</w:t>
            </w:r>
          </w:p>
        </w:tc>
        <w:tc>
          <w:tcPr>
            <w:tcW w:w="0" w:type="dxa"/>
            <w:vAlign w:val="bottom"/>
          </w:tcPr>
          <w:p>
            <w:pPr>
              <w:spacing w:after="0"/>
              <w:rPr>
                <w:sz w:val="1"/>
                <w:szCs w:val="1"/>
                <w:color w:val="auto"/>
              </w:rPr>
            </w:pPr>
          </w:p>
        </w:tc>
      </w:tr>
      <w:tr>
        <w:trPr>
          <w:trHeight w:val="264"/>
        </w:trPr>
        <w:tc>
          <w:tcPr>
            <w:tcW w:w="3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663,156</w:t>
            </w: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10.8 %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818,320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(155,164)</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0" w:type="dxa"/>
            <w:vAlign w:val="bottom"/>
          </w:tcPr>
          <w:p>
            <w:pPr>
              <w:spacing w:after="0"/>
              <w:rPr>
                <w:sz w:val="1"/>
                <w:szCs w:val="1"/>
                <w:color w:val="auto"/>
              </w:rPr>
            </w:pPr>
          </w:p>
        </w:tc>
      </w:tr>
      <w:tr>
        <w:trPr>
          <w:trHeight w:val="28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143,966</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2.3 %</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190,319</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(46,353)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0" w:type="dxa"/>
            <w:vAlign w:val="bottom"/>
          </w:tcPr>
          <w:p>
            <w:pPr>
              <w:spacing w:after="0"/>
              <w:rPr>
                <w:sz w:val="1"/>
                <w:szCs w:val="1"/>
                <w:color w:val="auto"/>
              </w:rPr>
            </w:pPr>
          </w:p>
        </w:tc>
      </w:tr>
      <w:tr>
        <w:trPr>
          <w:trHeight w:val="245"/>
        </w:trPr>
        <w:tc>
          <w:tcPr>
            <w:tcW w:w="3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519,190</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628,001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(108,811)</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-2164715</wp:posOffset>
            </wp:positionV>
            <wp:extent cx="6826250" cy="2171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6826250" cy="21717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 Percentages in table may not sum properly due to rounding.</w:t>
      </w:r>
    </w:p>
    <w:p>
      <w:pPr>
        <w:spacing w:after="0" w:line="230" w:lineRule="exact"/>
        <w:rPr>
          <w:sz w:val="20"/>
          <w:szCs w:val="20"/>
          <w:color w:val="auto"/>
        </w:rPr>
      </w:pPr>
    </w:p>
    <w:p>
      <w:pPr>
        <w:jc w:val="both"/>
        <w:ind w:firstLine="413"/>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Net Sales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Net sales decreased $235.8 million, or 3.7%, in 2023 over the prior year as a result of decreased comparable sales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6.5%, which were partially offset by additional net sales generated by new locations. As of the end of 2023, we operated 14 additional stores as compared to the end of 2022, and the full benefit of nine stores opened during 2022. Collectively, these stores accounted for a $113.5 million increase in net sales for 2023, which does not include e-commerce sales fulfilled from these locations. Additionally, merchandise net sales from the 53rd week, which is not included in comparable sales for 2023, increased net sales by $73.3 million in 2023.</w:t>
      </w:r>
    </w:p>
    <w:p>
      <w:pPr>
        <w:spacing w:after="0" w:line="14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The decrease of 6.5% in comparable sales was driven by lower sales across all merchandise divisions as a result of fewer transactions of 7.0%, partially offset by an increase in average ticket of 0.5%. The outdoors merchandise division sales declines were primarily as a result of the hunting category, driven by decreases in firearms and ammunition sales over the prior year. The apparel division sales decreased due to lower sales in athletic and outdoor apparel. The footwear merchandise division sales decreased due to lower sales in the athletic footwear and work footwear categories, partially offset by increased sales in the casual and seasonal footwear categories. The sports and recreation merchandise division decrease was a result of decreased sales in fitness equipment and bikes.</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E-commerce sales represented 10.7% of merchandise sales for 2023 and 2022.</w:t>
      </w:r>
    </w:p>
    <w:p>
      <w:pPr>
        <w:sectPr>
          <w:pgSz w:w="12240" w:h="15840" w:orient="portrait"/>
          <w:cols w:equalWidth="0" w:num="1">
            <w:col w:w="10700"/>
          </w:cols>
          <w:pgMar w:left="820" w:top="101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700"/>
          </w:cols>
          <w:pgMar w:left="820" w:top="1012" w:right="720" w:bottom="0" w:gutter="0" w:footer="0" w:header="0"/>
          <w:type w:val="continuous"/>
        </w:sectPr>
      </w:pPr>
    </w:p>
    <w:bookmarkStart w:id="56" w:name="page57"/>
    <w:bookmarkEnd w:id="56"/>
    <w:p>
      <w:pPr>
        <w:jc w:val="both"/>
        <w:ind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Gross Margin. </w:t>
      </w:r>
      <w:r>
        <w:rPr>
          <w:rFonts w:ascii="Times New Roman" w:cs="Times New Roman" w:eastAsia="Times New Roman" w:hAnsi="Times New Roman"/>
          <w:sz w:val="20"/>
          <w:szCs w:val="20"/>
          <w:color w:val="auto"/>
        </w:rPr>
        <w:t>Gross margin for 2023 decreased $102.3 million, or 4.6%, when compared to 2022. Our gross margin, 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percentage of net sales, was 34.3% in 2023 compared to 34.6% in 2022, a decrease of 30 basis points. This decrease is primarily due to:</w:t>
      </w:r>
    </w:p>
    <w:p>
      <w:pPr>
        <w:spacing w:after="0" w:line="73" w:lineRule="exact"/>
        <w:rPr>
          <w:sz w:val="20"/>
          <w:szCs w:val="20"/>
          <w:color w:val="auto"/>
        </w:rPr>
      </w:pPr>
    </w:p>
    <w:p>
      <w:pPr>
        <w:ind w:left="72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57 basis points of unfavorability in merchandise margin as a result of increased planned promotional activity compared to the prior year;</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41 basis points of unfavorability as a result of increased inventory shrink;</w:t>
      </w:r>
    </w:p>
    <w:p>
      <w:pPr>
        <w:spacing w:after="0" w:line="13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 basis points of unfavorability in inventory overhead expenditures as a result of higher absorption rates from slower inventory turnover; partially offset by</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 basis points of favorability in import and domestic freight due to lower freight costs per unit.</w:t>
      </w:r>
    </w:p>
    <w:p>
      <w:pPr>
        <w:spacing w:after="0" w:line="244"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Selling, General and Administrative Expenses. </w:t>
      </w:r>
      <w:r>
        <w:rPr>
          <w:rFonts w:ascii="Times New Roman" w:cs="Times New Roman" w:eastAsia="Times New Roman" w:hAnsi="Times New Roman"/>
          <w:sz w:val="20"/>
          <w:szCs w:val="20"/>
          <w:color w:val="auto"/>
        </w:rPr>
        <w:t>SG&amp;A expenses increased $66.4 million, or 4.9%, to $1,432.4 million in 2023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$1,366.0 million in 2022. As a percentage of net sales, SG&amp;A expenses increased 1.9% to 23.3% in 2023 compared to 21.4% in 2022. The increase of 190 basis points is partially attributable to deleverage from decreased sales. SG&amp;A costs also increased $66.4 million primarily as a result of:</w:t>
      </w:r>
    </w:p>
    <w:p>
      <w:pPr>
        <w:spacing w:after="0" w:line="78" w:lineRule="exact"/>
        <w:rPr>
          <w:sz w:val="20"/>
          <w:szCs w:val="20"/>
          <w:color w:val="auto"/>
        </w:rPr>
      </w:pPr>
    </w:p>
    <w:p>
      <w:pPr>
        <w:ind w:left="7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facility fees increase of $34.7 million primarily due to investments in long-term growth initiatives, which includes the addition of 14 new stores since the end of the prior year and increased technology expense;</w:t>
      </w:r>
    </w:p>
    <w:p>
      <w:pPr>
        <w:spacing w:after="0" w:line="6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compensation costs increased $22.7 million primarily due to increased wages expense over the prior year, partially attributable to the addition of new stores; and</w:t>
      </w:r>
    </w:p>
    <w:p>
      <w:pPr>
        <w:spacing w:after="0" w:line="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Advertising spend increase of $9.4 million.</w:t>
      </w:r>
    </w:p>
    <w:p>
      <w:pPr>
        <w:spacing w:after="0" w:line="224"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Loss on early retirement of debt. </w:t>
      </w:r>
      <w:r>
        <w:rPr>
          <w:rFonts w:ascii="Times New Roman" w:cs="Times New Roman" w:eastAsia="Times New Roman" w:hAnsi="Times New Roman"/>
          <w:sz w:val="20"/>
          <w:szCs w:val="20"/>
          <w:color w:val="auto"/>
        </w:rPr>
        <w:t>We utilized cash on hand to voluntarily prepay $100 million of outstanding borrowings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Term Loan in February of 2024. In December of 2022, we also voluntarily prepaid $100 million of outstanding borrowings under the Term Loan. These prepayments resulted in losses on early retirement of debt of $1.5 million and $2.0 million for 2023 and 2022, respectively.</w:t>
      </w:r>
    </w:p>
    <w:p>
      <w:pPr>
        <w:spacing w:after="0" w:line="152"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Interest expense decreased $0.4 million, or 0.8%, to $46.1 million in 2023 from $46.4 million in 2022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resulting primarily from higher capitalized interest due to increased construction of new stores and a lower outstanding balance on our long-term debt, driven by a voluntary prepayment of $100.0 million made in December 2022, partially offset by an increase in interest rates on our Term Loan.</w:t>
      </w:r>
    </w:p>
    <w:p>
      <w:pPr>
        <w:spacing w:after="0" w:line="19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(Income), net. </w:t>
      </w:r>
      <w:r>
        <w:rPr>
          <w:rFonts w:ascii="Times New Roman" w:cs="Times New Roman" w:eastAsia="Times New Roman" w:hAnsi="Times New Roman"/>
          <w:sz w:val="20"/>
          <w:szCs w:val="20"/>
          <w:color w:val="auto"/>
        </w:rPr>
        <w:t>Other income increased $12.7 million in 2023, primarily driven by the recognition of a $15.9 million gain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pertaining to the settlement of a credit card company litigation matter, which occurred in the fourth quarter of 2023, and higher interest rates on money market investments in the current year, both of which were partially offset by the receipt of $7.2 million in business interruption insurance proceeds relative to a winter storm in 2022 and $3.7 million in proceeds relative to a sale in which we factored rights to pursue a legal matter pertaining to the overpayment of certain tariffs.</w:t>
      </w:r>
    </w:p>
    <w:p>
      <w:pPr>
        <w:spacing w:after="0" w:line="19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Income Tax Expense. </w:t>
      </w:r>
      <w:r>
        <w:rPr>
          <w:rFonts w:ascii="Times New Roman" w:cs="Times New Roman" w:eastAsia="Times New Roman" w:hAnsi="Times New Roman"/>
          <w:sz w:val="20"/>
          <w:szCs w:val="20"/>
          <w:color w:val="auto"/>
        </w:rPr>
        <w:t>Income tax expense decreased $46.4 million to $144.0 million in 2023 as compared to $190.3 million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2022, resulting primarily from a decrease in pre-tax income. ASO, Inc.'s effective tax rate for 2023 was 21.7% compared to 23.3% in 2022. The decrease in effective tax rate was largely driven by the inclusion of certain research and development tax credits relative to 2022 and 2023 in the current year results, as well as increased permanent adjustments resulting from the vesting of a higher number of stock compensation awards during 2023.</w:t>
      </w:r>
    </w:p>
    <w:p>
      <w:pPr>
        <w:sectPr>
          <w:pgSz w:w="12240" w:h="15840" w:orient="portrait"/>
          <w:cols w:equalWidth="0" w:num="1">
            <w:col w:w="10700"/>
          </w:cols>
          <w:pgMar w:left="820" w:top="101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700"/>
          </w:cols>
          <w:pgMar w:left="820" w:top="1012" w:right="72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Adjusted EBITDA, Adjusted EBIT, Adjusted Net Income, Adjusted Earnings per Share and Adjusted Free Cash Flow, as shown below, have been presented in this Annual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4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15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ectPr>
          <w:pgSz w:w="12240" w:h="15840" w:orient="portrait"/>
          <w:cols w:equalWidth="0" w:num="1">
            <w:col w:w="10700"/>
          </w:cols>
          <w:pgMar w:left="820" w:top="101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700"/>
          </w:cols>
          <w:pgMar w:left="820" w:top="1011" w:right="720" w:bottom="0" w:gutter="0" w:footer="0" w:header="0"/>
          <w:type w:val="continuous"/>
        </w:sectPr>
      </w:pPr>
    </w:p>
    <w:bookmarkStart w:id="58" w:name="page59"/>
    <w:bookmarkEnd w:id="58"/>
    <w:p>
      <w:pPr>
        <w:jc w:val="both"/>
        <w:ind w:right="460" w:firstLine="360"/>
        <w:spacing w:after="0" w:line="266" w:lineRule="auto"/>
        <w:rPr>
          <w:sz w:val="20"/>
          <w:szCs w:val="20"/>
          <w:color w:val="auto"/>
        </w:rPr>
      </w:pPr>
      <w:r>
        <w:rPr>
          <w:rFonts w:ascii="Times New Roman" w:cs="Times New Roman" w:eastAsia="Times New Roman" w:hAnsi="Times New Roman"/>
          <w:sz w:val="20"/>
          <w:szCs w:val="20"/>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35" w:lineRule="exact"/>
        <w:rPr>
          <w:sz w:val="20"/>
          <w:szCs w:val="20"/>
          <w:color w:val="auto"/>
        </w:rPr>
      </w:pPr>
    </w:p>
    <w:p>
      <w:pPr>
        <w:ind w:left="7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companies in our industry may calculate these measures differently than we do, limiting their usefulness as comparative measures.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700"/>
          </w:cols>
          <w:pgMar w:left="820" w:top="1018" w:right="72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 and Adjusted EBIT</w:t>
      </w:r>
    </w:p>
    <w:p>
      <w:pPr>
        <w:spacing w:after="0" w:line="199"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provides reconciliations of net income to Adjusted EBITDA and to Adjusted EBIT for the periods presented (amounts in thousands):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54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80"/>
        </w:trPr>
        <w:tc>
          <w:tcPr>
            <w:tcW w:w="554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519,190</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628,001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671,381</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46,051</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48,989</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143,966</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190,319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188,159</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110,936</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106,762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105,274</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(b)</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24,377</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39,264</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Loss on early retirement of debt</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1,525</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w:t>
            </w:r>
          </w:p>
        </w:tc>
      </w:tr>
      <w:tr>
        <w:trPr>
          <w:trHeight w:val="30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Payroll taxes associated with the 2021 Vesting Event (c)</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15,418</w:t>
            </w:r>
          </w:p>
        </w:tc>
      </w:tr>
      <w:tr>
        <w:trPr>
          <w:trHeight w:val="303"/>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Other (d)</w:t>
            </w: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3,118</w:t>
            </w:r>
          </w:p>
        </w:tc>
      </w:tr>
      <w:tr>
        <w:trPr>
          <w:trHeight w:val="280"/>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Adjusted EBITDA</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846,045</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994,661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1,073,842</w:t>
            </w:r>
          </w:p>
        </w:tc>
      </w:tr>
      <w:tr>
        <w:trPr>
          <w:trHeight w:val="28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Less: Depreciation and amortization</w:t>
            </w:r>
          </w:p>
        </w:tc>
        <w:tc>
          <w:tcPr>
            <w:tcW w:w="5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(110,936)</w:t>
            </w:r>
          </w:p>
        </w:tc>
        <w:tc>
          <w:tcPr>
            <w:tcW w:w="60" w:type="dxa"/>
            <w:vAlign w:val="bottom"/>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(106,762)</w:t>
            </w:r>
          </w:p>
        </w:tc>
        <w:tc>
          <w:tcPr>
            <w:tcW w:w="6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(105,274)</w:t>
            </w:r>
          </w:p>
        </w:tc>
      </w:tr>
      <w:tr>
        <w:trPr>
          <w:trHeight w:val="260"/>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Adjusted EBIT</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735,109</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887,899</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968,568</w:t>
            </w:r>
          </w:p>
        </w:tc>
      </w:tr>
      <w:tr>
        <w:trPr>
          <w:trHeight w:val="20"/>
        </w:trPr>
        <w:tc>
          <w:tcPr>
            <w:tcW w:w="5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-2126615</wp:posOffset>
            </wp:positionV>
            <wp:extent cx="6826250" cy="2133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6826250" cy="2133600"/>
                    </a:xfrm>
                    <a:prstGeom prst="rect">
                      <a:avLst/>
                    </a:prstGeom>
                    <a:noFill/>
                  </pic:spPr>
                </pic:pic>
              </a:graphicData>
            </a:graphic>
          </wp:anchor>
        </w:drawing>
      </w:r>
    </w:p>
    <w:p>
      <w:pPr>
        <w:spacing w:after="0" w:line="95" w:lineRule="exact"/>
        <w:rPr>
          <w:sz w:val="20"/>
          <w:szCs w:val="20"/>
          <w:color w:val="auto"/>
        </w:rPr>
      </w:pPr>
    </w:p>
    <w:p>
      <w:pPr>
        <w:jc w:val="both"/>
        <w:ind w:left="420" w:right="40" w:hanging="377"/>
        <w:spacing w:after="0" w:line="258" w:lineRule="auto"/>
        <w:tabs>
          <w:tab w:leader="none" w:pos="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for the year ended February 3, 2024, includes a $15.9 million net gain relative to a credit card fee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All of these items are included in their respective years within Other (income), net on the Consolidated Statements of Income and are disclosed within Note 2 of the accompanying financial statements.</w:t>
      </w:r>
    </w:p>
    <w:p>
      <w:pPr>
        <w:spacing w:after="0" w:line="31" w:lineRule="exact"/>
        <w:rPr>
          <w:rFonts w:ascii="Times New Roman" w:cs="Times New Roman" w:eastAsia="Times New Roman" w:hAnsi="Times New Roman"/>
          <w:sz w:val="16"/>
          <w:szCs w:val="16"/>
          <w:color w:val="auto"/>
        </w:rPr>
      </w:pPr>
    </w:p>
    <w:p>
      <w:pPr>
        <w:jc w:val="both"/>
        <w:ind w:left="420" w:right="60" w:hanging="377"/>
        <w:spacing w:after="0" w:line="317" w:lineRule="auto"/>
        <w:tabs>
          <w:tab w:leader="none" w:pos="4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charges related to equity based compensation, which vary from period to period depending on certain factors such as the 2021 Vesting Event (see Note 1 to the accompanying financial statements), timing and valuation of awards, achievement of performance targets and equity award forfeitures.</w:t>
      </w:r>
    </w:p>
    <w:p>
      <w:pPr>
        <w:spacing w:after="0" w:line="9" w:lineRule="exact"/>
        <w:rPr>
          <w:rFonts w:ascii="Times New Roman" w:cs="Times New Roman" w:eastAsia="Times New Roman" w:hAnsi="Times New Roman"/>
          <w:sz w:val="15"/>
          <w:szCs w:val="15"/>
          <w:color w:val="auto"/>
        </w:rPr>
      </w:pPr>
    </w:p>
    <w:p>
      <w:pPr>
        <w:ind w:left="420" w:hanging="377"/>
        <w:spacing w:after="0"/>
        <w:tabs>
          <w:tab w:leader="none" w:pos="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expenses related to taxes on equity-based compensation resulting from the 2021 Vesting Event.</w:t>
      </w:r>
    </w:p>
    <w:p>
      <w:pPr>
        <w:spacing w:after="0" w:line="116" w:lineRule="exact"/>
        <w:rPr>
          <w:rFonts w:ascii="Times New Roman" w:cs="Times New Roman" w:eastAsia="Times New Roman" w:hAnsi="Times New Roman"/>
          <w:sz w:val="16"/>
          <w:szCs w:val="16"/>
          <w:color w:val="auto"/>
        </w:rPr>
      </w:pPr>
    </w:p>
    <w:p>
      <w:pPr>
        <w:ind w:left="420" w:right="60" w:hanging="377"/>
        <w:spacing w:after="0" w:line="282" w:lineRule="auto"/>
        <w:tabs>
          <w:tab w:leader="none" w:pos="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adjustments include (representing deductions or additions to Adjusted EBITDA and Adjusted EBIT) amounts that management believes are not representative of our operating performance, including installation costs for energy savings associated with our profitability initiatives.</w:t>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700"/>
          </w:cols>
          <w:pgMar w:left="820" w:top="1009" w:right="72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and Adjusted Earnings per Share</w:t>
      </w:r>
    </w:p>
    <w:p>
      <w:pPr>
        <w:spacing w:after="0" w:line="199" w:lineRule="exact"/>
        <w:rPr>
          <w:sz w:val="20"/>
          <w:szCs w:val="20"/>
          <w:color w:val="auto"/>
        </w:rPr>
      </w:pPr>
    </w:p>
    <w:p>
      <w:pPr>
        <w:ind w:right="38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provides a reconciliation of net income to Adjusted Net Income and Adjusted Earnings per Share for the periods presented (amounts in thousands, except per share data):</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5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b w:val="1"/>
                <w:bCs w:val="1"/>
                <w:color w:val="auto"/>
                <w:w w:val="98"/>
              </w:rPr>
              <w:t>January 28, 2023</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b w:val="1"/>
                <w:bCs w:val="1"/>
                <w:color w:val="auto"/>
                <w:w w:val="98"/>
              </w:rPr>
              <w:t>January 29, 2022</w:t>
            </w:r>
          </w:p>
        </w:tc>
        <w:tc>
          <w:tcPr>
            <w:tcW w:w="0" w:type="dxa"/>
            <w:vAlign w:val="bottom"/>
          </w:tcPr>
          <w:p>
            <w:pPr>
              <w:spacing w:after="0"/>
              <w:rPr>
                <w:sz w:val="1"/>
                <w:szCs w:val="1"/>
                <w:color w:val="auto"/>
              </w:rPr>
            </w:pPr>
          </w:p>
        </w:tc>
      </w:tr>
      <w:tr>
        <w:trPr>
          <w:trHeight w:val="26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519,190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671,381</w:t>
            </w:r>
          </w:p>
        </w:tc>
        <w:tc>
          <w:tcPr>
            <w:tcW w:w="0" w:type="dxa"/>
            <w:vAlign w:val="bottom"/>
          </w:tcPr>
          <w:p>
            <w:pPr>
              <w:spacing w:after="0"/>
              <w:rPr>
                <w:sz w:val="1"/>
                <w:szCs w:val="1"/>
                <w:color w:val="auto"/>
              </w:rPr>
            </w:pP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(b)</w:t>
            </w:r>
          </w:p>
        </w:tc>
        <w:tc>
          <w:tcPr>
            <w:tcW w:w="160" w:type="dxa"/>
            <w:vAlign w:val="bottom"/>
          </w:tcPr>
          <w:p>
            <w:pPr>
              <w:spacing w:after="0"/>
              <w:rPr>
                <w:sz w:val="24"/>
                <w:szCs w:val="24"/>
                <w:color w:val="auto"/>
              </w:rPr>
            </w:pP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24,377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0" w:type="dxa"/>
            <w:vAlign w:val="bottom"/>
          </w:tcPr>
          <w:p>
            <w:pPr>
              <w:spacing w:after="0"/>
              <w:rPr>
                <w:sz w:val="1"/>
                <w:szCs w:val="1"/>
                <w:color w:val="auto"/>
              </w:rPr>
            </w:pP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160" w:type="dxa"/>
            <w:vAlign w:val="bottom"/>
          </w:tcPr>
          <w:p>
            <w:pPr>
              <w:spacing w:after="0"/>
              <w:rPr>
                <w:sz w:val="24"/>
                <w:szCs w:val="24"/>
                <w:color w:val="auto"/>
              </w:rPr>
            </w:pP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1,525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Payroll taxes associated with the 2021 Vesting Event (c)</w:t>
            </w:r>
          </w:p>
        </w:tc>
        <w:tc>
          <w:tcPr>
            <w:tcW w:w="160" w:type="dxa"/>
            <w:vAlign w:val="bottom"/>
          </w:tcPr>
          <w:p>
            <w:pPr>
              <w:spacing w:after="0"/>
              <w:rPr>
                <w:sz w:val="24"/>
                <w:szCs w:val="24"/>
                <w:color w:val="auto"/>
              </w:rPr>
            </w:pP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0" w:type="dxa"/>
            <w:vAlign w:val="bottom"/>
          </w:tcPr>
          <w:p>
            <w:pPr>
              <w:spacing w:after="0"/>
              <w:rPr>
                <w:sz w:val="1"/>
                <w:szCs w:val="1"/>
                <w:color w:val="auto"/>
              </w:rPr>
            </w:pPr>
          </w:p>
        </w:tc>
      </w:tr>
      <w:tr>
        <w:trPr>
          <w:trHeight w:val="285"/>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(d)</w:t>
            </w:r>
          </w:p>
        </w:tc>
        <w:tc>
          <w:tcPr>
            <w:tcW w:w="160" w:type="dxa"/>
            <w:vAlign w:val="bottom"/>
          </w:tcPr>
          <w:p>
            <w:pPr>
              <w:spacing w:after="0"/>
              <w:rPr>
                <w:sz w:val="24"/>
                <w:szCs w:val="24"/>
                <w:color w:val="auto"/>
              </w:rPr>
            </w:pP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9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Tax effects of these adjustments (e)</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0" w:type="dxa"/>
            <w:vAlign w:val="bottom"/>
          </w:tcPr>
          <w:p>
            <w:pPr>
              <w:spacing w:after="0"/>
              <w:rPr>
                <w:sz w:val="1"/>
                <w:szCs w:val="1"/>
                <w:color w:val="auto"/>
              </w:rPr>
            </w:pPr>
          </w:p>
        </w:tc>
      </w:tr>
      <w:tr>
        <w:trPr>
          <w:trHeight w:val="245"/>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539,471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645,757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716,536</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6.89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85"/>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6.70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8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Adjusted Earnings per Share:</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20"/>
                <w:szCs w:val="20"/>
                <w:b w:val="1"/>
                <w:bCs w:val="1"/>
                <w:color w:val="auto"/>
              </w:rPr>
              <w:t>7.16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w:t>
            </w:r>
          </w:p>
        </w:tc>
        <w:tc>
          <w:tcPr>
            <w:tcW w:w="0" w:type="dxa"/>
            <w:vAlign w:val="bottom"/>
          </w:tcPr>
          <w:p>
            <w:pPr>
              <w:spacing w:after="0"/>
              <w:rPr>
                <w:sz w:val="1"/>
                <w:szCs w:val="1"/>
                <w:color w:val="auto"/>
              </w:rPr>
            </w:pPr>
          </w:p>
        </w:tc>
      </w:tr>
      <w:tr>
        <w:trPr>
          <w:trHeight w:val="285"/>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Diluted</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20"/>
                <w:szCs w:val="20"/>
                <w:b w:val="1"/>
                <w:bCs w:val="1"/>
                <w:color w:val="auto"/>
              </w:rPr>
              <w:t>6.96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0" w:type="dxa"/>
            <w:vAlign w:val="bottom"/>
          </w:tcPr>
          <w:p>
            <w:pPr>
              <w:spacing w:after="0"/>
              <w:rPr>
                <w:sz w:val="1"/>
                <w:szCs w:val="1"/>
                <w:color w:val="auto"/>
              </w:rPr>
            </w:pPr>
          </w:p>
        </w:tc>
      </w:tr>
      <w:tr>
        <w:trPr>
          <w:trHeight w:val="28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4"/>
                <w:szCs w:val="24"/>
                <w:color w:val="auto"/>
              </w:rPr>
            </w:pP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75,389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90,956</w:t>
            </w:r>
          </w:p>
        </w:tc>
        <w:tc>
          <w:tcPr>
            <w:tcW w:w="0" w:type="dxa"/>
            <w:vAlign w:val="bottom"/>
          </w:tcPr>
          <w:p>
            <w:pPr>
              <w:spacing w:after="0"/>
              <w:rPr>
                <w:sz w:val="1"/>
                <w:szCs w:val="1"/>
                <w:color w:val="auto"/>
              </w:rPr>
            </w:pPr>
          </w:p>
        </w:tc>
      </w:tr>
      <w:tr>
        <w:trPr>
          <w:trHeight w:val="285"/>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4"/>
                <w:szCs w:val="24"/>
                <w:color w:val="auto"/>
              </w:rPr>
            </w:pPr>
          </w:p>
        </w:tc>
        <w:tc>
          <w:tcPr>
            <w:tcW w:w="15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77,469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-2974340</wp:posOffset>
            </wp:positionV>
            <wp:extent cx="6826250" cy="2997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6826250" cy="2997200"/>
                    </a:xfrm>
                    <a:prstGeom prst="rect">
                      <a:avLst/>
                    </a:prstGeom>
                    <a:noFill/>
                  </pic:spPr>
                </pic:pic>
              </a:graphicData>
            </a:graphic>
          </wp:anchor>
        </w:drawing>
      </w:r>
    </w:p>
    <w:p>
      <w:pPr>
        <w:spacing w:after="0" w:line="140" w:lineRule="exact"/>
        <w:rPr>
          <w:sz w:val="20"/>
          <w:szCs w:val="20"/>
          <w:color w:val="auto"/>
        </w:rPr>
      </w:pPr>
    </w:p>
    <w:p>
      <w:pPr>
        <w:jc w:val="both"/>
        <w:ind w:left="420" w:right="40" w:hanging="377"/>
        <w:spacing w:after="0" w:line="258" w:lineRule="auto"/>
        <w:tabs>
          <w:tab w:leader="none" w:pos="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for the year ended February 3, 2024, includes a $15.9 million net gain relative to a credit card fee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All of these items are included in their respective years within Other (income), net on the Consolidated Statements of Income and are disclosed within Note 2 of the accompanying financial statements.</w:t>
      </w:r>
    </w:p>
    <w:p>
      <w:pPr>
        <w:spacing w:after="0" w:line="31" w:lineRule="exact"/>
        <w:rPr>
          <w:rFonts w:ascii="Times New Roman" w:cs="Times New Roman" w:eastAsia="Times New Roman" w:hAnsi="Times New Roman"/>
          <w:sz w:val="16"/>
          <w:szCs w:val="16"/>
          <w:color w:val="auto"/>
        </w:rPr>
      </w:pPr>
    </w:p>
    <w:p>
      <w:pPr>
        <w:ind w:left="420" w:right="60" w:hanging="377"/>
        <w:spacing w:after="0" w:line="282" w:lineRule="auto"/>
        <w:tabs>
          <w:tab w:leader="none" w:pos="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32" w:lineRule="exact"/>
        <w:rPr>
          <w:rFonts w:ascii="Times New Roman" w:cs="Times New Roman" w:eastAsia="Times New Roman" w:hAnsi="Times New Roman"/>
          <w:sz w:val="16"/>
          <w:szCs w:val="16"/>
          <w:color w:val="auto"/>
        </w:rPr>
      </w:pPr>
    </w:p>
    <w:p>
      <w:pPr>
        <w:ind w:left="420" w:hanging="377"/>
        <w:spacing w:after="0"/>
        <w:tabs>
          <w:tab w:leader="none" w:pos="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expenses related to taxes on equity-based compensation resulting from the 2021 Vesting Event.</w:t>
      </w:r>
    </w:p>
    <w:p>
      <w:pPr>
        <w:spacing w:after="0" w:line="71" w:lineRule="exact"/>
        <w:rPr>
          <w:rFonts w:ascii="Times New Roman" w:cs="Times New Roman" w:eastAsia="Times New Roman" w:hAnsi="Times New Roman"/>
          <w:sz w:val="16"/>
          <w:szCs w:val="16"/>
          <w:color w:val="auto"/>
        </w:rPr>
      </w:pPr>
    </w:p>
    <w:p>
      <w:pPr>
        <w:ind w:left="420" w:right="60" w:hanging="377"/>
        <w:spacing w:after="0" w:line="282" w:lineRule="auto"/>
        <w:tabs>
          <w:tab w:leader="none" w:pos="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adjustments include (representing deductions or additions to Adjusted Net Income) amounts that management believes are not representative of our operating performance, including installation costs for energy savings associated with our profitability initiatives.</w:t>
      </w:r>
    </w:p>
    <w:p>
      <w:pPr>
        <w:spacing w:after="0" w:line="32" w:lineRule="exact"/>
        <w:rPr>
          <w:rFonts w:ascii="Times New Roman" w:cs="Times New Roman" w:eastAsia="Times New Roman" w:hAnsi="Times New Roman"/>
          <w:sz w:val="16"/>
          <w:szCs w:val="16"/>
          <w:color w:val="auto"/>
        </w:rPr>
      </w:pPr>
    </w:p>
    <w:p>
      <w:pPr>
        <w:ind w:left="420" w:hanging="377"/>
        <w:spacing w:after="0"/>
        <w:tabs>
          <w:tab w:leader="none" w:pos="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 of the total adjustments made to arrive at Adjusted Net Income at our historical tax rate.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Free Cash Flow</w:t>
      </w:r>
    </w:p>
    <w:p>
      <w:pPr>
        <w:spacing w:after="0" w:line="199" w:lineRule="exact"/>
        <w:rPr>
          <w:sz w:val="20"/>
          <w:szCs w:val="20"/>
          <w:color w:val="auto"/>
        </w:rPr>
      </w:pPr>
    </w:p>
    <w:p>
      <w:pPr>
        <w:ind w:right="38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provides a reconciliation of net cash provided by operating activities to Adjusted Free Cash Flow for the periods presented (amounts in thousands):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54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95"/>
        </w:trPr>
        <w:tc>
          <w:tcPr>
            <w:tcW w:w="554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77"/>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535,779</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552,005</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673,265</w:t>
            </w:r>
          </w:p>
        </w:tc>
      </w:tr>
      <w:tr>
        <w:trPr>
          <w:trHeight w:val="303"/>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(206,139)</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(108,806)</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(76,017)</w:t>
            </w:r>
          </w:p>
        </w:tc>
      </w:tr>
      <w:tr>
        <w:trPr>
          <w:trHeight w:val="260"/>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Adjusted Free Cash Flow</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329,640</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443,199</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597,248</w:t>
            </w:r>
          </w:p>
        </w:tc>
      </w:tr>
      <w:tr>
        <w:trPr>
          <w:trHeight w:val="20"/>
        </w:trPr>
        <w:tc>
          <w:tcPr>
            <w:tcW w:w="5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826250" cy="609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6826250" cy="609600"/>
                    </a:xfrm>
                    <a:prstGeom prst="rect">
                      <a:avLst/>
                    </a:prstGeom>
                    <a:noFill/>
                  </pic:spPr>
                </pic:pic>
              </a:graphicData>
            </a:graphic>
          </wp:anchor>
        </w:drawing>
      </w:r>
    </w:p>
    <w:p>
      <w:pPr>
        <w:sectPr>
          <w:pgSz w:w="12240" w:h="15840" w:orient="portrait"/>
          <w:cols w:equalWidth="0" w:num="1">
            <w:col w:w="10700"/>
          </w:cols>
          <w:pgMar w:left="82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700"/>
          </w:cols>
          <w:pgMar w:left="820" w:top="1009" w:right="720" w:bottom="0" w:gutter="0" w:footer="0" w:header="0"/>
          <w:type w:val="continuous"/>
        </w:sectPr>
      </w:pPr>
    </w:p>
    <w:bookmarkStart w:id="61" w:name="page62"/>
    <w:bookmarkEnd w:id="61"/>
    <w:p>
      <w:pPr>
        <w:ind w:left="1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8"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Sources and Uses of Liquidity</w:t>
      </w:r>
    </w:p>
    <w:p>
      <w:pPr>
        <w:spacing w:after="0" w:line="259" w:lineRule="exact"/>
        <w:rPr>
          <w:sz w:val="20"/>
          <w:szCs w:val="20"/>
          <w:color w:val="auto"/>
        </w:rPr>
      </w:pPr>
    </w:p>
    <w:p>
      <w:pPr>
        <w:jc w:val="both"/>
        <w:ind w:left="10" w:firstLine="360"/>
        <w:spacing w:after="0" w:line="256" w:lineRule="auto"/>
        <w:rPr>
          <w:sz w:val="20"/>
          <w:szCs w:val="20"/>
          <w:color w:val="auto"/>
        </w:rPr>
      </w:pPr>
      <w:r>
        <w:rPr>
          <w:rFonts w:ascii="Times New Roman" w:cs="Times New Roman" w:eastAsia="Times New Roman" w:hAnsi="Times New Roman"/>
          <w:sz w:val="20"/>
          <w:szCs w:val="20"/>
          <w:color w:val="auto"/>
        </w:rPr>
        <w:t>Our principal liquidity requirements are for working capital, capital expenditures and cash used to pay our debt obligations and related interest expense. We also use cash to pay dividends and occasionally use cash to repurchase common stock. We may fund our liquidity requirements through cash and cash equivalents, cash generated from operating activities, issuances of debt (such as the Notes) and borrowings under our ABL Facility. On February 3, 2024, our cash and cash equivalents totaled $347.9 million. We believe our cash and cash equivalents, as well as our availability under the ABL Facility, will be sufficient to fund our cash requirements for at least the next 12 months.</w:t>
      </w:r>
    </w:p>
    <w:p>
      <w:pPr>
        <w:spacing w:after="0" w:line="13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Long-Term Debt</w:t>
      </w:r>
    </w:p>
    <w:p>
      <w:pPr>
        <w:spacing w:after="0" w:line="25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As of February 3, 2024, the Company's long-term debt and interest rates consists of:</w:t>
      </w:r>
    </w:p>
    <w:p>
      <w:pPr>
        <w:spacing w:after="0" w:line="130" w:lineRule="exact"/>
        <w:rPr>
          <w:sz w:val="20"/>
          <w:szCs w:val="20"/>
          <w:color w:val="auto"/>
        </w:rPr>
      </w:pPr>
    </w:p>
    <w:p>
      <w:pPr>
        <w:ind w:left="730" w:hanging="370"/>
        <w:spacing w:after="0" w:line="281" w:lineRule="auto"/>
        <w:tabs>
          <w:tab w:leader="none" w:pos="73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- 6.00% fixed rate senior secured notes with $400 million in principal outstanding and full principal maturing November 15, 2027;</w:t>
      </w:r>
    </w:p>
    <w:p>
      <w:pPr>
        <w:spacing w:after="0" w:line="61" w:lineRule="exact"/>
        <w:rPr>
          <w:rFonts w:ascii="Times New Roman" w:cs="Times New Roman" w:eastAsia="Times New Roman" w:hAnsi="Times New Roman"/>
          <w:sz w:val="20"/>
          <w:szCs w:val="20"/>
          <w:color w:val="auto"/>
        </w:rPr>
      </w:pPr>
    </w:p>
    <w:p>
      <w:pPr>
        <w:ind w:left="730" w:hanging="370"/>
        <w:spacing w:after="0" w:line="281" w:lineRule="auto"/>
        <w:tabs>
          <w:tab w:leader="none" w:pos="73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Loan - 9.19% variable rate term-loan with $91.8 million in principal outstanding maturing November 6, 2027 and quarterly principal payments of $750 thousand; and</w:t>
      </w:r>
    </w:p>
    <w:p>
      <w:pPr>
        <w:spacing w:after="0" w:line="61" w:lineRule="exact"/>
        <w:rPr>
          <w:rFonts w:ascii="Times New Roman" w:cs="Times New Roman" w:eastAsia="Times New Roman" w:hAnsi="Times New Roman"/>
          <w:sz w:val="20"/>
          <w:szCs w:val="20"/>
          <w:color w:val="auto"/>
        </w:rPr>
      </w:pPr>
    </w:p>
    <w:p>
      <w:pPr>
        <w:ind w:left="730" w:hanging="370"/>
        <w:spacing w:after="0" w:line="281" w:lineRule="auto"/>
        <w:tabs>
          <w:tab w:leader="none" w:pos="73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ABL Facility - $1.0 billion commitment on a variable rate secured asset-based revolving credit facility with no principal outstanding maturing November 6, 2025.</w:t>
      </w:r>
    </w:p>
    <w:p>
      <w:pPr>
        <w:spacing w:after="0" w:line="121" w:lineRule="exact"/>
        <w:rPr>
          <w:sz w:val="20"/>
          <w:szCs w:val="20"/>
          <w:color w:val="auto"/>
        </w:rPr>
      </w:pPr>
    </w:p>
    <w:p>
      <w:pPr>
        <w:ind w:left="10" w:firstLine="360"/>
        <w:spacing w:after="0" w:line="281" w:lineRule="auto"/>
        <w:rPr>
          <w:sz w:val="20"/>
          <w:szCs w:val="20"/>
          <w:color w:val="auto"/>
        </w:rPr>
      </w:pPr>
      <w:r>
        <w:rPr>
          <w:rFonts w:ascii="Times New Roman" w:cs="Times New Roman" w:eastAsia="Times New Roman" w:hAnsi="Times New Roman"/>
          <w:sz w:val="20"/>
          <w:szCs w:val="20"/>
          <w:color w:val="auto"/>
        </w:rPr>
        <w:t>See Note 4 to the accompanying financial statements for further disclosure regarding our debt agreements. The following table summarizes our current debt obligations by fiscal year (amounts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6115050</wp:posOffset>
                </wp:positionH>
                <wp:positionV relativeFrom="paragraph">
                  <wp:posOffset>1905</wp:posOffset>
                </wp:positionV>
                <wp:extent cx="0" cy="8001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00100"/>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5pt,0.15pt" to="481.5pt,63.15pt" o:allowincell="f" strokecolor="#000000" strokeweight="0pt"/>
            </w:pict>
          </mc:Fallback>
        </mc:AlternateContent>
      </w:r>
    </w:p>
    <w:tbl>
      <w:tblPr>
        <w:tblLayout w:type="fixed"/>
        <w:tblInd w:w="50" w:type="dxa"/>
        <w:tblCellMar>
          <w:top w:w="0" w:type="dxa"/>
          <w:left w:w="0" w:type="dxa"/>
          <w:bottom w:w="0" w:type="dxa"/>
          <w:right w:w="0" w:type="dxa"/>
        </w:tblCellMar>
      </w:tblPr>
      <w:tr>
        <w:trPr>
          <w:trHeight w:val="305"/>
        </w:trPr>
        <w:tc>
          <w:tcPr>
            <w:tcW w:w="5260" w:type="dxa"/>
            <w:vAlign w:val="bottom"/>
          </w:tcPr>
          <w:p>
            <w:pPr>
              <w:spacing w:after="0"/>
              <w:rPr>
                <w:sz w:val="24"/>
                <w:szCs w:val="24"/>
                <w:color w:val="auto"/>
              </w:rPr>
            </w:pP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2026</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2027</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32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Term Loan and related interest </w:t>
            </w:r>
            <w:r>
              <w:rPr>
                <w:rFonts w:ascii="Times New Roman" w:cs="Times New Roman" w:eastAsia="Times New Roman" w:hAnsi="Times New Roman"/>
                <w:sz w:val="26"/>
                <w:szCs w:val="26"/>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10,835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9,159</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87,725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117,314</w:t>
            </w:r>
          </w:p>
        </w:tc>
      </w:tr>
      <w:tr>
        <w:trPr>
          <w:trHeight w:val="31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Notes and related interest </w:t>
            </w:r>
            <w:r>
              <w:rPr>
                <w:rFonts w:ascii="Times New Roman" w:cs="Times New Roman" w:eastAsia="Times New Roman" w:hAnsi="Times New Roman"/>
                <w:sz w:val="26"/>
                <w:szCs w:val="26"/>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24,000</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24,000</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24,000</w:t>
            </w:r>
          </w:p>
        </w:tc>
        <w:tc>
          <w:tcPr>
            <w:tcW w:w="260" w:type="dxa"/>
            <w:vAlign w:val="bottom"/>
          </w:tcPr>
          <w:p>
            <w:pPr>
              <w:spacing w:after="0"/>
              <w:rPr>
                <w:sz w:val="24"/>
                <w:szCs w:val="24"/>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424,000</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496,000</w:t>
            </w:r>
          </w:p>
        </w:tc>
      </w:tr>
      <w:tr>
        <w:trPr>
          <w:trHeight w:val="292"/>
        </w:trPr>
        <w:tc>
          <w:tcPr>
            <w:tcW w:w="5260" w:type="dxa"/>
            <w:vAlign w:val="bottom"/>
          </w:tcPr>
          <w:p>
            <w:pPr>
              <w:spacing w:after="0" w:line="292" w:lineRule="exact"/>
              <w:rPr>
                <w:sz w:val="20"/>
                <w:szCs w:val="20"/>
                <w:color w:val="auto"/>
              </w:rPr>
            </w:pPr>
            <w:r>
              <w:rPr>
                <w:rFonts w:ascii="Times New Roman" w:cs="Times New Roman" w:eastAsia="Times New Roman" w:hAnsi="Times New Roman"/>
                <w:sz w:val="20"/>
                <w:szCs w:val="20"/>
                <w:color w:val="auto"/>
              </w:rPr>
              <w:t xml:space="preserve">ABL Facility and related interest </w:t>
            </w:r>
            <w:r>
              <w:rPr>
                <w:rFonts w:ascii="Times New Roman" w:cs="Times New Roman" w:eastAsia="Times New Roman" w:hAnsi="Times New Roman"/>
                <w:sz w:val="26"/>
                <w:szCs w:val="26"/>
                <w:color w:val="auto"/>
                <w:vertAlign w:val="superscript"/>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1,909</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-612140</wp:posOffset>
            </wp:positionV>
            <wp:extent cx="6826250" cy="625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6826250" cy="625475"/>
                    </a:xfrm>
                    <a:prstGeom prst="rect">
                      <a:avLst/>
                    </a:prstGeom>
                    <a:noFill/>
                  </pic:spPr>
                </pic:pic>
              </a:graphicData>
            </a:graphic>
          </wp:anchor>
        </w:drawing>
      </w:r>
    </w:p>
    <w:p>
      <w:pPr>
        <w:spacing w:after="0" w:line="30" w:lineRule="exact"/>
        <w:rPr>
          <w:sz w:val="20"/>
          <w:szCs w:val="20"/>
          <w:color w:val="auto"/>
        </w:rPr>
      </w:pPr>
    </w:p>
    <w:p>
      <w:pPr>
        <w:ind w:left="10" w:hanging="10"/>
        <w:spacing w:after="0" w:line="261" w:lineRule="auto"/>
        <w:tabs>
          <w:tab w:leader="none" w:pos="27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do not include amortization of discount and debt issuance costs and are approximated based on projected interest rates and assume no unscheduled principal payments.</w:t>
      </w:r>
    </w:p>
    <w:p>
      <w:pPr>
        <w:ind w:left="230" w:hanging="230"/>
        <w:spacing w:after="0"/>
        <w:tabs>
          <w:tab w:leader="none" w:pos="23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do not include amortization of debt issuance costs and assumes Notes are paid in full at maturity date.</w:t>
      </w:r>
    </w:p>
    <w:p>
      <w:pPr>
        <w:spacing w:after="0" w:line="8" w:lineRule="exact"/>
        <w:rPr>
          <w:rFonts w:ascii="Times New Roman" w:cs="Times New Roman" w:eastAsia="Times New Roman" w:hAnsi="Times New Roman"/>
          <w:sz w:val="16"/>
          <w:szCs w:val="16"/>
          <w:color w:val="auto"/>
        </w:rPr>
      </w:pPr>
    </w:p>
    <w:p>
      <w:pPr>
        <w:ind w:left="230" w:hanging="230"/>
        <w:spacing w:after="0"/>
        <w:tabs>
          <w:tab w:leader="none" w:pos="23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a minimum revolving credit commitment of $1.0 billion and no balances drawn on our ABL Facility.</w:t>
      </w:r>
    </w:p>
    <w:p>
      <w:pPr>
        <w:spacing w:after="0" w:line="232"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9760" w:type="dxa"/>
            <w:vAlign w:val="bottom"/>
            <w:gridSpan w:val="9"/>
          </w:tcPr>
          <w:p>
            <w:pPr>
              <w:ind w:left="320"/>
              <w:spacing w:after="0"/>
              <w:rPr>
                <w:sz w:val="20"/>
                <w:szCs w:val="20"/>
                <w:color w:val="auto"/>
              </w:rPr>
            </w:pPr>
            <w:r>
              <w:rPr>
                <w:rFonts w:ascii="Times New Roman" w:cs="Times New Roman" w:eastAsia="Times New Roman" w:hAnsi="Times New Roman"/>
                <w:sz w:val="20"/>
                <w:szCs w:val="20"/>
                <w:color w:val="auto"/>
              </w:rPr>
              <w:t>Liquidity information related to the ABL Facility is as follows for the periods shown (dollar amounts in thousands):</w:t>
            </w:r>
          </w:p>
        </w:tc>
        <w:tc>
          <w:tcPr>
            <w:tcW w:w="900" w:type="dxa"/>
            <w:vAlign w:val="bottom"/>
          </w:tcPr>
          <w:p>
            <w:pPr>
              <w:spacing w:after="0"/>
              <w:rPr>
                <w:sz w:val="22"/>
                <w:szCs w:val="22"/>
                <w:color w:val="auto"/>
              </w:rPr>
            </w:pPr>
          </w:p>
        </w:tc>
      </w:tr>
      <w:tr>
        <w:trPr>
          <w:trHeight w:val="331"/>
        </w:trPr>
        <w:tc>
          <w:tcPr>
            <w:tcW w:w="54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80"/>
        </w:trPr>
        <w:tc>
          <w:tcPr>
            <w:tcW w:w="546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77"/>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Average funds drawn</w:t>
            </w:r>
          </w:p>
        </w:tc>
        <w:tc>
          <w:tcPr>
            <w:tcW w:w="56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Number of days with outstanding balance</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Maximum daily amount outstanding</w:t>
            </w:r>
          </w:p>
        </w:tc>
        <w:tc>
          <w:tcPr>
            <w:tcW w:w="56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Minimum available borrowing capacity</w:t>
            </w:r>
          </w:p>
        </w:tc>
        <w:tc>
          <w:tcPr>
            <w:tcW w:w="56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881,445</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935,550</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780,945</w:t>
            </w:r>
          </w:p>
        </w:tc>
      </w:tr>
      <w:tr>
        <w:trPr>
          <w:trHeight w:val="552"/>
        </w:trPr>
        <w:tc>
          <w:tcPr>
            <w:tcW w:w="716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Liquidity information related to the ABL Facility (amounts in thousands) as of: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5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r>
      <w:tr>
        <w:trPr>
          <w:trHeight w:val="277"/>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borrowings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letters of credit</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11,553</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13,878</w:t>
            </w:r>
          </w:p>
        </w:tc>
      </w:tr>
      <w:tr>
        <w:trPr>
          <w:trHeight w:val="300"/>
        </w:trPr>
        <w:tc>
          <w:tcPr>
            <w:tcW w:w="5460" w:type="dxa"/>
            <w:vAlign w:val="bottom"/>
          </w:tcPr>
          <w:p>
            <w:pPr>
              <w:spacing w:after="0"/>
              <w:rPr>
                <w:sz w:val="20"/>
                <w:szCs w:val="20"/>
                <w:color w:val="auto"/>
              </w:rPr>
            </w:pPr>
            <w:r>
              <w:rPr>
                <w:rFonts w:ascii="Times New Roman" w:cs="Times New Roman" w:eastAsia="Times New Roman" w:hAnsi="Times New Roman"/>
                <w:sz w:val="20"/>
                <w:szCs w:val="20"/>
                <w:color w:val="auto"/>
              </w:rPr>
              <w:t>Available borrowing capacity</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881,445</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-1896110</wp:posOffset>
            </wp:positionV>
            <wp:extent cx="6826250" cy="787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6826250" cy="787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-575310</wp:posOffset>
            </wp:positionV>
            <wp:extent cx="6826250" cy="596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6826250" cy="596900"/>
                    </a:xfrm>
                    <a:prstGeom prst="rect">
                      <a:avLst/>
                    </a:prstGeom>
                    <a:noFill/>
                  </pic:spPr>
                </pic:pic>
              </a:graphicData>
            </a:graphic>
          </wp:anchor>
        </w:drawing>
      </w:r>
    </w:p>
    <w:p>
      <w:pPr>
        <w:spacing w:after="0" w:line="271" w:lineRule="exact"/>
        <w:rPr>
          <w:sz w:val="20"/>
          <w:szCs w:val="20"/>
          <w:color w:val="auto"/>
        </w:rPr>
      </w:pPr>
    </w:p>
    <w:p>
      <w:pPr>
        <w:jc w:val="both"/>
        <w:ind w:left="10" w:firstLine="360"/>
        <w:spacing w:after="0" w:line="266" w:lineRule="auto"/>
        <w:rPr>
          <w:sz w:val="20"/>
          <w:szCs w:val="20"/>
          <w:color w:val="auto"/>
        </w:rPr>
      </w:pPr>
      <w:r>
        <w:rPr>
          <w:rFonts w:ascii="Times New Roman" w:cs="Times New Roman" w:eastAsia="Times New Roman" w:hAnsi="Times New Roman"/>
          <w:sz w:val="20"/>
          <w:szCs w:val="20"/>
          <w:color w:val="auto"/>
        </w:rPr>
        <w:t>On March 8, 2024, the Company issued a press release announcing that the Company entered into an amendment which among other things, extended the maturity of Academy’s asset-based revolving credit facility to March 8, 2029. See Note 17 to the accompanying financial statements.</w:t>
      </w:r>
    </w:p>
    <w:p>
      <w:pPr>
        <w:sectPr>
          <w:pgSz w:w="12240" w:h="15840" w:orient="portrait"/>
          <w:cols w:equalWidth="0" w:num="1">
            <w:col w:w="10710"/>
          </w:cols>
          <w:pgMar w:left="810" w:top="101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8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710"/>
          </w:cols>
          <w:pgMar w:left="810" w:top="1011" w:right="720" w:bottom="0" w:gutter="0" w:footer="0" w:header="0"/>
          <w:type w:val="continuous"/>
        </w:sectPr>
      </w:pPr>
    </w:p>
    <w:bookmarkStart w:id="62" w:name="page63"/>
    <w:bookmarkEnd w:id="62"/>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59" w:lineRule="exact"/>
        <w:rPr>
          <w:sz w:val="20"/>
          <w:szCs w:val="20"/>
          <w:color w:val="auto"/>
        </w:rPr>
      </w:pPr>
    </w:p>
    <w:p>
      <w:pPr>
        <w:jc w:val="both"/>
        <w:ind w:left="10" w:firstLine="360"/>
        <w:spacing w:after="0" w:line="260" w:lineRule="auto"/>
        <w:rPr>
          <w:sz w:val="20"/>
          <w:szCs w:val="20"/>
          <w:color w:val="auto"/>
        </w:rPr>
      </w:pPr>
      <w:r>
        <w:rPr>
          <w:rFonts w:ascii="Times New Roman" w:cs="Times New Roman" w:eastAsia="Times New Roman" w:hAnsi="Times New Roman"/>
          <w:sz w:val="20"/>
          <w:szCs w:val="20"/>
          <w:color w:val="auto"/>
        </w:rPr>
        <w:t>We predominantly lease store locations, distribution centers, office space and certain equipment under operating leases expiring between fiscal years 2024 and 2044. Operating lease obligations include future minimum lease payments under all of our non-cancelable operating leases at February 3, 2024. In the fiscal year ended February 3, 2024, we opened 14 new locations. The following table summarizes our operating lease obligations by fiscal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6115050</wp:posOffset>
                </wp:positionH>
                <wp:positionV relativeFrom="paragraph">
                  <wp:posOffset>168275</wp:posOffset>
                </wp:positionV>
                <wp:extent cx="0" cy="40005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0050"/>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5pt,13.25pt" to="481.5pt,44.75pt" o:allowincell="f" strokecolor="#000000" strokeweight="0pt"/>
            </w:pict>
          </mc:Fallback>
        </mc:AlternateContent>
      </w:r>
    </w:p>
    <w:p>
      <w:pPr>
        <w:spacing w:after="0" w:line="245" w:lineRule="exact"/>
        <w:rPr>
          <w:sz w:val="20"/>
          <w:szCs w:val="20"/>
          <w:color w:val="auto"/>
        </w:rPr>
      </w:pPr>
    </w:p>
    <w:tbl>
      <w:tblPr>
        <w:tblLayout w:type="fixed"/>
        <w:tblInd w:w="50" w:type="dxa"/>
        <w:tblCellMar>
          <w:top w:w="0" w:type="dxa"/>
          <w:left w:w="0" w:type="dxa"/>
          <w:bottom w:w="0" w:type="dxa"/>
          <w:right w:w="0" w:type="dxa"/>
        </w:tblCellMar>
      </w:tblPr>
      <w:tr>
        <w:trPr>
          <w:trHeight w:val="305"/>
        </w:trPr>
        <w:tc>
          <w:tcPr>
            <w:tcW w:w="3100" w:type="dxa"/>
            <w:vAlign w:val="bottom"/>
          </w:tcPr>
          <w:p>
            <w:pPr>
              <w:spacing w:after="0"/>
              <w:rPr>
                <w:sz w:val="24"/>
                <w:szCs w:val="24"/>
                <w:color w:val="auto"/>
              </w:rPr>
            </w:pP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2026</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2027</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2028</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After 2028</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Total</w:t>
            </w:r>
          </w:p>
        </w:tc>
      </w:tr>
      <w:tr>
        <w:trPr>
          <w:trHeight w:val="305"/>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Operating lease payments </w:t>
            </w:r>
            <w:r>
              <w:rPr>
                <w:rFonts w:ascii="Times New Roman" w:cs="Times New Roman" w:eastAsia="Times New Roman" w:hAnsi="Times New Roman"/>
                <w:sz w:val="26"/>
                <w:szCs w:val="26"/>
                <w:color w:val="auto"/>
                <w:vertAlign w:val="superscript"/>
              </w:rPr>
              <w:t>(1) (2)</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206,111</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224,177</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215,877</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201,825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183,797</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924,267</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$ 1,956,054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6826250" cy="2254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6826250" cy="225425"/>
                    </a:xfrm>
                    <a:prstGeom prst="rect">
                      <a:avLst/>
                    </a:prstGeom>
                    <a:noFill/>
                  </pic:spPr>
                </pic:pic>
              </a:graphicData>
            </a:graphic>
          </wp:anchor>
        </w:drawing>
      </w:r>
    </w:p>
    <w:p>
      <w:pPr>
        <w:spacing w:after="0" w:line="30" w:lineRule="exact"/>
        <w:rPr>
          <w:sz w:val="20"/>
          <w:szCs w:val="20"/>
          <w:color w:val="auto"/>
        </w:rPr>
      </w:pPr>
    </w:p>
    <w:p>
      <w:pPr>
        <w:ind w:left="230" w:hanging="230"/>
        <w:spacing w:after="0"/>
        <w:tabs>
          <w:tab w:leader="none" w:pos="23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lease payments have not been reduced by sublease rentals of $2.3 million due in the future under non-cancelable subleases.</w:t>
      </w:r>
    </w:p>
    <w:p>
      <w:pPr>
        <w:spacing w:after="0" w:line="24" w:lineRule="exact"/>
        <w:rPr>
          <w:rFonts w:ascii="Times New Roman" w:cs="Times New Roman" w:eastAsia="Times New Roman" w:hAnsi="Times New Roman"/>
          <w:sz w:val="16"/>
          <w:szCs w:val="16"/>
          <w:color w:val="auto"/>
        </w:rPr>
      </w:pPr>
    </w:p>
    <w:p>
      <w:pPr>
        <w:ind w:left="230" w:hanging="230"/>
        <w:spacing w:after="0"/>
        <w:tabs>
          <w:tab w:leader="none" w:pos="23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balances include stores where we have an executed contract but have not taken possession of the location as of February 3, 2024.</w:t>
      </w:r>
    </w:p>
    <w:p>
      <w:pPr>
        <w:spacing w:after="0" w:line="210"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Repurchases</w:t>
      </w:r>
    </w:p>
    <w:p>
      <w:pPr>
        <w:spacing w:after="0" w:line="259" w:lineRule="exact"/>
        <w:rPr>
          <w:sz w:val="20"/>
          <w:szCs w:val="20"/>
          <w:color w:val="auto"/>
        </w:rPr>
      </w:pPr>
    </w:p>
    <w:p>
      <w:pPr>
        <w:jc w:val="both"/>
        <w:ind w:left="10" w:firstLine="360"/>
        <w:spacing w:after="0" w:line="254" w:lineRule="auto"/>
        <w:rPr>
          <w:sz w:val="20"/>
          <w:szCs w:val="20"/>
          <w:color w:val="auto"/>
        </w:rPr>
      </w:pPr>
      <w:r>
        <w:rPr>
          <w:rFonts w:ascii="Times New Roman" w:cs="Times New Roman" w:eastAsia="Times New Roman" w:hAnsi="Times New Roman"/>
          <w:sz w:val="20"/>
          <w:szCs w:val="20"/>
          <w:color w:val="auto"/>
        </w:rPr>
        <w:t>On June 2, 2022, the Board of Directors of the Company authorized a share repurchase program (the "2022 Share Repurchase Program") under which the Company may purchase up to $600 million of its outstanding shares during the three-year period ending June 2, 2025. On November 29, 2023, the Board of Directors authorized a new share repurchase program (the "2023 Share Repurchase Program") under which the Company may purchase up to $600 million of its outstanding shares during the three-year period ending November 29, 2026. The 2022 Share Repurchase Program and the 2023 Share Repurchase Program are collectively referred to as the "Share Repurchase Programs". The Share Repurchase Programs do not obligate the Company to acquire any particular number of common shares, and the programs may be suspended, extended, modified or discontinued at any time. As of February 3, 2024, the Company had $696.7 million remaining for share repurchases under the Share Repurchase Programs.</w:t>
      </w:r>
    </w:p>
    <w:p>
      <w:pPr>
        <w:spacing w:after="0" w:line="213" w:lineRule="exact"/>
        <w:rPr>
          <w:sz w:val="20"/>
          <w:szCs w:val="20"/>
          <w:color w:val="auto"/>
        </w:rPr>
      </w:pPr>
    </w:p>
    <w:p>
      <w:pPr>
        <w:jc w:val="both"/>
        <w:ind w:left="1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our share repurchases for the fiscal year ended February 3, 2024 (dollar amounts in thousands, except per share amounts):</w:t>
      </w:r>
    </w:p>
    <w:p>
      <w:pPr>
        <w:spacing w:after="0" w:line="17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174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Total Number of</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Average Price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Total Amount</w:t>
            </w:r>
          </w:p>
        </w:tc>
      </w:tr>
      <w:tr>
        <w:trPr>
          <w:trHeight w:val="263"/>
        </w:trPr>
        <w:tc>
          <w:tcPr>
            <w:tcW w:w="536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Shares Purchased</w:t>
            </w:r>
          </w:p>
        </w:tc>
        <w:tc>
          <w:tcPr>
            <w:tcW w:w="60" w:type="dxa"/>
            <w:vAlign w:val="bottom"/>
          </w:tcPr>
          <w:p>
            <w:pPr>
              <w:spacing w:after="0"/>
              <w:rPr>
                <w:sz w:val="22"/>
                <w:szCs w:val="22"/>
                <w:color w:val="auto"/>
              </w:rPr>
            </w:pPr>
          </w:p>
        </w:tc>
        <w:tc>
          <w:tcPr>
            <w:tcW w:w="1720" w:type="dxa"/>
            <w:vAlign w:val="bottom"/>
            <w:tcBorders>
              <w:bottom w:val="single" w:sz="8" w:color="auto"/>
            </w:tcBorders>
            <w:gridSpan w:val="2"/>
          </w:tcPr>
          <w:p>
            <w:pPr>
              <w:jc w:val="right"/>
              <w:ind w:right="40"/>
              <w:spacing w:after="0" w:line="263" w:lineRule="exact"/>
              <w:rPr>
                <w:sz w:val="20"/>
                <w:szCs w:val="20"/>
                <w:color w:val="auto"/>
              </w:rPr>
            </w:pPr>
            <w:r>
              <w:rPr>
                <w:rFonts w:ascii="Times New Roman" w:cs="Times New Roman" w:eastAsia="Times New Roman" w:hAnsi="Times New Roman"/>
                <w:sz w:val="20"/>
                <w:szCs w:val="20"/>
                <w:b w:val="1"/>
                <w:bCs w:val="1"/>
                <w:color w:val="auto"/>
              </w:rPr>
              <w:t xml:space="preserve">Paid per Share </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0"/>
              <w:spacing w:after="0" w:line="263" w:lineRule="exact"/>
              <w:rPr>
                <w:sz w:val="20"/>
                <w:szCs w:val="20"/>
                <w:color w:val="auto"/>
              </w:rPr>
            </w:pPr>
            <w:r>
              <w:rPr>
                <w:rFonts w:ascii="Times New Roman" w:cs="Times New Roman" w:eastAsia="Times New Roman" w:hAnsi="Times New Roman"/>
                <w:sz w:val="20"/>
                <w:szCs w:val="20"/>
                <w:b w:val="1"/>
                <w:bCs w:val="1"/>
                <w:color w:val="auto"/>
                <w:w w:val="96"/>
              </w:rPr>
              <w:t xml:space="preserve">Repurchased </w:t>
            </w:r>
            <w:r>
              <w:rPr>
                <w:rFonts w:ascii="Times New Roman" w:cs="Times New Roman" w:eastAsia="Times New Roman" w:hAnsi="Times New Roman"/>
                <w:sz w:val="26"/>
                <w:szCs w:val="26"/>
                <w:b w:val="1"/>
                <w:bCs w:val="1"/>
                <w:color w:val="auto"/>
                <w:w w:val="96"/>
                <w:vertAlign w:val="superscript"/>
              </w:rPr>
              <w:t>(1)</w:t>
            </w:r>
          </w:p>
        </w:tc>
      </w:tr>
      <w:tr>
        <w:trPr>
          <w:trHeight w:val="292"/>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First Quarter (January 29, 2023 to April 29, 2023)</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50,015</w:t>
            </w:r>
          </w:p>
        </w:tc>
      </w:tr>
      <w:tr>
        <w:trPr>
          <w:trHeight w:val="315"/>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 (April 30, 2023 to July 29, 2023)</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1,994,064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106,432</w:t>
            </w:r>
          </w:p>
        </w:tc>
      </w:tr>
      <w:tr>
        <w:trPr>
          <w:trHeight w:val="315"/>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Third Quarter (July 30, 2023 to October 28, 2023)</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863,631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43,625</w:t>
            </w:r>
          </w:p>
        </w:tc>
      </w:tr>
      <w:tr>
        <w:trPr>
          <w:trHeight w:val="318"/>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Fourth Quarter (October 29, 2023 to February 3, 2024) </w:t>
            </w:r>
            <w:r>
              <w:rPr>
                <w:rFonts w:ascii="Times New Roman" w:cs="Times New Roman" w:eastAsia="Times New Roman" w:hAnsi="Times New Roman"/>
                <w:sz w:val="26"/>
                <w:szCs w:val="26"/>
                <w:color w:val="auto"/>
                <w:vertAlign w:val="superscript"/>
              </w:rPr>
              <w:t>(2)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2,724</w:t>
            </w:r>
          </w:p>
        </w:tc>
      </w:tr>
      <w:tr>
        <w:trPr>
          <w:trHeight w:val="275"/>
        </w:trPr>
        <w:tc>
          <w:tcPr>
            <w:tcW w:w="53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Shares Repurchased</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3,651,231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202,796</w:t>
            </w:r>
          </w:p>
        </w:tc>
      </w:tr>
      <w:tr>
        <w:trPr>
          <w:trHeight w:val="20"/>
        </w:trPr>
        <w:tc>
          <w:tcPr>
            <w:tcW w:w="53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-1031240</wp:posOffset>
            </wp:positionV>
            <wp:extent cx="6826250" cy="1038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6826250" cy="1038225"/>
                    </a:xfrm>
                    <a:prstGeom prst="rect">
                      <a:avLst/>
                    </a:prstGeom>
                    <a:noFill/>
                  </pic:spPr>
                </pic:pic>
              </a:graphicData>
            </a:graphic>
          </wp:anchor>
        </w:drawing>
      </w:r>
    </w:p>
    <w:p>
      <w:pPr>
        <w:spacing w:after="0" w:line="60" w:lineRule="exact"/>
        <w:rPr>
          <w:sz w:val="20"/>
          <w:szCs w:val="20"/>
          <w:color w:val="auto"/>
        </w:rPr>
      </w:pPr>
    </w:p>
    <w:p>
      <w:pPr>
        <w:ind w:left="270" w:hanging="270"/>
        <w:spacing w:after="0"/>
        <w:tabs>
          <w:tab w:leader="none" w:pos="27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impact of excise taxes.</w:t>
      </w:r>
    </w:p>
    <w:p>
      <w:pPr>
        <w:spacing w:after="0" w:line="68" w:lineRule="exact"/>
        <w:rPr>
          <w:rFonts w:ascii="Times New Roman" w:cs="Times New Roman" w:eastAsia="Times New Roman" w:hAnsi="Times New Roman"/>
          <w:sz w:val="16"/>
          <w:szCs w:val="16"/>
          <w:color w:val="auto"/>
        </w:rPr>
      </w:pPr>
    </w:p>
    <w:p>
      <w:pPr>
        <w:ind w:left="10" w:hanging="10"/>
        <w:spacing w:after="0" w:line="282" w:lineRule="auto"/>
        <w:tabs>
          <w:tab w:leader="none" w:pos="28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Part II, Item 5 - Market for Registrant's Common Equity, Related Stockholder Matters and Issuer Purchases of Equity Securities for further detail on the 2023 fourth quarter share repurchases.</w:t>
      </w:r>
    </w:p>
    <w:p>
      <w:pPr>
        <w:spacing w:after="0" w:line="171"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59" w:lineRule="exact"/>
        <w:rPr>
          <w:sz w:val="20"/>
          <w:szCs w:val="20"/>
          <w:color w:val="auto"/>
        </w:rPr>
      </w:pPr>
    </w:p>
    <w:p>
      <w:pPr>
        <w:ind w:left="1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our quarterly dividend payments for the fiscal year ended February 3, 2024 (amounts in thousands, except per share amounts):</w:t>
      </w:r>
    </w:p>
    <w:p>
      <w:pPr>
        <w:spacing w:after="0" w:line="23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Dividends Paid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Total Dividends</w:t>
            </w:r>
          </w:p>
        </w:tc>
        <w:tc>
          <w:tcPr>
            <w:tcW w:w="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Stockholder Date</w:t>
            </w:r>
          </w:p>
        </w:tc>
      </w:tr>
      <w:tr>
        <w:trPr>
          <w:trHeight w:val="263"/>
        </w:trPr>
        <w:tc>
          <w:tcPr>
            <w:tcW w:w="5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Paid</w:t>
            </w:r>
          </w:p>
        </w:tc>
        <w:tc>
          <w:tcPr>
            <w:tcW w:w="6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of Record</w:t>
            </w:r>
          </w:p>
        </w:tc>
      </w:tr>
      <w:tr>
        <w:trPr>
          <w:trHeight w:val="292"/>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First Quarter (January 29, 2023 to April 29, 2023)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6,929</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23, 2023</w:t>
            </w:r>
          </w:p>
        </w:tc>
      </w:tr>
      <w:tr>
        <w:trPr>
          <w:trHeight w:val="315"/>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 (April 30, 2023 to July 29, 2023)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6,896</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15, 2023</w:t>
            </w:r>
          </w:p>
        </w:tc>
      </w:tr>
      <w:tr>
        <w:trPr>
          <w:trHeight w:val="315"/>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Third Quarter (July 30, 2023 to October 28, 2023)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6,718</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13, 2023</w:t>
            </w:r>
          </w:p>
        </w:tc>
      </w:tr>
      <w:tr>
        <w:trPr>
          <w:trHeight w:val="318"/>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Fourth Quarter (October 29, 2023 to February 3, 2024)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6,675</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13, 2023</w:t>
            </w:r>
          </w:p>
        </w:tc>
      </w:tr>
      <w:tr>
        <w:trPr>
          <w:trHeight w:val="275"/>
        </w:trPr>
        <w:tc>
          <w:tcPr>
            <w:tcW w:w="53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Dividends Paid</w:t>
            </w: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27,218</w:t>
            </w:r>
          </w:p>
        </w:tc>
        <w:tc>
          <w:tcPr>
            <w:tcW w:w="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-1031240</wp:posOffset>
            </wp:positionV>
            <wp:extent cx="6826250" cy="1038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6826250" cy="1038225"/>
                    </a:xfrm>
                    <a:prstGeom prst="rect">
                      <a:avLst/>
                    </a:prstGeom>
                    <a:noFill/>
                  </pic:spPr>
                </pic:pic>
              </a:graphicData>
            </a:graphic>
          </wp:anchor>
        </w:drawing>
      </w:r>
    </w:p>
    <w:p>
      <w:pPr>
        <w:sectPr>
          <w:pgSz w:w="12240" w:h="15840" w:orient="portrait"/>
          <w:cols w:equalWidth="0" w:num="1">
            <w:col w:w="10710"/>
          </w:cols>
          <w:pgMar w:left="810" w:top="100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8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710"/>
          </w:cols>
          <w:pgMar w:left="810" w:top="1009" w:right="720" w:bottom="0" w:gutter="0" w:footer="0" w:header="0"/>
          <w:type w:val="continuous"/>
        </w:sectPr>
      </w:pPr>
    </w:p>
    <w:bookmarkStart w:id="63" w:name="page64"/>
    <w:bookmarkEnd w:id="63"/>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On March 7, 2024, the Company issued a press release announcing that the Board of Directors declared a quarterly cash dividend with respect to the quarter ended February 3, 2024 of $0.11 per share of common stock, payable on April 18, 2024, to stockholders of record as of the close of business on March 26, 2024.</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66"/>
        </w:trPr>
        <w:tc>
          <w:tcPr>
            <w:tcW w:w="5540" w:type="dxa"/>
            <w:vAlign w:val="bottom"/>
          </w:tcPr>
          <w:p>
            <w:pPr>
              <w:ind w:left="320"/>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w:t>
            </w: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8940" w:type="dxa"/>
            <w:vAlign w:val="bottom"/>
            <w:gridSpan w:val="6"/>
          </w:tcPr>
          <w:p>
            <w:pPr>
              <w:ind w:left="320"/>
              <w:spacing w:after="0"/>
              <w:rPr>
                <w:sz w:val="20"/>
                <w:szCs w:val="20"/>
                <w:color w:val="auto"/>
              </w:rPr>
            </w:pPr>
            <w:r>
              <w:rPr>
                <w:rFonts w:ascii="Times New Roman" w:cs="Times New Roman" w:eastAsia="Times New Roman" w:hAnsi="Times New Roman"/>
                <w:sz w:val="20"/>
                <w:szCs w:val="20"/>
                <w:color w:val="auto"/>
              </w:rPr>
              <w:t>The following table summarizes our capital expenditures for the periods shown (amounts in thousands):</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5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54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29, 2022</w:t>
            </w:r>
          </w:p>
        </w:tc>
        <w:tc>
          <w:tcPr>
            <w:tcW w:w="0" w:type="dxa"/>
            <w:vAlign w:val="bottom"/>
          </w:tcPr>
          <w:p>
            <w:pPr>
              <w:spacing w:after="0"/>
              <w:rPr>
                <w:sz w:val="1"/>
                <w:szCs w:val="1"/>
                <w:color w:val="auto"/>
              </w:rPr>
            </w:pPr>
          </w:p>
        </w:tc>
      </w:tr>
      <w:tr>
        <w:trPr>
          <w:trHeight w:val="292"/>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New stores and relocations</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100,419</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42,735</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1,955</w:t>
            </w:r>
          </w:p>
        </w:tc>
        <w:tc>
          <w:tcPr>
            <w:tcW w:w="0" w:type="dxa"/>
            <w:vAlign w:val="bottom"/>
          </w:tcPr>
          <w:p>
            <w:pPr>
              <w:spacing w:after="0"/>
              <w:rPr>
                <w:sz w:val="1"/>
                <w:szCs w:val="1"/>
                <w:color w:val="auto"/>
              </w:rPr>
            </w:pPr>
          </w:p>
        </w:tc>
      </w:tr>
      <w:tr>
        <w:trPr>
          <w:trHeight w:val="23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Corporate, e-commerce, information technology programs and</w:t>
            </w:r>
          </w:p>
        </w:tc>
        <w:tc>
          <w:tcPr>
            <w:tcW w:w="54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81,992</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50,019</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44,967</w:t>
            </w:r>
          </w:p>
        </w:tc>
        <w:tc>
          <w:tcPr>
            <w:tcW w:w="0" w:type="dxa"/>
            <w:vAlign w:val="bottom"/>
          </w:tcPr>
          <w:p>
            <w:pPr>
              <w:spacing w:after="0"/>
              <w:rPr>
                <w:sz w:val="1"/>
                <w:szCs w:val="1"/>
                <w:color w:val="auto"/>
              </w:rPr>
            </w:pPr>
          </w:p>
        </w:tc>
      </w:tr>
      <w:tr>
        <w:trPr>
          <w:trHeight w:val="26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54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Updates for existing stores and distribution centers</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25,359</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15,550</w:t>
            </w: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28,880</w:t>
            </w:r>
          </w:p>
        </w:tc>
        <w:tc>
          <w:tcPr>
            <w:tcW w:w="0" w:type="dxa"/>
            <w:vAlign w:val="bottom"/>
          </w:tcPr>
          <w:p>
            <w:pPr>
              <w:spacing w:after="0"/>
              <w:rPr>
                <w:sz w:val="1"/>
                <w:szCs w:val="1"/>
                <w:color w:val="auto"/>
              </w:rPr>
            </w:pPr>
          </w:p>
        </w:tc>
      </w:tr>
      <w:tr>
        <w:trPr>
          <w:trHeight w:val="275"/>
        </w:trPr>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capital expenditures</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207,770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108,304</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75,802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-945515</wp:posOffset>
            </wp:positionV>
            <wp:extent cx="6826250" cy="952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6826250" cy="952500"/>
                    </a:xfrm>
                    <a:prstGeom prst="rect">
                      <a:avLst/>
                    </a:prstGeom>
                    <a:noFill/>
                  </pic:spPr>
                </pic:pic>
              </a:graphicData>
            </a:graphic>
          </wp:anchor>
        </w:drawing>
      </w:r>
    </w:p>
    <w:p>
      <w:pPr>
        <w:spacing w:after="0" w:line="228" w:lineRule="exact"/>
        <w:rPr>
          <w:sz w:val="20"/>
          <w:szCs w:val="20"/>
          <w:color w:val="auto"/>
        </w:rPr>
      </w:pPr>
    </w:p>
    <w:p>
      <w:pPr>
        <w:ind w:left="360"/>
        <w:spacing w:after="0"/>
        <w:tabs>
          <w:tab w:leader="none" w:pos="9020" w:val="left"/>
        </w:tabs>
        <w:rPr>
          <w:sz w:val="20"/>
          <w:szCs w:val="20"/>
          <w:color w:val="auto"/>
        </w:rPr>
      </w:pPr>
      <w:r>
        <w:rPr>
          <w:rFonts w:ascii="Times New Roman" w:cs="Times New Roman" w:eastAsia="Times New Roman" w:hAnsi="Times New Roman"/>
          <w:sz w:val="20"/>
          <w:szCs w:val="20"/>
          <w:color w:val="auto"/>
        </w:rPr>
        <w:t>We expect capital expenditures for fiscal year 2024 to be between $225 million and $275 million.</w:t>
        <w:tab/>
        <w:t>The following table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summarizes our forecasted allocation of capital expenditures for fiscal year 2024:</w:t>
            </w:r>
          </w:p>
        </w:tc>
        <w:tc>
          <w:tcPr>
            <w:tcW w:w="2060" w:type="dxa"/>
            <w:vAlign w:val="bottom"/>
          </w:tcPr>
          <w:p>
            <w:pPr>
              <w:spacing w:after="0"/>
              <w:rPr>
                <w:sz w:val="22"/>
                <w:szCs w:val="22"/>
                <w:color w:val="auto"/>
              </w:rPr>
            </w:pPr>
          </w:p>
        </w:tc>
      </w:tr>
      <w:tr>
        <w:trPr>
          <w:trHeight w:val="566"/>
        </w:trPr>
        <w:tc>
          <w:tcPr>
            <w:tcW w:w="8640" w:type="dxa"/>
            <w:vAlign w:val="bottom"/>
          </w:tcPr>
          <w:p>
            <w:pPr>
              <w:spacing w:after="0"/>
              <w:rPr>
                <w:sz w:val="24"/>
                <w:szCs w:val="24"/>
                <w:color w:val="auto"/>
              </w:rPr>
            </w:pPr>
          </w:p>
        </w:tc>
        <w:tc>
          <w:tcPr>
            <w:tcW w:w="206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92"/>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New stores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55 %</w:t>
            </w:r>
          </w:p>
        </w:tc>
      </w:tr>
      <w:tr>
        <w:trPr>
          <w:trHeight w:val="315"/>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Corporate, e-commerce, information technology programs and other</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300"/>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Updates for existing stores and distribution centers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-594360</wp:posOffset>
            </wp:positionV>
            <wp:extent cx="6826250" cy="615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6826250" cy="615950"/>
                    </a:xfrm>
                    <a:prstGeom prst="rect">
                      <a:avLst/>
                    </a:prstGeom>
                    <a:noFill/>
                  </pic:spPr>
                </pic:pic>
              </a:graphicData>
            </a:graphic>
          </wp:anchor>
        </w:drawing>
      </w:r>
    </w:p>
    <w:p>
      <w:pPr>
        <w:spacing w:after="0" w:line="27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We review forecasted capital expenditures throughout the year and will adjust our capital expenditures based on business conditions at that time.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consolidated statements of cash flows are summarized as follows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80"/>
        </w:trPr>
        <w:tc>
          <w:tcPr>
            <w:tcW w:w="542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8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535,779</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552,005</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673,265</w:t>
            </w:r>
          </w:p>
        </w:tc>
      </w:tr>
      <w:tr>
        <w:trPr>
          <w:trHeight w:val="30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(206,139)</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(108,806)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(76,017)</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(318,865)</w:t>
            </w: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(592,052)</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(488,854)</w:t>
            </w:r>
          </w:p>
        </w:tc>
      </w:tr>
      <w:tr>
        <w:trPr>
          <w:trHeight w:val="260"/>
        </w:trPr>
        <w:tc>
          <w:tcPr>
            <w:tcW w:w="5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10,775</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(148,853)</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108,394</w:t>
            </w:r>
          </w:p>
        </w:tc>
      </w:tr>
      <w:tr>
        <w:trPr>
          <w:trHeight w:val="20"/>
        </w:trPr>
        <w:tc>
          <w:tcPr>
            <w:tcW w:w="5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826250" cy="800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6826250" cy="800100"/>
                    </a:xfrm>
                    <a:prstGeom prst="rect">
                      <a:avLst/>
                    </a:prstGeom>
                    <a:noFill/>
                  </pic:spPr>
                </pic:pic>
              </a:graphicData>
            </a:graphic>
          </wp:anchor>
        </w:drawing>
      </w:r>
    </w:p>
    <w:p>
      <w:pPr>
        <w:spacing w:after="0" w:line="222"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Operating Activities. </w:t>
      </w:r>
      <w:r>
        <w:rPr>
          <w:rFonts w:ascii="Times New Roman" w:cs="Times New Roman" w:eastAsia="Times New Roman" w:hAnsi="Times New Roman"/>
          <w:sz w:val="20"/>
          <w:szCs w:val="20"/>
          <w:color w:val="auto"/>
        </w:rPr>
        <w:t>Cash flows from operating activities are seasonal in our business. Typically, cash flows from operations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used to build inventory in advance of peak selling seasons, with the fourth quarter pre-holiday inventory increase being the most significant.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Cash provided by operating activities in 2023 decreased $16.2 million compared to 2022. This decrease is attributable to:</w:t>
      </w:r>
    </w:p>
    <w:p>
      <w:pPr>
        <w:spacing w:after="0" w:line="250" w:lineRule="exact"/>
        <w:rPr>
          <w:sz w:val="20"/>
          <w:szCs w:val="20"/>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$108.8 million decrease in net income;</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$23.1 million net decrease in non-cash charges;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$115.7 million net increase in cash flows provided by operating assets and liabilities.</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700"/>
          </w:cols>
          <w:pgMar w:left="820" w:top="1018" w:right="720" w:bottom="0" w:gutter="0" w:footer="0" w:header="0"/>
          <w:type w:val="continuous"/>
        </w:sectPr>
      </w:pPr>
    </w:p>
    <w:bookmarkStart w:id="64" w:name="page65"/>
    <w:bookmarkEnd w:id="64"/>
    <w:p>
      <w:pPr>
        <w:ind w:left="360"/>
        <w:spacing w:after="0"/>
        <w:rPr>
          <w:sz w:val="20"/>
          <w:szCs w:val="20"/>
          <w:color w:val="auto"/>
        </w:rPr>
      </w:pPr>
      <w:r>
        <w:rPr>
          <w:rFonts w:ascii="Times New Roman" w:cs="Times New Roman" w:eastAsia="Times New Roman" w:hAnsi="Times New Roman"/>
          <w:sz w:val="20"/>
          <w:szCs w:val="20"/>
          <w:color w:val="auto"/>
        </w:rPr>
        <w:t>The increase in cash flows from operating assets and liabilities was primarily attributable to:</w:t>
      </w:r>
    </w:p>
    <w:p>
      <w:pPr>
        <w:spacing w:after="0" w:line="250" w:lineRule="exact"/>
        <w:rPr>
          <w:sz w:val="20"/>
          <w:szCs w:val="20"/>
          <w:color w:val="auto"/>
        </w:rPr>
      </w:pPr>
    </w:p>
    <w:p>
      <w:pPr>
        <w:ind w:left="720" w:hanging="370"/>
        <w:spacing w:after="0" w:line="260" w:lineRule="auto"/>
        <w:tabs>
          <w:tab w:leader="none" w:pos="720" w:val="left"/>
        </w:tabs>
        <w:numPr>
          <w:ilvl w:val="0"/>
          <w:numId w:val="4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$201.1 million increase in cash flows from merchandise inventories, net related to a reduction in inventory replenishment to align with 2023 sales patterns when compared to the prior year; partially offset by a</w:t>
      </w:r>
    </w:p>
    <w:p>
      <w:pPr>
        <w:spacing w:after="0" w:line="1" w:lineRule="exact"/>
        <w:rPr>
          <w:rFonts w:ascii="Times New Roman" w:cs="Times New Roman" w:eastAsia="Times New Roman" w:hAnsi="Times New Roman"/>
          <w:sz w:val="20"/>
          <w:szCs w:val="20"/>
          <w:b w:val="1"/>
          <w:bCs w:val="1"/>
          <w:i w:val="1"/>
          <w:iCs w:val="1"/>
          <w:color w:val="auto"/>
        </w:rPr>
      </w:pPr>
    </w:p>
    <w:p>
      <w:pPr>
        <w:ind w:left="720" w:hanging="370"/>
        <w:spacing w:after="0" w:line="26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$86.9 million decrease in cash flows from accounts payable, primarily driven by a reduction in inventory replenishment and lower import and domestic freight costs relative to the prior year fourth quarter.</w:t>
      </w:r>
    </w:p>
    <w:p>
      <w:pPr>
        <w:spacing w:after="0" w:line="196" w:lineRule="exact"/>
        <w:rPr>
          <w:sz w:val="20"/>
          <w:szCs w:val="20"/>
          <w:color w:val="auto"/>
        </w:rPr>
      </w:pPr>
    </w:p>
    <w:p>
      <w:pPr>
        <w:ind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Investing Activities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Cash used in investing activities increased $97.3 million in 2023 compared to 2022. The increase in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used in investing activities is primarily related to:</w:t>
      </w:r>
    </w:p>
    <w:p>
      <w:pPr>
        <w:spacing w:after="0" w:line="174" w:lineRule="exact"/>
        <w:rPr>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$99.5 million higher capital expenditures, primarily driven by increased investments in new stores in 2023.</w:t>
      </w:r>
    </w:p>
    <w:p>
      <w:pPr>
        <w:spacing w:after="0" w:line="244" w:lineRule="exact"/>
        <w:rPr>
          <w:sz w:val="20"/>
          <w:szCs w:val="20"/>
          <w:color w:val="auto"/>
        </w:rPr>
      </w:pPr>
    </w:p>
    <w:p>
      <w:pPr>
        <w:ind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Financing Activities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Cash used in financing activities decreased $273.2 million in 2023, compared to 2022. The primary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driver of the decrease was a:</w:t>
      </w:r>
    </w:p>
    <w:p>
      <w:pPr>
        <w:spacing w:after="0" w:line="174" w:lineRule="exact"/>
        <w:rPr>
          <w:sz w:val="20"/>
          <w:szCs w:val="20"/>
          <w:color w:val="auto"/>
        </w:rPr>
      </w:pPr>
    </w:p>
    <w:p>
      <w:pPr>
        <w:ind w:left="720" w:hanging="370"/>
        <w:spacing w:after="0" w:line="281"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$286.7 million decrease in cash outflows caused by a reduction in repurchases and retirement of common stock in the current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Liquidity</w:t>
      </w:r>
    </w:p>
    <w:p>
      <w:pPr>
        <w:spacing w:after="0" w:line="259"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20"/>
          <w:szCs w:val="20"/>
          <w:color w:val="auto"/>
        </w:rPr>
        <w:t>We expect our existing cash balances, internally generated cash flows and available borrowings under our ABL Facility will fulfill anticipated obligations such as capital expenditures, dividends, stock repurchases, working capital needs and scheduled debt maturities over at least the next twelve months. As of February 3, 2024, we had $881.4 million of available capacity under our ABL Facility and $347.9 million of cash and cash equivalents.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5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This discussion and analysis of financial condition and results of operations is based upon the Company's consolidated financial statements, which have been prepared in accordance with U.S. generally accepted accounting principles (U.S. GAAP). The preparation of these financial statements requires the Company to make estimates, judgments, and assumptions that can have a meaningful effect on the reporting of consolidated financial statements. See Note 2 to the accompanying financial statements for additional information.</w:t>
      </w:r>
    </w:p>
    <w:p>
      <w:pPr>
        <w:spacing w:after="0" w:line="19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Critical accounting estimates are defined as those reflective of significant judgments, estimates and uncertainties, which may result in materially different results under different assumptions and conditions. The Company believes the following are its critical accounting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Merchandise Inventories, net</w:t>
      </w:r>
    </w:p>
    <w:p>
      <w:pPr>
        <w:spacing w:after="0" w:line="245"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Description: </w:t>
      </w:r>
      <w:r>
        <w:rPr>
          <w:rFonts w:ascii="Times New Roman" w:cs="Times New Roman" w:eastAsia="Times New Roman" w:hAnsi="Times New Roman"/>
          <w:sz w:val="20"/>
          <w:szCs w:val="20"/>
          <w:color w:val="auto"/>
        </w:rPr>
        <w:t>Merchandise inventories are stated at the lower of weighted average cost and net realizable value. Merchandise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inventories include the direct cost of merchandise and capitalized costs related to procurement, warehousing and distribution and are reflected net of shrinkage, vendor allowances and other valuation reserves.</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Judgments and Uncertainties: </w:t>
      </w:r>
      <w:r>
        <w:rPr>
          <w:rFonts w:ascii="Times New Roman" w:cs="Times New Roman" w:eastAsia="Times New Roman" w:hAnsi="Times New Roman"/>
          <w:sz w:val="20"/>
          <w:szCs w:val="20"/>
          <w:color w:val="auto"/>
        </w:rPr>
        <w:t>We record an inventory reserve for the estimated shrinkage between physical inventories on a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location basis. We generally perform a full physical inventory count for each store at least once a year, throughout the year, after which our shrinkage accrual rate to sales for each store is updated based on historical results. For vendor allowances based on contractual provisions, we develop accrual rates for receivables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w:t>
      </w:r>
    </w:p>
    <w:p>
      <w:pPr>
        <w:sectPr>
          <w:pgSz w:w="12240" w:h="15840" w:orient="portrait"/>
          <w:cols w:equalWidth="0" w:num="1">
            <w:col w:w="10700"/>
          </w:cols>
          <w:pgMar w:left="820" w:top="101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700"/>
          </w:cols>
          <w:pgMar w:left="820" w:top="1018" w:right="720" w:bottom="0" w:gutter="0" w:footer="0" w:header="0"/>
          <w:type w:val="continuous"/>
        </w:sectPr>
      </w:pPr>
    </w:p>
    <w:bookmarkStart w:id="65" w:name="page66"/>
    <w:bookmarkEnd w:id="65"/>
    <w:p>
      <w:pPr>
        <w:jc w:val="both"/>
        <w:ind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Impact of Assumptions: </w:t>
      </w:r>
      <w:r>
        <w:rPr>
          <w:rFonts w:ascii="Times New Roman" w:cs="Times New Roman" w:eastAsia="Times New Roman" w:hAnsi="Times New Roman"/>
          <w:sz w:val="20"/>
          <w:szCs w:val="20"/>
          <w:color w:val="auto"/>
        </w:rPr>
        <w:t>For inventory shrinkage, our reserves may be inaccurate if our historical physical inventory shrinkage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rates, used in our assumptions, differ significantly from actual rates due to consistent misses to our accrual. However, due to the frequency with which we perform full physical inventory counts, our assumptions are regularly updated, and we constantly analyze the physical inventory results to our accruals and, where necessary, adjust our store accruals to compensate for consistent patterns identified. We have not had a history of significant differences to our reserves for vendor allowances, and the assumptions generally do not have a significant impact on reserves since they are typically short-term and contractual in nature. We book a reserve for inventory permanently marked down below the inventory’s historical cost. Additionally, for slow moving or obsolete inventory, we book reserves based on historical margins received for marked down inventory with similarly slow historical sell-through rates. A twenty percent decrease in assumed margins would not have a material impact to our financial statements. We believe our long history of operations has given us sufficient data to enable us to accurately predict these reserves.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35" w:lineRule="exact"/>
        <w:rPr>
          <w:sz w:val="20"/>
          <w:szCs w:val="20"/>
          <w:color w:val="auto"/>
        </w:rPr>
      </w:pPr>
    </w:p>
    <w:p>
      <w:pPr>
        <w:jc w:val="both"/>
        <w:ind w:firstLine="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Description: </w:t>
      </w:r>
      <w:r>
        <w:rPr>
          <w:rFonts w:ascii="Times New Roman" w:cs="Times New Roman" w:eastAsia="Times New Roman" w:hAnsi="Times New Roman"/>
          <w:sz w:val="20"/>
          <w:szCs w:val="20"/>
          <w:color w:val="auto"/>
        </w:rPr>
        <w:t>We review the carrying value of long-lived assets, including property and equipment at our stores, for indicators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impairment regularly and whenever events and circumstances indicate that the carrying value of an asset may not be recoverable.</w:t>
      </w:r>
    </w:p>
    <w:p>
      <w:pPr>
        <w:spacing w:after="0" w:line="164"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Judgments and Uncertainties: </w:t>
      </w:r>
      <w:r>
        <w:rPr>
          <w:rFonts w:ascii="Times New Roman" w:cs="Times New Roman" w:eastAsia="Times New Roman" w:hAnsi="Times New Roman"/>
          <w:sz w:val="20"/>
          <w:szCs w:val="20"/>
          <w:color w:val="auto"/>
        </w:rPr>
        <w:t>We test stores operating over a long enough time span, based on our previous store history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similar locations, to allow for meaningful analysis of future operating results.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w:t>
      </w:r>
    </w:p>
    <w:p>
      <w:pPr>
        <w:spacing w:after="0" w:line="192"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Impact of Assumptions: </w:t>
      </w:r>
      <w:r>
        <w:rPr>
          <w:rFonts w:ascii="Times New Roman" w:cs="Times New Roman" w:eastAsia="Times New Roman" w:hAnsi="Times New Roman"/>
          <w:sz w:val="20"/>
          <w:szCs w:val="20"/>
          <w:color w:val="auto"/>
        </w:rPr>
        <w:t>The assumptions used to project store impairment loss is based on projected future store income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considers variables such as historical and current trends, macroeconomic conditions, store location and local economy and supply chain factors. Additionally, the long-term store income projections also contain a projection of future store specific costs such as store wages and advertising. Actual long-term income results could vary significantly from our projections due to a variety of reasons such as changes in the local retail environment or macroeconomic factors not used in our assumptions. In addition to variables considered in developing projected long-term store income, assumptions are made to develop the assumed discount rate based on company specific factors. There is significant judgment used in determining these assumptions used in the assessment of store impairment and variability in the assumptions could cause us to reach a materially different conclusion on impairment, however, we do not believe the net book value of any individual store assets are material to the Company’s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5"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Description: </w:t>
      </w:r>
      <w:r>
        <w:rPr>
          <w:rFonts w:ascii="Times New Roman" w:cs="Times New Roman" w:eastAsia="Times New Roman" w:hAnsi="Times New Roman"/>
          <w:sz w:val="20"/>
          <w:szCs w:val="20"/>
          <w:color w:val="auto"/>
        </w:rPr>
        <w:t>Goodwill represents the excess of the purchase price of an acquired business over the amounts assigned to assets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acquired and liabilities 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spacing w:after="0" w:line="18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Judgments and Uncertainties: </w:t>
      </w:r>
      <w:r>
        <w:rPr>
          <w:rFonts w:ascii="Times New Roman" w:cs="Times New Roman" w:eastAsia="Times New Roman" w:hAnsi="Times New Roman"/>
          <w:sz w:val="20"/>
          <w:szCs w:val="20"/>
          <w:color w:val="auto"/>
        </w:rPr>
        <w:t>The annual goodwill impairment test provides for the option of first performing a qualitative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9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 These approaches use key input assumptions such as our projected future operating results, the discount rate, the weighting for each valuation approach and the comparable set of companies.</w:t>
      </w:r>
    </w:p>
    <w:p>
      <w:pPr>
        <w:sectPr>
          <w:pgSz w:w="12240" w:h="15840" w:orient="portrait"/>
          <w:cols w:equalWidth="0" w:num="1">
            <w:col w:w="10700"/>
          </w:cols>
          <w:pgMar w:left="820" w:top="101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700"/>
          </w:cols>
          <w:pgMar w:left="820" w:top="1014" w:right="720" w:bottom="0" w:gutter="0" w:footer="0" w:header="0"/>
          <w:type w:val="continuous"/>
        </w:sectPr>
      </w:pPr>
    </w:p>
    <w:bookmarkStart w:id="66" w:name="page67"/>
    <w:bookmarkEnd w:id="66"/>
    <w:p>
      <w:pPr>
        <w:jc w:val="both"/>
        <w:ind w:firstLine="3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Impact of Assumptions: </w:t>
      </w:r>
      <w:r>
        <w:rPr>
          <w:rFonts w:ascii="Times New Roman" w:cs="Times New Roman" w:eastAsia="Times New Roman" w:hAnsi="Times New Roman"/>
          <w:sz w:val="20"/>
          <w:szCs w:val="20"/>
          <w:color w:val="auto"/>
        </w:rPr>
        <w:t>The assumptions used to project long-term company income consider variables such as historical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current trends, macroeconomic conditions, supply chain factors, projections consistent with the Company’s operating strategy, such as the future development of e-commerce and our assumptions used on future store openings, and other variables expected to impact future sales. Additionally, the long-term company income projections also contain a projection of future company costs such as wages, freight and transportation, and advertising. Actual long-term company income results could vary significantly from our projections due to a variety of reasons such as changes in the retail environment or macroeconomic factors not used in our assumptions. In addition to variables considered in developing projected long-term company income, assumptions are made to develop the discount rate, which is based on an assumed risk-free rate, and an equity risk premium developed from general historical market data and comparable companies. The earnings multiples used in the market approach can vary dependent on which companies are selected in our comparable set. A history of declining trends in our operating results such as comparable sales, gross margin, net income and cash flow from operations could impact these assumptions and serve as indicators of future impairment. There is significant judgment used in determining these assumptions used in the assessment of goodwill impairment and variability in the assumptions could cause us to reach a different conclusion on impairment. In 2023, we performed a qualitative impairment assessment and determined a quantitative assessment was not necessary.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35"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Description: </w:t>
      </w:r>
      <w:r>
        <w:rPr>
          <w:rFonts w:ascii="Times New Roman" w:cs="Times New Roman" w:eastAsia="Times New Roman" w:hAnsi="Times New Roman"/>
          <w:sz w:val="20"/>
          <w:szCs w:val="20"/>
          <w:color w:val="auto"/>
        </w:rPr>
        <w:t>Intangible assets primarily consists of the trade name "Academy Sports + Outdoors" (the "Trade Name").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Trade Name is expected to generate cash flows indefinitely and, therefore, is accounted for as an indefinite-lived asset not subject to amortization. The Trade Name is tested for impairment annually or whenever events or circumstances indicate that the carrying amount of the Trade Name may not be recoverable.</w:t>
      </w:r>
    </w:p>
    <w:p>
      <w:pPr>
        <w:spacing w:after="0" w:line="18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Judgments and Uncertainties: </w:t>
      </w:r>
      <w:r>
        <w:rPr>
          <w:rFonts w:ascii="Times New Roman" w:cs="Times New Roman" w:eastAsia="Times New Roman" w:hAnsi="Times New Roman"/>
          <w:sz w:val="20"/>
          <w:szCs w:val="20"/>
          <w:color w:val="auto"/>
        </w:rPr>
        <w:t>The annual Trade Name impairment test provides for the option of first performing a qualitative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assessment to evaluate the existence of events and circumstances that would lead to a determination that it is more likely than not that the fair value of an intangible asset is less than its carrying amount. If such a conclusion is reached, we would then be required to perform a quantitative impairment assessment for the Trade Name. However, if the qualitative assessment leads to a determination that it is more likely than not that the fair value of an intangible asset is greater than its carrying amount, then no further assessments are required.</w:t>
      </w:r>
    </w:p>
    <w:p>
      <w:pPr>
        <w:spacing w:after="0" w:line="20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Impact of Assumptions: </w:t>
      </w:r>
      <w:r>
        <w:rPr>
          <w:rFonts w:ascii="Times New Roman" w:cs="Times New Roman" w:eastAsia="Times New Roman" w:hAnsi="Times New Roman"/>
          <w:sz w:val="20"/>
          <w:szCs w:val="20"/>
          <w:color w:val="auto"/>
        </w:rPr>
        <w:t>The assumptions used to project long-term company sales consider variables such as historical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current trends, macroeconomic conditions, supply chain factors, projections consistent with the Company’s operating strategy, such as the future development of e-commerce and our assumptions used on future store openings, and other variables expected to impact future sales. Actual long-term income results could vary significantly from our projections due to a variety of reasons such as changes in the retail environment or macroeconomic factors not used in our assumptions. In addition to variables considered in developing projected long-term sales, assumptions are made to develop the royalty rates and discount rates. The royalty rates are based on market data where royalty rates are applicable and the discount rates are based on an assumed risk-free rate, and an equity risk premium based on general historical market data and comparable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on intangible asset impairment and variability in the assumptions could cause us to reach a different conclusion on impairment. In 2023, we performed a qualitative impairment assessment and determined a quantitative assessment was not necessary.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 discussion of recent accounting pronouncements, see Note 2 to the accompanying financial statements.</w:t>
      </w:r>
    </w:p>
    <w:p>
      <w:pPr>
        <w:sectPr>
          <w:pgSz w:w="12240" w:h="15840" w:orient="portrait"/>
          <w:cols w:equalWidth="0" w:num="1">
            <w:col w:w="10700"/>
          </w:cols>
          <w:pgMar w:left="820" w:top="101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700"/>
          </w:cols>
          <w:pgMar w:left="820" w:top="1014" w:right="72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9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Our exposure to changes in interest rates primarily results from our Term Loan and ABL Facility, as these borrowings have variable interest rates. When appropriate, we also enter into fixed interest rate debt, such as the Notes, to limit the floating interest rate exposure on our long term debt or historically we have used derivative financial instruments to mitigate the risk from such exposure. A discussion of our accounting policies for derivative financial instruments is included in Note 5. “Derivative Financial Instruments” and Note 6. “Fair Value Measurements” to our accompanying financial statements included in Part IV. Item 15 of this Annual Report. As of February 3, 2024, we do not have any derivative financial instruments outstanding. The detrimental effect of a hypothetical 100 basis point increase in interest rates on current borrowings under the Term Loan and ABL Facility would increase our interest expense by approximately $0.9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Interim Results and Seasonality</w:t>
      </w:r>
    </w:p>
    <w:p>
      <w:pPr>
        <w:spacing w:after="0" w:line="19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01" w:lineRule="exact"/>
        <w:rPr>
          <w:sz w:val="20"/>
          <w:szCs w:val="20"/>
          <w:color w:val="auto"/>
        </w:rPr>
      </w:pPr>
    </w:p>
    <w:p>
      <w:pPr>
        <w:ind w:left="40" w:right="500" w:firstLine="360"/>
        <w:spacing w:after="0"/>
        <w:rPr>
          <w:sz w:val="20"/>
          <w:szCs w:val="20"/>
          <w:color w:val="auto"/>
        </w:rPr>
      </w:pPr>
      <w:r>
        <w:rPr>
          <w:rFonts w:ascii="Times New Roman" w:cs="Times New Roman" w:eastAsia="Times New Roman" w:hAnsi="Times New Roman"/>
          <w:sz w:val="20"/>
          <w:szCs w:val="20"/>
          <w:color w:val="auto"/>
        </w:rPr>
        <w:t>The financial statements required to be filed hereunder are set forth on pages 69 through 106 of this Annual Report on Form 10-K.</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700"/>
          </w:cols>
          <w:pgMar w:left="820" w:top="1251" w:right="72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9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5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Company’s management is responsible for establishing and maintaining adequate internal control over financial reporting (as defined in Rules 13a-15(f) and 15d-15(f) under the Exchange Act). Internal control over financial reporting is a process to provide reasonable assurance regarding the reliability of our financial reporting for external purposes in accordance with accounting principles generally accepted in the United States of America. The Company's internal control over financial reporting includes:</w:t>
      </w:r>
    </w:p>
    <w:p>
      <w:pPr>
        <w:spacing w:after="0" w:line="83" w:lineRule="exact"/>
        <w:rPr>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records that in reasonable detail accurately and fairly reflect our transactions;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reasonable assurance that transactions are recorded as necessary for preparation of our financial statements;</w:t>
      </w:r>
    </w:p>
    <w:p>
      <w:pPr>
        <w:spacing w:after="0" w:line="13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reasonable assurance that receipts and expenditures of Company assets are made in accordance with management authorization; and</w:t>
      </w:r>
    </w:p>
    <w:p>
      <w:pPr>
        <w:spacing w:after="0" w:line="6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reasonable assurance that unauthorized acquisition, use or disposition of Company assets that could have a material effect on our financial statements would be prevented or detected on a timely basis.</w:t>
      </w:r>
    </w:p>
    <w:p>
      <w:pPr>
        <w:spacing w:after="0" w:line="6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risk that controls may become inadequate because of change in conditions, or that the degree of compliance with the policies or procedures may deteriorate.</w:t>
      </w:r>
    </w:p>
    <w:p>
      <w:pPr>
        <w:spacing w:after="0" w:line="14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 xml:space="preserve">The Company’s management conducted an evaluation of the effectiveness of our internal control over financial reporting based on the framework and criteria established in </w:t>
      </w:r>
      <w:r>
        <w:rPr>
          <w:rFonts w:ascii="Times New Roman" w:cs="Times New Roman" w:eastAsia="Times New Roman" w:hAnsi="Times New Roman"/>
          <w:sz w:val="20"/>
          <w:szCs w:val="20"/>
          <w:b w:val="1"/>
          <w:bCs w:val="1"/>
          <w:i w:val="1"/>
          <w:iCs w:val="1"/>
          <w:color w:val="auto"/>
        </w:rPr>
        <w:t>Internal Control—Integrated Framework (2013)</w:t>
      </w:r>
      <w:r>
        <w:rPr>
          <w:rFonts w:ascii="Times New Roman" w:cs="Times New Roman" w:eastAsia="Times New Roman" w:hAnsi="Times New Roman"/>
          <w:sz w:val="20"/>
          <w:szCs w:val="20"/>
          <w:color w:val="auto"/>
        </w:rPr>
        <w:t>,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concluded that the Company’s internal control over financial reporting was effective as of the end of the period covered by this Annual Report.</w:t>
      </w:r>
    </w:p>
    <w:p>
      <w:pPr>
        <w:spacing w:after="0" w:line="20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Deloitte &amp; Touche LLP, an independent registered public accounting firm, has issued an attestation report on the Company’s internal control over financial reporting which is set forth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9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We rely extensively on information systems to manage our business and report operating results. During the 2023 second quarter, we completed the implementation of our new Enterprise Resource Planning ("ERP") system, which resulted in considerable changes to our processes and control environment, including modifications to existing applications and reports. The new ERP replaced our legacy system, in which our business transactions are processed and recorded. The new ERP is intended to facilitate transactional processing and enhance management tools and is expected to improve internal controls over financial reporting.</w:t>
      </w:r>
    </w:p>
    <w:p>
      <w:pPr>
        <w:spacing w:after="0" w:line="14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Other than as described above, 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sectPr>
          <w:pgSz w:w="12240" w:h="15840" w:orient="portrait"/>
          <w:cols w:equalWidth="0" w:num="1">
            <w:col w:w="10700"/>
          </w:cols>
          <w:pgMar w:left="820" w:top="101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700"/>
          </w:cols>
          <w:pgMar w:left="820" w:top="1011" w:right="72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Academy Sports and Outdoors,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Academy Sports and Outdoors, Inc. and subsidiaries (the “Company”) as of February 3, 2024, based on criteria established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February 3, 2024, based on criteria established in </w:t>
      </w:r>
      <w:r>
        <w:rPr>
          <w:rFonts w:ascii="Times New Roman" w:cs="Times New Roman" w:eastAsia="Times New Roman" w:hAnsi="Times New Roman"/>
          <w:sz w:val="20"/>
          <w:szCs w:val="20"/>
          <w:b w:val="1"/>
          <w:bCs w:val="1"/>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Control — Integrated Framework (2013) </w:t>
      </w:r>
      <w:r>
        <w:rPr>
          <w:rFonts w:ascii="Times New Roman" w:cs="Times New Roman" w:eastAsia="Times New Roman" w:hAnsi="Times New Roman"/>
          <w:sz w:val="20"/>
          <w:szCs w:val="20"/>
          <w:color w:val="auto"/>
        </w:rPr>
        <w:t>issued by COSO.</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February 3, 2024, of the Company and our report dated March 21, 2024,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20"/>
          <w:szCs w:val="20"/>
          <w:b w:val="1"/>
          <w:bCs w:val="1"/>
          <w:i w:val="1"/>
          <w:iCs w:val="1"/>
          <w:color w:val="auto"/>
        </w:rPr>
        <w:t>Management's Annual Report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Internal Control over Financial Reporting</w:t>
      </w:r>
      <w:r>
        <w:rPr>
          <w:rFonts w:ascii="Times New Roman" w:cs="Times New Roman" w:eastAsia="Times New Roman" w:hAnsi="Times New Roman"/>
          <w:sz w:val="20"/>
          <w:szCs w:val="20"/>
          <w:color w:val="auto"/>
        </w:rPr>
        <w:t>. Our responsibility is to express an opinion on the Company’s internal control over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21, 2024</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700"/>
          </w:cols>
          <w:pgMar w:left="820" w:top="1251" w:right="72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Board of Directors Update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Appointment of Monique Picou to Board of Directors</w:t>
      </w:r>
    </w:p>
    <w:p>
      <w:pPr>
        <w:spacing w:after="0" w:line="25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On March 18, 2024, the Board of the Company approved an increase of the size of the Board of Directors from nine to ten directors and appointed Monique Picou, age 57, as an independent Class II director, effective immediately, to fill the vacancy created by such increase. Mrs. Picou’s initial term will expire on the date of the Company’s 2025 Annual Meeting of Stockholders and until her successor shall be elected and qualified or until her earlier death, resignation, retirement, disqualification or removal.</w:t>
      </w:r>
    </w:p>
    <w:p>
      <w:pPr>
        <w:spacing w:after="0" w:line="20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Mrs. Picou serves as Global Executive - Vice President, Google Cloud Supply Chain and Operations at Alphabet, Inc. since March 2023, and also served as Vice President, Google Product, Technology Strategy and Global Server Operations at Alphabet, Inc. from February 2021 to April 2023. Prior to Alphabet, Inc., Mrs. Picou served as Senior Vice President, Sam’s Club Chief Strategy and Supply Chain Officer from March 2020 to February 2021, as Sam’s Club Senior Vice President Supply Chain Flow from February 2019 to February 2020, and Vice President, Supply Chain at Walmart, Inc. from August 2018 to January 2019. Mrs. Picou held other senior leadership positions at Voyant Beauty, LLC and Procter &amp; Gamble Company, where she spent more than 25 years and served in various positions, including Senior Vice President – Product Supply Global Health Care from December 2016 to August 2017. Since November 2021, Mrs. Picou has served on the board of directors of Ryan Companies US, Inc., a commercial real estate services company. She is a graduate of Southern University with a Bachelor of Science in Electrical Engineering and earned a Master of Business Administration from Florida Institute of Technology.</w:t>
      </w:r>
    </w:p>
    <w:p>
      <w:pPr>
        <w:spacing w:after="0" w:line="216"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Board of Directors selected Mrs. Picou because of her supply chain, logistics, strategic planning, operations, digital/ technology, and engineering experience at technology, retail and manufacturing companies.</w:t>
      </w:r>
    </w:p>
    <w:p>
      <w:pPr>
        <w:spacing w:after="0" w:line="18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Board of Directors has determined that Mrs. Picou qualifies as an independent director under the corporate governance standards of Nasdaq, and that there are no arrangement or understanding between Mrs. Picou and any other person pursuant to which she was elected as a director. There are no transactions in which Mrs. Picou has an interest requiring disclosure under Item 404(a) of Regulation S-K.</w:t>
      </w:r>
    </w:p>
    <w:p>
      <w:pPr>
        <w:spacing w:after="0" w:line="20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As compensation for her service on the Board, Mrs. Picou will receive the cash and equity compensation provided by the Company’s Non-Employee Director Compensation Policy, as it may be adjusted by the Board of Directors from time to time, a copy of which is filed as Exhibit 10.66 to this Annual Report on Form 10-K.</w:t>
      </w:r>
    </w:p>
    <w:p>
      <w:pPr>
        <w:spacing w:after="0" w:line="19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In addition, the Company and Mrs. Picou will enter into the Company’s standard form of indemnification agreement for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Transition of Ken C. Hicks to Chairman of the Board of Directors</w:t>
      </w:r>
    </w:p>
    <w:p>
      <w:pPr>
        <w:spacing w:after="0" w:line="25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connection with a planned transition process, on March 19, 2024, the Company and Ken C. Hicks, Executive Chairman of the Board of Directors of the Company, mutually agreed that Mr. Hicks’s Amended and Restated Employment Agreement, dated April 26, 2023 would not be extended beyond its initial one-year term and that Mr. Hicks will transition from Executive Chairman of the Board to non-employee Chairman of the Board of Directors, effective on June 1, 2024.</w:t>
      </w:r>
    </w:p>
    <w:p>
      <w:pPr>
        <w:spacing w:after="0" w:line="20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As compensation for his service as non-employee Chairman of the Board of Directors, Mr. Hicks will receive annual cash retainers totaling $175,000 and equity compensation in the form of restricted stock units with an annualized grant value totaling $285,000, each as provided by the Company’s Non-Employee Director Compensation Policy, a copy of which is filed as Exhibit 10.66 to this Annual Report on Form 10-K.</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700"/>
          </w:cols>
          <w:pgMar w:left="820" w:top="1251" w:right="72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(b) Trading Plans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During the quarter ended February 3, 2024, the following trading plan(s) intended to satisfy the affirmative defense conditions of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Rule 10b5-1(c) that are required to be disclosed under Item 408 of Regulation S-K was/were adopted or terminated:</w:t>
      </w:r>
    </w:p>
    <w:p>
      <w:pPr>
        <w:sectPr>
          <w:pgSz w:w="12240" w:h="15840" w:orient="portrait"/>
          <w:cols w:equalWidth="0" w:num="1">
            <w:col w:w="10680"/>
          </w:cols>
          <w:pgMar w:left="820" w:top="1011" w:right="740" w:bottom="0" w:gutter="0" w:footer="0" w:header="0"/>
        </w:sect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6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Date Plan</w:t>
            </w:r>
          </w:p>
        </w:tc>
        <w:tc>
          <w:tcPr>
            <w:tcW w:w="60" w:type="dxa"/>
            <w:vAlign w:val="bottom"/>
          </w:tcPr>
          <w:p>
            <w:pPr>
              <w:spacing w:after="0"/>
              <w:rPr>
                <w:sz w:val="19"/>
                <w:szCs w:val="19"/>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Duration of Plan</w:t>
            </w:r>
          </w:p>
        </w:tc>
        <w:tc>
          <w:tcPr>
            <w:tcW w:w="60" w:type="dxa"/>
            <w:vAlign w:val="bottom"/>
          </w:tcPr>
          <w:p>
            <w:pPr>
              <w:spacing w:after="0"/>
              <w:rPr>
                <w:sz w:val="19"/>
                <w:szCs w:val="19"/>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Common Shares to be</w:t>
            </w:r>
          </w:p>
        </w:tc>
        <w:tc>
          <w:tcPr>
            <w:tcW w:w="0" w:type="dxa"/>
            <w:vAlign w:val="bottom"/>
          </w:tcPr>
          <w:p>
            <w:pPr>
              <w:spacing w:after="0"/>
              <w:rPr>
                <w:sz w:val="1"/>
                <w:szCs w:val="1"/>
                <w:color w:val="auto"/>
              </w:rPr>
            </w:pPr>
          </w:p>
        </w:tc>
      </w:tr>
      <w:tr>
        <w:trPr>
          <w:trHeight w:val="263"/>
        </w:trPr>
        <w:tc>
          <w:tcPr>
            <w:tcW w:w="13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Adopted/Terminated</w:t>
            </w:r>
          </w:p>
        </w:tc>
        <w:tc>
          <w:tcPr>
            <w:tcW w:w="60" w:type="dxa"/>
            <w:vAlign w:val="bottom"/>
          </w:tcPr>
          <w:p>
            <w:pPr>
              <w:spacing w:after="0"/>
              <w:rPr>
                <w:sz w:val="22"/>
                <w:szCs w:val="22"/>
                <w:color w:val="auto"/>
              </w:rPr>
            </w:pPr>
          </w:p>
        </w:tc>
        <w:tc>
          <w:tcPr>
            <w:tcW w:w="16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b w:val="1"/>
                <w:bCs w:val="1"/>
                <w:color w:val="auto"/>
              </w:rPr>
              <w:t>Purchased or Sold</w:t>
            </w:r>
          </w:p>
        </w:tc>
        <w:tc>
          <w:tcPr>
            <w:tcW w:w="0" w:type="dxa"/>
            <w:vAlign w:val="bottom"/>
          </w:tcPr>
          <w:p>
            <w:pPr>
              <w:spacing w:after="0"/>
              <w:rPr>
                <w:sz w:val="1"/>
                <w:szCs w:val="1"/>
                <w:color w:val="auto"/>
              </w:rPr>
            </w:pPr>
          </w:p>
        </w:tc>
      </w:tr>
      <w:tr>
        <w:trPr>
          <w:trHeight w:val="204"/>
        </w:trPr>
        <w:tc>
          <w:tcPr>
            <w:tcW w:w="132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auto"/>
                <w:w w:val="99"/>
              </w:rPr>
              <w:t>Jeff C. Tweedy</w:t>
            </w:r>
          </w:p>
        </w:tc>
        <w:tc>
          <w:tcPr>
            <w:tcW w:w="60" w:type="dxa"/>
            <w:vAlign w:val="bottom"/>
          </w:tcPr>
          <w:p>
            <w:pPr>
              <w:spacing w:after="0"/>
              <w:rPr>
                <w:sz w:val="17"/>
                <w:szCs w:val="17"/>
                <w:color w:val="auto"/>
              </w:rPr>
            </w:pPr>
          </w:p>
        </w:tc>
        <w:tc>
          <w:tcPr>
            <w:tcW w:w="78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17"/>
                <w:szCs w:val="17"/>
                <w:color w:val="auto"/>
              </w:rPr>
            </w:pPr>
          </w:p>
        </w:tc>
        <w:tc>
          <w:tcPr>
            <w:tcW w:w="226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auto"/>
                <w:w w:val="99"/>
              </w:rPr>
              <w:t>Adopted January 19, 2024</w:t>
            </w:r>
          </w:p>
        </w:tc>
        <w:tc>
          <w:tcPr>
            <w:tcW w:w="60" w:type="dxa"/>
            <w:vAlign w:val="bottom"/>
          </w:tcPr>
          <w:p>
            <w:pPr>
              <w:spacing w:after="0"/>
              <w:rPr>
                <w:sz w:val="17"/>
                <w:szCs w:val="17"/>
                <w:color w:val="auto"/>
              </w:rPr>
            </w:pPr>
          </w:p>
        </w:tc>
        <w:tc>
          <w:tcPr>
            <w:tcW w:w="1600" w:type="dxa"/>
            <w:vAlign w:val="bottom"/>
          </w:tcPr>
          <w:p>
            <w:pPr>
              <w:ind w:left="40"/>
              <w:spacing w:after="0" w:line="204" w:lineRule="exact"/>
              <w:rPr>
                <w:sz w:val="20"/>
                <w:szCs w:val="20"/>
                <w:color w:val="auto"/>
              </w:rPr>
            </w:pPr>
            <w:r>
              <w:rPr>
                <w:rFonts w:ascii="Times New Roman" w:cs="Times New Roman" w:eastAsia="Times New Roman" w:hAnsi="Times New Roman"/>
                <w:sz w:val="20"/>
                <w:szCs w:val="20"/>
                <w:color w:val="auto"/>
              </w:rPr>
              <w:t>April 19, 2024</w:t>
            </w:r>
          </w:p>
        </w:tc>
        <w:tc>
          <w:tcPr>
            <w:tcW w:w="60" w:type="dxa"/>
            <w:vAlign w:val="bottom"/>
          </w:tcPr>
          <w:p>
            <w:pPr>
              <w:spacing w:after="0"/>
              <w:rPr>
                <w:sz w:val="17"/>
                <w:szCs w:val="17"/>
                <w:color w:val="auto"/>
              </w:rPr>
            </w:pPr>
          </w:p>
        </w:tc>
        <w:tc>
          <w:tcPr>
            <w:tcW w:w="2160" w:type="dxa"/>
            <w:vAlign w:val="bottom"/>
          </w:tcPr>
          <w:p>
            <w:pPr>
              <w:ind w:left="60"/>
              <w:spacing w:after="0" w:line="204" w:lineRule="exact"/>
              <w:rPr>
                <w:sz w:val="20"/>
                <w:szCs w:val="20"/>
                <w:color w:val="auto"/>
              </w:rPr>
            </w:pPr>
            <w:r>
              <w:rPr>
                <w:rFonts w:ascii="Times New Roman" w:cs="Times New Roman" w:eastAsia="Times New Roman" w:hAnsi="Times New Roman"/>
                <w:sz w:val="20"/>
                <w:szCs w:val="20"/>
                <w:color w:val="auto"/>
              </w:rPr>
              <w:t>Sell up to 2,400 common</w:t>
            </w:r>
          </w:p>
        </w:tc>
        <w:tc>
          <w:tcPr>
            <w:tcW w:w="0" w:type="dxa"/>
            <w:vAlign w:val="bottom"/>
          </w:tcPr>
          <w:p>
            <w:pPr>
              <w:spacing w:after="0"/>
              <w:rPr>
                <w:sz w:val="1"/>
                <w:szCs w:val="1"/>
                <w:color w:val="auto"/>
              </w:rPr>
            </w:pPr>
          </w:p>
        </w:tc>
      </w:tr>
      <w:tr>
        <w:trPr>
          <w:trHeight w:val="200"/>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through December</w:t>
            </w:r>
          </w:p>
        </w:tc>
        <w:tc>
          <w:tcPr>
            <w:tcW w:w="60" w:type="dxa"/>
            <w:vAlign w:val="bottom"/>
          </w:tcPr>
          <w:p>
            <w:pPr>
              <w:spacing w:after="0"/>
              <w:rPr>
                <w:sz w:val="17"/>
                <w:szCs w:val="17"/>
                <w:color w:val="auto"/>
              </w:rPr>
            </w:pPr>
          </w:p>
        </w:tc>
        <w:tc>
          <w:tcPr>
            <w:tcW w:w="2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shares, subject to certain</w:t>
            </w:r>
          </w:p>
        </w:tc>
        <w:tc>
          <w:tcPr>
            <w:tcW w:w="0" w:type="dxa"/>
            <w:vAlign w:val="bottom"/>
          </w:tcPr>
          <w:p>
            <w:pPr>
              <w:spacing w:after="0"/>
              <w:rPr>
                <w:sz w:val="1"/>
                <w:szCs w:val="1"/>
                <w:color w:val="auto"/>
              </w:rPr>
            </w:pPr>
          </w:p>
        </w:tc>
      </w:tr>
      <w:tr>
        <w:trPr>
          <w:trHeight w:val="200"/>
        </w:trPr>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6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20"/>
                <w:szCs w:val="20"/>
                <w:color w:val="auto"/>
              </w:rPr>
              <w:t>31, 2024</w:t>
            </w:r>
          </w:p>
        </w:tc>
        <w:tc>
          <w:tcPr>
            <w:tcW w:w="60" w:type="dxa"/>
            <w:vAlign w:val="bottom"/>
          </w:tcPr>
          <w:p>
            <w:pPr>
              <w:spacing w:after="0"/>
              <w:rPr>
                <w:sz w:val="17"/>
                <w:szCs w:val="17"/>
                <w:color w:val="auto"/>
              </w:rPr>
            </w:pPr>
          </w:p>
        </w:tc>
        <w:tc>
          <w:tcPr>
            <w:tcW w:w="2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conditions set forth in the</w:t>
            </w:r>
          </w:p>
        </w:tc>
        <w:tc>
          <w:tcPr>
            <w:tcW w:w="0" w:type="dxa"/>
            <w:vAlign w:val="bottom"/>
          </w:tcPr>
          <w:p>
            <w:pPr>
              <w:spacing w:after="0"/>
              <w:rPr>
                <w:sz w:val="1"/>
                <w:szCs w:val="1"/>
                <w:color w:val="auto"/>
              </w:rPr>
            </w:pPr>
          </w:p>
        </w:tc>
      </w:tr>
      <w:tr>
        <w:trPr>
          <w:trHeight w:val="260"/>
        </w:trPr>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trading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-567055</wp:posOffset>
            </wp:positionV>
            <wp:extent cx="6816725" cy="720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6816725" cy="720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Comments</w:t>
      </w:r>
    </w:p>
    <w:p>
      <w:pPr>
        <w:spacing w:after="0" w:line="6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Mr. Tweedy's previously disclosed trading plan was completed pursuant to the terms set forth in that trading plan.</w:t>
      </w:r>
    </w:p>
    <w:p>
      <w:pPr>
        <w:spacing w:after="0" w:line="200" w:lineRule="exact"/>
        <w:rPr>
          <w:sz w:val="20"/>
          <w:szCs w:val="20"/>
          <w:color w:val="auto"/>
        </w:rPr>
      </w:pPr>
    </w:p>
    <w:p>
      <w:pPr>
        <w:sectPr>
          <w:pgSz w:w="12240" w:h="15840" w:orient="portrait"/>
          <w:cols w:equalWidth="0" w:num="2">
            <w:col w:w="8360" w:space="120"/>
            <w:col w:w="2200"/>
          </w:cols>
          <w:pgMar w:left="820" w:top="1011"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680"/>
          </w:cols>
          <w:pgMar w:left="820" w:top="1011" w:right="74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concerning our executive officers is set forth under the heading “Information about our Executive Officers” in Part I of this report. Further information required by this item will be included in our definitive proxy statement for the 2024 Annual Meeting of Stockholders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2024 Annual Meeting of Stockholders and is incorporated herein by reference.</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700"/>
          </w:cols>
          <w:pgMar w:left="820" w:top="1251" w:right="720" w:bottom="0" w:gutter="0" w:footer="0" w:header="0"/>
          <w:type w:val="continuous"/>
        </w:sectPr>
      </w:pPr>
    </w:p>
    <w:bookmarkStart w:id="73" w:name="page74"/>
    <w:bookmarkEnd w:id="73"/>
    <w:p>
      <w:pPr>
        <w:ind w:left="9"/>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57" w:lineRule="exact"/>
        <w:rPr>
          <w:sz w:val="20"/>
          <w:szCs w:val="20"/>
          <w:color w:val="auto"/>
        </w:rPr>
      </w:pPr>
    </w:p>
    <w:p>
      <w:pPr>
        <w:jc w:val="both"/>
        <w:ind w:left="9" w:right="100" w:firstLine="360"/>
        <w:spacing w:after="0" w:line="266" w:lineRule="auto"/>
        <w:rPr>
          <w:sz w:val="20"/>
          <w:szCs w:val="20"/>
          <w:color w:val="auto"/>
        </w:rPr>
      </w:pPr>
      <w:r>
        <w:rPr>
          <w:rFonts w:ascii="Times New Roman" w:cs="Times New Roman" w:eastAsia="Times New Roman" w:hAnsi="Times New Roman"/>
          <w:sz w:val="20"/>
          <w:szCs w:val="20"/>
          <w:color w:val="auto"/>
        </w:rPr>
        <w:t>The following table gives information about the Company's common stock that may be issued upon the exercise of options, warrants and rights under all of the Company's equity compensation plans as of February 3, 2024. The table includes the 2011 Unit Incentive Plan, the 2020 Omnibus Incentive Plan and the 2020 Employee Stock Purchase Plan.</w:t>
      </w:r>
    </w:p>
    <w:tbl>
      <w:tblPr>
        <w:tblLayout w:type="fixed"/>
        <w:tblInd w:w="9" w:type="dxa"/>
        <w:tblCellMar>
          <w:top w:w="0" w:type="dxa"/>
          <w:left w:w="0" w:type="dxa"/>
          <w:bottom w:w="0" w:type="dxa"/>
          <w:right w:w="0" w:type="dxa"/>
        </w:tblCellMar>
      </w:tblPr>
      <w:tr>
        <w:trPr>
          <w:trHeight w:val="227"/>
        </w:trPr>
        <w:tc>
          <w:tcPr>
            <w:tcW w:w="4060" w:type="dxa"/>
            <w:vAlign w:val="bottom"/>
          </w:tcPr>
          <w:p>
            <w:pPr>
              <w:spacing w:after="0"/>
              <w:rPr>
                <w:sz w:val="19"/>
                <w:szCs w:val="19"/>
                <w:color w:val="auto"/>
              </w:rPr>
            </w:pPr>
          </w:p>
        </w:tc>
        <w:tc>
          <w:tcPr>
            <w:tcW w:w="19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(a)</w:t>
            </w:r>
          </w:p>
        </w:tc>
        <w:tc>
          <w:tcPr>
            <w:tcW w:w="180" w:type="dxa"/>
            <w:vAlign w:val="bottom"/>
          </w:tcPr>
          <w:p>
            <w:pPr>
              <w:spacing w:after="0"/>
              <w:rPr>
                <w:sz w:val="19"/>
                <w:szCs w:val="19"/>
                <w:color w:val="auto"/>
              </w:rPr>
            </w:pPr>
          </w:p>
        </w:tc>
        <w:tc>
          <w:tcPr>
            <w:tcW w:w="1560" w:type="dxa"/>
            <w:vAlign w:val="bottom"/>
          </w:tcPr>
          <w:p>
            <w:pPr>
              <w:jc w:val="center"/>
              <w:ind w:right="60"/>
              <w:spacing w:after="0" w:line="228" w:lineRule="exact"/>
              <w:rPr>
                <w:sz w:val="20"/>
                <w:szCs w:val="20"/>
                <w:color w:val="auto"/>
              </w:rPr>
            </w:pPr>
            <w:r>
              <w:rPr>
                <w:rFonts w:ascii="Times New Roman" w:cs="Times New Roman" w:eastAsia="Times New Roman" w:hAnsi="Times New Roman"/>
                <w:sz w:val="20"/>
                <w:szCs w:val="20"/>
                <w:b w:val="1"/>
                <w:bCs w:val="1"/>
                <w:color w:val="auto"/>
                <w:w w:val="97"/>
              </w:rPr>
              <w:t>(b)</w:t>
            </w:r>
          </w:p>
        </w:tc>
        <w:tc>
          <w:tcPr>
            <w:tcW w:w="3100" w:type="dxa"/>
            <w:vAlign w:val="bottom"/>
          </w:tcPr>
          <w:p>
            <w:pPr>
              <w:jc w:val="center"/>
              <w:ind w:left="100"/>
              <w:spacing w:after="0" w:line="228" w:lineRule="exact"/>
              <w:rPr>
                <w:sz w:val="20"/>
                <w:szCs w:val="20"/>
                <w:color w:val="auto"/>
              </w:rPr>
            </w:pPr>
            <w:r>
              <w:rPr>
                <w:rFonts w:ascii="Times New Roman" w:cs="Times New Roman" w:eastAsia="Times New Roman" w:hAnsi="Times New Roman"/>
                <w:sz w:val="20"/>
                <w:szCs w:val="20"/>
                <w:b w:val="1"/>
                <w:bCs w:val="1"/>
                <w:color w:val="auto"/>
                <w:w w:val="98"/>
              </w:rPr>
              <w:t>(c)</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17"/>
                <w:szCs w:val="17"/>
                <w:color w:val="auto"/>
              </w:rPr>
            </w:pPr>
          </w:p>
        </w:tc>
        <w:tc>
          <w:tcPr>
            <w:tcW w:w="19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Number of securities</w:t>
            </w:r>
          </w:p>
        </w:tc>
        <w:tc>
          <w:tcPr>
            <w:tcW w:w="17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Weighted average</w:t>
            </w:r>
          </w:p>
        </w:tc>
        <w:tc>
          <w:tcPr>
            <w:tcW w:w="3100" w:type="dxa"/>
            <w:vAlign w:val="bottom"/>
          </w:tcPr>
          <w:p>
            <w:pPr>
              <w:jc w:val="center"/>
              <w:ind w:left="100"/>
              <w:spacing w:after="0" w:line="200" w:lineRule="exact"/>
              <w:rPr>
                <w:sz w:val="20"/>
                <w:szCs w:val="20"/>
                <w:color w:val="auto"/>
              </w:rPr>
            </w:pPr>
            <w:r>
              <w:rPr>
                <w:rFonts w:ascii="Times New Roman" w:cs="Times New Roman" w:eastAsia="Times New Roman" w:hAnsi="Times New Roman"/>
                <w:sz w:val="20"/>
                <w:szCs w:val="20"/>
                <w:b w:val="1"/>
                <w:bCs w:val="1"/>
                <w:color w:val="auto"/>
                <w:w w:val="99"/>
              </w:rPr>
              <w:t>Number of securities remaining</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17"/>
                <w:szCs w:val="17"/>
                <w:color w:val="auto"/>
              </w:rPr>
            </w:pPr>
          </w:p>
        </w:tc>
        <w:tc>
          <w:tcPr>
            <w:tcW w:w="19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to be issued upon</w:t>
            </w:r>
          </w:p>
        </w:tc>
        <w:tc>
          <w:tcPr>
            <w:tcW w:w="180" w:type="dxa"/>
            <w:vAlign w:val="bottom"/>
          </w:tcPr>
          <w:p>
            <w:pPr>
              <w:spacing w:after="0"/>
              <w:rPr>
                <w:sz w:val="17"/>
                <w:szCs w:val="17"/>
                <w:color w:val="auto"/>
              </w:rPr>
            </w:pPr>
          </w:p>
        </w:tc>
        <w:tc>
          <w:tcPr>
            <w:tcW w:w="15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exercise price of</w:t>
            </w:r>
          </w:p>
        </w:tc>
        <w:tc>
          <w:tcPr>
            <w:tcW w:w="3100" w:type="dxa"/>
            <w:vAlign w:val="bottom"/>
          </w:tcPr>
          <w:p>
            <w:pPr>
              <w:jc w:val="center"/>
              <w:ind w:left="120"/>
              <w:spacing w:after="0" w:line="200" w:lineRule="exact"/>
              <w:rPr>
                <w:sz w:val="20"/>
                <w:szCs w:val="20"/>
                <w:color w:val="auto"/>
              </w:rPr>
            </w:pPr>
            <w:r>
              <w:rPr>
                <w:rFonts w:ascii="Times New Roman" w:cs="Times New Roman" w:eastAsia="Times New Roman" w:hAnsi="Times New Roman"/>
                <w:sz w:val="20"/>
                <w:szCs w:val="20"/>
                <w:b w:val="1"/>
                <w:bCs w:val="1"/>
                <w:color w:val="auto"/>
                <w:w w:val="99"/>
              </w:rPr>
              <w:t>available for future issuance</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17"/>
                <w:szCs w:val="17"/>
                <w:color w:val="auto"/>
              </w:rPr>
            </w:pPr>
          </w:p>
        </w:tc>
        <w:tc>
          <w:tcPr>
            <w:tcW w:w="19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exercise of</w:t>
            </w:r>
          </w:p>
        </w:tc>
        <w:tc>
          <w:tcPr>
            <w:tcW w:w="180" w:type="dxa"/>
            <w:vAlign w:val="bottom"/>
          </w:tcPr>
          <w:p>
            <w:pPr>
              <w:spacing w:after="0"/>
              <w:rPr>
                <w:sz w:val="17"/>
                <w:szCs w:val="17"/>
                <w:color w:val="auto"/>
              </w:rPr>
            </w:pPr>
          </w:p>
        </w:tc>
        <w:tc>
          <w:tcPr>
            <w:tcW w:w="15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outstanding</w:t>
            </w:r>
          </w:p>
        </w:tc>
        <w:tc>
          <w:tcPr>
            <w:tcW w:w="3100" w:type="dxa"/>
            <w:vAlign w:val="bottom"/>
          </w:tcPr>
          <w:p>
            <w:pPr>
              <w:jc w:val="center"/>
              <w:ind w:left="120"/>
              <w:spacing w:after="0" w:line="200" w:lineRule="exact"/>
              <w:rPr>
                <w:sz w:val="20"/>
                <w:szCs w:val="20"/>
                <w:color w:val="auto"/>
              </w:rPr>
            </w:pPr>
            <w:r>
              <w:rPr>
                <w:rFonts w:ascii="Times New Roman" w:cs="Times New Roman" w:eastAsia="Times New Roman" w:hAnsi="Times New Roman"/>
                <w:sz w:val="20"/>
                <w:szCs w:val="20"/>
                <w:b w:val="1"/>
                <w:bCs w:val="1"/>
                <w:color w:val="auto"/>
                <w:w w:val="99"/>
              </w:rPr>
              <w:t>under equity compensation</w:t>
            </w:r>
          </w:p>
        </w:tc>
        <w:tc>
          <w:tcPr>
            <w:tcW w:w="0" w:type="dxa"/>
            <w:vAlign w:val="bottom"/>
          </w:tcPr>
          <w:p>
            <w:pPr>
              <w:spacing w:after="0"/>
              <w:rPr>
                <w:sz w:val="1"/>
                <w:szCs w:val="1"/>
                <w:color w:val="auto"/>
              </w:rPr>
            </w:pPr>
          </w:p>
        </w:tc>
      </w:tr>
      <w:tr>
        <w:trPr>
          <w:trHeight w:val="200"/>
        </w:trPr>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Plan Category</w:t>
            </w:r>
          </w:p>
        </w:tc>
        <w:tc>
          <w:tcPr>
            <w:tcW w:w="19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outstanding options,</w:t>
            </w:r>
          </w:p>
        </w:tc>
        <w:tc>
          <w:tcPr>
            <w:tcW w:w="17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options, warrants</w:t>
            </w:r>
          </w:p>
        </w:tc>
        <w:tc>
          <w:tcPr>
            <w:tcW w:w="3100" w:type="dxa"/>
            <w:vAlign w:val="bottom"/>
          </w:tcPr>
          <w:p>
            <w:pPr>
              <w:jc w:val="center"/>
              <w:ind w:left="120"/>
              <w:spacing w:after="0" w:line="200" w:lineRule="exact"/>
              <w:rPr>
                <w:sz w:val="20"/>
                <w:szCs w:val="20"/>
                <w:color w:val="auto"/>
              </w:rPr>
            </w:pPr>
            <w:r>
              <w:rPr>
                <w:rFonts w:ascii="Times New Roman" w:cs="Times New Roman" w:eastAsia="Times New Roman" w:hAnsi="Times New Roman"/>
                <w:sz w:val="20"/>
                <w:szCs w:val="20"/>
                <w:b w:val="1"/>
                <w:bCs w:val="1"/>
                <w:color w:val="auto"/>
                <w:w w:val="99"/>
              </w:rPr>
              <w:t>plans (excluding securities</w:t>
            </w:r>
          </w:p>
        </w:tc>
        <w:tc>
          <w:tcPr>
            <w:tcW w:w="0" w:type="dxa"/>
            <w:vAlign w:val="bottom"/>
          </w:tcPr>
          <w:p>
            <w:pPr>
              <w:spacing w:after="0"/>
              <w:rPr>
                <w:sz w:val="1"/>
                <w:szCs w:val="1"/>
                <w:color w:val="auto"/>
              </w:rPr>
            </w:pPr>
          </w:p>
        </w:tc>
      </w:tr>
      <w:tr>
        <w:trPr>
          <w:trHeight w:val="240"/>
        </w:trPr>
        <w:tc>
          <w:tcPr>
            <w:tcW w:w="4060" w:type="dxa"/>
            <w:vAlign w:val="bottom"/>
            <w:tcBorders>
              <w:bottom w:val="single" w:sz="8" w:color="auto"/>
            </w:tcBorders>
            <w:vMerge w:val="continue"/>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warrants and rights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and rights</w:t>
            </w:r>
          </w:p>
        </w:tc>
        <w:tc>
          <w:tcPr>
            <w:tcW w:w="31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20"/>
                <w:szCs w:val="20"/>
                <w:b w:val="1"/>
                <w:bCs w:val="1"/>
                <w:color w:val="auto"/>
              </w:rPr>
              <w:t>reflected in column (a))</w:t>
            </w:r>
          </w:p>
        </w:tc>
        <w:tc>
          <w:tcPr>
            <w:tcW w:w="0" w:type="dxa"/>
            <w:vAlign w:val="bottom"/>
          </w:tcPr>
          <w:p>
            <w:pPr>
              <w:spacing w:after="0"/>
              <w:rPr>
                <w:sz w:val="1"/>
                <w:szCs w:val="1"/>
                <w:color w:val="auto"/>
              </w:rPr>
            </w:pPr>
          </w:p>
        </w:tc>
      </w:tr>
      <w:tr>
        <w:trPr>
          <w:trHeight w:val="277"/>
        </w:trPr>
        <w:tc>
          <w:tcPr>
            <w:tcW w:w="4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Service-Based Stock Options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2,615,798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27.99</w:t>
            </w:r>
          </w:p>
        </w:tc>
        <w:tc>
          <w:tcPr>
            <w:tcW w:w="3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0"/>
        </w:trPr>
        <w:tc>
          <w:tcPr>
            <w:tcW w:w="4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Performance-Based Stock Options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122,562</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3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0"/>
        </w:trPr>
        <w:tc>
          <w:tcPr>
            <w:tcW w:w="4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Service-Based Restricted Stock Units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564,863</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3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0"/>
        </w:trPr>
        <w:tc>
          <w:tcPr>
            <w:tcW w:w="4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Performance-Based Restricted Stock Units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311,822</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3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3"/>
        </w:trPr>
        <w:tc>
          <w:tcPr>
            <w:tcW w:w="4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2020 Employee Stock Purchase Plan</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310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4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3,615,045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27.48</w:t>
            </w:r>
          </w:p>
        </w:tc>
        <w:tc>
          <w:tcPr>
            <w:tcW w:w="3100" w:type="dxa"/>
            <w:vAlign w:val="bottom"/>
          </w:tcPr>
          <w:p>
            <w:pPr>
              <w:jc w:val="right"/>
              <w:ind w:right="272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-1174115</wp:posOffset>
            </wp:positionV>
            <wp:extent cx="6883400" cy="1181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6883400" cy="1181100"/>
                    </a:xfrm>
                    <a:prstGeom prst="rect">
                      <a:avLst/>
                    </a:prstGeom>
                    <a:noFill/>
                  </pic:spPr>
                </pic:pic>
              </a:graphicData>
            </a:graphic>
          </wp:anchor>
        </w:drawing>
      </w:r>
    </w:p>
    <w:p>
      <w:pPr>
        <w:spacing w:after="0" w:line="60" w:lineRule="exact"/>
        <w:rPr>
          <w:sz w:val="20"/>
          <w:szCs w:val="20"/>
          <w:color w:val="auto"/>
        </w:rPr>
      </w:pPr>
    </w:p>
    <w:p>
      <w:pPr>
        <w:jc w:val="both"/>
        <w:ind w:left="9" w:right="100" w:hanging="9"/>
        <w:spacing w:after="0" w:line="261" w:lineRule="auto"/>
        <w:tabs>
          <w:tab w:leader="none" w:pos="24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plans listed above, only 2020 Omnibus Incentive Plan and the 2020 Employee Stock Purchase Plan allows for future grants of securities. The maximum number of shares that may be granted under the 2020 Omnibus Incentive Plan (inclusive of unissued shares that were carried over from the 2011 Unit Incentive Plan) is approximately 5,738,738. Stock options and restricted stock units are counted on a one-for-one basis. Total shares available for future issuance under the 2020 Omnibus Incentive Plan is 4,534,051. The total shares available for issuance under the 2020 Employee Stock Purchase Plan is 1,593,760.</w:t>
      </w:r>
    </w:p>
    <w:p>
      <w:pPr>
        <w:spacing w:after="0" w:line="27" w:lineRule="exact"/>
        <w:rPr>
          <w:rFonts w:ascii="Times New Roman" w:cs="Times New Roman" w:eastAsia="Times New Roman" w:hAnsi="Times New Roman"/>
          <w:sz w:val="16"/>
          <w:szCs w:val="16"/>
          <w:color w:val="auto"/>
        </w:rPr>
      </w:pPr>
    </w:p>
    <w:p>
      <w:pPr>
        <w:ind w:left="229" w:hanging="229"/>
        <w:spacing w:after="0"/>
        <w:tabs>
          <w:tab w:leader="none" w:pos="22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exercise price of outstanding options only.</w:t>
      </w:r>
    </w:p>
    <w:p>
      <w:pPr>
        <w:spacing w:after="0" w:line="236" w:lineRule="exact"/>
        <w:rPr>
          <w:sz w:val="20"/>
          <w:szCs w:val="20"/>
          <w:color w:val="auto"/>
        </w:rPr>
      </w:pPr>
    </w:p>
    <w:p>
      <w:pPr>
        <w:ind w:left="9" w:right="100" w:firstLine="360"/>
        <w:spacing w:after="0" w:line="281" w:lineRule="auto"/>
        <w:rPr>
          <w:sz w:val="20"/>
          <w:szCs w:val="20"/>
          <w:color w:val="auto"/>
        </w:rPr>
      </w:pPr>
      <w:r>
        <w:rPr>
          <w:rFonts w:ascii="Times New Roman" w:cs="Times New Roman" w:eastAsia="Times New Roman" w:hAnsi="Times New Roman"/>
          <w:sz w:val="20"/>
          <w:szCs w:val="20"/>
          <w:color w:val="auto"/>
        </w:rPr>
        <w:t>Additional information required by this item will be included in our definitive proxy statement for the 2024 Annual Meeting of Stockholders and is incorporated herein by reference.</w:t>
      </w:r>
    </w:p>
    <w:p>
      <w:pPr>
        <w:spacing w:after="0" w:line="200" w:lineRule="exact"/>
        <w:rPr>
          <w:sz w:val="20"/>
          <w:szCs w:val="20"/>
          <w:color w:val="auto"/>
        </w:rPr>
      </w:pPr>
    </w:p>
    <w:p>
      <w:pPr>
        <w:spacing w:after="0" w:line="2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ind w:left="9" w:right="100" w:firstLine="360"/>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2024 Annual Meeting of Stockholders and is incorporated herein by reference.</w:t>
      </w:r>
    </w:p>
    <w:p>
      <w:pPr>
        <w:spacing w:after="0" w:line="200" w:lineRule="exact"/>
        <w:rPr>
          <w:sz w:val="20"/>
          <w:szCs w:val="20"/>
          <w:color w:val="auto"/>
        </w:rPr>
      </w:pPr>
    </w:p>
    <w:p>
      <w:pPr>
        <w:spacing w:after="0" w:line="2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7" w:lineRule="exact"/>
        <w:rPr>
          <w:sz w:val="20"/>
          <w:szCs w:val="20"/>
          <w:color w:val="auto"/>
        </w:rPr>
      </w:pPr>
    </w:p>
    <w:p>
      <w:pPr>
        <w:ind w:left="9" w:right="100" w:firstLine="360"/>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2024 Annual Meeting of Stockholders and is incorporated herein by reference.</w:t>
      </w:r>
    </w:p>
    <w:p>
      <w:pPr>
        <w:sectPr>
          <w:pgSz w:w="12240" w:h="15840" w:orient="portrait"/>
          <w:cols w:equalWidth="0" w:num="1">
            <w:col w:w="10809"/>
          </w:cols>
          <w:pgMar w:left="811" w:top="1251"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809"/>
          </w:cols>
          <w:pgMar w:left="811" w:top="1251" w:right="620" w:bottom="0" w:gutter="0" w:footer="0" w:header="0"/>
          <w:type w:val="continuous"/>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92" w:lineRule="exact"/>
        <w:rPr>
          <w:sz w:val="20"/>
          <w:szCs w:val="20"/>
          <w:color w:val="auto"/>
        </w:rPr>
      </w:pPr>
    </w:p>
    <w:p>
      <w:pPr>
        <w:ind w:left="380" w:hanging="337"/>
        <w:spacing w:after="0"/>
        <w:tabs>
          <w:tab w:leader="none" w:pos="3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 on Form 10-K:</w:t>
      </w:r>
    </w:p>
    <w:p>
      <w:pPr>
        <w:spacing w:after="0" w:line="70" w:lineRule="exact"/>
        <w:rPr>
          <w:rFonts w:ascii="Times New Roman" w:cs="Times New Roman" w:eastAsia="Times New Roman" w:hAnsi="Times New Roman"/>
          <w:sz w:val="20"/>
          <w:szCs w:val="20"/>
          <w:color w:val="auto"/>
        </w:rPr>
      </w:pPr>
    </w:p>
    <w:p>
      <w:pPr>
        <w:ind w:left="920" w:right="400" w:hanging="532"/>
        <w:spacing w:after="0"/>
        <w:tabs>
          <w:tab w:leader="none" w:pos="92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The consolidated Financial Statements required to be filed hereunder are listed in the Index to Consolidated Financial Statements on page 70 of this Annual Report on Form 10-K.</w:t>
      </w:r>
    </w:p>
    <w:p>
      <w:pPr>
        <w:spacing w:after="0" w:line="140" w:lineRule="exact"/>
        <w:rPr>
          <w:rFonts w:ascii="Times New Roman" w:cs="Times New Roman" w:eastAsia="Times New Roman" w:hAnsi="Times New Roman"/>
          <w:sz w:val="20"/>
          <w:szCs w:val="20"/>
          <w:color w:val="auto"/>
        </w:rPr>
      </w:pPr>
    </w:p>
    <w:p>
      <w:pPr>
        <w:jc w:val="both"/>
        <w:ind w:left="920" w:hanging="532"/>
        <w:spacing w:after="0" w:line="229" w:lineRule="auto"/>
        <w:tabs>
          <w:tab w:leader="none" w:pos="92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 The consolidated financial statement schedule to be filed hereunder is included on page 113 of this Annual Report on Form 10-K. Other schedules have not been included because they are not applicable or because the information is included elsewhere in this report.</w:t>
      </w:r>
    </w:p>
    <w:p>
      <w:pPr>
        <w:spacing w:after="0" w:line="136" w:lineRule="exact"/>
        <w:rPr>
          <w:rFonts w:ascii="Times New Roman" w:cs="Times New Roman" w:eastAsia="Times New Roman" w:hAnsi="Times New Roman"/>
          <w:sz w:val="20"/>
          <w:szCs w:val="20"/>
          <w:color w:val="auto"/>
        </w:rPr>
      </w:pPr>
    </w:p>
    <w:p>
      <w:pPr>
        <w:ind w:left="920" w:right="40" w:hanging="532"/>
        <w:spacing w:after="0" w:line="224" w:lineRule="auto"/>
        <w:tabs>
          <w:tab w:leader="none" w:pos="92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Index to Exhibits, which appears on pages 107 to 111 and is incorporated herein by reference, are filed as part of this Annual Report on Form 10-K. Certain Exhibits are incorporated by reference from documents previously filed by the Company with the SEC pursuant to Rule 12b-32 under the Securities Exchange Act of 1934, as amended.</w:t>
      </w:r>
    </w:p>
    <w:p>
      <w:pPr>
        <w:sectPr>
          <w:pgSz w:w="12240" w:h="15840" w:orient="portrait"/>
          <w:cols w:equalWidth="0" w:num="1">
            <w:col w:w="10640"/>
          </w:cols>
          <w:pgMar w:left="820" w:top="101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640"/>
          </w:cols>
          <w:pgMar w:left="820" w:top="1011" w:right="780" w:bottom="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64"/>
        </w:trPr>
        <w:tc>
          <w:tcPr>
            <w:tcW w:w="9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400" w:type="dxa"/>
            <w:vAlign w:val="bottom"/>
          </w:tcPr>
          <w:p>
            <w:pPr>
              <w:spacing w:after="0"/>
              <w:rPr>
                <w:sz w:val="22"/>
                <w:szCs w:val="22"/>
                <w:color w:val="auto"/>
              </w:rPr>
            </w:pPr>
          </w:p>
        </w:tc>
      </w:tr>
      <w:tr>
        <w:trPr>
          <w:trHeight w:val="590"/>
        </w:trPr>
        <w:tc>
          <w:tcPr>
            <w:tcW w:w="930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77"/>
        </w:trPr>
        <w:tc>
          <w:tcPr>
            <w:tcW w:w="9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No. 34)</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71</w:t>
            </w:r>
          </w:p>
        </w:tc>
      </w:tr>
      <w:tr>
        <w:trPr>
          <w:trHeight w:val="300"/>
        </w:trPr>
        <w:tc>
          <w:tcPr>
            <w:tcW w:w="9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Consolidated Balance Sheets as of February 3, 2024 and January 28, 2023</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w:t>
            </w:r>
          </w:p>
        </w:tc>
      </w:tr>
      <w:tr>
        <w:trPr>
          <w:trHeight w:val="227"/>
        </w:trPr>
        <w:tc>
          <w:tcPr>
            <w:tcW w:w="93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auto"/>
              </w:rPr>
              <w:t>Consolidated Statements of Income for the fiscal years ended February 3, 2024, January 28, 2023 and January 29,</w:t>
            </w:r>
          </w:p>
        </w:tc>
        <w:tc>
          <w:tcPr>
            <w:tcW w:w="1400" w:type="dxa"/>
            <w:vAlign w:val="bottom"/>
          </w:tcPr>
          <w:p>
            <w:pPr>
              <w:spacing w:after="0"/>
              <w:rPr>
                <w:sz w:val="19"/>
                <w:szCs w:val="19"/>
                <w:color w:val="auto"/>
              </w:rPr>
            </w:pPr>
          </w:p>
        </w:tc>
      </w:tr>
      <w:tr>
        <w:trPr>
          <w:trHeight w:val="268"/>
        </w:trPr>
        <w:tc>
          <w:tcPr>
            <w:tcW w:w="9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2022</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74</w:t>
            </w:r>
          </w:p>
        </w:tc>
      </w:tr>
      <w:tr>
        <w:trPr>
          <w:trHeight w:val="227"/>
        </w:trPr>
        <w:tc>
          <w:tcPr>
            <w:tcW w:w="93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auto"/>
              </w:rPr>
              <w:t>Consolidated Statements of Comprehensive Income for the fiscal years ended February 3, 2024, January 28, 2023</w:t>
            </w:r>
          </w:p>
        </w:tc>
        <w:tc>
          <w:tcPr>
            <w:tcW w:w="1400" w:type="dxa"/>
            <w:vAlign w:val="bottom"/>
          </w:tcPr>
          <w:p>
            <w:pPr>
              <w:spacing w:after="0"/>
              <w:rPr>
                <w:sz w:val="19"/>
                <w:szCs w:val="19"/>
                <w:color w:val="auto"/>
              </w:rPr>
            </w:pPr>
          </w:p>
        </w:tc>
      </w:tr>
      <w:tr>
        <w:trPr>
          <w:trHeight w:val="268"/>
        </w:trPr>
        <w:tc>
          <w:tcPr>
            <w:tcW w:w="9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and January 29, 2022</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r>
      <w:tr>
        <w:trPr>
          <w:trHeight w:val="227"/>
        </w:trPr>
        <w:tc>
          <w:tcPr>
            <w:tcW w:w="93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auto"/>
              </w:rPr>
              <w:t>Consolidated Statements of Stockholders' Equity for the fiscal years ended February 3, 2024, January 28, 2023</w:t>
            </w:r>
          </w:p>
        </w:tc>
        <w:tc>
          <w:tcPr>
            <w:tcW w:w="1400" w:type="dxa"/>
            <w:vAlign w:val="bottom"/>
          </w:tcPr>
          <w:p>
            <w:pPr>
              <w:spacing w:after="0"/>
              <w:rPr>
                <w:sz w:val="19"/>
                <w:szCs w:val="19"/>
                <w:color w:val="auto"/>
              </w:rPr>
            </w:pPr>
          </w:p>
        </w:tc>
      </w:tr>
      <w:tr>
        <w:trPr>
          <w:trHeight w:val="268"/>
        </w:trPr>
        <w:tc>
          <w:tcPr>
            <w:tcW w:w="9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and January 29, 2022</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76</w:t>
            </w:r>
          </w:p>
        </w:tc>
      </w:tr>
      <w:tr>
        <w:trPr>
          <w:trHeight w:val="227"/>
        </w:trPr>
        <w:tc>
          <w:tcPr>
            <w:tcW w:w="93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auto"/>
              </w:rPr>
              <w:t>Consolidated Statements of Cash Flows for the fiscal years ended February 3, 2024, January 28, 2023 and January</w:t>
            </w:r>
          </w:p>
        </w:tc>
        <w:tc>
          <w:tcPr>
            <w:tcW w:w="1400" w:type="dxa"/>
            <w:vAlign w:val="bottom"/>
          </w:tcPr>
          <w:p>
            <w:pPr>
              <w:spacing w:after="0"/>
              <w:rPr>
                <w:sz w:val="19"/>
                <w:szCs w:val="19"/>
                <w:color w:val="auto"/>
              </w:rPr>
            </w:pPr>
          </w:p>
        </w:tc>
      </w:tr>
      <w:tr>
        <w:trPr>
          <w:trHeight w:val="268"/>
        </w:trPr>
        <w:tc>
          <w:tcPr>
            <w:tcW w:w="9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29, 2022</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77</w:t>
            </w:r>
          </w:p>
        </w:tc>
      </w:tr>
      <w:tr>
        <w:trPr>
          <w:trHeight w:val="300"/>
        </w:trPr>
        <w:tc>
          <w:tcPr>
            <w:tcW w:w="9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-1832610</wp:posOffset>
            </wp:positionV>
            <wp:extent cx="6826250" cy="1854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6826250" cy="1854200"/>
                    </a:xfrm>
                    <a:prstGeom prst="rect">
                      <a:avLst/>
                    </a:prstGeom>
                    <a:noFill/>
                  </pic:spPr>
                </pic:pic>
              </a:graphicData>
            </a:graphic>
          </wp:anchor>
        </w:drawing>
      </w:r>
    </w:p>
    <w:p>
      <w:pPr>
        <w:sectPr>
          <w:pgSz w:w="12240" w:h="15840" w:orient="portrait"/>
          <w:cols w:equalWidth="0" w:num="1">
            <w:col w:w="10700"/>
          </w:cols>
          <w:pgMar w:left="820" w:top="101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700"/>
          </w:cols>
          <w:pgMar w:left="820" w:top="1011" w:right="72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Academy Sports and Outdoors,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Academy Sports and Outdoors, Inc. and subsidiaries (the "Company") as of February 3, 2024 and January 28, 2023, the related consolidated statements of income, comprehensive income, stockholders' equity, and cash flows, for each of the three years in the period ended February 3, 2024, and the related notes and schedule listed in the Index at Item 15 (collectively referred to as the "financial statements"). In our opinion, the financial statements present fairly, in all material respects, the financial position of the Company as of February 3, 2024 and January 28, 2023, and the results of its operations and its cash flows for each of the three years in the period ended February 3, 2024, in conformity with accounting principles generally accepted in the United States of America.</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February 3, 2024, based on criteria established in </w:t>
      </w:r>
      <w:r>
        <w:rPr>
          <w:rFonts w:ascii="Times New Roman" w:cs="Times New Roman" w:eastAsia="Times New Roman" w:hAnsi="Times New Roman"/>
          <w:sz w:val="20"/>
          <w:szCs w:val="20"/>
          <w:b w:val="1"/>
          <w:bCs w:val="1"/>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report dated March 21, 2024 expressed an unqualified opinion on the Company's internal control over financial reporting.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10700"/>
          </w:cols>
          <w:pgMar w:left="820" w:top="12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700"/>
          </w:cols>
          <w:pgMar w:left="820" w:top="1251" w:right="72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described in Note 14 of the Consolidated Financial Statements, as of February 3, 2024, the Company is involved in a regulatory matter with the U.S. Customs and Border Protection Agency (“CBP”) regarding additional duties relating to certain products that the Company imported from China which CBP believes are subject to certain anti-dumping and/or countervailing duties, as well as a legal matter regarding payment card interchange fees charged by financial institutions (the defendants) to the Company (the plaintiff). The Company records a liability for legal proceedings and regulatory matters when management determines it is probable that a loss has been incurred and the amount of the loss can be reasonably estimated. The Company also discloses when it is reasonably possible that a material loss may be incurred. In assessing the probability of occurrence and whether an estimate of loss can be reasonably estimated for a particular legal proceeding, management exercises judgment on matters relevant to each proceeding, such as whether sufficient participation in settlement proceedings will occur, or whether it can predict the number of claims that may be filed. Similarly, the Company will record a contingency that might result in a gain when it is the plaintiff, when the gain is realized or realizable. Auditing management's accounting for, and disclosure of, contingencies was complex and highly judgmental as it involved our assessment of the significant judgments made by management when assessing the probability of occurrence for loss contingencies, determining whether an estimate of the amount of contingencies could be made, and assessing whether a gain contingency was realized or realizable.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management’s judgment included the following, among others:</w:t>
      </w:r>
    </w:p>
    <w:p>
      <w:pPr>
        <w:spacing w:after="0" w:line="70" w:lineRule="exact"/>
        <w:rPr>
          <w:sz w:val="20"/>
          <w:szCs w:val="20"/>
          <w:color w:val="auto"/>
        </w:rPr>
      </w:pPr>
    </w:p>
    <w:p>
      <w:pPr>
        <w:ind w:left="720" w:hanging="370"/>
        <w:spacing w:after="0" w:line="28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over management’s identification, monitoring and evaluation of contingencies.</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read documents provided to the Company by outside legal counsel, read letters received directly by us from internal and outside legal counsel, and evaluated the current status of contingencies based on discussions with internal and outside legal counsel.</w:t>
      </w:r>
    </w:p>
    <w:p>
      <w:pPr>
        <w:spacing w:after="0" w:line="1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inspected minutes of the meetings of the Board of Directors and committees of the Board of Directors to search for any contradictory evidence, which may indicate that the accounting and disclosures for contingencies might not be appropriate.</w:t>
      </w:r>
    </w:p>
    <w:p>
      <w:pPr>
        <w:spacing w:after="0" w:line="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made inquiries of management, including the Company’s internal legal counsel, regarding the status of these contingencies and whether any settlement discussions had been held.</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96" w:lineRule="auto"/>
        <w:tabs>
          <w:tab w:leader="none" w:pos="72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management's assumptions and calculations by, among other things, comparing those assumptions to underlying legal documents and to payments made during the year. We also assessed the adequacy of the related disclosures.</w:t>
      </w:r>
    </w:p>
    <w:p>
      <w:pPr>
        <w:spacing w:after="0" w:line="1" w:lineRule="exact"/>
        <w:rPr>
          <w:rFonts w:ascii="Times New Roman" w:cs="Times New Roman" w:eastAsia="Times New Roman" w:hAnsi="Times New Roman"/>
          <w:sz w:val="19"/>
          <w:szCs w:val="19"/>
          <w:color w:val="auto"/>
        </w:rPr>
      </w:pPr>
    </w:p>
    <w:p>
      <w:pPr>
        <w:ind w:left="720" w:hanging="370"/>
        <w:spacing w:after="0" w:line="281"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amounts of the gain contingency realizable as of year end, including consideration of any contrary evidence for events subsequent to year end.</w:t>
      </w:r>
    </w:p>
    <w:p>
      <w:pPr>
        <w:spacing w:after="0" w:line="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professionals in our firm having experience in accounting for contingencies, we evaluated the reasonableness of the judgements and accounting guidance utilized by the Company to record the gain contingency that was realizable as of year end.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rPr>
          <w:sz w:val="20"/>
          <w:szCs w:val="20"/>
          <w:color w:val="auto"/>
        </w:rPr>
      </w:pPr>
      <w:r>
        <w:rPr>
          <w:rFonts w:ascii="Times New Roman" w:cs="Times New Roman" w:eastAsia="Times New Roman" w:hAnsi="Times New Roman"/>
          <w:sz w:val="20"/>
          <w:szCs w:val="20"/>
          <w:color w:val="auto"/>
        </w:rPr>
        <w:t>March 21,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1996.</w:t>
      </w:r>
    </w:p>
    <w:p>
      <w:pPr>
        <w:sectPr>
          <w:pgSz w:w="12240" w:h="15840" w:orient="portrait"/>
          <w:cols w:equalWidth="0" w:num="1">
            <w:col w:w="10700"/>
          </w:cols>
          <w:pgMar w:left="820" w:top="101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700"/>
          </w:cols>
          <w:pgMar w:left="820" w:top="1014" w:right="720" w:bottom="0" w:gutter="0" w:footer="0" w:header="0"/>
          <w:type w:val="continuous"/>
        </w:sectPr>
      </w:pPr>
    </w:p>
    <w:bookmarkStart w:id="78" w:name="page79"/>
    <w:bookmarkEnd w:id="7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 amounts in thousands, except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28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0" w:type="dxa"/>
            <w:vAlign w:val="bottom"/>
          </w:tcPr>
          <w:p>
            <w:pPr>
              <w:spacing w:after="0"/>
              <w:rPr>
                <w:sz w:val="1"/>
                <w:szCs w:val="1"/>
                <w:color w:val="auto"/>
              </w:rPr>
            </w:pPr>
          </w:p>
        </w:tc>
      </w:tr>
      <w:tr>
        <w:trPr>
          <w:trHeight w:val="262"/>
        </w:trPr>
        <w:tc>
          <w:tcPr>
            <w:tcW w:w="7280" w:type="dxa"/>
            <w:vAlign w:val="bottom"/>
          </w:tcPr>
          <w:p>
            <w:pPr>
              <w:ind w:left="32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347,920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337,145</w:t>
            </w:r>
          </w:p>
        </w:tc>
        <w:tc>
          <w:tcPr>
            <w:tcW w:w="0" w:type="dxa"/>
            <w:vAlign w:val="bottom"/>
          </w:tcPr>
          <w:p>
            <w:pPr>
              <w:spacing w:after="0"/>
              <w:rPr>
                <w:sz w:val="1"/>
                <w:szCs w:val="1"/>
                <w:color w:val="auto"/>
              </w:rPr>
            </w:pPr>
          </w:p>
        </w:tc>
      </w:tr>
      <w:tr>
        <w:trPr>
          <w:trHeight w:val="233"/>
        </w:trPr>
        <w:tc>
          <w:tcPr>
            <w:tcW w:w="72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receivable - less allowance for doubtful accounts of $2,217 and $2,004,</w:t>
            </w:r>
          </w:p>
        </w:tc>
        <w:tc>
          <w:tcPr>
            <w:tcW w:w="48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19,371</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16,503</w:t>
            </w:r>
          </w:p>
        </w:tc>
        <w:tc>
          <w:tcPr>
            <w:tcW w:w="0" w:type="dxa"/>
            <w:vAlign w:val="bottom"/>
          </w:tcPr>
          <w:p>
            <w:pPr>
              <w:spacing w:after="0"/>
              <w:rPr>
                <w:sz w:val="1"/>
                <w:szCs w:val="1"/>
                <w:color w:val="auto"/>
              </w:rPr>
            </w:pPr>
          </w:p>
        </w:tc>
      </w:tr>
      <w:tr>
        <w:trPr>
          <w:trHeight w:val="260"/>
        </w:trPr>
        <w:tc>
          <w:tcPr>
            <w:tcW w:w="72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respectively</w:t>
            </w:r>
          </w:p>
        </w:tc>
        <w:tc>
          <w:tcPr>
            <w:tcW w:w="48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7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Merchandise inventories, net</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1,194,159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1,283,517</w:t>
            </w:r>
          </w:p>
        </w:tc>
        <w:tc>
          <w:tcPr>
            <w:tcW w:w="0" w:type="dxa"/>
            <w:vAlign w:val="bottom"/>
          </w:tcPr>
          <w:p>
            <w:pPr>
              <w:spacing w:after="0"/>
              <w:rPr>
                <w:sz w:val="1"/>
                <w:szCs w:val="1"/>
                <w:color w:val="auto"/>
              </w:rPr>
            </w:pPr>
          </w:p>
        </w:tc>
      </w:tr>
      <w:tr>
        <w:trPr>
          <w:trHeight w:val="285"/>
        </w:trPr>
        <w:tc>
          <w:tcPr>
            <w:tcW w:w="7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83,450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47,747</w:t>
            </w:r>
          </w:p>
        </w:tc>
        <w:tc>
          <w:tcPr>
            <w:tcW w:w="0" w:type="dxa"/>
            <w:vAlign w:val="bottom"/>
          </w:tcPr>
          <w:p>
            <w:pPr>
              <w:spacing w:after="0"/>
              <w:rPr>
                <w:sz w:val="1"/>
                <w:szCs w:val="1"/>
                <w:color w:val="auto"/>
              </w:rPr>
            </w:pPr>
          </w:p>
        </w:tc>
      </w:tr>
      <w:tr>
        <w:trPr>
          <w:trHeight w:val="286"/>
        </w:trPr>
        <w:tc>
          <w:tcPr>
            <w:tcW w:w="7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Assets held for sale</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1,763</w:t>
            </w:r>
          </w:p>
        </w:tc>
        <w:tc>
          <w:tcPr>
            <w:tcW w:w="0" w:type="dxa"/>
            <w:vAlign w:val="bottom"/>
          </w:tcPr>
          <w:p>
            <w:pPr>
              <w:spacing w:after="0"/>
              <w:rPr>
                <w:sz w:val="1"/>
                <w:szCs w:val="1"/>
                <w:color w:val="auto"/>
              </w:rPr>
            </w:pPr>
          </w:p>
        </w:tc>
      </w:tr>
      <w:tr>
        <w:trPr>
          <w:trHeight w:val="264"/>
        </w:trPr>
        <w:tc>
          <w:tcPr>
            <w:tcW w:w="728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1,644,900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1,686,675</w:t>
            </w:r>
          </w:p>
        </w:tc>
        <w:tc>
          <w:tcPr>
            <w:tcW w:w="0" w:type="dxa"/>
            <w:vAlign w:val="bottom"/>
          </w:tcPr>
          <w:p>
            <w:pPr>
              <w:spacing w:after="0"/>
              <w:rPr>
                <w:sz w:val="1"/>
                <w:szCs w:val="1"/>
                <w:color w:val="auto"/>
              </w:rPr>
            </w:pPr>
          </w:p>
        </w:tc>
      </w:tr>
      <w:tr>
        <w:trPr>
          <w:trHeight w:val="449"/>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445,209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351,424</w:t>
            </w:r>
          </w:p>
        </w:tc>
        <w:tc>
          <w:tcPr>
            <w:tcW w:w="0" w:type="dxa"/>
            <w:vAlign w:val="bottom"/>
          </w:tcPr>
          <w:p>
            <w:pPr>
              <w:spacing w:after="0"/>
              <w:rPr>
                <w:sz w:val="1"/>
                <w:szCs w:val="1"/>
                <w:color w:val="auto"/>
              </w:rPr>
            </w:pPr>
          </w:p>
        </w:tc>
      </w:tr>
      <w:tr>
        <w:trPr>
          <w:trHeight w:val="285"/>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RIGHT-OF-USE ASSETS</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1,111,237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1,100,085</w:t>
            </w:r>
          </w:p>
        </w:tc>
        <w:tc>
          <w:tcPr>
            <w:tcW w:w="0" w:type="dxa"/>
            <w:vAlign w:val="bottom"/>
          </w:tcPr>
          <w:p>
            <w:pPr>
              <w:spacing w:after="0"/>
              <w:rPr>
                <w:sz w:val="1"/>
                <w:szCs w:val="1"/>
                <w:color w:val="auto"/>
              </w:rPr>
            </w:pPr>
          </w:p>
        </w:tc>
      </w:tr>
      <w:tr>
        <w:trPr>
          <w:trHeight w:val="285"/>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TRADE NAME</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578,236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577,716</w:t>
            </w:r>
          </w:p>
        </w:tc>
        <w:tc>
          <w:tcPr>
            <w:tcW w:w="0" w:type="dxa"/>
            <w:vAlign w:val="bottom"/>
          </w:tcPr>
          <w:p>
            <w:pPr>
              <w:spacing w:after="0"/>
              <w:rPr>
                <w:sz w:val="1"/>
                <w:szCs w:val="1"/>
                <w:color w:val="auto"/>
              </w:rPr>
            </w:pPr>
          </w:p>
        </w:tc>
      </w:tr>
      <w:tr>
        <w:trPr>
          <w:trHeight w:val="285"/>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GOODWILL</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861,920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861,920</w:t>
            </w:r>
          </w:p>
        </w:tc>
        <w:tc>
          <w:tcPr>
            <w:tcW w:w="0" w:type="dxa"/>
            <w:vAlign w:val="bottom"/>
          </w:tcPr>
          <w:p>
            <w:pPr>
              <w:spacing w:after="0"/>
              <w:rPr>
                <w:sz w:val="1"/>
                <w:szCs w:val="1"/>
                <w:color w:val="auto"/>
              </w:rPr>
            </w:pPr>
          </w:p>
        </w:tc>
      </w:tr>
      <w:tr>
        <w:trPr>
          <w:trHeight w:val="286"/>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NONCURRENT ASSETS</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35,211</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17,619</w:t>
            </w:r>
          </w:p>
        </w:tc>
        <w:tc>
          <w:tcPr>
            <w:tcW w:w="0" w:type="dxa"/>
            <w:vAlign w:val="bottom"/>
          </w:tcPr>
          <w:p>
            <w:pPr>
              <w:spacing w:after="0"/>
              <w:rPr>
                <w:sz w:val="1"/>
                <w:szCs w:val="1"/>
                <w:color w:val="auto"/>
              </w:rPr>
            </w:pPr>
          </w:p>
        </w:tc>
      </w:tr>
      <w:tr>
        <w:trPr>
          <w:trHeight w:val="245"/>
        </w:trPr>
        <w:tc>
          <w:tcPr>
            <w:tcW w:w="728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4,676,713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4,595,439</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144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2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2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541,077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686,472</w:t>
            </w:r>
          </w:p>
        </w:tc>
        <w:tc>
          <w:tcPr>
            <w:tcW w:w="0" w:type="dxa"/>
            <w:vAlign w:val="bottom"/>
          </w:tcPr>
          <w:p>
            <w:pPr>
              <w:spacing w:after="0"/>
              <w:rPr>
                <w:sz w:val="1"/>
                <w:szCs w:val="1"/>
                <w:color w:val="auto"/>
              </w:rPr>
            </w:pPr>
          </w:p>
        </w:tc>
      </w:tr>
      <w:tr>
        <w:trPr>
          <w:trHeight w:val="285"/>
        </w:trPr>
        <w:tc>
          <w:tcPr>
            <w:tcW w:w="72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217,932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240,169</w:t>
            </w:r>
          </w:p>
        </w:tc>
        <w:tc>
          <w:tcPr>
            <w:tcW w:w="0" w:type="dxa"/>
            <w:vAlign w:val="bottom"/>
          </w:tcPr>
          <w:p>
            <w:pPr>
              <w:spacing w:after="0"/>
              <w:rPr>
                <w:sz w:val="1"/>
                <w:szCs w:val="1"/>
                <w:color w:val="auto"/>
              </w:rPr>
            </w:pPr>
          </w:p>
        </w:tc>
      </w:tr>
      <w:tr>
        <w:trPr>
          <w:trHeight w:val="285"/>
        </w:trPr>
        <w:tc>
          <w:tcPr>
            <w:tcW w:w="72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lease liabilities</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117,849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109,075</w:t>
            </w:r>
          </w:p>
        </w:tc>
        <w:tc>
          <w:tcPr>
            <w:tcW w:w="0" w:type="dxa"/>
            <w:vAlign w:val="bottom"/>
          </w:tcPr>
          <w:p>
            <w:pPr>
              <w:spacing w:after="0"/>
              <w:rPr>
                <w:sz w:val="1"/>
                <w:szCs w:val="1"/>
                <w:color w:val="auto"/>
              </w:rPr>
            </w:pPr>
          </w:p>
        </w:tc>
      </w:tr>
      <w:tr>
        <w:trPr>
          <w:trHeight w:val="286"/>
        </w:trPr>
        <w:tc>
          <w:tcPr>
            <w:tcW w:w="72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maturities of long-term debt</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3,000</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0" w:type="dxa"/>
            <w:vAlign w:val="bottom"/>
          </w:tcPr>
          <w:p>
            <w:pPr>
              <w:spacing w:after="0"/>
              <w:rPr>
                <w:sz w:val="1"/>
                <w:szCs w:val="1"/>
                <w:color w:val="auto"/>
              </w:rPr>
            </w:pPr>
          </w:p>
        </w:tc>
      </w:tr>
      <w:tr>
        <w:trPr>
          <w:trHeight w:val="264"/>
        </w:trPr>
        <w:tc>
          <w:tcPr>
            <w:tcW w:w="728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879,858</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1,038,716</w:t>
            </w:r>
          </w:p>
        </w:tc>
        <w:tc>
          <w:tcPr>
            <w:tcW w:w="0" w:type="dxa"/>
            <w:vAlign w:val="bottom"/>
          </w:tcPr>
          <w:p>
            <w:pPr>
              <w:spacing w:after="0"/>
              <w:rPr>
                <w:sz w:val="1"/>
                <w:szCs w:val="1"/>
                <w:color w:val="auto"/>
              </w:rPr>
            </w:pPr>
          </w:p>
        </w:tc>
      </w:tr>
      <w:tr>
        <w:trPr>
          <w:trHeight w:val="449"/>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LONG-TERM DEBT, NET</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484,551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584,456</w:t>
            </w:r>
          </w:p>
        </w:tc>
        <w:tc>
          <w:tcPr>
            <w:tcW w:w="0" w:type="dxa"/>
            <w:vAlign w:val="bottom"/>
          </w:tcPr>
          <w:p>
            <w:pPr>
              <w:spacing w:after="0"/>
              <w:rPr>
                <w:sz w:val="1"/>
                <w:szCs w:val="1"/>
                <w:color w:val="auto"/>
              </w:rPr>
            </w:pPr>
          </w:p>
        </w:tc>
      </w:tr>
      <w:tr>
        <w:trPr>
          <w:trHeight w:val="285"/>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LONG-TERM LEASE LIABILITIES</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1,091,294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1,072,192</w:t>
            </w:r>
          </w:p>
        </w:tc>
        <w:tc>
          <w:tcPr>
            <w:tcW w:w="0" w:type="dxa"/>
            <w:vAlign w:val="bottom"/>
          </w:tcPr>
          <w:p>
            <w:pPr>
              <w:spacing w:after="0"/>
              <w:rPr>
                <w:sz w:val="1"/>
                <w:szCs w:val="1"/>
                <w:color w:val="auto"/>
              </w:rPr>
            </w:pPr>
          </w:p>
        </w:tc>
      </w:tr>
      <w:tr>
        <w:trPr>
          <w:trHeight w:val="285"/>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 NET</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254,796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259,043</w:t>
            </w:r>
          </w:p>
        </w:tc>
        <w:tc>
          <w:tcPr>
            <w:tcW w:w="0" w:type="dxa"/>
            <w:vAlign w:val="bottom"/>
          </w:tcPr>
          <w:p>
            <w:pPr>
              <w:spacing w:after="0"/>
              <w:rPr>
                <w:sz w:val="1"/>
                <w:szCs w:val="1"/>
                <w:color w:val="auto"/>
              </w:rPr>
            </w:pPr>
          </w:p>
        </w:tc>
      </w:tr>
      <w:tr>
        <w:trPr>
          <w:trHeight w:val="286"/>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LONG-TERM LIABILITIES</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11,564</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12,726</w:t>
            </w:r>
          </w:p>
        </w:tc>
        <w:tc>
          <w:tcPr>
            <w:tcW w:w="0" w:type="dxa"/>
            <w:vAlign w:val="bottom"/>
          </w:tcPr>
          <w:p>
            <w:pPr>
              <w:spacing w:after="0"/>
              <w:rPr>
                <w:sz w:val="1"/>
                <w:szCs w:val="1"/>
                <w:color w:val="auto"/>
              </w:rPr>
            </w:pPr>
          </w:p>
        </w:tc>
      </w:tr>
      <w:tr>
        <w:trPr>
          <w:trHeight w:val="265"/>
        </w:trPr>
        <w:tc>
          <w:tcPr>
            <w:tcW w:w="728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2,722,063</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2,967,133</w:t>
            </w:r>
          </w:p>
        </w:tc>
        <w:tc>
          <w:tcPr>
            <w:tcW w:w="0" w:type="dxa"/>
            <w:vAlign w:val="bottom"/>
          </w:tcPr>
          <w:p>
            <w:pPr>
              <w:spacing w:after="0"/>
              <w:rPr>
                <w:sz w:val="1"/>
                <w:szCs w:val="1"/>
                <w:color w:val="auto"/>
              </w:rPr>
            </w:pPr>
          </w:p>
        </w:tc>
      </w:tr>
      <w:tr>
        <w:trPr>
          <w:trHeight w:val="427"/>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COMMITMENTS AND CONTINGENCIES (NOTE 14)</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Preferred stock, $0.01 par value, authorized 50,000,000 shares; none issued and</w:t>
            </w:r>
          </w:p>
        </w:tc>
        <w:tc>
          <w:tcPr>
            <w:tcW w:w="48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outstanding</w:t>
            </w:r>
          </w:p>
        </w:tc>
        <w:tc>
          <w:tcPr>
            <w:tcW w:w="48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Common stock, $0.01 par value, authorized 300,000,000 shares; 74,349,927 and</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280" w:type="dxa"/>
            <w:vAlign w:val="bottom"/>
          </w:tcPr>
          <w:p>
            <w:pPr>
              <w:ind w:left="360"/>
              <w:spacing w:after="0" w:line="200" w:lineRule="exact"/>
              <w:rPr>
                <w:sz w:val="20"/>
                <w:szCs w:val="20"/>
                <w:color w:val="auto"/>
              </w:rPr>
            </w:pPr>
            <w:r>
              <w:rPr>
                <w:rFonts w:ascii="Times New Roman" w:cs="Times New Roman" w:eastAsia="Times New Roman" w:hAnsi="Times New Roman"/>
                <w:sz w:val="20"/>
                <w:szCs w:val="20"/>
                <w:color w:val="auto"/>
              </w:rPr>
              <w:t>76,711,720 issued and outstanding as of February 3, 2024 and January 28, 2023,</w:t>
            </w:r>
          </w:p>
        </w:tc>
        <w:tc>
          <w:tcPr>
            <w:tcW w:w="4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743</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767</w:t>
            </w:r>
          </w:p>
        </w:tc>
        <w:tc>
          <w:tcPr>
            <w:tcW w:w="0" w:type="dxa"/>
            <w:vAlign w:val="bottom"/>
          </w:tcPr>
          <w:p>
            <w:pPr>
              <w:spacing w:after="0"/>
              <w:rPr>
                <w:sz w:val="1"/>
                <w:szCs w:val="1"/>
                <w:color w:val="auto"/>
              </w:rPr>
            </w:pPr>
          </w:p>
        </w:tc>
      </w:tr>
      <w:tr>
        <w:trPr>
          <w:trHeight w:val="260"/>
        </w:trPr>
        <w:tc>
          <w:tcPr>
            <w:tcW w:w="7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respectively</w:t>
            </w:r>
          </w:p>
        </w:tc>
        <w:tc>
          <w:tcPr>
            <w:tcW w:w="48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7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242,098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216,209</w:t>
            </w:r>
          </w:p>
        </w:tc>
        <w:tc>
          <w:tcPr>
            <w:tcW w:w="0" w:type="dxa"/>
            <w:vAlign w:val="bottom"/>
          </w:tcPr>
          <w:p>
            <w:pPr>
              <w:spacing w:after="0"/>
              <w:rPr>
                <w:sz w:val="1"/>
                <w:szCs w:val="1"/>
                <w:color w:val="auto"/>
              </w:rPr>
            </w:pPr>
          </w:p>
        </w:tc>
      </w:tr>
      <w:tr>
        <w:trPr>
          <w:trHeight w:val="286"/>
        </w:trPr>
        <w:tc>
          <w:tcPr>
            <w:tcW w:w="7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Retained earnings</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1,711,809</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1,411,330</w:t>
            </w:r>
          </w:p>
        </w:tc>
        <w:tc>
          <w:tcPr>
            <w:tcW w:w="0" w:type="dxa"/>
            <w:vAlign w:val="bottom"/>
          </w:tcPr>
          <w:p>
            <w:pPr>
              <w:spacing w:after="0"/>
              <w:rPr>
                <w:sz w:val="1"/>
                <w:szCs w:val="1"/>
                <w:color w:val="auto"/>
              </w:rPr>
            </w:pPr>
          </w:p>
        </w:tc>
      </w:tr>
      <w:tr>
        <w:trPr>
          <w:trHeight w:val="265"/>
        </w:trPr>
        <w:tc>
          <w:tcPr>
            <w:tcW w:w="728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1,954,650</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1,628,306</w:t>
            </w:r>
          </w:p>
        </w:tc>
        <w:tc>
          <w:tcPr>
            <w:tcW w:w="0" w:type="dxa"/>
            <w:vAlign w:val="bottom"/>
          </w:tcPr>
          <w:p>
            <w:pPr>
              <w:spacing w:after="0"/>
              <w:rPr>
                <w:sz w:val="1"/>
                <w:szCs w:val="1"/>
                <w:color w:val="auto"/>
              </w:rPr>
            </w:pPr>
          </w:p>
        </w:tc>
      </w:tr>
      <w:tr>
        <w:trPr>
          <w:trHeight w:val="245"/>
        </w:trPr>
        <w:tc>
          <w:tcPr>
            <w:tcW w:w="728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4,676,713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4,595,439</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-7241540</wp:posOffset>
            </wp:positionV>
            <wp:extent cx="6883400" cy="7248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6883400" cy="7248525"/>
                    </a:xfrm>
                    <a:prstGeom prst="rect">
                      <a:avLst/>
                    </a:prstGeom>
                    <a:noFill/>
                  </pic:spPr>
                </pic:pic>
              </a:graphicData>
            </a:graphic>
          </wp:anchor>
        </w:drawing>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740"/>
          </w:cols>
          <w:pgMar w:left="780" w:top="74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740"/>
          </w:cols>
          <w:pgMar w:left="780" w:top="747" w:right="720" w:bottom="0" w:gutter="0" w:footer="0" w:header="0"/>
          <w:type w:val="continuous"/>
        </w:sectPr>
      </w:pPr>
    </w:p>
    <w:bookmarkStart w:id="79" w:name="page80"/>
    <w:bookmarkEnd w:id="79"/>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(Amounts in thousands, except per share data)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0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8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6,159,291</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6,395,073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6,773,128</w:t>
            </w:r>
          </w:p>
        </w:tc>
        <w:tc>
          <w:tcPr>
            <w:tcW w:w="0" w:type="dxa"/>
            <w:vAlign w:val="bottom"/>
          </w:tcPr>
          <w:p>
            <w:pPr>
              <w:spacing w:after="0"/>
              <w:rPr>
                <w:sz w:val="1"/>
                <w:szCs w:val="1"/>
                <w:color w:val="auto"/>
              </w:rPr>
            </w:pPr>
          </w:p>
        </w:tc>
      </w:tr>
      <w:tr>
        <w:trPr>
          <w:trHeight w:val="286"/>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4,049,080</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4,182,571</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4,422,033</w:t>
            </w:r>
          </w:p>
        </w:tc>
        <w:tc>
          <w:tcPr>
            <w:tcW w:w="0" w:type="dxa"/>
            <w:vAlign w:val="bottom"/>
          </w:tcPr>
          <w:p>
            <w:pPr>
              <w:spacing w:after="0"/>
              <w:rPr>
                <w:sz w:val="1"/>
                <w:szCs w:val="1"/>
                <w:color w:val="auto"/>
              </w:rPr>
            </w:pPr>
          </w:p>
        </w:tc>
      </w:tr>
      <w:tr>
        <w:trPr>
          <w:trHeight w:val="264"/>
        </w:trPr>
        <w:tc>
          <w:tcPr>
            <w:tcW w:w="5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GROSS MARGIN</w:t>
            </w: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2,110,211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2,212,502</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2,351,095</w:t>
            </w:r>
          </w:p>
        </w:tc>
        <w:tc>
          <w:tcPr>
            <w:tcW w:w="0" w:type="dxa"/>
            <w:vAlign w:val="bottom"/>
          </w:tcPr>
          <w:p>
            <w:pPr>
              <w:spacing w:after="0"/>
              <w:rPr>
                <w:sz w:val="1"/>
                <w:szCs w:val="1"/>
                <w:color w:val="auto"/>
              </w:rPr>
            </w:pPr>
          </w:p>
        </w:tc>
      </w:tr>
      <w:tr>
        <w:trPr>
          <w:trHeight w:val="586"/>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1,432,356</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1,365,953</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1,443,148</w:t>
            </w:r>
          </w:p>
        </w:tc>
        <w:tc>
          <w:tcPr>
            <w:tcW w:w="0" w:type="dxa"/>
            <w:vAlign w:val="bottom"/>
          </w:tcPr>
          <w:p>
            <w:pPr>
              <w:spacing w:after="0"/>
              <w:rPr>
                <w:sz w:val="1"/>
                <w:szCs w:val="1"/>
                <w:color w:val="auto"/>
              </w:rPr>
            </w:pPr>
          </w:p>
        </w:tc>
      </w:tr>
      <w:tr>
        <w:trPr>
          <w:trHeight w:val="264"/>
        </w:trPr>
        <w:tc>
          <w:tcPr>
            <w:tcW w:w="5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OPERATING INCOME</w:t>
            </w: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677,855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846,549</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907,947</w:t>
            </w:r>
          </w:p>
        </w:tc>
        <w:tc>
          <w:tcPr>
            <w:tcW w:w="0" w:type="dxa"/>
            <w:vAlign w:val="bottom"/>
          </w:tcPr>
          <w:p>
            <w:pPr>
              <w:spacing w:after="0"/>
              <w:rPr>
                <w:sz w:val="1"/>
                <w:szCs w:val="1"/>
                <w:color w:val="auto"/>
              </w:rPr>
            </w:pPr>
          </w:p>
        </w:tc>
      </w:tr>
      <w:tr>
        <w:trPr>
          <w:trHeight w:val="569"/>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NET</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46,051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48,989</w:t>
            </w:r>
          </w:p>
        </w:tc>
        <w:tc>
          <w:tcPr>
            <w:tcW w:w="0" w:type="dxa"/>
            <w:vAlign w:val="bottom"/>
          </w:tcPr>
          <w:p>
            <w:pPr>
              <w:spacing w:after="0"/>
              <w:rPr>
                <w:sz w:val="1"/>
                <w:szCs w:val="1"/>
                <w:color w:val="auto"/>
              </w:rPr>
            </w:pPr>
          </w:p>
        </w:tc>
      </w:tr>
      <w:tr>
        <w:trPr>
          <w:trHeight w:val="285"/>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LOSS ON EARLY RETIREMENT OF DEBT</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1,525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w:t>
            </w:r>
          </w:p>
        </w:tc>
        <w:tc>
          <w:tcPr>
            <w:tcW w:w="0" w:type="dxa"/>
            <w:vAlign w:val="bottom"/>
          </w:tcPr>
          <w:p>
            <w:pPr>
              <w:spacing w:after="0"/>
              <w:rPr>
                <w:sz w:val="1"/>
                <w:szCs w:val="1"/>
                <w:color w:val="auto"/>
              </w:rPr>
            </w:pPr>
          </w:p>
        </w:tc>
      </w:tr>
      <w:tr>
        <w:trPr>
          <w:trHeight w:val="286"/>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(32,877)</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(20,175)</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(2,821)</w:t>
            </w:r>
          </w:p>
        </w:tc>
        <w:tc>
          <w:tcPr>
            <w:tcW w:w="0" w:type="dxa"/>
            <w:vAlign w:val="bottom"/>
          </w:tcPr>
          <w:p>
            <w:pPr>
              <w:spacing w:after="0"/>
              <w:rPr>
                <w:sz w:val="1"/>
                <w:szCs w:val="1"/>
                <w:color w:val="auto"/>
              </w:rPr>
            </w:pPr>
          </w:p>
        </w:tc>
      </w:tr>
      <w:tr>
        <w:trPr>
          <w:trHeight w:val="264"/>
        </w:trPr>
        <w:tc>
          <w:tcPr>
            <w:tcW w:w="5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663,156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818,320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859,540</w:t>
            </w:r>
          </w:p>
        </w:tc>
        <w:tc>
          <w:tcPr>
            <w:tcW w:w="0" w:type="dxa"/>
            <w:vAlign w:val="bottom"/>
          </w:tcPr>
          <w:p>
            <w:pPr>
              <w:spacing w:after="0"/>
              <w:rPr>
                <w:sz w:val="1"/>
                <w:szCs w:val="1"/>
                <w:color w:val="auto"/>
              </w:rPr>
            </w:pPr>
          </w:p>
        </w:tc>
      </w:tr>
      <w:tr>
        <w:trPr>
          <w:trHeight w:val="571"/>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143,966</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190,319</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188,159</w:t>
            </w:r>
          </w:p>
        </w:tc>
        <w:tc>
          <w:tcPr>
            <w:tcW w:w="0" w:type="dxa"/>
            <w:vAlign w:val="bottom"/>
          </w:tcPr>
          <w:p>
            <w:pPr>
              <w:spacing w:after="0"/>
              <w:rPr>
                <w:sz w:val="1"/>
                <w:szCs w:val="1"/>
                <w:color w:val="auto"/>
              </w:rPr>
            </w:pPr>
          </w:p>
        </w:tc>
      </w:tr>
      <w:tr>
        <w:trPr>
          <w:trHeight w:val="245"/>
        </w:trPr>
        <w:tc>
          <w:tcPr>
            <w:tcW w:w="5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519,190</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628,001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671,381</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COMMON SHARE: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5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6.89</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0" w:type="dxa"/>
            <w:vAlign w:val="bottom"/>
          </w:tcPr>
          <w:p>
            <w:pPr>
              <w:spacing w:after="0"/>
              <w:rPr>
                <w:sz w:val="1"/>
                <w:szCs w:val="1"/>
                <w:color w:val="auto"/>
              </w:rPr>
            </w:pPr>
          </w:p>
        </w:tc>
      </w:tr>
      <w:tr>
        <w:trPr>
          <w:trHeight w:val="285"/>
        </w:trPr>
        <w:tc>
          <w:tcPr>
            <w:tcW w:w="5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DILUTED</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6.70</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0" w:type="dxa"/>
            <w:vAlign w:val="bottom"/>
          </w:tcPr>
          <w:p>
            <w:pPr>
              <w:spacing w:after="0"/>
              <w:rPr>
                <w:sz w:val="1"/>
                <w:szCs w:val="1"/>
                <w:color w:val="auto"/>
              </w:rPr>
            </w:pPr>
          </w:p>
        </w:tc>
      </w:tr>
      <w:tr>
        <w:trPr>
          <w:trHeight w:val="285"/>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75,389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81,590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90,956</w:t>
            </w:r>
          </w:p>
        </w:tc>
        <w:tc>
          <w:tcPr>
            <w:tcW w:w="0" w:type="dxa"/>
            <w:vAlign w:val="bottom"/>
          </w:tcPr>
          <w:p>
            <w:pPr>
              <w:spacing w:after="0"/>
              <w:rPr>
                <w:sz w:val="1"/>
                <w:szCs w:val="1"/>
                <w:color w:val="auto"/>
              </w:rPr>
            </w:pPr>
          </w:p>
        </w:tc>
      </w:tr>
      <w:tr>
        <w:trPr>
          <w:trHeight w:val="285"/>
        </w:trPr>
        <w:tc>
          <w:tcPr>
            <w:tcW w:w="55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DILUTED</w:t>
            </w: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77,469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83,895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-3815080</wp:posOffset>
            </wp:positionV>
            <wp:extent cx="6883400" cy="383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6883400" cy="383540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740"/>
          </w:cols>
          <w:pgMar w:left="780" w:top="7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740"/>
          </w:cols>
          <w:pgMar w:left="780" w:top="786" w:right="720" w:bottom="0" w:gutter="0" w:footer="0" w:header="0"/>
          <w:type w:val="continuous"/>
        </w:sectPr>
      </w:pPr>
    </w:p>
    <w:bookmarkStart w:id="80" w:name="page81"/>
    <w:bookmarkEnd w:id="80"/>
    <w:p>
      <w:pPr>
        <w:jc w:val="center"/>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ACADEMY SPORTS AND OUTDOORS, INC. CONSOLIDATED STATEMENTS OF COMPREHENSIVE INCOME (Amounts in thousands)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65"/>
        </w:trPr>
        <w:tc>
          <w:tcPr>
            <w:tcW w:w="552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80" w:type="dxa"/>
            <w:vAlign w:val="bottom"/>
          </w:tcPr>
          <w:p>
            <w:pPr>
              <w:spacing w:after="0"/>
              <w:rPr>
                <w:sz w:val="23"/>
                <w:szCs w:val="23"/>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77"/>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5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560" w:type="dxa"/>
            <w:vAlign w:val="bottom"/>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519,190</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628,001</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671,381</w:t>
            </w:r>
          </w:p>
        </w:tc>
      </w:tr>
      <w:tr>
        <w:trPr>
          <w:trHeight w:val="300"/>
        </w:trPr>
        <w:tc>
          <w:tcPr>
            <w:tcW w:w="5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Recognized interest expense on interest rate swaps</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2,344</w:t>
            </w:r>
          </w:p>
        </w:tc>
      </w:tr>
      <w:tr>
        <w:trPr>
          <w:trHeight w:val="303"/>
        </w:trPr>
        <w:tc>
          <w:tcPr>
            <w:tcW w:w="5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 benefit</w:t>
            </w: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w:t>
            </w:r>
          </w:p>
        </w:tc>
      </w:tr>
      <w:tr>
        <w:trPr>
          <w:trHeight w:val="260"/>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Total comprehensive income</w:t>
            </w:r>
          </w:p>
        </w:tc>
        <w:tc>
          <w:tcPr>
            <w:tcW w:w="560" w:type="dxa"/>
            <w:vAlign w:val="bottom"/>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519,190</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628,001</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674,705</w:t>
            </w:r>
          </w:p>
        </w:tc>
      </w:tr>
      <w:tr>
        <w:trPr>
          <w:trHeight w:val="20"/>
        </w:trPr>
        <w:tc>
          <w:tcPr>
            <w:tcW w:w="5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-983615</wp:posOffset>
            </wp:positionV>
            <wp:extent cx="6883400" cy="990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6883400" cy="9906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740"/>
          </w:cols>
          <w:pgMar w:left="780" w:top="7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740"/>
          </w:cols>
          <w:pgMar w:left="780" w:top="786" w:right="720" w:bottom="0"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76</w:t>
            </w: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ACADEMY SPORTS AND OUTDOORS,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68"/>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68"/>
              <w:spacing w:after="0" w:line="18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2820" w:type="dxa"/>
            <w:vAlign w:val="bottom"/>
            <w:gridSpan w:val="4"/>
            <w:vMerge w:val="restart"/>
          </w:tcPr>
          <w:p>
            <w:pPr>
              <w:jc w:val="right"/>
              <w:ind w:right="708"/>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48"/>
              <w:spacing w:after="0" w:line="18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4"/>
        </w:trPr>
        <w:tc>
          <w:tcPr>
            <w:tcW w:w="5580" w:type="dxa"/>
            <w:vAlign w:val="bottom"/>
          </w:tcPr>
          <w:p>
            <w:pPr>
              <w:spacing w:after="0"/>
              <w:rPr>
                <w:sz w:val="21"/>
                <w:szCs w:val="21"/>
                <w:color w:val="auto"/>
              </w:rPr>
            </w:pPr>
          </w:p>
        </w:tc>
        <w:tc>
          <w:tcPr>
            <w:tcW w:w="2820" w:type="dxa"/>
            <w:vAlign w:val="bottom"/>
            <w:tcBorders>
              <w:bottom w:val="single" w:sz="8" w:color="auto"/>
            </w:tcBorders>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1"/>
                <w:szCs w:val="21"/>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45"/>
        </w:trPr>
        <w:tc>
          <w:tcPr>
            <w:tcW w:w="5580" w:type="dxa"/>
            <w:vAlign w:val="bottom"/>
          </w:tcPr>
          <w:p>
            <w:pPr>
              <w:spacing w:after="0"/>
              <w:rPr>
                <w:sz w:val="21"/>
                <w:szCs w:val="21"/>
                <w:color w:val="auto"/>
              </w:rPr>
            </w:pPr>
          </w:p>
        </w:tc>
        <w:tc>
          <w:tcPr>
            <w:tcW w:w="13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45"/>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30, 2021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91,114</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127,228</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987,168</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(3,324)</w:t>
            </w: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1,111,983</w:t>
            </w:r>
          </w:p>
        </w:tc>
        <w:tc>
          <w:tcPr>
            <w:tcW w:w="0" w:type="dxa"/>
            <w:vAlign w:val="bottom"/>
          </w:tcPr>
          <w:p>
            <w:pPr>
              <w:spacing w:after="0"/>
              <w:rPr>
                <w:sz w:val="1"/>
                <w:szCs w:val="1"/>
                <w:color w:val="auto"/>
              </w:rPr>
            </w:pPr>
          </w:p>
        </w:tc>
      </w:tr>
      <w:tr>
        <w:trPr>
          <w:trHeight w:val="242"/>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671,381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671,381</w:t>
            </w:r>
          </w:p>
        </w:tc>
        <w:tc>
          <w:tcPr>
            <w:tcW w:w="0" w:type="dxa"/>
            <w:vAlign w:val="bottom"/>
          </w:tcPr>
          <w:p>
            <w:pPr>
              <w:spacing w:after="0"/>
              <w:rPr>
                <w:sz w:val="1"/>
                <w:szCs w:val="1"/>
                <w:color w:val="auto"/>
              </w:rPr>
            </w:pPr>
          </w:p>
        </w:tc>
      </w:tr>
      <w:tr>
        <w:trPr>
          <w:trHeight w:val="252"/>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39,264</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(411,409)</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Award Payments adjustment for forfeitures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48,587</w:t>
            </w:r>
          </w:p>
        </w:tc>
        <w:tc>
          <w:tcPr>
            <w:tcW w:w="0" w:type="dxa"/>
            <w:vAlign w:val="bottom"/>
          </w:tcPr>
          <w:p>
            <w:pPr>
              <w:spacing w:after="0"/>
              <w:rPr>
                <w:sz w:val="1"/>
                <w:szCs w:val="1"/>
                <w:color w:val="auto"/>
              </w:rPr>
            </w:pPr>
          </w:p>
        </w:tc>
      </w:tr>
      <w:tr>
        <w:trPr>
          <w:trHeight w:val="257"/>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Recognized interest expense on interest rate swaps (net of tax benefit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113"/>
        </w:trPr>
        <w:tc>
          <w:tcPr>
            <w:tcW w:w="5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$980)</w:t>
            </w:r>
          </w:p>
        </w:tc>
        <w:tc>
          <w:tcPr>
            <w:tcW w:w="1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580" w:type="dxa"/>
            <w:vAlign w:val="bottom"/>
            <w:vMerge w:val="continue"/>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29, 2022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87,079</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198,016</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1,268,060</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1,466,946</w:t>
            </w:r>
          </w:p>
        </w:tc>
        <w:tc>
          <w:tcPr>
            <w:tcW w:w="0" w:type="dxa"/>
            <w:vAlign w:val="bottom"/>
          </w:tcPr>
          <w:p>
            <w:pPr>
              <w:spacing w:after="0"/>
              <w:rPr>
                <w:sz w:val="1"/>
                <w:szCs w:val="1"/>
                <w:color w:val="auto"/>
              </w:rPr>
            </w:pPr>
          </w:p>
        </w:tc>
      </w:tr>
      <w:tr>
        <w:trPr>
          <w:trHeight w:val="242"/>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0" w:type="dxa"/>
            <w:vAlign w:val="bottom"/>
          </w:tcPr>
          <w:p>
            <w:pPr>
              <w:spacing w:after="0"/>
              <w:rPr>
                <w:sz w:val="1"/>
                <w:szCs w:val="1"/>
                <w:color w:val="auto"/>
              </w:rPr>
            </w:pPr>
          </w:p>
        </w:tc>
      </w:tr>
      <w:tr>
        <w:trPr>
          <w:trHeight w:val="25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(489,475)</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$0.075 per share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0" w:type="dxa"/>
            <w:vAlign w:val="bottom"/>
          </w:tcPr>
          <w:p>
            <w:pPr>
              <w:spacing w:after="0"/>
              <w:rPr>
                <w:sz w:val="1"/>
                <w:szCs w:val="1"/>
                <w:color w:val="auto"/>
              </w:rPr>
            </w:pPr>
          </w:p>
        </w:tc>
      </w:tr>
      <w:tr>
        <w:trPr>
          <w:trHeight w:val="38"/>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28, 2023</w:t>
            </w:r>
          </w:p>
        </w:tc>
        <w:tc>
          <w:tcPr>
            <w:tcW w:w="13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580" w:type="dxa"/>
            <w:vAlign w:val="bottom"/>
            <w:vMerge w:val="continue"/>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76,712</w:t>
            </w:r>
          </w:p>
        </w:tc>
        <w:tc>
          <w:tcPr>
            <w:tcW w:w="60" w:type="dxa"/>
            <w:vAlign w:val="bottom"/>
            <w:vMerge w:val="continue"/>
          </w:tcPr>
          <w:p>
            <w:pPr>
              <w:spacing w:after="0"/>
              <w:rPr>
                <w:sz w:val="21"/>
                <w:szCs w:val="21"/>
                <w:color w:val="auto"/>
              </w:rPr>
            </w:pP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60" w:type="dxa"/>
            <w:vAlign w:val="bottom"/>
            <w:vMerge w:val="continue"/>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216,209</w:t>
            </w:r>
          </w:p>
        </w:tc>
        <w:tc>
          <w:tcPr>
            <w:tcW w:w="60" w:type="dxa"/>
            <w:vAlign w:val="bottom"/>
            <w:vMerge w:val="continue"/>
          </w:tcPr>
          <w:p>
            <w:pPr>
              <w:spacing w:after="0"/>
              <w:rPr>
                <w:sz w:val="21"/>
                <w:szCs w:val="21"/>
                <w:color w:val="auto"/>
              </w:rPr>
            </w:pP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1,411,330</w:t>
            </w:r>
          </w:p>
        </w:tc>
        <w:tc>
          <w:tcPr>
            <w:tcW w:w="60" w:type="dxa"/>
            <w:vAlign w:val="bottom"/>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1,628,306</w:t>
            </w:r>
          </w:p>
        </w:tc>
        <w:tc>
          <w:tcPr>
            <w:tcW w:w="0" w:type="dxa"/>
            <w:vAlign w:val="bottom"/>
          </w:tcPr>
          <w:p>
            <w:pPr>
              <w:spacing w:after="0"/>
              <w:rPr>
                <w:sz w:val="1"/>
                <w:szCs w:val="1"/>
                <w:color w:val="auto"/>
              </w:rPr>
            </w:pPr>
          </w:p>
        </w:tc>
      </w:tr>
      <w:tr>
        <w:trPr>
          <w:trHeight w:val="24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519,190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519,190</w:t>
            </w:r>
          </w:p>
        </w:tc>
        <w:tc>
          <w:tcPr>
            <w:tcW w:w="0" w:type="dxa"/>
            <w:vAlign w:val="bottom"/>
          </w:tcPr>
          <w:p>
            <w:pPr>
              <w:spacing w:after="0"/>
              <w:rPr>
                <w:sz w:val="1"/>
                <w:szCs w:val="1"/>
                <w:color w:val="auto"/>
              </w:rPr>
            </w:pPr>
          </w:p>
        </w:tc>
      </w:tr>
      <w:tr>
        <w:trPr>
          <w:trHeight w:val="25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24,377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24,377</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(191,493)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(204,154)</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(5,536)</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5,484</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14,192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14,201</w:t>
            </w:r>
          </w:p>
        </w:tc>
        <w:tc>
          <w:tcPr>
            <w:tcW w:w="0" w:type="dxa"/>
            <w:vAlign w:val="bottom"/>
          </w:tcPr>
          <w:p>
            <w:pPr>
              <w:spacing w:after="0"/>
              <w:rPr>
                <w:sz w:val="1"/>
                <w:szCs w:val="1"/>
                <w:color w:val="auto"/>
              </w:rPr>
            </w:pPr>
          </w:p>
        </w:tc>
      </w:tr>
      <w:tr>
        <w:trPr>
          <w:trHeight w:val="27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(27,218)</w:t>
            </w:r>
          </w:p>
        </w:tc>
        <w:tc>
          <w:tcPr>
            <w:tcW w:w="0" w:type="dxa"/>
            <w:vAlign w:val="bottom"/>
          </w:tcPr>
          <w:p>
            <w:pPr>
              <w:spacing w:after="0"/>
              <w:rPr>
                <w:sz w:val="1"/>
                <w:szCs w:val="1"/>
                <w:color w:val="auto"/>
              </w:rPr>
            </w:pPr>
          </w:p>
        </w:tc>
      </w:tr>
      <w:tr>
        <w:trPr>
          <w:trHeight w:val="34"/>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February 3, 2024</w:t>
            </w:r>
          </w:p>
        </w:tc>
        <w:tc>
          <w:tcPr>
            <w:tcW w:w="13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580" w:type="dxa"/>
            <w:vAlign w:val="bottom"/>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74,350</w:t>
            </w:r>
          </w:p>
        </w:tc>
        <w:tc>
          <w:tcPr>
            <w:tcW w:w="6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60" w:type="dxa"/>
            <w:vAlign w:val="bottom"/>
            <w:vMerge w:val="continue"/>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242,098</w:t>
            </w:r>
          </w:p>
        </w:tc>
        <w:tc>
          <w:tcPr>
            <w:tcW w:w="6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1,711,809</w:t>
            </w:r>
          </w:p>
        </w:tc>
        <w:tc>
          <w:tcPr>
            <w:tcW w:w="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1,954,650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3545840</wp:posOffset>
                </wp:positionH>
                <wp:positionV relativeFrom="paragraph">
                  <wp:posOffset>-4884420</wp:posOffset>
                </wp:positionV>
                <wp:extent cx="179197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19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384.5999pt" to="420.3pt,-384.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5372735</wp:posOffset>
                </wp:positionH>
                <wp:positionV relativeFrom="paragraph">
                  <wp:posOffset>-4884420</wp:posOffset>
                </wp:positionV>
                <wp:extent cx="87820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05pt,-384.5999pt" to="492.2pt,-384.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-4884420</wp:posOffset>
                </wp:positionV>
                <wp:extent cx="87820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384.5999pt" to="564.15pt,-384.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7199630</wp:posOffset>
                </wp:positionH>
                <wp:positionV relativeFrom="paragraph">
                  <wp:posOffset>-4884420</wp:posOffset>
                </wp:positionV>
                <wp:extent cx="87820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9pt,-384.5999pt" to="636.05pt,-384.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8112760</wp:posOffset>
                </wp:positionH>
                <wp:positionV relativeFrom="paragraph">
                  <wp:posOffset>-4884420</wp:posOffset>
                </wp:positionV>
                <wp:extent cx="87884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8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8pt,-384.5999pt" to="708pt,-384.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3545840</wp:posOffset>
                </wp:positionH>
                <wp:positionV relativeFrom="paragraph">
                  <wp:posOffset>-4716145</wp:posOffset>
                </wp:positionV>
                <wp:extent cx="87820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371.3499pt" to="348.35pt,-371.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4459605</wp:posOffset>
                </wp:positionH>
                <wp:positionV relativeFrom="paragraph">
                  <wp:posOffset>-4716145</wp:posOffset>
                </wp:positionV>
                <wp:extent cx="87820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5pt,-371.3499pt" to="420.3pt,-371.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5372735</wp:posOffset>
                </wp:positionH>
                <wp:positionV relativeFrom="paragraph">
                  <wp:posOffset>-4716145</wp:posOffset>
                </wp:positionV>
                <wp:extent cx="87820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05pt,-371.3499pt" to="492.2pt,-371.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-4716145</wp:posOffset>
                </wp:positionV>
                <wp:extent cx="87820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371.3499pt" to="564.15pt,-371.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7199630</wp:posOffset>
                </wp:positionH>
                <wp:positionV relativeFrom="paragraph">
                  <wp:posOffset>-4716145</wp:posOffset>
                </wp:positionV>
                <wp:extent cx="87820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9pt,-371.3499pt" to="636.05pt,-371.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8112760</wp:posOffset>
                </wp:positionH>
                <wp:positionV relativeFrom="paragraph">
                  <wp:posOffset>-4716145</wp:posOffset>
                </wp:positionV>
                <wp:extent cx="87884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8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8pt,-371.3499pt" to="708pt,-371.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3545840</wp:posOffset>
                </wp:positionH>
                <wp:positionV relativeFrom="paragraph">
                  <wp:posOffset>-4547870</wp:posOffset>
                </wp:positionV>
                <wp:extent cx="87820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358.0999pt" to="348.35pt,-358.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4459605</wp:posOffset>
                </wp:positionH>
                <wp:positionV relativeFrom="paragraph">
                  <wp:posOffset>-4547870</wp:posOffset>
                </wp:positionV>
                <wp:extent cx="87820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5pt,-358.0999pt" to="420.3pt,-358.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5372735</wp:posOffset>
                </wp:positionH>
                <wp:positionV relativeFrom="paragraph">
                  <wp:posOffset>-4547870</wp:posOffset>
                </wp:positionV>
                <wp:extent cx="87820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05pt,-358.0999pt" to="492.2pt,-358.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-4547870</wp:posOffset>
                </wp:positionV>
                <wp:extent cx="87820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358.0999pt" to="564.15pt,-358.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7199630</wp:posOffset>
                </wp:positionH>
                <wp:positionV relativeFrom="paragraph">
                  <wp:posOffset>-4547870</wp:posOffset>
                </wp:positionV>
                <wp:extent cx="87820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9pt,-358.0999pt" to="636.05pt,-358.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8112760</wp:posOffset>
                </wp:positionH>
                <wp:positionV relativeFrom="paragraph">
                  <wp:posOffset>-4547870</wp:posOffset>
                </wp:positionV>
                <wp:extent cx="87884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8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8pt,-358.0999pt" to="708pt,-358.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3545840</wp:posOffset>
                </wp:positionH>
                <wp:positionV relativeFrom="paragraph">
                  <wp:posOffset>-3014345</wp:posOffset>
                </wp:positionV>
                <wp:extent cx="87820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237.3499pt" to="348.35pt,-237.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4459605</wp:posOffset>
                </wp:positionH>
                <wp:positionV relativeFrom="paragraph">
                  <wp:posOffset>-3014345</wp:posOffset>
                </wp:positionV>
                <wp:extent cx="87820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5pt,-237.3499pt" to="420.3pt,-237.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5372735</wp:posOffset>
                </wp:positionH>
                <wp:positionV relativeFrom="paragraph">
                  <wp:posOffset>-3014345</wp:posOffset>
                </wp:positionV>
                <wp:extent cx="87820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05pt,-237.3499pt" to="492.2pt,-237.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-3014345</wp:posOffset>
                </wp:positionV>
                <wp:extent cx="87820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237.3499pt" to="564.15pt,-237.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7199630</wp:posOffset>
                </wp:positionH>
                <wp:positionV relativeFrom="paragraph">
                  <wp:posOffset>-3014345</wp:posOffset>
                </wp:positionV>
                <wp:extent cx="87820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9pt,-237.3499pt" to="636.05pt,-237.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8112760</wp:posOffset>
                </wp:positionH>
                <wp:positionV relativeFrom="paragraph">
                  <wp:posOffset>-3014345</wp:posOffset>
                </wp:positionV>
                <wp:extent cx="87884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8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8pt,-237.3499pt" to="708pt,-237.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3545840</wp:posOffset>
                </wp:positionH>
                <wp:positionV relativeFrom="paragraph">
                  <wp:posOffset>-2845435</wp:posOffset>
                </wp:positionV>
                <wp:extent cx="87820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224.0499pt" to="348.35pt,-224.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4459605</wp:posOffset>
                </wp:positionH>
                <wp:positionV relativeFrom="paragraph">
                  <wp:posOffset>-2845435</wp:posOffset>
                </wp:positionV>
                <wp:extent cx="87820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5pt,-224.0499pt" to="420.3pt,-224.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5372735</wp:posOffset>
                </wp:positionH>
                <wp:positionV relativeFrom="paragraph">
                  <wp:posOffset>-2845435</wp:posOffset>
                </wp:positionV>
                <wp:extent cx="87820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05pt,-224.0499pt" to="492.2pt,-224.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-2845435</wp:posOffset>
                </wp:positionV>
                <wp:extent cx="87820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224.0499pt" to="564.15pt,-224.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7199630</wp:posOffset>
                </wp:positionH>
                <wp:positionV relativeFrom="paragraph">
                  <wp:posOffset>-2845435</wp:posOffset>
                </wp:positionV>
                <wp:extent cx="87820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9pt,-224.0499pt" to="636.05pt,-224.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8112760</wp:posOffset>
                </wp:positionH>
                <wp:positionV relativeFrom="paragraph">
                  <wp:posOffset>-2845435</wp:posOffset>
                </wp:positionV>
                <wp:extent cx="87884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8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8pt,-224.0499pt" to="708pt,-224.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3545840</wp:posOffset>
                </wp:positionH>
                <wp:positionV relativeFrom="paragraph">
                  <wp:posOffset>-1604645</wp:posOffset>
                </wp:positionV>
                <wp:extent cx="87820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126.3499pt" to="348.35pt,-12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4459605</wp:posOffset>
                </wp:positionH>
                <wp:positionV relativeFrom="paragraph">
                  <wp:posOffset>-1604645</wp:posOffset>
                </wp:positionV>
                <wp:extent cx="87820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5pt,-126.3499pt" to="420.3pt,-12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5372735</wp:posOffset>
                </wp:positionH>
                <wp:positionV relativeFrom="paragraph">
                  <wp:posOffset>-1604645</wp:posOffset>
                </wp:positionV>
                <wp:extent cx="87820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05pt,-126.3499pt" to="492.2pt,-12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-1604645</wp:posOffset>
                </wp:positionV>
                <wp:extent cx="87820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126.3499pt" to="564.15pt,-12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7199630</wp:posOffset>
                </wp:positionH>
                <wp:positionV relativeFrom="paragraph">
                  <wp:posOffset>-1604645</wp:posOffset>
                </wp:positionV>
                <wp:extent cx="87820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9pt,-126.3499pt" to="636.05pt,-12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8112760</wp:posOffset>
                </wp:positionH>
                <wp:positionV relativeFrom="paragraph">
                  <wp:posOffset>-1604645</wp:posOffset>
                </wp:positionV>
                <wp:extent cx="87884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8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8pt,-126.3499pt" to="708pt,-12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3545840</wp:posOffset>
                </wp:positionH>
                <wp:positionV relativeFrom="paragraph">
                  <wp:posOffset>-1436370</wp:posOffset>
                </wp:positionV>
                <wp:extent cx="87820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113.0999pt" to="348.35pt,-1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4459605</wp:posOffset>
                </wp:positionH>
                <wp:positionV relativeFrom="paragraph">
                  <wp:posOffset>-1436370</wp:posOffset>
                </wp:positionV>
                <wp:extent cx="87820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5pt,-113.0999pt" to="420.3pt,-1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5372735</wp:posOffset>
                </wp:positionH>
                <wp:positionV relativeFrom="paragraph">
                  <wp:posOffset>-1436370</wp:posOffset>
                </wp:positionV>
                <wp:extent cx="87820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05pt,-113.0999pt" to="492.2pt,-1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-1436370</wp:posOffset>
                </wp:positionV>
                <wp:extent cx="87820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113.0999pt" to="564.15pt,-1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7199630</wp:posOffset>
                </wp:positionH>
                <wp:positionV relativeFrom="paragraph">
                  <wp:posOffset>-1436370</wp:posOffset>
                </wp:positionV>
                <wp:extent cx="87820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9pt,-113.0999pt" to="636.05pt,-1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8112760</wp:posOffset>
                </wp:positionH>
                <wp:positionV relativeFrom="paragraph">
                  <wp:posOffset>-1436370</wp:posOffset>
                </wp:positionV>
                <wp:extent cx="87884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8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8pt,-113.0999pt" to="708pt,-1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3545840</wp:posOffset>
                </wp:positionH>
                <wp:positionV relativeFrom="paragraph">
                  <wp:posOffset>-194945</wp:posOffset>
                </wp:positionV>
                <wp:extent cx="87820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pt,-15.3499pt" to="348.35pt,-15.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4459605</wp:posOffset>
                </wp:positionH>
                <wp:positionV relativeFrom="paragraph">
                  <wp:posOffset>-194945</wp:posOffset>
                </wp:positionV>
                <wp:extent cx="87820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15pt,-15.3499pt" to="420.3pt,-15.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5372735</wp:posOffset>
                </wp:positionH>
                <wp:positionV relativeFrom="paragraph">
                  <wp:posOffset>-194945</wp:posOffset>
                </wp:positionV>
                <wp:extent cx="87820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05pt,-15.3499pt" to="492.2pt,-15.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-194945</wp:posOffset>
                </wp:positionV>
                <wp:extent cx="87820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15.3499pt" to="564.15pt,-15.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7199630</wp:posOffset>
                </wp:positionH>
                <wp:positionV relativeFrom="paragraph">
                  <wp:posOffset>-194945</wp:posOffset>
                </wp:positionV>
                <wp:extent cx="87820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6.9pt,-15.3499pt" to="636.05pt,-15.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8112760</wp:posOffset>
                </wp:positionH>
                <wp:positionV relativeFrom="paragraph">
                  <wp:posOffset>-194945</wp:posOffset>
                </wp:positionV>
                <wp:extent cx="87884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8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8pt,-15.3499pt" to="708pt,-15.3499pt" o:allowincell="f" strokecolor="#000000" strokeweight="0pt"/>
            </w:pict>
          </mc:Fallback>
        </mc:AlternateContent>
        <w:drawing>
          <wp:anchor simplePos="0" relativeHeight="251657728" behindDoc="1" locked="0" layoutInCell="0" allowOverlap="1">
            <wp:simplePos x="0" y="0"/>
            <wp:positionH relativeFrom="column">
              <wp:posOffset>-40640</wp:posOffset>
            </wp:positionH>
            <wp:positionV relativeFrom="paragraph">
              <wp:posOffset>-4728210</wp:posOffset>
            </wp:positionV>
            <wp:extent cx="9045575" cy="4735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8">
                      <a:extLst>
                        <a:ext uri="{28A0092B-C50C-407E-A947-70E740481C1C}"/>
                      </a:extLst>
                    </a:blip>
                    <a:srcRect/>
                    <a:stretch>
                      <a:fillRect/>
                    </a:stretch>
                  </pic:blipFill>
                  <pic:spPr bwMode="auto">
                    <a:xfrm>
                      <a:off x="0" y="0"/>
                      <a:ext cx="9045575" cy="4735195"/>
                    </a:xfrm>
                    <a:prstGeom prst="rect">
                      <a:avLst/>
                    </a:prstGeom>
                    <a:noFill/>
                  </pic:spPr>
                </pic:pic>
              </a:graphicData>
            </a:graphic>
          </wp:anchor>
        </w:drawing>
      </w:r>
    </w:p>
    <w:p>
      <w:pPr>
        <w:spacing w:after="0" w:line="160" w:lineRule="exact"/>
        <w:rPr>
          <w:sz w:val="20"/>
          <w:szCs w:val="20"/>
          <w:color w:val="auto"/>
        </w:rPr>
      </w:pPr>
    </w:p>
    <w:p>
      <w:pPr>
        <w:sectPr>
          <w:pgSz w:w="15840" w:h="12240" w:orient="landscape"/>
          <w:cols w:equalWidth="0" w:num="2">
            <w:col w:w="218" w:space="219"/>
            <w:col w:w="14160"/>
          </w:cols>
          <w:pgMar w:left="543" w:top="706" w:right="700" w:bottom="1440" w:gutter="0" w:footer="0" w:header="0"/>
        </w:sectPr>
      </w:pPr>
    </w:p>
    <w:p>
      <w:pPr>
        <w:jc w:val="center"/>
        <w:ind w:right="-416"/>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5840" w:h="12240" w:orient="landscape"/>
          <w:cols w:equalWidth="0" w:num="1">
            <w:col w:w="14597"/>
          </w:cols>
          <w:pgMar w:left="543" w:top="706" w:right="700" w:bottom="1440" w:gutter="0" w:footer="0" w:header="0"/>
          <w:type w:val="continuous"/>
        </w:sectPr>
      </w:pPr>
    </w:p>
    <w:bookmarkStart w:id="82" w:name="page83"/>
    <w:bookmarkEnd w:id="8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February 3, 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January 28, 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January 29, 2022</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519,190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628,001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671,381</w:t>
            </w:r>
          </w:p>
        </w:tc>
        <w:tc>
          <w:tcPr>
            <w:tcW w:w="0" w:type="dxa"/>
            <w:vAlign w:val="bottom"/>
          </w:tcPr>
          <w:p>
            <w:pPr>
              <w:spacing w:after="0"/>
              <w:rPr>
                <w:sz w:val="1"/>
                <w:szCs w:val="1"/>
                <w:color w:val="auto"/>
              </w:rPr>
            </w:pPr>
          </w:p>
        </w:tc>
      </w:tr>
      <w:tr>
        <w:trPr>
          <w:trHeight w:val="255"/>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110,936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105,274</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lease expense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Equity compensation</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24,377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39,264</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deferred loan, terminated interest rate swaps and other costs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(4,247)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79,490</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loss on early retirement of debt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0" w:type="dxa"/>
            <w:vAlign w:val="bottom"/>
          </w:tcPr>
          <w:p>
            <w:pPr>
              <w:spacing w:after="0"/>
              <w:rPr>
                <w:sz w:val="1"/>
                <w:szCs w:val="1"/>
                <w:color w:val="auto"/>
              </w:rPr>
            </w:pPr>
          </w:p>
        </w:tc>
      </w:tr>
      <w:tr>
        <w:trPr>
          <w:trHeight w:val="225"/>
        </w:trPr>
        <w:tc>
          <w:tcPr>
            <w:tcW w:w="5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Merchandise inventories, net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89,358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(111,709)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(181,774)</w:t>
            </w:r>
          </w:p>
        </w:tc>
        <w:tc>
          <w:tcPr>
            <w:tcW w:w="0" w:type="dxa"/>
            <w:vAlign w:val="bottom"/>
          </w:tcPr>
          <w:p>
            <w:pPr>
              <w:spacing w:after="0"/>
              <w:rPr>
                <w:sz w:val="1"/>
                <w:szCs w:val="1"/>
                <w:color w:val="auto"/>
              </w:rPr>
            </w:pPr>
          </w:p>
        </w:tc>
      </w:tr>
      <w:tr>
        <w:trPr>
          <w:trHeight w:val="225"/>
        </w:trPr>
        <w:tc>
          <w:tcPr>
            <w:tcW w:w="5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(50,225)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(8,147)</w:t>
            </w:r>
          </w:p>
        </w:tc>
        <w:tc>
          <w:tcPr>
            <w:tcW w:w="0" w:type="dxa"/>
            <w:vAlign w:val="bottom"/>
          </w:tcPr>
          <w:p>
            <w:pPr>
              <w:spacing w:after="0"/>
              <w:rPr>
                <w:sz w:val="1"/>
                <w:szCs w:val="1"/>
                <w:color w:val="auto"/>
              </w:rPr>
            </w:pPr>
          </w:p>
        </w:tc>
      </w:tr>
      <w:tr>
        <w:trPr>
          <w:trHeight w:val="225"/>
        </w:trPr>
        <w:tc>
          <w:tcPr>
            <w:tcW w:w="5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0" w:type="dxa"/>
            <w:vAlign w:val="bottom"/>
          </w:tcPr>
          <w:p>
            <w:pPr>
              <w:spacing w:after="0"/>
              <w:rPr>
                <w:sz w:val="1"/>
                <w:szCs w:val="1"/>
                <w:color w:val="auto"/>
              </w:rPr>
            </w:pPr>
          </w:p>
        </w:tc>
      </w:tr>
      <w:tr>
        <w:trPr>
          <w:trHeight w:val="225"/>
        </w:trPr>
        <w:tc>
          <w:tcPr>
            <w:tcW w:w="5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(142,346)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(50,627)</w:t>
            </w:r>
          </w:p>
        </w:tc>
        <w:tc>
          <w:tcPr>
            <w:tcW w:w="0" w:type="dxa"/>
            <w:vAlign w:val="bottom"/>
          </w:tcPr>
          <w:p>
            <w:pPr>
              <w:spacing w:after="0"/>
              <w:rPr>
                <w:sz w:val="1"/>
                <w:szCs w:val="1"/>
                <w:color w:val="auto"/>
              </w:rPr>
            </w:pPr>
          </w:p>
        </w:tc>
      </w:tr>
      <w:tr>
        <w:trPr>
          <w:trHeight w:val="225"/>
        </w:trPr>
        <w:tc>
          <w:tcPr>
            <w:tcW w:w="5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(26,712)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(58,395)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31,935</w:t>
            </w:r>
          </w:p>
        </w:tc>
        <w:tc>
          <w:tcPr>
            <w:tcW w:w="0" w:type="dxa"/>
            <w:vAlign w:val="bottom"/>
          </w:tcPr>
          <w:p>
            <w:pPr>
              <w:spacing w:after="0"/>
              <w:rPr>
                <w:sz w:val="1"/>
                <w:szCs w:val="1"/>
                <w:color w:val="auto"/>
              </w:rPr>
            </w:pPr>
          </w:p>
        </w:tc>
      </w:tr>
      <w:tr>
        <w:trPr>
          <w:trHeight w:val="225"/>
        </w:trPr>
        <w:tc>
          <w:tcPr>
            <w:tcW w:w="5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(14,129)</w:t>
            </w:r>
          </w:p>
        </w:tc>
        <w:tc>
          <w:tcPr>
            <w:tcW w:w="0" w:type="dxa"/>
            <w:vAlign w:val="bottom"/>
          </w:tcPr>
          <w:p>
            <w:pPr>
              <w:spacing w:after="0"/>
              <w:rPr>
                <w:sz w:val="1"/>
                <w:szCs w:val="1"/>
                <w:color w:val="auto"/>
              </w:rPr>
            </w:pPr>
          </w:p>
        </w:tc>
      </w:tr>
      <w:tr>
        <w:trPr>
          <w:trHeight w:val="206"/>
        </w:trPr>
        <w:tc>
          <w:tcPr>
            <w:tcW w:w="5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(1,162)</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205"/>
        </w:trPr>
        <w:tc>
          <w:tcPr>
            <w:tcW w:w="58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535,779</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552,005</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673,265</w:t>
            </w:r>
          </w:p>
        </w:tc>
        <w:tc>
          <w:tcPr>
            <w:tcW w:w="0" w:type="dxa"/>
            <w:vAlign w:val="bottom"/>
          </w:tcPr>
          <w:p>
            <w:pPr>
              <w:spacing w:after="0"/>
              <w:rPr>
                <w:sz w:val="1"/>
                <w:szCs w:val="1"/>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(207,770)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(108,304)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(75,802)</w:t>
            </w: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6"/>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the sale of property and equipment</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2,151</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8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(206,139)</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(108,806)</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(76,017)</w:t>
            </w:r>
          </w:p>
        </w:tc>
        <w:tc>
          <w:tcPr>
            <w:tcW w:w="0" w:type="dxa"/>
            <w:vAlign w:val="bottom"/>
          </w:tcPr>
          <w:p>
            <w:pPr>
              <w:spacing w:after="0"/>
              <w:rPr>
                <w:sz w:val="1"/>
                <w:szCs w:val="1"/>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 of Term Loan</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(102,250)</w:t>
            </w: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Debt issuance fees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Award Payments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16,636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48,587</w:t>
            </w: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program</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5,484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(7,971)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(15,418)</w:t>
            </w: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Repurchase of common stock for retirement</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(202,796)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(489,475)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(411,409)</w:t>
            </w:r>
          </w:p>
        </w:tc>
        <w:tc>
          <w:tcPr>
            <w:tcW w:w="0" w:type="dxa"/>
            <w:vAlign w:val="bottom"/>
          </w:tcPr>
          <w:p>
            <w:pPr>
              <w:spacing w:after="0"/>
              <w:rPr>
                <w:sz w:val="1"/>
                <w:szCs w:val="1"/>
                <w:color w:val="auto"/>
              </w:rPr>
            </w:pPr>
          </w:p>
        </w:tc>
      </w:tr>
      <w:tr>
        <w:trPr>
          <w:trHeight w:val="236"/>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Dividends paid</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(27,218)</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(24,633)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8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(318,865)</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(592,052)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(488,854)</w:t>
            </w:r>
          </w:p>
        </w:tc>
        <w:tc>
          <w:tcPr>
            <w:tcW w:w="0" w:type="dxa"/>
            <w:vAlign w:val="bottom"/>
          </w:tcPr>
          <w:p>
            <w:pPr>
              <w:spacing w:after="0"/>
              <w:rPr>
                <w:sz w:val="1"/>
                <w:szCs w:val="1"/>
                <w:color w:val="auto"/>
              </w:rPr>
            </w:pPr>
          </w:p>
        </w:tc>
      </w:tr>
      <w:tr>
        <w:trPr>
          <w:trHeight w:val="329"/>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108,394</w:t>
            </w:r>
          </w:p>
        </w:tc>
        <w:tc>
          <w:tcPr>
            <w:tcW w:w="0" w:type="dxa"/>
            <w:vAlign w:val="bottom"/>
          </w:tcPr>
          <w:p>
            <w:pPr>
              <w:spacing w:after="0"/>
              <w:rPr>
                <w:sz w:val="1"/>
                <w:szCs w:val="1"/>
                <w:color w:val="auto"/>
              </w:rPr>
            </w:pPr>
          </w:p>
        </w:tc>
      </w:tr>
      <w:tr>
        <w:trPr>
          <w:trHeight w:val="23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337,145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485,998</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377,604</w:t>
            </w:r>
          </w:p>
        </w:tc>
        <w:tc>
          <w:tcPr>
            <w:tcW w:w="0" w:type="dxa"/>
            <w:vAlign w:val="bottom"/>
          </w:tcPr>
          <w:p>
            <w:pPr>
              <w:spacing w:after="0"/>
              <w:rPr>
                <w:sz w:val="1"/>
                <w:szCs w:val="1"/>
                <w:color w:val="auto"/>
              </w:rPr>
            </w:pPr>
          </w:p>
        </w:tc>
      </w:tr>
      <w:tr>
        <w:trPr>
          <w:trHeight w:val="200"/>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347,920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485,998</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45,446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44,710</w:t>
            </w: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132,126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168,180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125,040</w:t>
            </w:r>
          </w:p>
        </w:tc>
        <w:tc>
          <w:tcPr>
            <w:tcW w:w="0" w:type="dxa"/>
            <w:vAlign w:val="bottom"/>
          </w:tcPr>
          <w:p>
            <w:pPr>
              <w:spacing w:after="0"/>
              <w:rPr>
                <w:sz w:val="1"/>
                <w:szCs w:val="1"/>
                <w:color w:val="auto"/>
              </w:rPr>
            </w:pPr>
          </w:p>
        </w:tc>
      </w:tr>
      <w:tr>
        <w:trPr>
          <w:trHeight w:val="345"/>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capital expenditures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-6761480</wp:posOffset>
            </wp:positionV>
            <wp:extent cx="6883400" cy="67786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9">
                      <a:extLst>
                        <a:ext uri="{28A0092B-C50C-407E-A947-70E740481C1C}"/>
                      </a:extLst>
                    </a:blip>
                    <a:srcRect/>
                    <a:stretch>
                      <a:fillRect/>
                    </a:stretch>
                  </pic:blipFill>
                  <pic:spPr bwMode="auto">
                    <a:xfrm>
                      <a:off x="0" y="0"/>
                      <a:ext cx="6883400" cy="6778625"/>
                    </a:xfrm>
                    <a:prstGeom prst="rect">
                      <a:avLst/>
                    </a:prstGeom>
                    <a:noFill/>
                  </pic:spPr>
                </pic:pic>
              </a:graphicData>
            </a:graphic>
          </wp:anchor>
        </w:drawing>
      </w:r>
    </w:p>
    <w:p>
      <w:pPr>
        <w:spacing w:after="0" w:line="2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Notes to Consolidated Financial Statements</w:t>
      </w:r>
    </w:p>
    <w:p>
      <w:pPr>
        <w:sectPr>
          <w:pgSz w:w="12240" w:h="15840" w:orient="portrait"/>
          <w:cols w:equalWidth="0" w:num="1">
            <w:col w:w="10740"/>
          </w:cols>
          <w:pgMar w:left="780" w:top="2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740"/>
          </w:cols>
          <w:pgMar w:left="780" w:top="291" w:right="720" w:bottom="0" w:gutter="0" w:footer="0" w:header="0"/>
          <w:type w:val="continuous"/>
        </w:sectPr>
      </w:pPr>
    </w:p>
    <w:bookmarkStart w:id="83" w:name="page84"/>
    <w:bookmarkEnd w:id="83"/>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26" w:lineRule="exact"/>
        <w:rPr>
          <w:sz w:val="20"/>
          <w:szCs w:val="20"/>
          <w:color w:val="auto"/>
        </w:rPr>
      </w:pPr>
    </w:p>
    <w:p>
      <w:pPr>
        <w:ind w:left="370" w:hanging="370"/>
        <w:spacing w:after="0"/>
        <w:tabs>
          <w:tab w:leader="none" w:pos="37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Operations</w:t>
      </w:r>
    </w:p>
    <w:p>
      <w:pPr>
        <w:spacing w:after="0" w:line="248"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The Company</w:t>
      </w:r>
    </w:p>
    <w:p>
      <w:pPr>
        <w:spacing w:after="0" w:line="199" w:lineRule="exact"/>
        <w:rPr>
          <w:sz w:val="20"/>
          <w:szCs w:val="20"/>
          <w:color w:val="auto"/>
        </w:rPr>
      </w:pPr>
    </w:p>
    <w:p>
      <w:pPr>
        <w:jc w:val="both"/>
        <w:ind w:left="370" w:firstLine="360"/>
        <w:spacing w:after="0" w:line="254" w:lineRule="auto"/>
        <w:rPr>
          <w:sz w:val="20"/>
          <w:szCs w:val="20"/>
          <w:color w:val="auto"/>
        </w:rPr>
      </w:pPr>
      <w:r>
        <w:rPr>
          <w:rFonts w:ascii="Times New Roman" w:cs="Times New Roman" w:eastAsia="Times New Roman" w:hAnsi="Times New Roman"/>
          <w:sz w:val="20"/>
          <w:szCs w:val="20"/>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On August 3, 2011, an investment entity owned by investment funds and other entities affiliated with Kohlberg Kravis Roberts &amp; Co. L.P. (collectively, "KKR"), acquired a majority interest in the Company. The Company completed an initial public offering (the "IPO") on October 6, 2020, and upon completion of the September 2021 Secondary Offering (as defined below), KKR no longer holds an ownership interest in the Company.</w:t>
      </w:r>
    </w:p>
    <w:p>
      <w:pPr>
        <w:spacing w:after="0" w:line="389" w:lineRule="exact"/>
        <w:rPr>
          <w:sz w:val="20"/>
          <w:szCs w:val="20"/>
          <w:color w:val="auto"/>
        </w:rPr>
      </w:pPr>
    </w:p>
    <w:p>
      <w:pPr>
        <w:jc w:val="both"/>
        <w:ind w:left="370" w:firstLine="360"/>
        <w:spacing w:after="0" w:line="258" w:lineRule="auto"/>
        <w:rPr>
          <w:sz w:val="20"/>
          <w:szCs w:val="20"/>
          <w:color w:val="auto"/>
        </w:rPr>
      </w:pPr>
      <w:r>
        <w:rPr>
          <w:rFonts w:ascii="Times New Roman" w:cs="Times New Roman" w:eastAsia="Times New Roman" w:hAnsi="Times New Roman"/>
          <w:sz w:val="20"/>
          <w:szCs w:val="20"/>
          <w:color w:val="auto"/>
        </w:rPr>
        <w:t xml:space="preserve">The Company is a leading full-line sporting goods and outdoor recreational products retailer in the United States in terms of net sales. As of February 3, 2024, we operated 282 "Academy Sports + Outdoors" retail locations in 18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20"/>
          <w:szCs w:val="20"/>
          <w:b w:val="1"/>
          <w:bCs w:val="1"/>
          <w:i w:val="1"/>
          <w:iCs w:val="1"/>
          <w:color w:val="auto"/>
        </w:rPr>
        <w:t>academy.com</w:t>
      </w:r>
      <w:r>
        <w:rPr>
          <w:rFonts w:ascii="Times New Roman" w:cs="Times New Roman" w:eastAsia="Times New Roman" w:hAnsi="Times New Roman"/>
          <w:sz w:val="20"/>
          <w:szCs w:val="20"/>
          <w:color w:val="auto"/>
        </w:rPr>
        <w:t xml:space="preserve"> website.</w:t>
      </w:r>
    </w:p>
    <w:p>
      <w:pPr>
        <w:spacing w:after="0" w:line="195"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Fiscal Year</w:t>
      </w:r>
    </w:p>
    <w:p>
      <w:pPr>
        <w:spacing w:after="0" w:line="259" w:lineRule="exact"/>
        <w:rPr>
          <w:sz w:val="20"/>
          <w:szCs w:val="20"/>
          <w:color w:val="auto"/>
        </w:rPr>
      </w:pPr>
    </w:p>
    <w:p>
      <w:pPr>
        <w:jc w:val="both"/>
        <w:ind w:left="370" w:firstLine="360"/>
        <w:spacing w:after="0" w:line="266" w:lineRule="auto"/>
        <w:rPr>
          <w:sz w:val="20"/>
          <w:szCs w:val="20"/>
          <w:color w:val="auto"/>
        </w:rPr>
      </w:pPr>
      <w:r>
        <w:rPr>
          <w:rFonts w:ascii="Times New Roman" w:cs="Times New Roman" w:eastAsia="Times New Roman" w:hAnsi="Times New Roman"/>
          <w:sz w:val="20"/>
          <w:szCs w:val="20"/>
          <w:color w:val="auto"/>
        </w:rPr>
        <w:t>The Company’s fiscal year represents the 52 or 53 weeks ending on the Saturday closest to January 31 each year. References herein to 2023 relate to the 53-week fiscal year ended February 3, 2024, and references herein to 2022 and 2021 relate to the 52-week fiscal years ended January 28, 2023, and January 29, 2022, respectively.</w:t>
      </w:r>
    </w:p>
    <w:p>
      <w:pPr>
        <w:spacing w:after="0" w:line="126"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May 2021 Secondary Offering and Stock Repurchase</w:t>
      </w:r>
    </w:p>
    <w:p>
      <w:pPr>
        <w:spacing w:after="0" w:line="199" w:lineRule="exact"/>
        <w:rPr>
          <w:sz w:val="20"/>
          <w:szCs w:val="20"/>
          <w:color w:val="auto"/>
        </w:rPr>
      </w:pPr>
    </w:p>
    <w:p>
      <w:pPr>
        <w:jc w:val="both"/>
        <w:ind w:left="370" w:firstLine="360"/>
        <w:spacing w:after="0" w:line="252" w:lineRule="auto"/>
        <w:rPr>
          <w:sz w:val="20"/>
          <w:szCs w:val="20"/>
          <w:color w:val="auto"/>
        </w:rPr>
      </w:pPr>
      <w:r>
        <w:rPr>
          <w:rFonts w:ascii="Times New Roman" w:cs="Times New Roman" w:eastAsia="Times New Roman" w:hAnsi="Times New Roman"/>
          <w:sz w:val="20"/>
          <w:szCs w:val="20"/>
          <w:color w:val="auto"/>
        </w:rPr>
        <w:t>On May 5, 2021, ASO, Inc. entered into an underwriting agreement (the “May 2021 Underwriting Agreement”), by and among ASO, Inc., Allstar LLC, Allstar Co-Invest Blocker L.P., KKR 2006 Allstar Blocker L.P., MSI 2011 LLC and MG Family Limited Partnership (collectively, the “May 2021 Selling Stockholders”), and Credit Suisse Securities (USA) LLC and J.P. Morgan Securities LLC, as representatives of the several underwriters named therein (the “May 2021 Underwriters”), relating to an underwritten offering of 14,000,000 shares of common stock at $30.96 per share (the “May 2021 Secondary Offering”), pursuant to the Company’s Registration Statement on Form S-1 (File No. 333-255720), filed on May 3, 2021. The May 2021 Selling Stockholders granted the May 2021 Underwriters the option to purchase, within 30 days from the date of the May 2021 Underwriting Agreement, an additional 2,100,000 shares of common stock. On May 6, 2021, the May 2021 Underwriters exercised in full their option to purchase the additional shares. The May 2021 Secondary Offering also included the Company's repurchase and simultaneous retirement of 3,229,974 shares out of the 14,000,000 shares at $30.96 per share, the same price granted to the May 2021 Underwriters, which was at a discount to the prevailing market price at the time of repurchase (see "Share Repurchases" in Note 2). The May 2021 Secondary Offering was completed on May 10, 2021. The Company did not receive any proceeds from the May 2021 Secondary Offering.</w:t>
      </w:r>
    </w:p>
    <w:p>
      <w:pPr>
        <w:spacing w:after="0" w:line="200" w:lineRule="exact"/>
        <w:rPr>
          <w:sz w:val="20"/>
          <w:szCs w:val="20"/>
          <w:color w:val="auto"/>
        </w:rPr>
      </w:pPr>
    </w:p>
    <w:p>
      <w:pPr>
        <w:spacing w:after="0" w:line="201" w:lineRule="exact"/>
        <w:rPr>
          <w:sz w:val="20"/>
          <w:szCs w:val="20"/>
          <w:color w:val="auto"/>
        </w:rPr>
      </w:pPr>
    </w:p>
    <w:p>
      <w:pPr>
        <w:jc w:val="both"/>
        <w:ind w:left="370" w:firstLine="360"/>
        <w:spacing w:after="0" w:line="255" w:lineRule="auto"/>
        <w:rPr>
          <w:sz w:val="20"/>
          <w:szCs w:val="20"/>
          <w:color w:val="auto"/>
        </w:rPr>
      </w:pPr>
      <w:r>
        <w:rPr>
          <w:rFonts w:ascii="Times New Roman" w:cs="Times New Roman" w:eastAsia="Times New Roman" w:hAnsi="Times New Roman"/>
          <w:sz w:val="20"/>
          <w:szCs w:val="20"/>
          <w:color w:val="auto"/>
        </w:rPr>
        <w:t>The May 2021 Secondary Offering reduced the KKR ownership interest in the Company, resulting in a vesting event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Share-Based Award Payments (see Note 9) for equity-based compensation distributions were accelerated during the 2021 second quarter.</w:t>
      </w:r>
    </w:p>
    <w:p>
      <w:pPr>
        <w:sectPr>
          <w:pgSz w:w="12240" w:h="15840" w:orient="portrait"/>
          <w:cols w:equalWidth="0" w:num="1">
            <w:col w:w="10250"/>
          </w:cols>
          <w:pgMar w:left="99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8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50"/>
          </w:cols>
          <w:pgMar w:left="990" w:top="786" w:right="1000" w:bottom="0" w:gutter="0" w:footer="0" w:header="0"/>
          <w:type w:val="continuous"/>
        </w:sectPr>
      </w:pPr>
    </w:p>
    <w:bookmarkStart w:id="84" w:name="page85"/>
    <w:bookmarkEnd w:id="84"/>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September 2021 Secondary Offering and Stock Repurchase</w:t>
      </w:r>
    </w:p>
    <w:p>
      <w:pPr>
        <w:spacing w:after="0" w:line="199" w:lineRule="exact"/>
        <w:rPr>
          <w:sz w:val="20"/>
          <w:szCs w:val="20"/>
          <w:color w:val="auto"/>
        </w:rPr>
      </w:pPr>
    </w:p>
    <w:p>
      <w:pPr>
        <w:jc w:val="both"/>
        <w:ind w:left="370" w:firstLine="360"/>
        <w:spacing w:after="0" w:line="253" w:lineRule="auto"/>
        <w:rPr>
          <w:sz w:val="20"/>
          <w:szCs w:val="20"/>
          <w:color w:val="auto"/>
        </w:rPr>
      </w:pPr>
      <w:r>
        <w:rPr>
          <w:rFonts w:ascii="Times New Roman" w:cs="Times New Roman" w:eastAsia="Times New Roman" w:hAnsi="Times New Roman"/>
          <w:sz w:val="20"/>
          <w:szCs w:val="20"/>
          <w:color w:val="auto"/>
        </w:rPr>
        <w:t>On September 14, 2021, ASO, Inc. entered into an underwriting agreement (the “September 2021 Underwriting Agreement”), by and among ASO, Inc., Allstar LLC, Allstar Co-Invest Blocker L.P. and KKR 2006 Allstar Blocker L.P. (collectively, the “September 2021 Selling Stockholders”), and Credit Suisse Securities (USA) LLC, as representative of the several underwriters named therein (the “September 2021 Underwriters”), relating to an underwritten offering (the “September 2021 Secondary Offering”) of 18,645,602 shares of common stock at approximately $43.52 per share, pursuant to the Company’s Registration Statement on Form S-1 (File No. 333-259477), filed on September 13, 2021. The September 2021 Secondary Offering also included the Company’s repurchase and simultaneous retirement of 4,500,000 shares out of the 18,645,602 shares of common stock at approximately $43.52, the same price granted to the September 2021 Underwriters, which was at a discount to the prevailing market price at the time of repurchase (see "Share Repurchases" in Note 2). The September 2021 Secondary Offering was completed on September 17, 2021. The Company did not receive any proceeds from the September 2021 Secondary Offering.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 w:hanging="370"/>
        <w:spacing w:after="0"/>
        <w:tabs>
          <w:tab w:leader="none" w:pos="37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48"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Principles of Consolidation</w:t>
      </w:r>
    </w:p>
    <w:p>
      <w:pPr>
        <w:spacing w:after="0" w:line="189" w:lineRule="exact"/>
        <w:rPr>
          <w:sz w:val="20"/>
          <w:szCs w:val="20"/>
          <w:color w:val="auto"/>
        </w:rPr>
      </w:pPr>
    </w:p>
    <w:p>
      <w:pPr>
        <w:jc w:val="both"/>
        <w:ind w:left="370" w:right="20" w:firstLine="360"/>
        <w:spacing w:after="0" w:line="257" w:lineRule="auto"/>
        <w:rPr>
          <w:sz w:val="20"/>
          <w:szCs w:val="20"/>
          <w:color w:val="auto"/>
        </w:rPr>
      </w:pPr>
      <w:r>
        <w:rPr>
          <w:rFonts w:ascii="Times New Roman" w:cs="Times New Roman" w:eastAsia="Times New Roman" w:hAnsi="Times New Roman"/>
          <w:sz w:val="20"/>
          <w:szCs w:val="20"/>
          <w:color w:val="auto"/>
        </w:rPr>
        <w:t>These consolidated financial statements include the accounts of ASO, Inc. and its subsidiaries, New Academy Holding Company, LLC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 ASO Co-Invest Blocker Sub, L.P. and ASO Blocker Sub, L.P. were dissolved effective January 31, 2021.</w:t>
      </w:r>
    </w:p>
    <w:p>
      <w:pPr>
        <w:spacing w:after="0" w:line="200" w:lineRule="exact"/>
        <w:rPr>
          <w:sz w:val="20"/>
          <w:szCs w:val="20"/>
          <w:color w:val="auto"/>
        </w:rPr>
      </w:pPr>
    </w:p>
    <w:p>
      <w:pPr>
        <w:spacing w:after="0" w:line="23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 in the Preparation of Financial Statements</w:t>
      </w:r>
    </w:p>
    <w:p>
      <w:pPr>
        <w:spacing w:after="0" w:line="259" w:lineRule="exact"/>
        <w:rPr>
          <w:sz w:val="20"/>
          <w:szCs w:val="20"/>
          <w:color w:val="auto"/>
        </w:rPr>
      </w:pPr>
    </w:p>
    <w:p>
      <w:pPr>
        <w:jc w:val="both"/>
        <w:ind w:left="370" w:right="20" w:firstLine="437"/>
        <w:spacing w:after="0" w:line="25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204"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219" w:lineRule="exact"/>
        <w:rPr>
          <w:sz w:val="20"/>
          <w:szCs w:val="20"/>
          <w:color w:val="auto"/>
        </w:rPr>
      </w:pPr>
    </w:p>
    <w:p>
      <w:pPr>
        <w:jc w:val="both"/>
        <w:ind w:left="370" w:right="20" w:firstLine="360"/>
        <w:spacing w:after="0" w:line="258" w:lineRule="auto"/>
        <w:rPr>
          <w:sz w:val="20"/>
          <w:szCs w:val="20"/>
          <w:color w:val="auto"/>
        </w:rPr>
      </w:pPr>
      <w:r>
        <w:rPr>
          <w:rFonts w:ascii="Times New Roman" w:cs="Times New Roman" w:eastAsia="Times New Roman" w:hAnsi="Times New Roman"/>
          <w:sz w:val="20"/>
          <w:szCs w:val="20"/>
          <w:color w:val="auto"/>
        </w:rPr>
        <w:t>Within the merchandise division sales table presented in Note 3, certain products and categories were recategorized among various categories and divisions, respectively, during 2023 to better align with our current merchandising strategy and view of the business. As a result, we have reclassified sales between divisions for 2022 and 2021 for comparability purposes. This reclassification is in divisional presentation only and did not impact the overall net sales balances previously disclosed.</w:t>
      </w:r>
    </w:p>
    <w:p>
      <w:pPr>
        <w:spacing w:after="0" w:line="135"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19" w:lineRule="exact"/>
        <w:rPr>
          <w:sz w:val="20"/>
          <w:szCs w:val="20"/>
          <w:color w:val="auto"/>
        </w:rPr>
      </w:pPr>
    </w:p>
    <w:p>
      <w:pPr>
        <w:jc w:val="both"/>
        <w:ind w:left="370" w:right="20" w:firstLine="360"/>
        <w:spacing w:after="0" w:line="266" w:lineRule="auto"/>
        <w:rPr>
          <w:sz w:val="20"/>
          <w:szCs w:val="20"/>
          <w:color w:val="auto"/>
        </w:rPr>
      </w:pPr>
      <w:r>
        <w:rPr>
          <w:rFonts w:ascii="Times New Roman" w:cs="Times New Roman" w:eastAsia="Times New Roman" w:hAnsi="Times New Roman"/>
          <w:sz w:val="20"/>
          <w:szCs w:val="20"/>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186"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w:t>
      </w:r>
    </w:p>
    <w:p>
      <w:pPr>
        <w:spacing w:after="0" w:line="259" w:lineRule="exact"/>
        <w:rPr>
          <w:sz w:val="20"/>
          <w:szCs w:val="20"/>
          <w:color w:val="auto"/>
        </w:rPr>
      </w:pPr>
    </w:p>
    <w:p>
      <w:pPr>
        <w:jc w:val="both"/>
        <w:ind w:left="370" w:firstLine="360"/>
        <w:spacing w:after="0" w:line="256" w:lineRule="auto"/>
        <w:rPr>
          <w:sz w:val="20"/>
          <w:szCs w:val="20"/>
          <w:color w:val="auto"/>
        </w:rPr>
      </w:pPr>
      <w:r>
        <w:rPr>
          <w:rFonts w:ascii="Times New Roman" w:cs="Times New Roman" w:eastAsia="Times New Roman" w:hAnsi="Times New Roman"/>
          <w:sz w:val="20"/>
          <w:szCs w:val="20"/>
          <w:color w:val="auto"/>
        </w:rPr>
        <w:t>Financial instruments are comprised of cash and cash equivalents, accounts receivable, accounts payable, certain accrued liabilities and debt. The carrying amounts of cash and cash equivalents, accounts receivable, accounts payable and accrued liabilities approximate their fair values due to the short-term nature of those instruments. We have also historically entered into derivative interest rate swaps to reduce the risk that our earnings and cash flows will be affected by changes in interest rates on our debt. The fair value of debt is influenced by fluctuations in market conditions for interest rates (see Note 6). We did not have any derivative financial instruments outstanding as of February 3, 2024 or January 28, 2023.</w:t>
      </w:r>
    </w:p>
    <w:p>
      <w:pPr>
        <w:sectPr>
          <w:pgSz w:w="12240" w:h="15840" w:orient="portrait"/>
          <w:cols w:equalWidth="0" w:num="1">
            <w:col w:w="10270"/>
          </w:cols>
          <w:pgMar w:left="990" w:top="784" w:right="980" w:bottom="0" w:gutter="0" w:footer="0" w:header="0"/>
        </w:sectPr>
      </w:pPr>
    </w:p>
    <w:p>
      <w:pPr>
        <w:spacing w:after="0" w:line="192"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70"/>
          </w:cols>
          <w:pgMar w:left="990" w:top="784" w:right="98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25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Risk</w:t>
      </w:r>
    </w:p>
    <w:p>
      <w:pPr>
        <w:spacing w:after="0" w:line="259"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Financial instruments which subject us to potential credit risk consist of cash and cash equivalents.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believe that the financial risks associated with these financial instruments are minimal.</w:t>
      </w:r>
    </w:p>
    <w:p>
      <w:pPr>
        <w:spacing w:after="0" w:line="204"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We purchase merchandise inventories from approximately 1,400 vendors. In each of the years 2023, 2022 and 2021, purchases from our largest vendor represented approximately 11% of our total inventory purchases. No other vendor in any of the aforementioned years exceeded 10% of our purchases. We typically do not enter into long-term inventory purchase commitments, and we did not have any such commitments as of February 3, 2024 or January 28, 2023.</w:t>
      </w:r>
    </w:p>
    <w:p>
      <w:pPr>
        <w:spacing w:after="0" w:line="203"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war or other disruptions affecting the business or operations of third-party manufacturers located outside of the United States.</w:t>
      </w:r>
    </w:p>
    <w:p>
      <w:pPr>
        <w:spacing w:after="0" w:line="20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Company’s geographic concentration in the southern United States subjects us to certain regional risks, such as the state of regional economies, including downturns in the housing market, increased unemployment and gas prices. Other regional risks include legislation, politics, cultural views, severe weather conditions or man-made disasters (such as an oil spill closing large areas of hunting or fishing), fires, heat waves, freezes, hurricanes, tornadoes, large storms and floods and other natural disasters specific to the states in which the Company operates.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Merchandise Inventories, net</w:t>
      </w:r>
    </w:p>
    <w:p>
      <w:pPr>
        <w:spacing w:after="0" w:line="259" w:lineRule="exact"/>
        <w:rPr>
          <w:sz w:val="20"/>
          <w:szCs w:val="20"/>
          <w:color w:val="auto"/>
        </w:rPr>
      </w:pPr>
    </w:p>
    <w:p>
      <w:pPr>
        <w:jc w:val="both"/>
        <w:ind w:right="20" w:firstLine="360"/>
        <w:spacing w:after="0" w:line="253" w:lineRule="auto"/>
        <w:rPr>
          <w:sz w:val="20"/>
          <w:szCs w:val="20"/>
          <w:color w:val="auto"/>
        </w:rPr>
      </w:pPr>
      <w:r>
        <w:rPr>
          <w:rFonts w:ascii="Times New Roman" w:cs="Times New Roman" w:eastAsia="Times New Roman" w:hAnsi="Times New Roman"/>
          <w:sz w:val="20"/>
          <w:szCs w:val="20"/>
          <w:color w:val="auto"/>
        </w:rPr>
        <w:t>Merchandise inventories are stated at the lower of weighted average cost and net realizable value. Merchandise inventories include the direct cost of merchandise and capitalized costs related to procurement, warehousing and distribution and are reflected net of shrinkage, vendor allowances and other valuation reserves. We record an inventory reserve for the estimated shrinkage between physical inventories on a by location basis. We generally perform a full physical inventory count for each store at least once a year, throughout the year, after which our shrinkage accrual rate for each store is updated based on historical results. For vendor allowances based on contractual provisions, we develop accrual rates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 Prior to 2023, we valued merchandise inventories at the lower of the weighted average cost method or LIFO method (see Change in Accounting Principle discussion below). The application of the LIFO inventory method did not result in any LIFO charges or credits affecting cost of sales in 2022 or 2021.</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Change in Accounting Principle</w:t>
      </w:r>
    </w:p>
    <w:p>
      <w:pPr>
        <w:spacing w:after="0" w:line="134"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Effective January 29, 2023, the Company changed the method of accounting for its inventories from the last-in-first-out (“LIFO”) method to the weighted average cost method. The Company believes that this inventory method change is preferable because we believe it improves comparability with industry peers and is a more accurate representation of merchandise inventories, net and cost of goods sold. Due to historical price deflation on the Company’s merchandise purchases, the Company was in a position where the LIFO merchandise inventories value exceeded the cost of its inventory for all periods presented in the consolidated financial statements. In considering the lower of cost or market principle, merchandise inventories valued at LIFO, including necessary valuation adjustments, approximated the cost of such inventories using the weighted average inventory method. As such, there is no impact to the prior periods from the retrospective presentation of the change.</w:t>
      </w:r>
    </w:p>
    <w:p>
      <w:pPr>
        <w:sectPr>
          <w:pgSz w:w="12240" w:h="15840" w:orient="portrait"/>
          <w:cols w:equalWidth="0" w:num="1">
            <w:col w:w="9900"/>
          </w:cols>
          <w:pgMar w:left="1360" w:top="102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900"/>
          </w:cols>
          <w:pgMar w:left="1360" w:top="1024" w:right="980" w:bottom="0" w:gutter="0" w:footer="0" w:header="0"/>
          <w:type w:val="continuous"/>
        </w:sectPr>
      </w:pPr>
    </w:p>
    <w:bookmarkStart w:id="86" w:name="page87"/>
    <w:bookmarkEnd w:id="86"/>
    <w:p>
      <w:pPr>
        <w:jc w:val="both"/>
        <w:ind w:right="2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tables show the pro forma effect to our consolidated financial statements as if the Company had remained on LIFO (amounts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9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95"/>
        </w:trPr>
        <w:tc>
          <w:tcPr>
            <w:tcW w:w="4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Balance Sheet</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4"/>
                <w:szCs w:val="24"/>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Effect of Change</w:t>
            </w:r>
          </w:p>
        </w:tc>
        <w:tc>
          <w:tcPr>
            <w:tcW w:w="60" w:type="dxa"/>
            <w:vAlign w:val="bottom"/>
          </w:tcPr>
          <w:p>
            <w:pPr>
              <w:spacing w:after="0"/>
              <w:rPr>
                <w:sz w:val="24"/>
                <w:szCs w:val="24"/>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Pro Forma LIFO</w:t>
            </w:r>
          </w:p>
        </w:tc>
      </w:tr>
      <w:tr>
        <w:trPr>
          <w:trHeight w:val="292"/>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Merchandise inventories, net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1,194,159</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1,191,544</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current assets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1,644,900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1,642,285</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assets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4,676,713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4,674,098</w:t>
            </w:r>
          </w:p>
        </w:tc>
      </w:tr>
      <w:tr>
        <w:trPr>
          <w:trHeight w:val="6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217,932</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190,713</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879,858</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852,639</w:t>
            </w:r>
          </w:p>
        </w:tc>
      </w:tr>
      <w:tr>
        <w:trPr>
          <w:trHeight w:val="6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254,796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26,609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281,405</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liabilities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2,722,063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2,721,453</w:t>
            </w:r>
          </w:p>
        </w:tc>
      </w:tr>
      <w:tr>
        <w:trPr>
          <w:trHeight w:val="6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Retained earnings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1,711,809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1,709,804</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Stockholders' equity</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1,954,650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1,952,645</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4,676,713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4,674,098</w:t>
            </w:r>
          </w:p>
        </w:tc>
      </w:tr>
      <w:tr>
        <w:trPr>
          <w:trHeight w:val="633"/>
        </w:trPr>
        <w:tc>
          <w:tcPr>
            <w:tcW w:w="4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20"/>
                <w:szCs w:val="20"/>
                <w:b w:val="1"/>
                <w:bCs w:val="1"/>
                <w:color w:val="auto"/>
              </w:rPr>
              <w:t>Year Ended February 3, 2024</w:t>
            </w:r>
          </w:p>
        </w:tc>
        <w:tc>
          <w:tcPr>
            <w:tcW w:w="1040" w:type="dxa"/>
            <w:vAlign w:val="bottom"/>
            <w:tcBorders>
              <w:bottom w:val="single" w:sz="8" w:color="auto"/>
            </w:tcBorders>
          </w:tcPr>
          <w:p>
            <w:pPr>
              <w:spacing w:after="0"/>
              <w:rPr>
                <w:sz w:val="24"/>
                <w:szCs w:val="24"/>
                <w:color w:val="auto"/>
              </w:rPr>
            </w:pPr>
          </w:p>
        </w:tc>
      </w:tr>
      <w:tr>
        <w:trPr>
          <w:trHeight w:val="295"/>
        </w:trPr>
        <w:tc>
          <w:tcPr>
            <w:tcW w:w="4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4"/>
                <w:szCs w:val="24"/>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Effect of Change</w:t>
            </w:r>
          </w:p>
        </w:tc>
        <w:tc>
          <w:tcPr>
            <w:tcW w:w="60" w:type="dxa"/>
            <w:vAlign w:val="bottom"/>
          </w:tcPr>
          <w:p>
            <w:pPr>
              <w:spacing w:after="0"/>
              <w:rPr>
                <w:sz w:val="24"/>
                <w:szCs w:val="24"/>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Pro Forma LIFO</w:t>
            </w:r>
          </w:p>
        </w:tc>
      </w:tr>
      <w:tr>
        <w:trPr>
          <w:trHeight w:val="292"/>
        </w:trPr>
        <w:tc>
          <w:tcPr>
            <w:tcW w:w="4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5"/>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4,049,080</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4,051,695</w:t>
            </w:r>
          </w:p>
        </w:tc>
      </w:tr>
      <w:tr>
        <w:trPr>
          <w:trHeight w:val="315"/>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2,110,211</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2,107,596</w:t>
            </w:r>
          </w:p>
        </w:tc>
      </w:tr>
      <w:tr>
        <w:trPr>
          <w:trHeight w:val="315"/>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677,855</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675,240</w:t>
            </w:r>
          </w:p>
        </w:tc>
      </w:tr>
      <w:tr>
        <w:trPr>
          <w:trHeight w:val="315"/>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663,156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660,541</w:t>
            </w:r>
          </w:p>
        </w:tc>
      </w:tr>
      <w:tr>
        <w:trPr>
          <w:trHeight w:val="315"/>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143,966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143,356</w:t>
            </w:r>
          </w:p>
        </w:tc>
      </w:tr>
      <w:tr>
        <w:trPr>
          <w:trHeight w:val="315"/>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519,190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517,185</w:t>
            </w:r>
          </w:p>
        </w:tc>
      </w:tr>
      <w:tr>
        <w:trPr>
          <w:trHeight w:val="6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common share:</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w:t>
            </w:r>
          </w:p>
        </w:tc>
      </w:tr>
      <w:tr>
        <w:trPr>
          <w:trHeight w:val="630"/>
        </w:trPr>
        <w:tc>
          <w:tcPr>
            <w:tcW w:w="4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519,190</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517,185</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income taxes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(4,247)</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26,609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22,362</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LIFO charge</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r>
      <w:tr>
        <w:trPr>
          <w:trHeight w:val="315"/>
        </w:trPr>
        <w:tc>
          <w:tcPr>
            <w:tcW w:w="4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Income taxes payable</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17,640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(9,579)</w:t>
            </w:r>
          </w:p>
        </w:tc>
      </w:tr>
      <w:tr>
        <w:trPr>
          <w:trHeight w:val="315"/>
        </w:trPr>
        <w:tc>
          <w:tcPr>
            <w:tcW w:w="49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535,779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535,779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-6804660</wp:posOffset>
            </wp:positionV>
            <wp:extent cx="6311900" cy="262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0">
                      <a:extLst>
                        <a:ext uri="{28A0092B-C50C-407E-A947-70E740481C1C}"/>
                      </a:extLst>
                    </a:blip>
                    <a:srcRect/>
                    <a:stretch>
                      <a:fillRect/>
                    </a:stretch>
                  </pic:blipFill>
                  <pic:spPr bwMode="auto">
                    <a:xfrm>
                      <a:off x="0" y="0"/>
                      <a:ext cx="6311900" cy="26257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-3604260</wp:posOffset>
            </wp:positionV>
            <wp:extent cx="6311900" cy="22256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1">
                      <a:extLst>
                        <a:ext uri="{28A0092B-C50C-407E-A947-70E740481C1C}"/>
                      </a:extLst>
                    </a:blip>
                    <a:srcRect/>
                    <a:stretch>
                      <a:fillRect/>
                    </a:stretch>
                  </pic:blipFill>
                  <pic:spPr bwMode="auto">
                    <a:xfrm>
                      <a:off x="0" y="0"/>
                      <a:ext cx="6311900" cy="22256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-1003935</wp:posOffset>
            </wp:positionV>
            <wp:extent cx="6311900" cy="1025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2">
                      <a:extLst>
                        <a:ext uri="{28A0092B-C50C-407E-A947-70E740481C1C}"/>
                      </a:extLst>
                    </a:blip>
                    <a:srcRect/>
                    <a:stretch>
                      <a:fillRect/>
                    </a:stretch>
                  </pic:blipFill>
                  <pic:spPr bwMode="auto">
                    <a:xfrm>
                      <a:off x="0" y="0"/>
                      <a:ext cx="6311900" cy="102552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Supplier Finance Programs</w:t>
      </w:r>
    </w:p>
    <w:p>
      <w:pPr>
        <w:spacing w:after="0" w:line="139"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In September 2022, the FASB issued ASU 2022-04: Liabilities - Supplier Finance Programs Disclosure of Supplier Finance Program Obligations. This pronouncement requires that a buyer in a supplier finance program disclose sufficient information about the program to allow a user of the financial statements to understand the program's nature, activity during the period, changes from period to period and potential magnitude. The Company adopted the new guidance as of January 29, 2023.</w:t>
      </w:r>
    </w:p>
    <w:p>
      <w:pPr>
        <w:sectPr>
          <w:pgSz w:w="12240" w:h="15840" w:orient="portrait"/>
          <w:cols w:equalWidth="0" w:num="1">
            <w:col w:w="9900"/>
          </w:cols>
          <w:pgMar w:left="1360" w:top="793" w:right="980" w:bottom="0" w:gutter="0" w:footer="0" w:header="0"/>
        </w:sectPr>
      </w:pP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00"/>
          </w:cols>
          <w:pgMar w:left="1360" w:top="793" w:right="980" w:bottom="0" w:gutter="0" w:footer="0" w:header="0"/>
          <w:type w:val="continuous"/>
        </w:sectPr>
      </w:pPr>
    </w:p>
    <w:bookmarkStart w:id="87" w:name="page88"/>
    <w:bookmarkEnd w:id="87"/>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The following table shows our liability associated with these arrangements, which is presented within accounts payable on the consolidated balance sheets, and the related activity for the periods presented (amounts in thousands):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0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February 3, 2024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January 28, 2023</w:t>
            </w:r>
          </w:p>
        </w:tc>
      </w:tr>
      <w:tr>
        <w:trPr>
          <w:trHeight w:val="292"/>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Invoices outstanding at the beginning of the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8,953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4,430</w:t>
            </w:r>
          </w:p>
        </w:tc>
      </w:tr>
      <w:tr>
        <w:trPr>
          <w:trHeight w:val="315"/>
        </w:trPr>
        <w:tc>
          <w:tcPr>
            <w:tcW w:w="6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Invoices added</w:t>
            </w:r>
          </w:p>
        </w:tc>
        <w:tc>
          <w:tcPr>
            <w:tcW w:w="1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44,673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50,791</w:t>
            </w:r>
          </w:p>
        </w:tc>
      </w:tr>
      <w:tr>
        <w:trPr>
          <w:trHeight w:val="318"/>
        </w:trPr>
        <w:tc>
          <w:tcPr>
            <w:tcW w:w="6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Invoices paid</w:t>
            </w: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(46,452)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(46,268)</w:t>
            </w:r>
          </w:p>
        </w:tc>
      </w:tr>
      <w:tr>
        <w:trPr>
          <w:trHeight w:val="275"/>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Invoices outstanding at the end of the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7,174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8,953</w:t>
            </w:r>
          </w:p>
        </w:tc>
      </w:tr>
      <w:tr>
        <w:trPr>
          <w:trHeight w:val="20"/>
        </w:trPr>
        <w:tc>
          <w:tcPr>
            <w:tcW w:w="6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-831215</wp:posOffset>
            </wp:positionV>
            <wp:extent cx="6311900" cy="838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3">
                      <a:extLst>
                        <a:ext uri="{28A0092B-C50C-407E-A947-70E740481C1C}"/>
                      </a:extLst>
                    </a:blip>
                    <a:srcRect/>
                    <a:stretch>
                      <a:fillRect/>
                    </a:stretch>
                  </pic:blipFill>
                  <pic:spPr bwMode="auto">
                    <a:xfrm>
                      <a:off x="0" y="0"/>
                      <a:ext cx="6311900" cy="8382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5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307" w:lineRule="exact"/>
        <w:rPr>
          <w:sz w:val="20"/>
          <w:szCs w:val="20"/>
          <w:color w:val="auto"/>
        </w:rPr>
      </w:pPr>
    </w:p>
    <w:p>
      <w:pPr>
        <w:ind w:left="400"/>
        <w:spacing w:after="0"/>
        <w:tabs>
          <w:tab w:leader="none" w:pos="3740" w:val="left"/>
        </w:tabs>
        <w:rPr>
          <w:sz w:val="20"/>
          <w:szCs w:val="20"/>
          <w:color w:val="auto"/>
        </w:rPr>
      </w:pPr>
      <w:r>
        <w:rPr>
          <w:rFonts w:ascii="Times New Roman" w:cs="Times New Roman" w:eastAsia="Times New Roman" w:hAnsi="Times New Roman"/>
          <w:sz w:val="20"/>
          <w:szCs w:val="20"/>
          <w:color w:val="auto"/>
        </w:rPr>
        <w:t>Leasehold improvements</w:t>
      </w:r>
      <w:r>
        <w:rPr>
          <w:sz w:val="20"/>
          <w:szCs w:val="20"/>
          <w:color w:val="auto"/>
        </w:rPr>
        <w:tab/>
      </w:r>
      <w:r>
        <w:rPr>
          <w:rFonts w:ascii="Times New Roman" w:cs="Times New Roman" w:eastAsia="Times New Roman" w:hAnsi="Times New Roman"/>
          <w:sz w:val="20"/>
          <w:szCs w:val="20"/>
          <w:color w:val="auto"/>
        </w:rPr>
        <w:t>Lesser of asset useful life or lease term</w:t>
      </w:r>
    </w:p>
    <w:p>
      <w:pPr>
        <w:spacing w:after="0" w:line="85" w:lineRule="exact"/>
        <w:rPr>
          <w:sz w:val="20"/>
          <w:szCs w:val="20"/>
          <w:color w:val="auto"/>
        </w:rPr>
      </w:pPr>
    </w:p>
    <w:p>
      <w:pPr>
        <w:ind w:left="400"/>
        <w:spacing w:after="0"/>
        <w:tabs>
          <w:tab w:leader="none" w:pos="3740" w:val="left"/>
        </w:tabs>
        <w:rPr>
          <w:sz w:val="20"/>
          <w:szCs w:val="20"/>
          <w:color w:val="auto"/>
        </w:rPr>
      </w:pPr>
      <w:r>
        <w:rPr>
          <w:rFonts w:ascii="Times New Roman" w:cs="Times New Roman" w:eastAsia="Times New Roman" w:hAnsi="Times New Roman"/>
          <w:sz w:val="20"/>
          <w:szCs w:val="20"/>
          <w:color w:val="auto"/>
        </w:rPr>
        <w:t>Software and computer equipment</w:t>
      </w:r>
      <w:r>
        <w:rPr>
          <w:sz w:val="20"/>
          <w:szCs w:val="20"/>
          <w:color w:val="auto"/>
        </w:rPr>
        <w:tab/>
      </w:r>
      <w:r>
        <w:rPr>
          <w:rFonts w:ascii="Times New Roman" w:cs="Times New Roman" w:eastAsia="Times New Roman" w:hAnsi="Times New Roman"/>
          <w:sz w:val="20"/>
          <w:szCs w:val="20"/>
          <w:color w:val="auto"/>
        </w:rPr>
        <w:t>2–5 years</w:t>
      </w:r>
    </w:p>
    <w:p>
      <w:pPr>
        <w:spacing w:after="0" w:line="85" w:lineRule="exact"/>
        <w:rPr>
          <w:sz w:val="20"/>
          <w:szCs w:val="20"/>
          <w:color w:val="auto"/>
        </w:rPr>
      </w:pPr>
    </w:p>
    <w:p>
      <w:pPr>
        <w:ind w:left="400"/>
        <w:spacing w:after="0"/>
        <w:tabs>
          <w:tab w:leader="none" w:pos="3740" w:val="left"/>
        </w:tabs>
        <w:rPr>
          <w:sz w:val="20"/>
          <w:szCs w:val="20"/>
          <w:color w:val="auto"/>
        </w:rPr>
      </w:pPr>
      <w:r>
        <w:rPr>
          <w:rFonts w:ascii="Times New Roman" w:cs="Times New Roman" w:eastAsia="Times New Roman" w:hAnsi="Times New Roman"/>
          <w:sz w:val="20"/>
          <w:szCs w:val="20"/>
          <w:color w:val="auto"/>
        </w:rPr>
        <w:t>Other equipment</w:t>
      </w:r>
      <w:r>
        <w:rPr>
          <w:sz w:val="20"/>
          <w:szCs w:val="20"/>
          <w:color w:val="auto"/>
        </w:rPr>
        <w:tab/>
      </w:r>
      <w:r>
        <w:rPr>
          <w:rFonts w:ascii="Times New Roman" w:cs="Times New Roman" w:eastAsia="Times New Roman" w:hAnsi="Times New Roman"/>
          <w:sz w:val="20"/>
          <w:szCs w:val="20"/>
          <w:color w:val="auto"/>
        </w:rPr>
        <w:t>5–10 years</w:t>
      </w:r>
    </w:p>
    <w:p>
      <w:pPr>
        <w:spacing w:after="0" w:line="85" w:lineRule="exact"/>
        <w:rPr>
          <w:sz w:val="20"/>
          <w:szCs w:val="20"/>
          <w:color w:val="auto"/>
        </w:rPr>
      </w:pPr>
    </w:p>
    <w:p>
      <w:pPr>
        <w:ind w:left="400"/>
        <w:spacing w:after="0"/>
        <w:tabs>
          <w:tab w:leader="none" w:pos="3740" w:val="left"/>
        </w:tabs>
        <w:rPr>
          <w:sz w:val="20"/>
          <w:szCs w:val="20"/>
          <w:color w:val="auto"/>
        </w:rPr>
      </w:pPr>
      <w:r>
        <w:rPr>
          <w:rFonts w:ascii="Times New Roman" w:cs="Times New Roman" w:eastAsia="Times New Roman" w:hAnsi="Times New Roman"/>
          <w:sz w:val="20"/>
          <w:szCs w:val="20"/>
          <w:color w:val="auto"/>
        </w:rPr>
        <w:t>Furniture and fixtures</w:t>
      </w:r>
      <w:r>
        <w:rPr>
          <w:sz w:val="20"/>
          <w:szCs w:val="20"/>
          <w:color w:val="auto"/>
        </w:rPr>
        <w:tab/>
      </w:r>
      <w:r>
        <w:rPr>
          <w:rFonts w:ascii="Times New Roman" w:cs="Times New Roman" w:eastAsia="Times New Roman" w:hAnsi="Times New Roman"/>
          <w:sz w:val="20"/>
          <w:szCs w:val="20"/>
          <w:color w:val="auto"/>
        </w:rPr>
        <w:t>7–10 years</w:t>
      </w:r>
    </w:p>
    <w:p>
      <w:pPr>
        <w:spacing w:after="0" w:line="85" w:lineRule="exact"/>
        <w:rPr>
          <w:sz w:val="20"/>
          <w:szCs w:val="20"/>
          <w:color w:val="auto"/>
        </w:rPr>
      </w:pPr>
    </w:p>
    <w:p>
      <w:pPr>
        <w:ind w:left="400"/>
        <w:spacing w:after="0"/>
        <w:tabs>
          <w:tab w:leader="none" w:pos="3740" w:val="left"/>
        </w:tabs>
        <w:rPr>
          <w:sz w:val="20"/>
          <w:szCs w:val="20"/>
          <w:color w:val="auto"/>
        </w:rPr>
      </w:pPr>
      <w:r>
        <w:rPr>
          <w:rFonts w:ascii="Times New Roman" w:cs="Times New Roman" w:eastAsia="Times New Roman" w:hAnsi="Times New Roman"/>
          <w:sz w:val="20"/>
          <w:szCs w:val="20"/>
          <w:color w:val="auto"/>
        </w:rPr>
        <w:t>Buildings</w:t>
      </w:r>
      <w:r>
        <w:rPr>
          <w:sz w:val="20"/>
          <w:szCs w:val="20"/>
          <w:color w:val="auto"/>
        </w:rPr>
        <w:tab/>
      </w:r>
      <w:r>
        <w:rPr>
          <w:rFonts w:ascii="Times New Roman" w:cs="Times New Roman" w:eastAsia="Times New Roman" w:hAnsi="Times New Roman"/>
          <w:sz w:val="20"/>
          <w:szCs w:val="20"/>
          <w:color w:val="auto"/>
        </w:rPr>
        <w:t>40 years</w:t>
      </w:r>
    </w:p>
    <w:p>
      <w:pPr>
        <w:spacing w:after="0" w:line="322"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or enhance the functionality of an asset are capitalized and amortized.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Computer Software Costs</w:t>
      </w:r>
    </w:p>
    <w:p>
      <w:pPr>
        <w:spacing w:after="0" w:line="259"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$33.3 million, $33.3 million and $36.7 million in 2023, 2022 and 2021, respectively.</w:t>
      </w:r>
    </w:p>
    <w:p>
      <w:pPr>
        <w:spacing w:after="0" w:line="203"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Implementation costs for cloud-based information systems are capitalized in other non-current assets. Amortization of cloud-based software implementation costs is recognized in selling, general and administrative expenses and amortized over the longer of the contract term or expected benefit. The amounts capitalized were $23.5 million, $12.3 million and $3.7 million in 2023, 2022 and 2021,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Interest</w:t>
      </w:r>
    </w:p>
    <w:p>
      <w:pPr>
        <w:spacing w:after="0" w:line="256"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We capitalized interest primarily related to construction of new stores, store renovations, distribution centers and IT projects in the amount of $2.1 million, $0.6 million and $0.4 million in 2023, 2022 and 2021, respectively. Interest expense, net on the consolidated statement of income is shown net of capitalized interest.</w:t>
      </w:r>
    </w:p>
    <w:p>
      <w:pPr>
        <w:sectPr>
          <w:pgSz w:w="12240" w:h="15840" w:orient="portrait"/>
          <w:cols w:equalWidth="0" w:num="1">
            <w:col w:w="9900"/>
          </w:cols>
          <w:pgMar w:left="136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00"/>
          </w:cols>
          <w:pgMar w:left="1360" w:top="793" w:right="98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59" w:lineRule="exact"/>
        <w:rPr>
          <w:sz w:val="20"/>
          <w:szCs w:val="20"/>
          <w:color w:val="auto"/>
        </w:rPr>
      </w:pPr>
    </w:p>
    <w:p>
      <w:pPr>
        <w:jc w:val="both"/>
        <w:ind w:right="20" w:firstLine="360"/>
        <w:spacing w:after="0" w:line="255" w:lineRule="auto"/>
        <w:rPr>
          <w:sz w:val="20"/>
          <w:szCs w:val="20"/>
          <w:color w:val="auto"/>
        </w:rPr>
      </w:pPr>
      <w:r>
        <w:rPr>
          <w:rFonts w:ascii="Times New Roman" w:cs="Times New Roman" w:eastAsia="Times New Roman" w:hAnsi="Times New Roman"/>
          <w:sz w:val="20"/>
          <w:szCs w:val="20"/>
          <w:color w:val="auto"/>
        </w:rPr>
        <w:t>We review the carrying value of long-lived assets, including store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 As a result of our assessment, we did not record an impairment of long-lived assets in 2023, 2022 and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9"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Goodwill represents the excess of the purchase price of an acquired business over the amounts assigned to assets acquired and liabilities 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spacing w:after="0" w:line="203" w:lineRule="exact"/>
        <w:rPr>
          <w:sz w:val="20"/>
          <w:szCs w:val="20"/>
          <w:color w:val="auto"/>
        </w:rPr>
      </w:pPr>
    </w:p>
    <w:p>
      <w:pPr>
        <w:jc w:val="both"/>
        <w:ind w:right="20" w:firstLine="360"/>
        <w:spacing w:after="0" w:line="255" w:lineRule="auto"/>
        <w:rPr>
          <w:sz w:val="20"/>
          <w:szCs w:val="20"/>
          <w:color w:val="auto"/>
        </w:rPr>
      </w:pPr>
      <w:r>
        <w:rPr>
          <w:rFonts w:ascii="Times New Roman" w:cs="Times New Roman" w:eastAsia="Times New Roman" w:hAnsi="Times New Roman"/>
          <w:sz w:val="20"/>
          <w:szCs w:val="20"/>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 In 2023, 2022 and 2021, we performed a qualitative assessment and determined a quantitative assessment was not necessary.</w:t>
      </w:r>
    </w:p>
    <w:p>
      <w:pPr>
        <w:spacing w:after="0" w:line="21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 impairment of goodwill existed for 2023, 2022 or 2021.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Intangible assets primarily consists of the trade name "Academy Sports + Outdoors" (the "Trade Name"). The Trade Name is expected to generate cash flows indefinitely and, therefore, is accounted for as an indefinite-lived asset not subject to amortization.</w:t>
      </w:r>
    </w:p>
    <w:p>
      <w:pPr>
        <w:spacing w:after="0" w:line="195" w:lineRule="exact"/>
        <w:rPr>
          <w:sz w:val="20"/>
          <w:szCs w:val="20"/>
          <w:color w:val="auto"/>
        </w:rPr>
      </w:pPr>
    </w:p>
    <w:p>
      <w:pPr>
        <w:jc w:val="both"/>
        <w:ind w:right="20" w:firstLine="360"/>
        <w:spacing w:after="0" w:line="254" w:lineRule="auto"/>
        <w:rPr>
          <w:sz w:val="20"/>
          <w:szCs w:val="20"/>
          <w:color w:val="auto"/>
        </w:rPr>
      </w:pPr>
      <w:r>
        <w:rPr>
          <w:rFonts w:ascii="Times New Roman" w:cs="Times New Roman" w:eastAsia="Times New Roman" w:hAnsi="Times New Roman"/>
          <w:sz w:val="20"/>
          <w:szCs w:val="20"/>
          <w:color w:val="auto"/>
        </w:rPr>
        <w:t>The Trade Name is tested for impairment annually or whenever events or circumstances indicate that the carrying amount of the Trade Name may not be recoverable. The annual Trade Name impairment test provides for the option of first performing a qualitative assessment to evaluate the existence of events and circumstances that would lead to a determination that it is more likely than not that the fair value of an intangible asset is less than its carrying amount. If such a conclusion is reached, we would then be required to perform a quantitative impairment assessment for the Trade Name. However, if the qualitative assessment leads to a determination that it is more likely than not that the fair value of an intangible asset is greater than its carrying amount, then no further assessments are required. In 2023, 2022 and 2021, we performed a qualitative assessment and determined a quantitative assessment was not necessary.</w:t>
      </w:r>
    </w:p>
    <w:p>
      <w:pPr>
        <w:spacing w:after="0" w:line="21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 impairment of intangible assets existed for 2023, 2022 or 2021.</w:t>
      </w:r>
    </w:p>
    <w:p>
      <w:pPr>
        <w:sectPr>
          <w:pgSz w:w="12240" w:h="15840" w:orient="portrait"/>
          <w:cols w:equalWidth="0" w:num="1">
            <w:col w:w="9900"/>
          </w:cols>
          <w:pgMar w:left="136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1360" w:top="784" w:right="9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Loan Costs</w:t>
      </w:r>
    </w:p>
    <w:p>
      <w:pPr>
        <w:spacing w:after="0" w:line="259" w:lineRule="exact"/>
        <w:rPr>
          <w:sz w:val="20"/>
          <w:szCs w:val="20"/>
          <w:color w:val="auto"/>
        </w:rPr>
      </w:pPr>
    </w:p>
    <w:p>
      <w:pPr>
        <w:jc w:val="both"/>
        <w:ind w:right="20" w:firstLine="422"/>
        <w:spacing w:after="0" w:line="256" w:lineRule="auto"/>
        <w:rPr>
          <w:sz w:val="20"/>
          <w:szCs w:val="20"/>
          <w:color w:val="auto"/>
        </w:rPr>
      </w:pPr>
      <w:r>
        <w:rPr>
          <w:rFonts w:ascii="Times New Roman" w:cs="Times New Roman" w:eastAsia="Times New Roman" w:hAnsi="Times New Roman"/>
          <w:sz w:val="20"/>
          <w:szCs w:val="20"/>
          <w:color w:val="auto"/>
        </w:rPr>
        <w:t>Costs incurred to issue debt are deferred and recorded in the consolidated balance sheets. Those costs related to the issuance of our term loan and senior notes are recorded in long-term debt, net of current maturities and amortized as a component of interest expense over the terms of the related debt agreement using the effective interest method. The costs related to the issuance of our revolving credit facility is recorded in other noncurrent assets on the consolidated balance sheets and amortized as a component of interest expense over the terms of the related debt agreements using the straight-line method.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w:t>
      </w:r>
    </w:p>
    <w:p>
      <w:pPr>
        <w:spacing w:after="0" w:line="2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We are exposed to interest rate risk, primarily related to changes in interest rates on our Term Loan (see Note 4) and have historically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spacing w:after="0" w:line="208" w:lineRule="exact"/>
        <w:rPr>
          <w:sz w:val="20"/>
          <w:szCs w:val="20"/>
          <w:color w:val="auto"/>
        </w:rPr>
      </w:pPr>
    </w:p>
    <w:p>
      <w:pPr>
        <w:jc w:val="both"/>
        <w:ind w:right="20" w:firstLine="360"/>
        <w:spacing w:after="0" w:line="256" w:lineRule="auto"/>
        <w:rPr>
          <w:sz w:val="20"/>
          <w:szCs w:val="20"/>
          <w:color w:val="auto"/>
        </w:rPr>
      </w:pPr>
      <w:r>
        <w:rPr>
          <w:rFonts w:ascii="Times New Roman" w:cs="Times New Roman" w:eastAsia="Times New Roman" w:hAnsi="Times New Roman"/>
          <w:sz w:val="20"/>
          <w:szCs w:val="20"/>
          <w:color w:val="auto"/>
        </w:rPr>
        <w:t>Derivative financial instruments are recognized at fair value in the consolidated balance sheets (see Note 5). The changes in the fair value of derivative instruments designated as cash flow hedges are recorded in accumulated other comprehensive income ("AOCI"), net of tax effects, and are subsequently reclassified to earnings when the hedged transaction affects earnings. On January 19, 2021, we settled our three remaining outstanding interest rate swaps, which were scheduled to expire on various dates during 2021, for $4.1 million. As of February 3, 2024, we do not have any derivative financial instruments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Self-Insurance</w:t>
      </w:r>
    </w:p>
    <w:p>
      <w:pPr>
        <w:spacing w:after="0" w:line="259" w:lineRule="exact"/>
        <w:rPr>
          <w:sz w:val="20"/>
          <w:szCs w:val="20"/>
          <w:color w:val="auto"/>
        </w:rPr>
      </w:pPr>
    </w:p>
    <w:p>
      <w:pPr>
        <w:jc w:val="both"/>
        <w:ind w:right="20" w:firstLine="360"/>
        <w:spacing w:after="0" w:line="253" w:lineRule="auto"/>
        <w:rPr>
          <w:sz w:val="20"/>
          <w:szCs w:val="20"/>
          <w:color w:val="auto"/>
        </w:rPr>
      </w:pPr>
      <w:r>
        <w:rPr>
          <w:rFonts w:ascii="Times New Roman" w:cs="Times New Roman" w:eastAsia="Times New Roman" w:hAnsi="Times New Roman"/>
          <w:sz w:val="20"/>
          <w:szCs w:val="20"/>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5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We account for our leases in accordance with Accounting Standards Codification ("ASC") 842 which requires that lessees recognize assets and liabilities arising from operating leases on the balance sheet and disclose key information about leasing arrangements.</w:t>
      </w:r>
    </w:p>
    <w:p>
      <w:pPr>
        <w:spacing w:after="0" w:line="195" w:lineRule="exact"/>
        <w:rPr>
          <w:sz w:val="20"/>
          <w:szCs w:val="20"/>
          <w:color w:val="auto"/>
        </w:rPr>
      </w:pPr>
    </w:p>
    <w:p>
      <w:pPr>
        <w:jc w:val="both"/>
        <w:ind w:right="20" w:firstLine="360"/>
        <w:spacing w:after="0" w:line="239" w:lineRule="auto"/>
        <w:rPr>
          <w:sz w:val="20"/>
          <w:szCs w:val="20"/>
          <w:color w:val="auto"/>
        </w:rPr>
      </w:pPr>
      <w:r>
        <w:rPr>
          <w:rFonts w:ascii="Times New Roman" w:cs="Times New Roman" w:eastAsia="Times New Roman" w:hAnsi="Times New Roman"/>
          <w:sz w:val="20"/>
          <w:szCs w:val="20"/>
          <w:color w:val="auto"/>
        </w:rPr>
        <w:t>Nearly all of our store locations and all of our corporate office facilities, and warehouse and distribution centers are leased. We may receive reimbursement from a landlord for some or all of the cost of a construction project, which may be structured as a tenant improvement allowance or a construction allowance. Cash received from a landlord for tenant improvement allowances in store lease transactions are a reduction to the right-of-use assets on the balance sheet, which are amortized ratably over the remaining terms of the corresponding leases. Cash received for construction allowances is a reimbursement of certain spend incurred in the construction of the premises on behalf of the landlord, where the landlord owns the assets.</w:t>
      </w:r>
    </w:p>
    <w:p>
      <w:pPr>
        <w:spacing w:after="0" w:line="205"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We account for each lease and non-lease components for our building leases as a single lease component which allows certain costs such as common area maintenance associated with these leases to be included as rent expense. We exclude leases with contract terms of 12 months or less from ASC 842 accounting treatment, which results in straight-line recognition of the cost over the lease term with no associated balance sheet lease liability or right-of-use asset.</w:t>
      </w:r>
    </w:p>
    <w:p>
      <w:pPr>
        <w:sectPr>
          <w:pgSz w:w="12240" w:h="15840" w:orient="portrait"/>
          <w:cols w:equalWidth="0" w:num="1">
            <w:col w:w="9900"/>
          </w:cols>
          <w:pgMar w:left="136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900"/>
          </w:cols>
          <w:pgMar w:left="1360" w:top="784" w:right="98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25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spacing w:after="0" w:line="203" w:lineRule="exact"/>
        <w:rPr>
          <w:sz w:val="20"/>
          <w:szCs w:val="20"/>
          <w:color w:val="auto"/>
        </w:rPr>
      </w:pPr>
    </w:p>
    <w:p>
      <w:pPr>
        <w:jc w:val="both"/>
        <w:ind w:right="20" w:firstLine="360"/>
        <w:spacing w:after="0" w:line="254" w:lineRule="auto"/>
        <w:rPr>
          <w:sz w:val="20"/>
          <w:szCs w:val="20"/>
          <w:color w:val="auto"/>
        </w:rPr>
      </w:pPr>
      <w:r>
        <w:rPr>
          <w:rFonts w:ascii="Times New Roman" w:cs="Times New Roman" w:eastAsia="Times New Roman" w:hAnsi="Times New Roman"/>
          <w:sz w:val="20"/>
          <w:szCs w:val="20"/>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w:t>
      </w:r>
    </w:p>
    <w:p>
      <w:pPr>
        <w:spacing w:after="0" w:line="243"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auto"/>
        </w:rPr>
        <w:t>Cost of goods sold includes the direct cost of merchandise and costs related to procurement, warehousing and distribution. These costs consist primarily of payroll and benefits, occupancy costs and freight.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Shipping and Handling Costs</w:t>
      </w:r>
    </w:p>
    <w:p>
      <w:pPr>
        <w:spacing w:after="0" w:line="259"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auto"/>
        </w:rPr>
        <w:t>Shipping and handling costs billed to customers are included in net sales. Shipping and handling costs that we incur associated with shipping products to customers are included in cost of goods sold.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Vendor Allowances</w:t>
      </w:r>
    </w:p>
    <w:p>
      <w:pPr>
        <w:spacing w:after="0" w:line="25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such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5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Selling, general and administrative expenses include store and corporate administrative payroll and payroll benefits, store and corporate headquarters occupancy costs, depreciation, advertising, credit card processing, information technology, pre-opening costs and other store and administrative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Expenses</w:t>
      </w:r>
    </w:p>
    <w:p>
      <w:pPr>
        <w:spacing w:after="0" w:line="259"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auto"/>
        </w:rPr>
        <w:t>Advertising costs are expensed as incurred. Advertising expenses, net of specific vendor allowances, were $153.7 million, $144.5 million and $151.2 million in 2023, 2022 and 2021, respectively.</w:t>
      </w:r>
    </w:p>
    <w:p>
      <w:pPr>
        <w:sectPr>
          <w:pgSz w:w="12240" w:h="15840" w:orient="portrait"/>
          <w:cols w:equalWidth="0" w:num="1">
            <w:col w:w="9900"/>
          </w:cols>
          <w:pgMar w:left="136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900"/>
          </w:cols>
          <w:pgMar w:left="1360" w:top="784" w:right="9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i w:val="1"/>
          <w:iCs w:val="1"/>
          <w:color w:val="auto"/>
        </w:rPr>
        <w:t>Pre-Opening Expenses</w:t>
      </w:r>
    </w:p>
    <w:p>
      <w:pPr>
        <w:spacing w:after="0" w:line="25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Non-capital expenditures associated with opening new stores and distribution centers prior to sales generation or start of operations, which consist primarily of occupancy costs, marketing, payroll and recruiting costs, are expensed as incurred. The following table summarizes our pre-opening expense activity for the periods presented:</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74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95"/>
        </w:trPr>
        <w:tc>
          <w:tcPr>
            <w:tcW w:w="4740" w:type="dxa"/>
            <w:vAlign w:val="bottom"/>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92"/>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Number of new stores opened</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5"/>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Pre-opening expenses (in millions)</w:t>
            </w:r>
          </w:p>
        </w:tc>
        <w:tc>
          <w:tcPr>
            <w:tcW w:w="74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-403860</wp:posOffset>
            </wp:positionV>
            <wp:extent cx="6311900" cy="425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4">
                      <a:extLst>
                        <a:ext uri="{28A0092B-C50C-407E-A947-70E740481C1C}"/>
                      </a:extLst>
                    </a:blip>
                    <a:srcRect/>
                    <a:stretch>
                      <a:fillRect/>
                    </a:stretch>
                  </pic:blipFill>
                  <pic:spPr bwMode="auto">
                    <a:xfrm>
                      <a:off x="0" y="0"/>
                      <a:ext cx="6311900" cy="42545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pacing w:after="0" w:line="259" w:lineRule="exact"/>
        <w:rPr>
          <w:sz w:val="20"/>
          <w:szCs w:val="20"/>
          <w:color w:val="auto"/>
        </w:rPr>
      </w:pPr>
    </w:p>
    <w:p>
      <w:pPr>
        <w:jc w:val="both"/>
        <w:ind w:right="20" w:firstLine="360"/>
        <w:spacing w:after="0" w:line="255" w:lineRule="auto"/>
        <w:rPr>
          <w:sz w:val="20"/>
          <w:szCs w:val="20"/>
          <w:color w:val="auto"/>
        </w:rPr>
      </w:pPr>
      <w:r>
        <w:rPr>
          <w:rFonts w:ascii="Times New Roman" w:cs="Times New Roman" w:eastAsia="Times New Roman" w:hAnsi="Times New Roman"/>
          <w:sz w:val="20"/>
          <w:szCs w:val="20"/>
          <w:color w:val="auto"/>
        </w:rPr>
        <w:t>We account for equity compensation in accordance with ASC 718,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recognize forfeitures as they occur.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Repurchases</w:t>
      </w:r>
    </w:p>
    <w:p>
      <w:pPr>
        <w:spacing w:after="0" w:line="199" w:lineRule="exact"/>
        <w:rPr>
          <w:sz w:val="20"/>
          <w:szCs w:val="20"/>
          <w:color w:val="auto"/>
        </w:rPr>
      </w:pPr>
    </w:p>
    <w:p>
      <w:pPr>
        <w:jc w:val="both"/>
        <w:ind w:right="20" w:firstLine="446"/>
        <w:spacing w:after="0" w:line="254" w:lineRule="auto"/>
        <w:rPr>
          <w:sz w:val="20"/>
          <w:szCs w:val="20"/>
          <w:color w:val="auto"/>
        </w:rPr>
      </w:pPr>
      <w:r>
        <w:rPr>
          <w:rFonts w:ascii="Times New Roman" w:cs="Times New Roman" w:eastAsia="Times New Roman" w:hAnsi="Times New Roman"/>
          <w:sz w:val="20"/>
          <w:szCs w:val="20"/>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authorized a new share repurchase program (the "2022 Share Repurchase Program") under which the Company may purchase up to $600 million of its outstanding shares during the three-year period ending June 2, 2025. On November 29, 2023, the Board of Directors authorized a new share repurchase program (the "2023 Share Repurchase Program") under which the Company may purchase up to $600 million of its outstanding shares during the three-year period ending November 29, 2026. The 2023 Share Repurchase Program, the 2022 Share Repurchase Program and the 2021 Share Repurchase Program are collectively referred to as the "Share Repurchase Programs".</w:t>
      </w:r>
    </w:p>
    <w:p>
      <w:pPr>
        <w:spacing w:after="0" w:line="149" w:lineRule="exact"/>
        <w:rPr>
          <w:sz w:val="20"/>
          <w:szCs w:val="20"/>
          <w:color w:val="auto"/>
        </w:rPr>
      </w:pPr>
    </w:p>
    <w:p>
      <w:pPr>
        <w:jc w:val="both"/>
        <w:ind w:right="20" w:firstLine="446"/>
        <w:spacing w:after="0" w:line="255" w:lineRule="auto"/>
        <w:rPr>
          <w:sz w:val="20"/>
          <w:szCs w:val="20"/>
          <w:color w:val="auto"/>
        </w:rPr>
      </w:pPr>
      <w:r>
        <w:rPr>
          <w:rFonts w:ascii="Times New Roman" w:cs="Times New Roman" w:eastAsia="Times New Roman" w:hAnsi="Times New Roman"/>
          <w:sz w:val="20"/>
          <w:szCs w:val="20"/>
          <w:color w:val="auto"/>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will be determined by the Company in its discretion and will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 summarizes our share repurchases for the periods presented:</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9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95"/>
        </w:trPr>
        <w:tc>
          <w:tcPr>
            <w:tcW w:w="4920" w:type="dxa"/>
            <w:vAlign w:val="bottom"/>
          </w:tcPr>
          <w:p>
            <w:pPr>
              <w:spacing w:after="0"/>
              <w:rPr>
                <w:sz w:val="24"/>
                <w:szCs w:val="24"/>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328"/>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Shares Repurchased </w:t>
            </w:r>
            <w:r>
              <w:rPr>
                <w:rFonts w:ascii="Times New Roman" w:cs="Times New Roman" w:eastAsia="Times New Roman" w:hAnsi="Times New Roman"/>
                <w:sz w:val="26"/>
                <w:szCs w:val="26"/>
                <w:color w:val="auto"/>
                <w:vertAlign w:val="superscript"/>
              </w:rPr>
              <w:t>(1)</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3,651,231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11,903,636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10,566,796</w:t>
            </w:r>
          </w:p>
        </w:tc>
      </w:tr>
      <w:tr>
        <w:trPr>
          <w:trHeight w:val="342"/>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Aggregate amount paid (amounts in millions) </w:t>
            </w:r>
            <w:r>
              <w:rPr>
                <w:rFonts w:ascii="Times New Roman" w:cs="Times New Roman" w:eastAsia="Times New Roman" w:hAnsi="Times New Roman"/>
                <w:sz w:val="26"/>
                <w:szCs w:val="26"/>
                <w:color w:val="auto"/>
                <w:vertAlign w:val="superscript"/>
              </w:rPr>
              <w:t>(2)</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204.2</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489.5</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-443865</wp:posOffset>
            </wp:positionV>
            <wp:extent cx="6311900" cy="425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5">
                      <a:extLst>
                        <a:ext uri="{28A0092B-C50C-407E-A947-70E740481C1C}"/>
                      </a:extLst>
                    </a:blip>
                    <a:srcRect/>
                    <a:stretch>
                      <a:fillRect/>
                    </a:stretch>
                  </pic:blipFill>
                  <pic:spPr bwMode="auto">
                    <a:xfrm>
                      <a:off x="0" y="0"/>
                      <a:ext cx="6311900" cy="425450"/>
                    </a:xfrm>
                    <a:prstGeom prst="rect">
                      <a:avLst/>
                    </a:prstGeom>
                    <a:noFill/>
                  </pic:spPr>
                </pic:pic>
              </a:graphicData>
            </a:graphic>
          </wp:anchor>
        </w:drawing>
      </w:r>
    </w:p>
    <w:p>
      <w:pPr>
        <w:spacing w:after="0" w:line="140" w:lineRule="exact"/>
        <w:rPr>
          <w:sz w:val="20"/>
          <w:szCs w:val="20"/>
          <w:color w:val="auto"/>
        </w:rPr>
      </w:pPr>
    </w:p>
    <w:p>
      <w:pPr>
        <w:ind w:left="260" w:hanging="217"/>
        <w:spacing w:after="0"/>
        <w:tabs>
          <w:tab w:leader="none" w:pos="2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for the fiscal year ended January 29, 2022, include purchases that were made prior to our Share Repurchase Programs.</w:t>
      </w:r>
    </w:p>
    <w:p>
      <w:pPr>
        <w:spacing w:after="0" w:line="116" w:lineRule="exact"/>
        <w:rPr>
          <w:rFonts w:ascii="Times New Roman" w:cs="Times New Roman" w:eastAsia="Times New Roman" w:hAnsi="Times New Roman"/>
          <w:sz w:val="16"/>
          <w:szCs w:val="16"/>
          <w:color w:val="auto"/>
        </w:rPr>
      </w:pPr>
    </w:p>
    <w:p>
      <w:pPr>
        <w:ind w:left="260" w:hanging="217"/>
        <w:spacing w:after="0"/>
        <w:tabs>
          <w:tab w:leader="none" w:pos="2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estimated excise tax fees of $1.4 million for the fiscal year ended February 3, 2024.</w:t>
      </w:r>
    </w:p>
    <w:p>
      <w:pPr>
        <w:sectPr>
          <w:pgSz w:w="12240" w:h="15840" w:orient="portrait"/>
          <w:cols w:equalWidth="0" w:num="1">
            <w:col w:w="9900"/>
          </w:cols>
          <w:pgMar w:left="136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900"/>
          </w:cols>
          <w:pgMar w:left="1360" w:top="784" w:right="980" w:bottom="0" w:gutter="0" w:footer="0" w:header="0"/>
          <w:type w:val="continuous"/>
        </w:sectPr>
      </w:pPr>
    </w:p>
    <w:bookmarkStart w:id="92" w:name="page93"/>
    <w:bookmarkEnd w:id="92"/>
    <w:p>
      <w:pPr>
        <w:jc w:val="both"/>
        <w:ind w:right="20" w:firstLine="446"/>
        <w:spacing w:after="0" w:line="256" w:lineRule="auto"/>
        <w:rPr>
          <w:sz w:val="20"/>
          <w:szCs w:val="20"/>
          <w:color w:val="auto"/>
        </w:rPr>
      </w:pPr>
      <w:r>
        <w:rPr>
          <w:rFonts w:ascii="Times New Roman" w:cs="Times New Roman" w:eastAsia="Times New Roman" w:hAnsi="Times New Roman"/>
          <w:sz w:val="20"/>
          <w:szCs w:val="20"/>
          <w:color w:val="auto"/>
        </w:rPr>
        <w:t>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 As of February 3, 2024, we no longer had availability under the 2021 Share Repurchase Program, and we had $696.7 million available for share repurchases pursuant to the combined 2023 Share Repurchase Program and 2022 Share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jc w:val="both"/>
        <w:ind w:right="20" w:firstLine="360"/>
        <w:spacing w:after="0" w:line="256" w:lineRule="auto"/>
        <w:rPr>
          <w:sz w:val="20"/>
          <w:szCs w:val="20"/>
          <w:color w:val="auto"/>
        </w:rPr>
      </w:pPr>
      <w:r>
        <w:rPr>
          <w:rFonts w:ascii="Times New Roman" w:cs="Times New Roman" w:eastAsia="Times New Roman" w:hAnsi="Times New Roman"/>
          <w:sz w:val="20"/>
          <w:szCs w:val="20"/>
          <w:color w:val="auto"/>
        </w:rPr>
        <w:t>The Company is subject to U.S. federal, state and foreign income taxes.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spacing w:after="0" w:line="148" w:lineRule="exact"/>
        <w:rPr>
          <w:sz w:val="20"/>
          <w:szCs w:val="20"/>
          <w:color w:val="auto"/>
        </w:rPr>
      </w:pPr>
    </w:p>
    <w:p>
      <w:pPr>
        <w:jc w:val="both"/>
        <w:ind w:right="20" w:firstLine="360"/>
        <w:spacing w:after="0" w:line="254" w:lineRule="auto"/>
        <w:rPr>
          <w:sz w:val="20"/>
          <w:szCs w:val="20"/>
          <w:color w:val="auto"/>
        </w:rPr>
      </w:pPr>
      <w:r>
        <w:rPr>
          <w:rFonts w:ascii="Times New Roman" w:cs="Times New Roman" w:eastAsia="Times New Roman" w:hAnsi="Times New Roman"/>
          <w:sz w:val="20"/>
          <w:szCs w:val="20"/>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27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During the fourth quarter of 2022, the Company received and recognized approximately $7.2 million in business interruption proceeds due to the suspension of normal operations at some of our Texas store locations, as well as our e-commerce platform, for several days in February of 2021 as a result of a winter storm which had a significant impact on the energy infrastructure in the state of Texas. Additionally, during the fourth quarter of 2022 the Company completed a sale in which we factored rights to pursue a legal matter pertaining to the overpayment of certain tariffs and we received and recognized net proceeds of approximately $3.7 million. The proceeds for both events are included in Other (income), net on the Consolidated Statements of Income.</w:t>
      </w:r>
    </w:p>
    <w:p>
      <w:pPr>
        <w:spacing w:after="0" w:line="21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During the fourth quarter of 2023, the Company settled a legal matter with credit card companies pertaining to the overcharge of credit card interchange fees for prior periods dating back to 2004. In connection with this settlement, we recognized a net gain of approximately $15.9 million in Other (income), net on the Consolidated Statements of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w:t>
      </w:r>
    </w:p>
    <w:p>
      <w:pPr>
        <w:spacing w:after="0" w:line="25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Comprehensive income represents the net income for the period plus the results of certain changes to stockholders' equity (other comprehensive income) that are not reflected in the consolidated statements of income. Other comprehensive income consists of adjustments, net of tax, related to the Company’s historical ownership of interest rate swaps.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Segment</w:t>
      </w:r>
    </w:p>
    <w:p>
      <w:pPr>
        <w:spacing w:after="0" w:line="259"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 xml:space="preserve">Given the similar business activities, economic characteristics, products sold, customer base and methods of procurement, as well as the similar marketing and promotional activities of our stores and our </w:t>
      </w:r>
      <w:r>
        <w:rPr>
          <w:rFonts w:ascii="Times New Roman" w:cs="Times New Roman" w:eastAsia="Times New Roman" w:hAnsi="Times New Roman"/>
          <w:sz w:val="20"/>
          <w:szCs w:val="20"/>
          <w:b w:val="1"/>
          <w:bCs w:val="1"/>
          <w:i w:val="1"/>
          <w:iCs w:val="1"/>
          <w:color w:val="auto"/>
        </w:rPr>
        <w:t>academy.com</w:t>
      </w:r>
      <w:r>
        <w:rPr>
          <w:rFonts w:ascii="Times New Roman" w:cs="Times New Roman" w:eastAsia="Times New Roman" w:hAnsi="Times New Roman"/>
          <w:sz w:val="20"/>
          <w:szCs w:val="20"/>
          <w:color w:val="auto"/>
        </w:rPr>
        <w:t xml:space="preserve"> website, we report our financial results as one reportable segment. Substantially all of the Company’s identifiable assets are located in the United States.</w:t>
      </w:r>
    </w:p>
    <w:p>
      <w:pPr>
        <w:sectPr>
          <w:pgSz w:w="12240" w:h="15840" w:orient="portrait"/>
          <w:cols w:equalWidth="0" w:num="1">
            <w:col w:w="9900"/>
          </w:cols>
          <w:pgMar w:left="136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900"/>
          </w:cols>
          <w:pgMar w:left="1360" w:top="793" w:right="9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Reference Rate Reform</w:t>
      </w:r>
    </w:p>
    <w:p>
      <w:pPr>
        <w:spacing w:after="0" w:line="254"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In March 2020, the FASB issued ASU 2020-04: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In December 2022, the FASB issued ASU 2022-06 which extended the effectiveness of this guidance to December 31, 2024. The Company elected to utilize these optional expedients in connection with the amendments to our ABL Facility and Term Loan, which transitioned from LIBOR to the Secured Overnight Financing Rate (“SOFR”) on March 30, 2023 and August 1, 2023, respectively (see Note 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Improvements to Income Tax Disclosures</w:t>
      </w:r>
    </w:p>
    <w:p>
      <w:pPr>
        <w:spacing w:after="0" w:line="222" w:lineRule="exact"/>
        <w:rPr>
          <w:sz w:val="20"/>
          <w:szCs w:val="20"/>
          <w:color w:val="auto"/>
        </w:rPr>
      </w:pPr>
    </w:p>
    <w:p>
      <w:pPr>
        <w:jc w:val="both"/>
        <w:ind w:right="20" w:firstLine="360"/>
        <w:spacing w:after="0" w:line="239" w:lineRule="auto"/>
        <w:rPr>
          <w:sz w:val="20"/>
          <w:szCs w:val="20"/>
          <w:color w:val="auto"/>
        </w:rPr>
      </w:pPr>
      <w:r>
        <w:rPr>
          <w:rFonts w:ascii="Times New Roman" w:cs="Times New Roman" w:eastAsia="Times New Roman" w:hAnsi="Times New Roman"/>
          <w:sz w:val="20"/>
          <w:szCs w:val="20"/>
          <w:color w:val="auto"/>
        </w:rPr>
        <w:t>In December 2023, the FASB issued ASU 2023-09: Improvements to Income Tax Disclosures.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fiscal years beginning after December 15, 2024 and should be applied on a prospective basis with the option to apply the standard retrospectively. The Company is currently evaluating the impact that the adoption of this accounting standard will have on its financial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22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In November 2023, the FASB issued ASU 2023-07, Segment Reporting (Topic 280): Improvements to Reportable Segment Disclosures,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is currently evaluating the impact that the adoption of this accounting standard will have on its financial disclosures.</w:t>
      </w:r>
    </w:p>
    <w:p>
      <w:pPr>
        <w:sectPr>
          <w:pgSz w:w="12240" w:h="15840" w:orient="portrait"/>
          <w:cols w:equalWidth="0" w:num="1">
            <w:col w:w="9900"/>
          </w:cols>
          <w:pgMar w:left="1360" w:top="102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00"/>
          </w:cols>
          <w:pgMar w:left="1360" w:top="1024" w:right="980" w:bottom="0" w:gutter="0" w:footer="0" w:header="0"/>
          <w:type w:val="continuous"/>
        </w:sectPr>
      </w:pPr>
    </w:p>
    <w:bookmarkStart w:id="94" w:name="page95"/>
    <w:bookmarkEnd w:id="94"/>
    <w:p>
      <w:pPr>
        <w:ind w:left="370" w:hanging="370"/>
        <w:spacing w:after="0"/>
        <w:tabs>
          <w:tab w:leader="none" w:pos="37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Sales</w:t>
      </w:r>
    </w:p>
    <w:p>
      <w:pPr>
        <w:spacing w:after="0" w:line="257" w:lineRule="exact"/>
        <w:rPr>
          <w:sz w:val="20"/>
          <w:szCs w:val="20"/>
          <w:color w:val="auto"/>
        </w:rPr>
      </w:pPr>
    </w:p>
    <w:p>
      <w:pPr>
        <w:ind w:left="370" w:right="38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sets forth the approximate amount of sales (all of which are based in the U.S.) by merchandise divisions for the periods presented (amounts in thousands):</w:t>
      </w:r>
    </w:p>
    <w:p>
      <w:pPr>
        <w:spacing w:after="0" w:line="26" w:lineRule="exact"/>
        <w:rPr>
          <w:sz w:val="20"/>
          <w:szCs w:val="20"/>
          <w:color w:val="auto"/>
        </w:rPr>
      </w:pPr>
    </w:p>
    <w:tbl>
      <w:tblPr>
        <w:tblLayout w:type="fixed"/>
        <w:tblInd w:w="410" w:type="dxa"/>
        <w:tblCellMar>
          <w:top w:w="0" w:type="dxa"/>
          <w:left w:w="0" w:type="dxa"/>
          <w:bottom w:w="0" w:type="dxa"/>
          <w:right w:w="0" w:type="dxa"/>
        </w:tblCellMar>
      </w:tblPr>
      <w:tr>
        <w:trPr>
          <w:trHeight w:val="267"/>
        </w:trPr>
        <w:tc>
          <w:tcPr>
            <w:tcW w:w="46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6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80" w:type="dxa"/>
            <w:vAlign w:val="bottom"/>
          </w:tcPr>
          <w:p>
            <w:pPr>
              <w:spacing w:after="0"/>
              <w:rPr>
                <w:sz w:val="24"/>
                <w:szCs w:val="24"/>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c>
          <w:tcPr>
            <w:tcW w:w="0" w:type="dxa"/>
            <w:vAlign w:val="bottom"/>
          </w:tcPr>
          <w:p>
            <w:pPr>
              <w:spacing w:after="0"/>
              <w:rPr>
                <w:sz w:val="1"/>
                <w:szCs w:val="1"/>
                <w:color w:val="auto"/>
              </w:rPr>
            </w:pPr>
          </w:p>
        </w:tc>
      </w:tr>
      <w:tr>
        <w:trPr>
          <w:trHeight w:val="317"/>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Merchandise division sales </w:t>
            </w:r>
            <w:r>
              <w:rPr>
                <w:rFonts w:ascii="Times New Roman" w:cs="Times New Roman" w:eastAsia="Times New Roman" w:hAnsi="Times New Roman"/>
                <w:sz w:val="26"/>
                <w:szCs w:val="26"/>
                <w:color w:val="auto"/>
                <w:vertAlign w:val="superscript"/>
              </w:rPr>
              <w:t>(1)</w:t>
            </w:r>
          </w:p>
        </w:tc>
        <w:tc>
          <w:tcPr>
            <w:tcW w:w="4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1,727,018</w:t>
            </w: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Outdoors</w:t>
            </w:r>
          </w:p>
        </w:tc>
        <w:tc>
          <w:tcPr>
            <w:tcW w:w="4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1,819,418</w:t>
            </w:r>
          </w:p>
        </w:tc>
        <w:tc>
          <w:tcPr>
            <w:tcW w:w="80" w:type="dxa"/>
            <w:vAlign w:val="bottom"/>
          </w:tcPr>
          <w:p>
            <w:pPr>
              <w:spacing w:after="0"/>
              <w:rPr>
                <w:sz w:val="22"/>
                <w:szCs w:val="22"/>
                <w:color w:val="auto"/>
              </w:rPr>
            </w:pP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2,060,046</w:t>
            </w:r>
          </w:p>
        </w:tc>
        <w:tc>
          <w:tcPr>
            <w:tcW w:w="0" w:type="dxa"/>
            <w:vAlign w:val="bottom"/>
          </w:tcPr>
          <w:p>
            <w:pPr>
              <w:spacing w:after="0"/>
              <w:rPr>
                <w:sz w:val="1"/>
                <w:szCs w:val="1"/>
                <w:color w:val="auto"/>
              </w:rPr>
            </w:pPr>
          </w:p>
        </w:tc>
      </w:tr>
      <w:tr>
        <w:trPr>
          <w:trHeight w:val="300"/>
        </w:trPr>
        <w:tc>
          <w:tcPr>
            <w:tcW w:w="4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Sports and recreation</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1,452,377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1,488,187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1,577,776</w:t>
            </w:r>
          </w:p>
        </w:tc>
        <w:tc>
          <w:tcPr>
            <w:tcW w:w="0" w:type="dxa"/>
            <w:vAlign w:val="bottom"/>
          </w:tcPr>
          <w:p>
            <w:pPr>
              <w:spacing w:after="0"/>
              <w:rPr>
                <w:sz w:val="1"/>
                <w:szCs w:val="1"/>
                <w:color w:val="auto"/>
              </w:rPr>
            </w:pPr>
          </w:p>
        </w:tc>
      </w:tr>
      <w:tr>
        <w:trPr>
          <w:trHeight w:val="300"/>
        </w:trPr>
        <w:tc>
          <w:tcPr>
            <w:tcW w:w="4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Apparel</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1,710,838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1,758,993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1,810,345</w:t>
            </w:r>
          </w:p>
        </w:tc>
        <w:tc>
          <w:tcPr>
            <w:tcW w:w="0" w:type="dxa"/>
            <w:vAlign w:val="bottom"/>
          </w:tcPr>
          <w:p>
            <w:pPr>
              <w:spacing w:after="0"/>
              <w:rPr>
                <w:sz w:val="1"/>
                <w:szCs w:val="1"/>
                <w:color w:val="auto"/>
              </w:rPr>
            </w:pPr>
          </w:p>
        </w:tc>
      </w:tr>
      <w:tr>
        <w:trPr>
          <w:trHeight w:val="303"/>
        </w:trPr>
        <w:tc>
          <w:tcPr>
            <w:tcW w:w="46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Footwear</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1,235,643</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1,291,227</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1,290,197</w:t>
            </w:r>
          </w:p>
        </w:tc>
        <w:tc>
          <w:tcPr>
            <w:tcW w:w="0" w:type="dxa"/>
            <w:vAlign w:val="bottom"/>
          </w:tcPr>
          <w:p>
            <w:pPr>
              <w:spacing w:after="0"/>
              <w:rPr>
                <w:sz w:val="1"/>
                <w:szCs w:val="1"/>
                <w:color w:val="auto"/>
              </w:rPr>
            </w:pPr>
          </w:p>
        </w:tc>
      </w:tr>
      <w:tr>
        <w:trPr>
          <w:trHeight w:val="298"/>
        </w:trPr>
        <w:tc>
          <w:tcPr>
            <w:tcW w:w="4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 xml:space="preserve">Total merchandise sales </w:t>
            </w:r>
            <w:r>
              <w:rPr>
                <w:rFonts w:ascii="Times New Roman" w:cs="Times New Roman" w:eastAsia="Times New Roman" w:hAnsi="Times New Roman"/>
                <w:sz w:val="26"/>
                <w:szCs w:val="26"/>
                <w:color w:val="auto"/>
                <w:vertAlign w:val="superscript"/>
              </w:rPr>
              <w:t>(2)</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6,125,876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6,357,825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6,738,364</w:t>
            </w:r>
          </w:p>
        </w:tc>
        <w:tc>
          <w:tcPr>
            <w:tcW w:w="0" w:type="dxa"/>
            <w:vAlign w:val="bottom"/>
          </w:tcPr>
          <w:p>
            <w:pPr>
              <w:spacing w:after="0"/>
              <w:rPr>
                <w:sz w:val="1"/>
                <w:szCs w:val="1"/>
                <w:color w:val="auto"/>
              </w:rPr>
            </w:pPr>
          </w:p>
        </w:tc>
      </w:tr>
      <w:tr>
        <w:trPr>
          <w:trHeight w:val="282"/>
        </w:trPr>
        <w:tc>
          <w:tcPr>
            <w:tcW w:w="468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 xml:space="preserve">Other sales </w:t>
            </w:r>
            <w:r>
              <w:rPr>
                <w:rFonts w:ascii="Times New Roman" w:cs="Times New Roman" w:eastAsia="Times New Roman" w:hAnsi="Times New Roman"/>
                <w:sz w:val="26"/>
                <w:szCs w:val="26"/>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33,415</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37,248</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34,764</w:t>
            </w:r>
          </w:p>
        </w:tc>
        <w:tc>
          <w:tcPr>
            <w:tcW w:w="0" w:type="dxa"/>
            <w:vAlign w:val="bottom"/>
          </w:tcPr>
          <w:p>
            <w:pPr>
              <w:spacing w:after="0"/>
              <w:rPr>
                <w:sz w:val="1"/>
                <w:szCs w:val="1"/>
                <w:color w:val="auto"/>
              </w:rPr>
            </w:pPr>
          </w:p>
        </w:tc>
      </w:tr>
      <w:tr>
        <w:trPr>
          <w:trHeight w:val="260"/>
        </w:trPr>
        <w:tc>
          <w:tcPr>
            <w:tcW w:w="4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Net sales</w:t>
            </w:r>
          </w:p>
        </w:tc>
        <w:tc>
          <w:tcPr>
            <w:tcW w:w="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6,159,291</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6,395,073</w:t>
            </w:r>
          </w:p>
        </w:tc>
        <w:tc>
          <w:tcPr>
            <w:tcW w:w="80" w:type="dxa"/>
            <w:vAlign w:val="bottom"/>
          </w:tcPr>
          <w:p>
            <w:pPr>
              <w:spacing w:after="0"/>
              <w:rPr>
                <w:sz w:val="22"/>
                <w:szCs w:val="22"/>
                <w:color w:val="auto"/>
              </w:rPr>
            </w:pP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6,773,128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-1555115</wp:posOffset>
            </wp:positionV>
            <wp:extent cx="6235700" cy="1562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6">
                      <a:extLst>
                        <a:ext uri="{28A0092B-C50C-407E-A947-70E740481C1C}"/>
                      </a:extLst>
                    </a:blip>
                    <a:srcRect/>
                    <a:stretch>
                      <a:fillRect/>
                    </a:stretch>
                  </pic:blipFill>
                  <pic:spPr bwMode="auto">
                    <a:xfrm>
                      <a:off x="0" y="0"/>
                      <a:ext cx="6235700" cy="1562100"/>
                    </a:xfrm>
                    <a:prstGeom prst="rect">
                      <a:avLst/>
                    </a:prstGeom>
                    <a:noFill/>
                  </pic:spPr>
                </pic:pic>
              </a:graphicData>
            </a:graphic>
          </wp:anchor>
        </w:drawing>
      </w:r>
    </w:p>
    <w:p>
      <w:pPr>
        <w:spacing w:after="0" w:line="60" w:lineRule="exact"/>
        <w:rPr>
          <w:sz w:val="20"/>
          <w:szCs w:val="20"/>
          <w:color w:val="auto"/>
        </w:rPr>
      </w:pPr>
    </w:p>
    <w:p>
      <w:pPr>
        <w:jc w:val="both"/>
        <w:ind w:left="730" w:hanging="370"/>
        <w:spacing w:after="0" w:line="261" w:lineRule="auto"/>
        <w:tabs>
          <w:tab w:leader="none" w:pos="73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products and categories were re-categorized among various categories and divisions, respectively, during 2023 to better align with our current merchandising strategy and view of the business. As a result, we have reclassified sales between divisions for 2022 and 2021 for comparability purposes. This reclassification is in divisional presentation only and did not impact the overall net sales balances previously disclosed (see Note 2).</w:t>
      </w:r>
    </w:p>
    <w:p>
      <w:pPr>
        <w:spacing w:after="0" w:line="27" w:lineRule="exact"/>
        <w:rPr>
          <w:rFonts w:ascii="Times New Roman" w:cs="Times New Roman" w:eastAsia="Times New Roman" w:hAnsi="Times New Roman"/>
          <w:sz w:val="16"/>
          <w:szCs w:val="16"/>
          <w:color w:val="auto"/>
        </w:rPr>
      </w:pPr>
    </w:p>
    <w:p>
      <w:pPr>
        <w:ind w:left="730" w:hanging="370"/>
        <w:spacing w:after="0"/>
        <w:tabs>
          <w:tab w:leader="none" w:pos="73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E-commerce sales consisted of 10.7%, 10.7% and 9.3% of merchandise sales for 2023, 2022 and 2021, respectively.</w:t>
      </w:r>
    </w:p>
    <w:p>
      <w:pPr>
        <w:spacing w:after="0" w:line="68" w:lineRule="exact"/>
        <w:rPr>
          <w:rFonts w:ascii="Times New Roman" w:cs="Times New Roman" w:eastAsia="Times New Roman" w:hAnsi="Times New Roman"/>
          <w:sz w:val="16"/>
          <w:szCs w:val="16"/>
          <w:color w:val="auto"/>
        </w:rPr>
      </w:pPr>
    </w:p>
    <w:p>
      <w:pPr>
        <w:ind w:left="730" w:hanging="370"/>
        <w:spacing w:after="0" w:line="282" w:lineRule="auto"/>
        <w:tabs>
          <w:tab w:leader="none" w:pos="73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sales consists primarily of the gift card breakage income, credit card bounties and royalties, shipping income, net hunting and fishing license income, sales return allowance and other items.</w:t>
      </w:r>
    </w:p>
    <w:p>
      <w:pPr>
        <w:spacing w:after="0" w:line="120" w:lineRule="exact"/>
        <w:rPr>
          <w:sz w:val="20"/>
          <w:szCs w:val="20"/>
          <w:color w:val="auto"/>
        </w:rPr>
      </w:pPr>
    </w:p>
    <w:p>
      <w:pPr>
        <w:jc w:val="both"/>
        <w:ind w:left="370" w:firstLine="360"/>
        <w:spacing w:after="0" w:line="256" w:lineRule="auto"/>
        <w:rPr>
          <w:sz w:val="20"/>
          <w:szCs w:val="20"/>
          <w:color w:val="auto"/>
        </w:rPr>
      </w:pPr>
      <w:r>
        <w:rPr>
          <w:rFonts w:ascii="Times New Roman" w:cs="Times New Roman" w:eastAsia="Times New Roman" w:hAnsi="Times New Roman"/>
          <w:sz w:val="20"/>
          <w:szCs w:val="20"/>
          <w:color w:val="auto"/>
        </w:rPr>
        <w:t>We sell gift cards in stores, online and in third-party retail locations. The gift cards we sell have no expiration dates. A liability for gift cards, which is recorded in accrued expenses and other liabilities on our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20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The following is a reconciliation of the gift card liability (amounts in thousands):</w:t>
      </w:r>
    </w:p>
    <w:p>
      <w:pPr>
        <w:spacing w:after="0" w:line="94" w:lineRule="exact"/>
        <w:rPr>
          <w:sz w:val="20"/>
          <w:szCs w:val="20"/>
          <w:color w:val="auto"/>
        </w:rPr>
      </w:pPr>
    </w:p>
    <w:tbl>
      <w:tblPr>
        <w:tblLayout w:type="fixed"/>
        <w:tblInd w:w="410" w:type="dxa"/>
        <w:tblCellMar>
          <w:top w:w="0" w:type="dxa"/>
          <w:left w:w="0" w:type="dxa"/>
          <w:bottom w:w="0" w:type="dxa"/>
          <w:right w:w="0" w:type="dxa"/>
        </w:tblCellMar>
      </w:tblPr>
      <w:tr>
        <w:trPr>
          <w:trHeight w:val="267"/>
        </w:trPr>
        <w:tc>
          <w:tcPr>
            <w:tcW w:w="48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65"/>
        </w:trPr>
        <w:tc>
          <w:tcPr>
            <w:tcW w:w="4880" w:type="dxa"/>
            <w:vAlign w:val="bottom"/>
          </w:tcPr>
          <w:p>
            <w:pPr>
              <w:spacing w:after="0"/>
              <w:rPr>
                <w:sz w:val="23"/>
                <w:szCs w:val="23"/>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3"/>
                <w:szCs w:val="23"/>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3"/>
                <w:szCs w:val="23"/>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80"/>
        </w:trPr>
        <w:tc>
          <w:tcPr>
            <w:tcW w:w="4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Gift card liability, beginning balance</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90,650</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86,568</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74,253</w:t>
            </w:r>
          </w:p>
        </w:tc>
      </w:tr>
      <w:tr>
        <w:trPr>
          <w:trHeight w:val="277"/>
        </w:trPr>
        <w:tc>
          <w:tcPr>
            <w:tcW w:w="4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Issued</w:t>
            </w:r>
          </w:p>
        </w:tc>
        <w:tc>
          <w:tcPr>
            <w:tcW w:w="4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134,741</w:t>
            </w:r>
          </w:p>
        </w:tc>
        <w:tc>
          <w:tcPr>
            <w:tcW w:w="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134,091</w:t>
            </w:r>
          </w:p>
        </w:tc>
        <w:tc>
          <w:tcPr>
            <w:tcW w:w="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136,553</w:t>
            </w:r>
          </w:p>
        </w:tc>
      </w:tr>
      <w:tr>
        <w:trPr>
          <w:trHeight w:val="300"/>
        </w:trPr>
        <w:tc>
          <w:tcPr>
            <w:tcW w:w="4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Redeemed</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(124,370)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(124,463)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(119,103)</w:t>
            </w:r>
          </w:p>
        </w:tc>
      </w:tr>
      <w:tr>
        <w:trPr>
          <w:trHeight w:val="303"/>
        </w:trPr>
        <w:tc>
          <w:tcPr>
            <w:tcW w:w="4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Recognized as breakage income</w:t>
            </w: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(6,866)</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(5,546)</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(5,135)</w:t>
            </w: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Gift card liability, ending balance</w:t>
            </w:r>
          </w:p>
        </w:tc>
        <w:tc>
          <w:tcPr>
            <w:tcW w:w="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94,155</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90,650</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86,568</w:t>
            </w:r>
          </w:p>
        </w:tc>
      </w:tr>
      <w:tr>
        <w:trPr>
          <w:trHeight w:val="20"/>
        </w:trPr>
        <w:tc>
          <w:tcPr>
            <w:tcW w:w="4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-983615</wp:posOffset>
            </wp:positionV>
            <wp:extent cx="6311900" cy="990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7">
                      <a:extLst>
                        <a:ext uri="{28A0092B-C50C-407E-A947-70E740481C1C}"/>
                      </a:extLst>
                    </a:blip>
                    <a:srcRect/>
                    <a:stretch>
                      <a:fillRect/>
                    </a:stretch>
                  </pic:blipFill>
                  <pic:spPr bwMode="auto">
                    <a:xfrm>
                      <a:off x="0" y="0"/>
                      <a:ext cx="6311900" cy="990600"/>
                    </a:xfrm>
                    <a:prstGeom prst="rect">
                      <a:avLst/>
                    </a:prstGeom>
                    <a:noFill/>
                  </pic:spPr>
                </pic:pic>
              </a:graphicData>
            </a:graphic>
          </wp:anchor>
        </w:drawing>
      </w:r>
    </w:p>
    <w:p>
      <w:pPr>
        <w:sectPr>
          <w:pgSz w:w="12240" w:h="15840" w:orient="portrait"/>
          <w:cols w:equalWidth="0" w:num="1">
            <w:col w:w="10270"/>
          </w:cols>
          <w:pgMar w:left="990" w:top="10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70"/>
          </w:cols>
          <w:pgMar w:left="990" w:top="1026" w:right="980"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64"/>
        </w:trPr>
        <w:tc>
          <w:tcPr>
            <w:tcW w:w="6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  Long-Term Debt</w:t>
            </w: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83"/>
        </w:trPr>
        <w:tc>
          <w:tcPr>
            <w:tcW w:w="69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Our debt consisted of the following (amounts in thousands) as of:</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6"/>
        </w:trPr>
        <w:tc>
          <w:tcPr>
            <w:tcW w:w="6980" w:type="dxa"/>
            <w:vAlign w:val="bottom"/>
          </w:tcPr>
          <w:p>
            <w:pPr>
              <w:spacing w:after="0"/>
              <w:rPr>
                <w:sz w:val="24"/>
                <w:szCs w:val="24"/>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January 28, 2023</w:t>
            </w:r>
          </w:p>
        </w:tc>
      </w:tr>
      <w:tr>
        <w:trPr>
          <w:trHeight w:val="317"/>
        </w:trPr>
        <w:tc>
          <w:tcPr>
            <w:tcW w:w="69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 xml:space="preserve">ABL Facility, due November 2025 </w:t>
            </w:r>
            <w:r>
              <w:rPr>
                <w:rFonts w:ascii="Times New Roman" w:cs="Times New Roman" w:eastAsia="Times New Roman" w:hAnsi="Times New Roman"/>
                <w:sz w:val="26"/>
                <w:szCs w:val="26"/>
                <w:color w:val="auto"/>
                <w:vertAlign w:val="superscript"/>
              </w:rPr>
              <w:t>(1)</w:t>
            </w:r>
          </w:p>
        </w:tc>
        <w:tc>
          <w:tcPr>
            <w:tcW w:w="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9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Term Loan, due November 2027</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91,750</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194,750</w:t>
            </w:r>
          </w:p>
        </w:tc>
      </w:tr>
      <w:tr>
        <w:trPr>
          <w:trHeight w:val="303"/>
        </w:trPr>
        <w:tc>
          <w:tcPr>
            <w:tcW w:w="69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Notes, due November 2027</w:t>
            </w: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400,000</w:t>
            </w:r>
          </w:p>
        </w:tc>
      </w:tr>
      <w:tr>
        <w:trPr>
          <w:trHeight w:val="277"/>
        </w:trPr>
        <w:tc>
          <w:tcPr>
            <w:tcW w:w="69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Total debt</w:t>
            </w: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491,750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594,750</w:t>
            </w:r>
          </w:p>
        </w:tc>
      </w:tr>
      <w:tr>
        <w:trPr>
          <w:trHeight w:val="300"/>
        </w:trPr>
        <w:tc>
          <w:tcPr>
            <w:tcW w:w="69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Less current maturities</w:t>
            </w: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r>
      <w:tr>
        <w:trPr>
          <w:trHeight w:val="300"/>
        </w:trPr>
        <w:tc>
          <w:tcPr>
            <w:tcW w:w="69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Less unamortized discount on Term Loan</w:t>
            </w:r>
          </w:p>
        </w:tc>
        <w:tc>
          <w:tcPr>
            <w:tcW w:w="5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w:t>
            </w:r>
          </w:p>
        </w:tc>
      </w:tr>
      <w:tr>
        <w:trPr>
          <w:trHeight w:val="303"/>
        </w:trPr>
        <w:tc>
          <w:tcPr>
            <w:tcW w:w="69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 xml:space="preserve">Less deferred loan costs </w:t>
            </w:r>
            <w:r>
              <w:rPr>
                <w:rFonts w:ascii="Times New Roman" w:cs="Times New Roman" w:eastAsia="Times New Roman" w:hAnsi="Times New Roman"/>
                <w:sz w:val="26"/>
                <w:szCs w:val="26"/>
                <w:color w:val="auto"/>
                <w:vertAlign w:val="superscript"/>
              </w:rPr>
              <w:t>(2)</w:t>
            </w: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(3,698)</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(5,954)</w:t>
            </w:r>
          </w:p>
        </w:tc>
      </w:tr>
      <w:tr>
        <w:trPr>
          <w:trHeight w:val="260"/>
        </w:trPr>
        <w:tc>
          <w:tcPr>
            <w:tcW w:w="69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Long-term debt, net</w:t>
            </w:r>
          </w:p>
        </w:tc>
        <w:tc>
          <w:tcPr>
            <w:tcW w:w="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484,551</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584,456</w:t>
            </w:r>
          </w:p>
        </w:tc>
      </w:tr>
      <w:tr>
        <w:trPr>
          <w:trHeight w:val="20"/>
        </w:trPr>
        <w:tc>
          <w:tcPr>
            <w:tcW w:w="6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-1555115</wp:posOffset>
            </wp:positionV>
            <wp:extent cx="6311900" cy="1562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8">
                      <a:extLst>
                        <a:ext uri="{28A0092B-C50C-407E-A947-70E740481C1C}"/>
                      </a:extLst>
                    </a:blip>
                    <a:srcRect/>
                    <a:stretch>
                      <a:fillRect/>
                    </a:stretch>
                  </pic:blipFill>
                  <pic:spPr bwMode="auto">
                    <a:xfrm>
                      <a:off x="0" y="0"/>
                      <a:ext cx="6311900" cy="1562100"/>
                    </a:xfrm>
                    <a:prstGeom prst="rect">
                      <a:avLst/>
                    </a:prstGeom>
                    <a:noFill/>
                  </pic:spPr>
                </pic:pic>
              </a:graphicData>
            </a:graphic>
          </wp:anchor>
        </w:drawing>
      </w:r>
    </w:p>
    <w:p>
      <w:pPr>
        <w:jc w:val="both"/>
        <w:ind w:left="620" w:hanging="270"/>
        <w:spacing w:after="0" w:line="257" w:lineRule="auto"/>
        <w:tabs>
          <w:tab w:leader="none" w:pos="59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8, 2024, the Company issued a press release announcing that the Company had entered into an amendment to the First Amended and Restated ABL Credit Agreement which, among other things, extended the maturity of our asset-based revolving credit facility to March 8, 2029. See Note 17 to the accompanying financial statements for further disclosures regarding the amendment.</w:t>
      </w:r>
    </w:p>
    <w:p>
      <w:pPr>
        <w:spacing w:after="0" w:line="1" w:lineRule="exact"/>
        <w:rPr>
          <w:rFonts w:ascii="Times New Roman" w:cs="Times New Roman" w:eastAsia="Times New Roman" w:hAnsi="Times New Roman"/>
          <w:sz w:val="16"/>
          <w:szCs w:val="16"/>
          <w:color w:val="auto"/>
        </w:rPr>
      </w:pPr>
    </w:p>
    <w:p>
      <w:pPr>
        <w:ind w:left="620" w:hanging="270"/>
        <w:spacing w:after="0"/>
        <w:tabs>
          <w:tab w:leader="none" w:pos="6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loan costs are related to the Term Loan and Notes.</w:t>
      </w:r>
    </w:p>
    <w:p>
      <w:pPr>
        <w:spacing w:after="0" w:line="220" w:lineRule="exact"/>
        <w:rPr>
          <w:sz w:val="20"/>
          <w:szCs w:val="20"/>
          <w:color w:val="auto"/>
        </w:rPr>
      </w:pPr>
    </w:p>
    <w:p>
      <w:pPr>
        <w:jc w:val="both"/>
        <w:ind w:left="360" w:right="20" w:firstLine="360"/>
        <w:spacing w:after="0" w:line="255" w:lineRule="auto"/>
        <w:rPr>
          <w:sz w:val="20"/>
          <w:szCs w:val="20"/>
          <w:color w:val="auto"/>
        </w:rPr>
      </w:pPr>
      <w:r>
        <w:rPr>
          <w:rFonts w:ascii="Times New Roman" w:cs="Times New Roman" w:eastAsia="Times New Roman" w:hAnsi="Times New Roman"/>
          <w:sz w:val="20"/>
          <w:szCs w:val="20"/>
          <w:color w:val="auto"/>
        </w:rPr>
        <w:t>As of February 3, 2024 and January 28, 2023, the balance in deferred loan costs related to the ABL Facility (as defined below) was approximately $2.1 million and $3.2 million, respectively, and was included in other noncurrent assets on our consolidated balance sheets. Total amortization of deferred loan costs was $2.4 million, $2.6 million and $2.7 million in 2023, 2022 and 2021, respectively. Total expenses related to accretion of original issuance discount were $0.3 million, $0.4 million and $0.5 million in 2023, 2022 and 2021, respectively. The expenses related to amortization of deferred loan costs and accretion of original issuance discount are included in interest expense, net on the consolidated statements of income.</w:t>
      </w:r>
    </w:p>
    <w:p>
      <w:pPr>
        <w:spacing w:after="0" w:line="150" w:lineRule="exact"/>
        <w:rPr>
          <w:sz w:val="20"/>
          <w:szCs w:val="20"/>
          <w:color w:val="auto"/>
        </w:rPr>
      </w:pPr>
    </w:p>
    <w:p>
      <w:pPr>
        <w:jc w:val="both"/>
        <w:ind w:left="360" w:right="20" w:firstLine="360"/>
        <w:spacing w:after="0" w:line="260" w:lineRule="auto"/>
        <w:rPr>
          <w:sz w:val="20"/>
          <w:szCs w:val="20"/>
          <w:color w:val="auto"/>
        </w:rPr>
      </w:pPr>
      <w:r>
        <w:rPr>
          <w:rFonts w:ascii="Times New Roman" w:cs="Times New Roman" w:eastAsia="Times New Roman" w:hAnsi="Times New Roman"/>
          <w:sz w:val="20"/>
          <w:szCs w:val="20"/>
          <w:color w:val="auto"/>
        </w:rPr>
        <w:t>On November 6, 2020, the Company issued the Notes (as defined below), entered into the 2020 Term Loan (as defined below), and entered into the 2020 ABL Facility (the "Refinancing Transactions"). The Company used the net proceeds from the Notes and the net proceeds from the 2020 Term Loan, together with cash on hand, to repay in full outstanding borrowings under its then-existing term loan, in the amount of $1,431.4 million.</w:t>
      </w:r>
    </w:p>
    <w:p>
      <w:pPr>
        <w:spacing w:after="0" w:line="143" w:lineRule="exact"/>
        <w:rPr>
          <w:sz w:val="20"/>
          <w:szCs w:val="20"/>
          <w:color w:val="auto"/>
        </w:rPr>
      </w:pPr>
    </w:p>
    <w:p>
      <w:pPr>
        <w:jc w:val="both"/>
        <w:ind w:left="360" w:right="20" w:firstLine="360"/>
        <w:spacing w:after="0" w:line="266" w:lineRule="auto"/>
        <w:rPr>
          <w:sz w:val="20"/>
          <w:szCs w:val="20"/>
          <w:color w:val="auto"/>
        </w:rPr>
      </w:pPr>
      <w:r>
        <w:rPr>
          <w:rFonts w:ascii="Times New Roman" w:cs="Times New Roman" w:eastAsia="Times New Roman" w:hAnsi="Times New Roman"/>
          <w:sz w:val="20"/>
          <w:szCs w:val="20"/>
          <w:color w:val="auto"/>
        </w:rPr>
        <w:t>On May 25, 2021, the Company refinanced its 2020 Term Loan and paid down approximately $99.0 million of the 2020 Term Loan. On December 15, 2022 and February 1, 2024, the Company utilized cash on hand to voluntarily prepay $100.0 million of outstanding borrowings of the Term Loan, respectively.</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Term Loan</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refer to the 2020 Term Loan and then amendments thereto collectively as the "Term Loan".</w:t>
      </w:r>
    </w:p>
    <w:p>
      <w:pPr>
        <w:spacing w:after="0" w:line="250" w:lineRule="exact"/>
        <w:rPr>
          <w:sz w:val="20"/>
          <w:szCs w:val="20"/>
          <w:color w:val="auto"/>
        </w:rPr>
      </w:pPr>
    </w:p>
    <w:p>
      <w:pPr>
        <w:jc w:val="both"/>
        <w:ind w:left="360" w:firstLine="360"/>
        <w:spacing w:after="0" w:line="255" w:lineRule="auto"/>
        <w:rPr>
          <w:sz w:val="20"/>
          <w:szCs w:val="20"/>
          <w:color w:val="auto"/>
        </w:rPr>
      </w:pPr>
      <w:r>
        <w:rPr>
          <w:rFonts w:ascii="Times New Roman" w:cs="Times New Roman" w:eastAsia="Times New Roman" w:hAnsi="Times New Roman"/>
          <w:sz w:val="20"/>
          <w:szCs w:val="20"/>
          <w:color w:val="auto"/>
        </w:rPr>
        <w:t>On November 6, 2020, as a part of the Refinancing Transactions, Academy, Ltd. entered into a seven-year $400.0 million senior secured term loan (the "2020 Term Loan") with Credit Suisse AG, Cayman Island Branch ("Credit Suisse"), as the administrative agent and collateral agent and the several other lenders and parties.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In connection with the 2020 Term Loan, the Company capitalized related professional fees of $5.8 million as deferred loan costs.</w:t>
      </w:r>
    </w:p>
    <w:p>
      <w:pPr>
        <w:spacing w:after="0" w:line="150" w:lineRule="exact"/>
        <w:rPr>
          <w:sz w:val="20"/>
          <w:szCs w:val="20"/>
          <w:color w:val="auto"/>
        </w:rPr>
      </w:pPr>
    </w:p>
    <w:p>
      <w:pPr>
        <w:jc w:val="both"/>
        <w:ind w:left="360" w:firstLine="360"/>
        <w:spacing w:after="0" w:line="253" w:lineRule="auto"/>
        <w:rPr>
          <w:sz w:val="20"/>
          <w:szCs w:val="20"/>
          <w:color w:val="auto"/>
        </w:rPr>
      </w:pPr>
      <w:r>
        <w:rPr>
          <w:rFonts w:ascii="Times New Roman" w:cs="Times New Roman" w:eastAsia="Times New Roman" w:hAnsi="Times New Roman"/>
          <w:sz w:val="20"/>
          <w:szCs w:val="20"/>
          <w:color w:val="auto"/>
        </w:rPr>
        <w:t>On May 25, 2021, Academy, Ltd. entered into Amendment No. 4 (the “2021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2021 Amendment, the “Amended Credit Agreement”). Pursuant to the terms of the 2021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In connection with the principal payment in the 2021 Amendment, the Company recognized a non-cash loss on early retirement of debt of $2.2 million in 2021 from the write-off of deferred loan costs related to the original issuance discount associated with our 2020 Term Loan.</w:t>
      </w:r>
    </w:p>
    <w:p>
      <w:pPr>
        <w:sectPr>
          <w:pgSz w:w="12240" w:h="15840" w:orient="portrait"/>
          <w:cols w:equalWidth="0" w:num="1">
            <w:col w:w="10260"/>
          </w:cols>
          <w:pgMar w:left="1000" w:top="1026" w:right="980" w:bottom="0" w:gutter="0" w:footer="0" w:header="0"/>
        </w:sectPr>
      </w:pPr>
    </w:p>
    <w:p>
      <w:pPr>
        <w:spacing w:after="0" w:line="1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60"/>
          </w:cols>
          <w:pgMar w:left="1000" w:top="1026" w:right="980" w:bottom="0" w:gutter="0" w:footer="0" w:header="0"/>
          <w:type w:val="continuous"/>
        </w:sectPr>
      </w:pPr>
    </w:p>
    <w:bookmarkStart w:id="96" w:name="page97"/>
    <w:bookmarkEnd w:id="96"/>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On December 15, 2022, the Company utilized cash on hand to voluntarily prepay $100.0 million of outstanding borrowings under the Term Loan. In connection with this principal payment, the Company recognized a non-cash loss on early retirement of debt of $2.0 million in 2022 from the write-off of deferred loan costs related to the original issuance discount associated with the Term Loan.</w:t>
      </w:r>
    </w:p>
    <w:p>
      <w:pPr>
        <w:spacing w:after="0" w:line="14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On May 17, 2023, Academy, Ltd. entered into a Conforming Changes Amendment (the "2023 Amendment") to the Second Amended and Restated Credit Agreement, dated as of November 6, 2020, among Academy, Ltd., as Borrower, Credit Suisse AG, Cayman Islands Branch, as the administrative agent and collateral agent and the several lenders party thereto and the several other parties named therein, which updated the Term Loan benchmark base interest rate from LIBOR to Adjusted Term SOFR (as defined in the Conforming Changes Amendment to the Second Amended and Restated Credit Agreement). The transition of our Term Loan to Adjusted Term SOFR became effective on August 1, 2023. Borrowings under the Term Loan bear interest, at our election, at either (1) Adjusted Term SOFR with a floor of 0.75% rate plus a margin of 3.75% or (2) a base rate equal to the highest of (a) the federal funds rate plus 0.50%, (b) the U.S. "prime rate" announced by the administrative agent, or (c) the one-month Adjusted Term SOFR with a floor of 0.75% rate, plus a margin of 3.75%. As of February 3, 2024, the weighted average interest rate was 9.19%, with interest payable monthly. Quarterly principal payments of $750.0 thousand are required through September 30, 2027 and borrowings mature on November 6, 2027. The terms and conditions of the Term Loan also require that the outstanding balance under the Term Loan is prepaid under certain circumstances.</w:t>
      </w:r>
    </w:p>
    <w:p>
      <w:pPr>
        <w:spacing w:after="0" w:line="148"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On February 1, 2024, the Company utilized cash on hand to voluntarily prepay $100.0 million of outstanding borrowings under the Term Loan. In connection with this principal payment, the Company recognized a non-cash loss on early retirement of debt of $1.5 million in 2023 from the write-off of deferred loan costs related to the original issuance discount associated with the Term Loan.</w:t>
      </w:r>
    </w:p>
    <w:p>
      <w:pPr>
        <w:spacing w:after="0" w:line="14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Amended Credit Agreement contains customary events of default such as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 As of February 3, 2024, no prepayment was due under the terms and conditions of the Term Loan.</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Notes</w:t>
      </w:r>
    </w:p>
    <w:p>
      <w:pPr>
        <w:spacing w:after="0" w:line="199" w:lineRule="exact"/>
        <w:rPr>
          <w:sz w:val="20"/>
          <w:szCs w:val="20"/>
          <w:color w:val="auto"/>
        </w:rPr>
      </w:pPr>
    </w:p>
    <w:p>
      <w:pPr>
        <w:jc w:val="both"/>
        <w:ind w:right="20" w:firstLine="360"/>
        <w:spacing w:after="0" w:line="255" w:lineRule="auto"/>
        <w:rPr>
          <w:sz w:val="20"/>
          <w:szCs w:val="20"/>
          <w:color w:val="auto"/>
        </w:rPr>
      </w:pPr>
      <w:r>
        <w:rPr>
          <w:rFonts w:ascii="Times New Roman" w:cs="Times New Roman" w:eastAsia="Times New Roman" w:hAnsi="Times New Roman"/>
          <w:sz w:val="20"/>
          <w:szCs w:val="20"/>
          <w:color w:val="auto"/>
        </w:rPr>
        <w:t>On November 6, 2020, as a part of the Refinancing Transactions, Academy, Ltd. issued $400.0 million of 6.00% senior secured notes which are due November 15, 2027 (the "Notes"), pursuant to an indenture, dated as of November 6, 2020 (the "Indenture"), with Academy, Ltd. the Guarantors (as defined below) and The Bank of New York Mellon Trust Company, N.A., as trustee and collateral agent (in such capacity, the "Notes Collateral Agent"). The Notes pay interest semi-annually in arrears in cash on May 15 and November 15 of each year at a rate of 6.00% per year, which commenced on May 15, 2021. In connection with issuance of the Notes, the Company capitalized related professional fees of $5.2 million as deferred loan costs.</w:t>
      </w:r>
    </w:p>
    <w:p>
      <w:pPr>
        <w:spacing w:after="0" w:line="15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Notes are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143" w:lineRule="exact"/>
        <w:rPr>
          <w:sz w:val="20"/>
          <w:szCs w:val="20"/>
          <w:color w:val="auto"/>
        </w:rPr>
      </w:pPr>
    </w:p>
    <w:p>
      <w:pPr>
        <w:jc w:val="both"/>
        <w:ind w:right="20" w:firstLine="360"/>
        <w:spacing w:after="0" w:line="253" w:lineRule="auto"/>
        <w:rPr>
          <w:sz w:val="20"/>
          <w:szCs w:val="20"/>
          <w:color w:val="auto"/>
        </w:rPr>
      </w:pPr>
      <w:r>
        <w:rPr>
          <w:rFonts w:ascii="Times New Roman" w:cs="Times New Roman" w:eastAsia="Times New Roman" w:hAnsi="Times New Roman"/>
          <w:sz w:val="20"/>
          <w:szCs w:val="20"/>
          <w:color w:val="auto"/>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56"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Upon the occurrence of certain events constituting a Change of Control (as defined in the Indenture), Academy, Ltd. will be required to make an offer to repurchase all of the Notes at a price equal to 101% of the principal amount thereof, plus accrued and unpaid interest, if any, to, but excluding, the repurchase date.</w:t>
      </w:r>
    </w:p>
    <w:p>
      <w:pPr>
        <w:sectPr>
          <w:pgSz w:w="12240" w:h="15840" w:orient="portrait"/>
          <w:cols w:equalWidth="0" w:num="1">
            <w:col w:w="9900"/>
          </w:cols>
          <w:pgMar w:left="1360" w:top="793" w:right="98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900"/>
          </w:cols>
          <w:pgMar w:left="1360" w:top="793" w:right="980" w:bottom="0" w:gutter="0" w:footer="0" w:header="0"/>
          <w:type w:val="continuous"/>
        </w:sectPr>
      </w:pPr>
    </w:p>
    <w:bookmarkStart w:id="97" w:name="page98"/>
    <w:bookmarkEnd w:id="97"/>
    <w:p>
      <w:pPr>
        <w:jc w:val="both"/>
        <w:ind w:right="20" w:firstLine="360"/>
        <w:spacing w:after="0" w:line="256" w:lineRule="auto"/>
        <w:rPr>
          <w:sz w:val="20"/>
          <w:szCs w:val="20"/>
          <w:color w:val="auto"/>
        </w:rPr>
      </w:pPr>
      <w:r>
        <w:rPr>
          <w:rFonts w:ascii="Times New Roman" w:cs="Times New Roman" w:eastAsia="Times New Roman" w:hAnsi="Times New Roman"/>
          <w:sz w:val="20"/>
          <w:szCs w:val="20"/>
          <w:color w:val="auto"/>
        </w:rPr>
        <w:t>The Indenture provides for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 which events of default, if any occur, would permit or require the principal, premium, if any, interest and any other monetary obligations on all the then-outstanding Notes to be due and payable immediately.</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ABL Facility</w:t>
      </w:r>
    </w:p>
    <w:p>
      <w:pPr>
        <w:spacing w:after="0" w:line="2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refer to the 2020 ABL Facility and the amendments thereto collectively as the "ABL Facility".</w:t>
      </w:r>
    </w:p>
    <w:p>
      <w:pPr>
        <w:spacing w:after="0" w:line="190" w:lineRule="exact"/>
        <w:rPr>
          <w:sz w:val="20"/>
          <w:szCs w:val="20"/>
          <w:color w:val="auto"/>
        </w:rPr>
      </w:pPr>
    </w:p>
    <w:p>
      <w:pPr>
        <w:jc w:val="both"/>
        <w:ind w:right="20" w:firstLine="360"/>
        <w:spacing w:after="0" w:line="255" w:lineRule="auto"/>
        <w:rPr>
          <w:sz w:val="20"/>
          <w:szCs w:val="20"/>
          <w:color w:val="auto"/>
        </w:rPr>
      </w:pPr>
      <w:r>
        <w:rPr>
          <w:rFonts w:ascii="Times New Roman" w:cs="Times New Roman" w:eastAsia="Times New Roman" w:hAnsi="Times New Roman"/>
          <w:sz w:val="20"/>
          <w:szCs w:val="20"/>
          <w:color w:val="auto"/>
        </w:rPr>
        <w:t>On November 6, 2020, as a part of the Refinancing Transactions, Academy, Ltd., as borrower, and the Guarantors, as guarantors, amended the previously existing secured asset-based revolving credit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(the "2020 ABL Facility"), among other things, extended the maturity of Academy, Ltd.’s asset-based revolving credit facility thereunder to November 6, 2025. In connection with the 2020 ABL Facility, the Company capitalized related professional fees of $3.1 million as deferred loan costs.</w:t>
      </w:r>
    </w:p>
    <w:p>
      <w:pPr>
        <w:spacing w:after="0" w:line="15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spacing w:after="0" w:line="201" w:lineRule="exact"/>
        <w:rPr>
          <w:sz w:val="20"/>
          <w:szCs w:val="20"/>
          <w:color w:val="auto"/>
        </w:rPr>
      </w:pPr>
    </w:p>
    <w:p>
      <w:pPr>
        <w:jc w:val="both"/>
        <w:ind w:right="20" w:firstLine="360"/>
        <w:spacing w:after="0" w:line="256" w:lineRule="auto"/>
        <w:rPr>
          <w:sz w:val="20"/>
          <w:szCs w:val="20"/>
          <w:color w:val="auto"/>
        </w:rPr>
      </w:pPr>
      <w:r>
        <w:rPr>
          <w:rFonts w:ascii="Times New Roman" w:cs="Times New Roman" w:eastAsia="Times New Roman" w:hAnsi="Times New Roman"/>
          <w:sz w:val="20"/>
          <w:szCs w:val="20"/>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3, 2024, we had outstanding letters of credit of approximately $11.6 million, all of which were issued under the ABL Facility, and we had no borrowings outstanding under the ABL Facility, leaving the available borrowing capacity under the ABL Facility of $881.4 million.</w:t>
      </w:r>
    </w:p>
    <w:p>
      <w:pPr>
        <w:spacing w:after="0" w:line="208" w:lineRule="exact"/>
        <w:rPr>
          <w:sz w:val="20"/>
          <w:szCs w:val="20"/>
          <w:color w:val="auto"/>
        </w:rPr>
      </w:pPr>
    </w:p>
    <w:p>
      <w:pPr>
        <w:jc w:val="both"/>
        <w:ind w:right="20" w:firstLine="360"/>
        <w:spacing w:after="0" w:line="255" w:lineRule="auto"/>
        <w:rPr>
          <w:sz w:val="20"/>
          <w:szCs w:val="20"/>
          <w:color w:val="auto"/>
        </w:rPr>
      </w:pPr>
      <w:r>
        <w:rPr>
          <w:rFonts w:ascii="Times New Roman" w:cs="Times New Roman" w:eastAsia="Times New Roman" w:hAnsi="Times New Roman"/>
          <w:sz w:val="20"/>
          <w:szCs w:val="20"/>
          <w:color w:val="auto"/>
        </w:rPr>
        <w:t>Borrowings under the ABL Facility bear interest, at our election, at either of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0.25%. The terms and conditions of the ABL Facility also require that we prepay outstanding loans under the ABL Facility under certain circumstances. As of February 3, 2024, no future prepayments of outstanding loans have been triggered under the terms and conditions of the ABL Facility.</w:t>
      </w:r>
    </w:p>
    <w:p>
      <w:pPr>
        <w:spacing w:after="0" w:line="210"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On March 8, 2024, the Company issued a press release announcing that the Company had entered into an amendment to the First Amended and Restated ABL Credit Agreement which, among other things, extended the maturity of our asset-based revolving credit facility to March 8, 2029. See Note 17 to the accompanying financial statements for further disclosures regarding the amendment.</w:t>
      </w:r>
    </w:p>
    <w:p>
      <w:pPr>
        <w:spacing w:after="0" w:line="137" w:lineRule="exact"/>
        <w:rPr>
          <w:sz w:val="20"/>
          <w:szCs w:val="20"/>
          <w:color w:val="auto"/>
        </w:rPr>
      </w:pPr>
    </w:p>
    <w:p>
      <w:pPr>
        <w:jc w:val="both"/>
        <w:ind w:right="20" w:firstLine="360"/>
        <w:spacing w:after="0" w:line="263"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Liens and guarantees.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ABL Facility has a first priority lien on all Academy, Ltd.'s cash, accounts receivable,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inventory, deposit and securities accounts and proceeds therefrom (the "ABL Collateral"). Additionally, the ABL Facility has a second priority lien on all other collateral of the Term Loan. All obligations under the Term Loan and the guarantees of those obligations are secured by:</w:t>
      </w:r>
    </w:p>
    <w:p>
      <w:pPr>
        <w:spacing w:after="0" w:line="138" w:lineRule="exact"/>
        <w:rPr>
          <w:sz w:val="20"/>
          <w:szCs w:val="20"/>
          <w:color w:val="auto"/>
        </w:rPr>
      </w:pPr>
    </w:p>
    <w:p>
      <w:pPr>
        <w:ind w:left="800" w:hanging="360"/>
        <w:spacing w:after="0"/>
        <w:tabs>
          <w:tab w:leader="none" w:pos="8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second-priority security interest in the ABL Collateral;</w:t>
      </w:r>
    </w:p>
    <w:p>
      <w:pPr>
        <w:spacing w:after="0" w:line="30" w:lineRule="exact"/>
        <w:rPr>
          <w:rFonts w:ascii="Times New Roman" w:cs="Times New Roman" w:eastAsia="Times New Roman" w:hAnsi="Times New Roman"/>
          <w:sz w:val="20"/>
          <w:szCs w:val="20"/>
          <w:color w:val="auto"/>
        </w:rPr>
      </w:pPr>
    </w:p>
    <w:p>
      <w:pPr>
        <w:ind w:left="800" w:right="20" w:hanging="360"/>
        <w:spacing w:after="0" w:line="250" w:lineRule="auto"/>
        <w:tabs>
          <w:tab w:leader="none" w:pos="8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first-priority security interest in, and mortgages on, substantially all present and after acquired tangible and intangible assets of Academy, Ltd and the Guarantors; and</w:t>
      </w:r>
    </w:p>
    <w:p>
      <w:pPr>
        <w:jc w:val="both"/>
        <w:ind w:left="800" w:right="20" w:hanging="360"/>
        <w:spacing w:after="0" w:line="255" w:lineRule="auto"/>
        <w:tabs>
          <w:tab w:leader="none" w:pos="8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first-priority pledge of 100% of the capital stock of Academy, Ltd. and its domestic subsidiaries and 66% of the voting capital stock of each of Academy, Ltd.'s foreign subsidiaries, if any, that are directly owned by Academy, Ltd. or a future U.S. guarantor, if any.</w:t>
      </w:r>
    </w:p>
    <w:p>
      <w:pPr>
        <w:sectPr>
          <w:pgSz w:w="12240" w:h="15840" w:orient="portrait"/>
          <w:cols w:equalWidth="0" w:num="1">
            <w:col w:w="9900"/>
          </w:cols>
          <w:pgMar w:left="136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900"/>
          </w:cols>
          <w:pgMar w:left="1360" w:top="793" w:right="980" w:bottom="0" w:gutter="0" w:footer="0" w:header="0"/>
          <w:type w:val="continuous"/>
        </w:sectPr>
      </w:pPr>
    </w:p>
    <w:bookmarkStart w:id="98" w:name="page99"/>
    <w:bookmarkEnd w:id="98"/>
    <w:p>
      <w:pPr>
        <w:ind w:left="370" w:right="20" w:firstLine="360"/>
        <w:spacing w:after="0" w:line="281" w:lineRule="auto"/>
        <w:rPr>
          <w:sz w:val="20"/>
          <w:szCs w:val="20"/>
          <w:color w:val="auto"/>
        </w:rPr>
      </w:pPr>
      <w:r>
        <w:rPr>
          <w:rFonts w:ascii="Times New Roman" w:cs="Times New Roman" w:eastAsia="Times New Roman" w:hAnsi="Times New Roman"/>
          <w:sz w:val="20"/>
          <w:szCs w:val="20"/>
          <w:color w:val="auto"/>
        </w:rPr>
        <w:t>The Term Loan is guaranteed by the Guarantors on a senior secured basis. All obligations under the Term Loan and the guarantees of those obligations will be secured by:</w:t>
      </w:r>
    </w:p>
    <w:p>
      <w:pPr>
        <w:spacing w:after="0" w:line="121" w:lineRule="exact"/>
        <w:rPr>
          <w:sz w:val="20"/>
          <w:szCs w:val="20"/>
          <w:color w:val="auto"/>
        </w:rPr>
      </w:pPr>
    </w:p>
    <w:p>
      <w:pPr>
        <w:ind w:left="1170" w:hanging="360"/>
        <w:spacing w:after="0"/>
        <w:tabs>
          <w:tab w:leader="none" w:pos="117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second-priority security interest in the ABL Priority Collateral;</w:t>
      </w:r>
    </w:p>
    <w:p>
      <w:pPr>
        <w:spacing w:after="0" w:line="30" w:lineRule="exact"/>
        <w:rPr>
          <w:rFonts w:ascii="Times New Roman" w:cs="Times New Roman" w:eastAsia="Times New Roman" w:hAnsi="Times New Roman"/>
          <w:sz w:val="20"/>
          <w:szCs w:val="20"/>
          <w:color w:val="auto"/>
        </w:rPr>
      </w:pPr>
    </w:p>
    <w:p>
      <w:pPr>
        <w:ind w:left="1170" w:right="20" w:hanging="360"/>
        <w:spacing w:after="0" w:line="250" w:lineRule="auto"/>
        <w:tabs>
          <w:tab w:leader="none" w:pos="117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first-priority security interest in, and mortgages on, substantially all present and after acquired tangible and intangible assets of Academy and the Guarantors; and</w:t>
      </w:r>
    </w:p>
    <w:p>
      <w:pPr>
        <w:jc w:val="both"/>
        <w:ind w:left="1170" w:right="20" w:hanging="360"/>
        <w:spacing w:after="0" w:line="255" w:lineRule="auto"/>
        <w:tabs>
          <w:tab w:leader="none" w:pos="117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first-priority pledge of 100% of the capital stock of Academy and its domestic subsidiaries and 66% of the voting capital stock of each of Academy’s foreign subsidiaries, if any, that are directly owned by Academy or a future U.S. guarantor, if any.</w:t>
      </w:r>
    </w:p>
    <w:p>
      <w:pPr>
        <w:spacing w:after="0" w:line="147" w:lineRule="exact"/>
        <w:rPr>
          <w:sz w:val="20"/>
          <w:szCs w:val="20"/>
          <w:color w:val="auto"/>
        </w:rPr>
      </w:pPr>
    </w:p>
    <w:p>
      <w:pPr>
        <w:jc w:val="both"/>
        <w:ind w:left="370" w:right="20" w:firstLine="360"/>
        <w:spacing w:after="0" w:line="266" w:lineRule="auto"/>
        <w:rPr>
          <w:sz w:val="20"/>
          <w:szCs w:val="20"/>
          <w:color w:val="auto"/>
        </w:rPr>
      </w:pPr>
      <w:r>
        <w:rPr>
          <w:rFonts w:ascii="Times New Roman" w:cs="Times New Roman" w:eastAsia="Times New Roman" w:hAnsi="Times New Roman"/>
          <w:sz w:val="20"/>
          <w:szCs w:val="20"/>
          <w:color w:val="auto"/>
        </w:rPr>
        <w:t>In order to secure the Notes and the guarantees, Academy, Ltd. and the Guarantors entered into certain security documents with the Notes Collateral Agent, including a security agreement and a pledge agreement, each dated as of November 6, 2020. The Notes and the guarantees are secured by:</w:t>
      </w:r>
    </w:p>
    <w:p>
      <w:pPr>
        <w:spacing w:after="0" w:line="135" w:lineRule="exact"/>
        <w:rPr>
          <w:sz w:val="20"/>
          <w:szCs w:val="20"/>
          <w:color w:val="auto"/>
        </w:rPr>
      </w:pPr>
    </w:p>
    <w:p>
      <w:pPr>
        <w:ind w:left="1170" w:right="20" w:hanging="360"/>
        <w:spacing w:after="0" w:line="260" w:lineRule="auto"/>
        <w:tabs>
          <w:tab w:leader="none" w:pos="117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first-priority lien on all of Academy, Ltd.’s and the Guarantors’ personal property that secure the Term Loan on a first-priority basis; and</w:t>
      </w:r>
    </w:p>
    <w:p>
      <w:pPr>
        <w:spacing w:after="0" w:line="1" w:lineRule="exact"/>
        <w:rPr>
          <w:rFonts w:ascii="Times New Roman" w:cs="Times New Roman" w:eastAsia="Times New Roman" w:hAnsi="Times New Roman"/>
          <w:sz w:val="20"/>
          <w:szCs w:val="20"/>
          <w:color w:val="auto"/>
        </w:rPr>
      </w:pPr>
    </w:p>
    <w:p>
      <w:pPr>
        <w:jc w:val="both"/>
        <w:ind w:left="1170" w:right="20" w:hanging="360"/>
        <w:spacing w:after="0" w:line="253" w:lineRule="auto"/>
        <w:tabs>
          <w:tab w:leader="none" w:pos="117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second-priority lien on Academy, Ltd.’s and the Guarantors’ personal property consisting of accounts and all other rights to payment, inventory, tax refunds, cash, deposit accounts, securities and commodities accounts, and documents and supporting obligations, securing the ABL Facility on a first-priority basis and the Term Loan on a second-priority basis (the "ABL Priority Collateral").</w:t>
      </w:r>
    </w:p>
    <w:p>
      <w:pPr>
        <w:spacing w:after="0" w:line="204" w:lineRule="exact"/>
        <w:rPr>
          <w:sz w:val="20"/>
          <w:szCs w:val="20"/>
          <w:color w:val="auto"/>
        </w:rPr>
      </w:pPr>
    </w:p>
    <w:p>
      <w:pPr>
        <w:jc w:val="both"/>
        <w:ind w:left="370" w:right="20" w:firstLine="360"/>
        <w:spacing w:after="0" w:line="25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Covenants.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ABL Facility, Term Loan and Notes agreements contain covenants, including, among other things,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covenants that may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February 3, 2024.</w:t>
      </w:r>
    </w:p>
    <w:p>
      <w:pPr>
        <w:spacing w:after="0" w:line="203"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As of February 3, 2024, scheduled principal payments on our debt are as follows (amounts in thousands):</w:t>
      </w:r>
    </w:p>
    <w:p>
      <w:pPr>
        <w:spacing w:after="0" w:line="325" w:lineRule="exact"/>
        <w:rPr>
          <w:sz w:val="20"/>
          <w:szCs w:val="20"/>
          <w:color w:val="auto"/>
        </w:rPr>
      </w:pPr>
    </w:p>
    <w:tbl>
      <w:tblPr>
        <w:tblLayout w:type="fixed"/>
        <w:tblInd w:w="43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Fiscal Year</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23"/>
        </w:trPr>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2024</w:t>
            </w:r>
          </w:p>
        </w:tc>
        <w:tc>
          <w:tcPr>
            <w:tcW w:w="7380" w:type="dxa"/>
            <w:vAlign w:val="bottom"/>
          </w:tcPr>
          <w:p>
            <w:pPr>
              <w:spacing w:after="0"/>
              <w:rPr>
                <w:sz w:val="24"/>
                <w:szCs w:val="24"/>
                <w:color w:val="auto"/>
              </w:rPr>
            </w:pP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r>
      <w:tr>
        <w:trPr>
          <w:trHeight w:val="30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7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r>
      <w:tr>
        <w:trPr>
          <w:trHeight w:val="30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7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r>
      <w:tr>
        <w:trPr>
          <w:trHeight w:val="303"/>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73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482,750</w:t>
            </w:r>
          </w:p>
        </w:tc>
      </w:tr>
      <w:tr>
        <w:trPr>
          <w:trHeight w:val="260"/>
        </w:trPr>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4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491,750</w:t>
            </w:r>
          </w:p>
        </w:tc>
      </w:tr>
      <w:tr>
        <w:trPr>
          <w:trHeight w:val="20"/>
        </w:trPr>
        <w:tc>
          <w:tcPr>
            <w:tcW w:w="9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-983615</wp:posOffset>
            </wp:positionV>
            <wp:extent cx="6302375" cy="990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9">
                      <a:extLst>
                        <a:ext uri="{28A0092B-C50C-407E-A947-70E740481C1C}"/>
                      </a:extLst>
                    </a:blip>
                    <a:srcRect/>
                    <a:stretch>
                      <a:fillRect/>
                    </a:stretch>
                  </pic:blipFill>
                  <pic:spPr bwMode="auto">
                    <a:xfrm>
                      <a:off x="0" y="0"/>
                      <a:ext cx="6302375" cy="99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0" w:hanging="370"/>
        <w:spacing w:after="0"/>
        <w:tabs>
          <w:tab w:leader="none" w:pos="37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Derivative Financial Instruments</w:t>
      </w:r>
    </w:p>
    <w:p>
      <w:pPr>
        <w:spacing w:after="0" w:line="257" w:lineRule="exact"/>
        <w:rPr>
          <w:sz w:val="20"/>
          <w:szCs w:val="20"/>
          <w:color w:val="auto"/>
        </w:rPr>
      </w:pPr>
    </w:p>
    <w:p>
      <w:pPr>
        <w:ind w:left="370" w:right="260" w:firstLine="360"/>
        <w:spacing w:after="0" w:line="281" w:lineRule="auto"/>
        <w:rPr>
          <w:sz w:val="20"/>
          <w:szCs w:val="20"/>
          <w:color w:val="auto"/>
        </w:rPr>
      </w:pPr>
      <w:r>
        <w:rPr>
          <w:rFonts w:ascii="Times New Roman" w:cs="Times New Roman" w:eastAsia="Times New Roman" w:hAnsi="Times New Roman"/>
          <w:sz w:val="20"/>
          <w:szCs w:val="20"/>
          <w:color w:val="auto"/>
        </w:rPr>
        <w:t>We have historically used interest rate swap agreements to hedge market risk relating to possible adverse changes in interest rates.</w:t>
      </w:r>
    </w:p>
    <w:p>
      <w:pPr>
        <w:spacing w:after="0" w:line="121" w:lineRule="exact"/>
        <w:rPr>
          <w:sz w:val="20"/>
          <w:szCs w:val="20"/>
          <w:color w:val="auto"/>
        </w:rPr>
      </w:pPr>
    </w:p>
    <w:p>
      <w:pPr>
        <w:jc w:val="both"/>
        <w:ind w:left="370" w:right="20" w:firstLine="360"/>
        <w:spacing w:after="0" w:line="260" w:lineRule="auto"/>
        <w:rPr>
          <w:sz w:val="20"/>
          <w:szCs w:val="20"/>
          <w:color w:val="auto"/>
        </w:rPr>
      </w:pPr>
      <w:r>
        <w:rPr>
          <w:rFonts w:ascii="Times New Roman" w:cs="Times New Roman" w:eastAsia="Times New Roman" w:hAnsi="Times New Roman"/>
          <w:sz w:val="20"/>
          <w:szCs w:val="20"/>
          <w:color w:val="auto"/>
        </w:rPr>
        <w:t>All interest rate swaps had been designated as cash flow hedges of variable rate interest payments on borrowings under the Term Loan. On January 19, 2021, we settled our three outstanding interest rate swaps in full, which were scheduled to expire on various dates during 2021, for $4.1 million. As of February 3, 2024, we do not have any derivative financial instruments outstanding.</w:t>
      </w:r>
    </w:p>
    <w:p>
      <w:pPr>
        <w:spacing w:after="0" w:line="203" w:lineRule="exact"/>
        <w:rPr>
          <w:sz w:val="20"/>
          <w:szCs w:val="20"/>
          <w:color w:val="auto"/>
        </w:rPr>
      </w:pPr>
    </w:p>
    <w:p>
      <w:pPr>
        <w:jc w:val="both"/>
        <w:ind w:left="370" w:right="20" w:firstLine="360"/>
        <w:spacing w:after="0" w:line="266" w:lineRule="auto"/>
        <w:rPr>
          <w:sz w:val="20"/>
          <w:szCs w:val="20"/>
          <w:color w:val="auto"/>
        </w:rPr>
      </w:pPr>
      <w:r>
        <w:rPr>
          <w:rFonts w:ascii="Times New Roman" w:cs="Times New Roman" w:eastAsia="Times New Roman" w:hAnsi="Times New Roman"/>
          <w:sz w:val="20"/>
          <w:szCs w:val="20"/>
          <w:color w:val="auto"/>
        </w:rPr>
        <w:t>For derivatives previously designated as hedging instruments, amounts included in AOCI were reclassified to interest expense in the same period during which the hedged transaction affected earnings, which is as interest expense was recorded on the underlying Term Loan.</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70"/>
          </w:cols>
          <w:pgMar w:left="990" w:top="793" w:right="980" w:bottom="0" w:gutter="0" w:footer="0" w:header="0"/>
          <w:type w:val="continuous"/>
        </w:sectPr>
      </w:pPr>
    </w:p>
    <w:bookmarkStart w:id="99" w:name="page100"/>
    <w:bookmarkEnd w:id="99"/>
    <w:p>
      <w:pPr>
        <w:ind w:left="370" w:right="20" w:firstLine="360"/>
        <w:spacing w:after="0" w:line="281" w:lineRule="auto"/>
        <w:rPr>
          <w:sz w:val="20"/>
          <w:szCs w:val="20"/>
          <w:color w:val="auto"/>
        </w:rPr>
      </w:pPr>
      <w:r>
        <w:rPr>
          <w:rFonts w:ascii="Times New Roman" w:cs="Times New Roman" w:eastAsia="Times New Roman" w:hAnsi="Times New Roman"/>
          <w:sz w:val="20"/>
          <w:szCs w:val="20"/>
          <w:color w:val="auto"/>
        </w:rPr>
        <w:t>The impact of gains and losses related to interest rate swaps that were deferred into AOCI and subsequently reclassified into expense is as follows (amounts in thousands):</w:t>
      </w:r>
    </w:p>
    <w:p>
      <w:pPr>
        <w:spacing w:after="0" w:line="11" w:lineRule="exact"/>
        <w:rPr>
          <w:sz w:val="20"/>
          <w:szCs w:val="20"/>
          <w:color w:val="auto"/>
        </w:rPr>
      </w:pPr>
    </w:p>
    <w:tbl>
      <w:tblPr>
        <w:tblLayout w:type="fixed"/>
        <w:tblInd w:w="410" w:type="dxa"/>
        <w:tblCellMar>
          <w:top w:w="0" w:type="dxa"/>
          <w:left w:w="0" w:type="dxa"/>
          <w:bottom w:w="0" w:type="dxa"/>
          <w:right w:w="0" w:type="dxa"/>
        </w:tblCellMar>
      </w:tblPr>
      <w:tr>
        <w:trPr>
          <w:trHeight w:val="267"/>
        </w:trPr>
        <w:tc>
          <w:tcPr>
            <w:tcW w:w="488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80" w:type="dxa"/>
            <w:vAlign w:val="bottom"/>
          </w:tcPr>
          <w:p>
            <w:pPr>
              <w:spacing w:after="0"/>
              <w:rPr>
                <w:sz w:val="23"/>
                <w:szCs w:val="23"/>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3"/>
                <w:szCs w:val="23"/>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3"/>
                <w:szCs w:val="23"/>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January 29, 2022</w:t>
            </w:r>
          </w:p>
        </w:tc>
        <w:tc>
          <w:tcPr>
            <w:tcW w:w="0" w:type="dxa"/>
            <w:vAlign w:val="bottom"/>
          </w:tcPr>
          <w:p>
            <w:pPr>
              <w:spacing w:after="0"/>
              <w:rPr>
                <w:sz w:val="1"/>
                <w:szCs w:val="1"/>
                <w:color w:val="auto"/>
              </w:rPr>
            </w:pPr>
          </w:p>
        </w:tc>
      </w:tr>
      <w:tr>
        <w:trPr>
          <w:trHeight w:val="277"/>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Loss, beginning</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(3,324)</w:t>
            </w:r>
          </w:p>
        </w:tc>
        <w:tc>
          <w:tcPr>
            <w:tcW w:w="0" w:type="dxa"/>
            <w:vAlign w:val="bottom"/>
          </w:tcPr>
          <w:p>
            <w:pPr>
              <w:spacing w:after="0"/>
              <w:rPr>
                <w:sz w:val="1"/>
                <w:szCs w:val="1"/>
                <w:color w:val="auto"/>
              </w:rPr>
            </w:pPr>
          </w:p>
        </w:tc>
      </w:tr>
      <w:tr>
        <w:trPr>
          <w:trHeight w:val="235"/>
        </w:trPr>
        <w:tc>
          <w:tcPr>
            <w:tcW w:w="4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Increase to interest expense (net of tax benefit of</w:t>
            </w:r>
          </w:p>
        </w:tc>
        <w:tc>
          <w:tcPr>
            <w:tcW w:w="740" w:type="dxa"/>
            <w:vAlign w:val="bottom"/>
          </w:tcPr>
          <w:p>
            <w:pPr>
              <w:spacing w:after="0"/>
              <w:rPr>
                <w:sz w:val="20"/>
                <w:szCs w:val="20"/>
                <w:color w:val="auto"/>
              </w:rPr>
            </w:pPr>
          </w:p>
        </w:tc>
        <w:tc>
          <w:tcPr>
            <w:tcW w:w="880" w:type="dxa"/>
            <w:vAlign w:val="bottom"/>
            <w:vMerge w:val="restart"/>
          </w:tcPr>
          <w:p>
            <w:pPr>
              <w:ind w:left="5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vMerge w:val="restart"/>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3,324</w:t>
            </w:r>
          </w:p>
        </w:tc>
        <w:tc>
          <w:tcPr>
            <w:tcW w:w="0" w:type="dxa"/>
            <w:vAlign w:val="bottom"/>
          </w:tcPr>
          <w:p>
            <w:pPr>
              <w:spacing w:after="0"/>
              <w:rPr>
                <w:sz w:val="1"/>
                <w:szCs w:val="1"/>
                <w:color w:val="auto"/>
              </w:rPr>
            </w:pPr>
          </w:p>
        </w:tc>
      </w:tr>
      <w:tr>
        <w:trPr>
          <w:trHeight w:val="263"/>
        </w:trPr>
        <w:tc>
          <w:tcPr>
            <w:tcW w:w="48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$980.0 million for the year ended January 29, 2022)</w:t>
            </w: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Loss, ending</w:t>
            </w:r>
          </w:p>
        </w:tc>
        <w:tc>
          <w:tcPr>
            <w:tcW w:w="7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-726440</wp:posOffset>
            </wp:positionV>
            <wp:extent cx="6311900" cy="7334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0">
                      <a:extLst>
                        <a:ext uri="{28A0092B-C50C-407E-A947-70E740481C1C}"/>
                      </a:extLst>
                    </a:blip>
                    <a:srcRect/>
                    <a:stretch>
                      <a:fillRect/>
                    </a:stretch>
                  </pic:blipFill>
                  <pic:spPr bwMode="auto">
                    <a:xfrm>
                      <a:off x="0" y="0"/>
                      <a:ext cx="6311900" cy="73342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70" w:hanging="370"/>
        <w:spacing w:after="0"/>
        <w:tabs>
          <w:tab w:leader="none" w:pos="37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57" w:lineRule="exact"/>
        <w:rPr>
          <w:sz w:val="20"/>
          <w:szCs w:val="20"/>
          <w:color w:val="auto"/>
        </w:rPr>
      </w:pPr>
    </w:p>
    <w:p>
      <w:pPr>
        <w:jc w:val="both"/>
        <w:ind w:left="370" w:right="20" w:firstLine="360"/>
        <w:spacing w:after="0" w:line="260" w:lineRule="auto"/>
        <w:rPr>
          <w:sz w:val="20"/>
          <w:szCs w:val="20"/>
          <w:color w:val="auto"/>
        </w:rPr>
      </w:pPr>
      <w:r>
        <w:rPr>
          <w:rFonts w:ascii="Times New Roman" w:cs="Times New Roman" w:eastAsia="Times New Roman" w:hAnsi="Times New Roman"/>
          <w:sz w:val="20"/>
          <w:szCs w:val="20"/>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203"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The fair value measurements are classified as either:</w:t>
      </w:r>
    </w:p>
    <w:p>
      <w:pPr>
        <w:spacing w:after="0" w:line="250" w:lineRule="exact"/>
        <w:rPr>
          <w:sz w:val="20"/>
          <w:szCs w:val="20"/>
          <w:color w:val="auto"/>
        </w:rPr>
      </w:pPr>
    </w:p>
    <w:p>
      <w:pPr>
        <w:ind w:left="990" w:right="200" w:hanging="270"/>
        <w:spacing w:after="0" w:line="260" w:lineRule="auto"/>
        <w:tabs>
          <w:tab w:leader="none" w:pos="99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20"/>
          <w:szCs w:val="20"/>
          <w:color w:val="auto"/>
        </w:rPr>
      </w:pPr>
    </w:p>
    <w:p>
      <w:pPr>
        <w:jc w:val="both"/>
        <w:ind w:left="990" w:right="20" w:hanging="270"/>
        <w:spacing w:after="0" w:line="250" w:lineRule="auto"/>
        <w:tabs>
          <w:tab w:leader="none" w:pos="99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 w:lineRule="exact"/>
        <w:rPr>
          <w:rFonts w:ascii="Times New Roman" w:cs="Times New Roman" w:eastAsia="Times New Roman" w:hAnsi="Times New Roman"/>
          <w:sz w:val="20"/>
          <w:szCs w:val="20"/>
          <w:color w:val="auto"/>
        </w:rPr>
      </w:pPr>
    </w:p>
    <w:p>
      <w:pPr>
        <w:ind w:left="990" w:right="20" w:hanging="270"/>
        <w:spacing w:after="0" w:line="260" w:lineRule="auto"/>
        <w:tabs>
          <w:tab w:leader="none" w:pos="99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which represents valuations based on prices or valuation techniques that require inputs that are both significant to the fair value measurement and unobservable (i.e., supported by little or no market activity).</w:t>
      </w:r>
    </w:p>
    <w:p>
      <w:pPr>
        <w:spacing w:after="0" w:line="202" w:lineRule="exact"/>
        <w:rPr>
          <w:sz w:val="20"/>
          <w:szCs w:val="20"/>
          <w:color w:val="auto"/>
        </w:rPr>
      </w:pPr>
    </w:p>
    <w:p>
      <w:pPr>
        <w:jc w:val="both"/>
        <w:ind w:left="370" w:right="20" w:firstLine="360"/>
        <w:spacing w:after="0" w:line="258" w:lineRule="auto"/>
        <w:rPr>
          <w:sz w:val="20"/>
          <w:szCs w:val="20"/>
          <w:color w:val="auto"/>
        </w:rPr>
      </w:pPr>
      <w:r>
        <w:rPr>
          <w:rFonts w:ascii="Times New Roman" w:cs="Times New Roman" w:eastAsia="Times New Roman" w:hAnsi="Times New Roman"/>
          <w:sz w:val="20"/>
          <w:szCs w:val="20"/>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95"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Other Financial Instruments</w:t>
      </w:r>
    </w:p>
    <w:p>
      <w:pPr>
        <w:spacing w:after="0" w:line="259" w:lineRule="exact"/>
        <w:rPr>
          <w:sz w:val="20"/>
          <w:szCs w:val="20"/>
          <w:color w:val="auto"/>
        </w:rPr>
      </w:pPr>
    </w:p>
    <w:p>
      <w:pPr>
        <w:jc w:val="both"/>
        <w:ind w:left="370" w:right="20" w:firstLine="360"/>
        <w:spacing w:after="0" w:line="266" w:lineRule="auto"/>
        <w:rPr>
          <w:sz w:val="20"/>
          <w:szCs w:val="20"/>
          <w:color w:val="auto"/>
        </w:rPr>
      </w:pPr>
      <w:r>
        <w:rPr>
          <w:rFonts w:ascii="Times New Roman" w:cs="Times New Roman" w:eastAsia="Times New Roman" w:hAnsi="Times New Roman"/>
          <w:sz w:val="20"/>
          <w:szCs w:val="20"/>
          <w:color w:val="auto"/>
        </w:rPr>
        <w:t>Periodically we make cash investments in money market funds comprised of U.S. Government treasury bills and securities, which are classified as cash and redeemable on demand. We held investments in money market funds of $303.4 million and $95.6 million as of February 3, 2024 and January 28, 2023, respectively.</w:t>
      </w:r>
    </w:p>
    <w:p>
      <w:pPr>
        <w:spacing w:after="0" w:line="135" w:lineRule="exact"/>
        <w:rPr>
          <w:sz w:val="20"/>
          <w:szCs w:val="20"/>
          <w:color w:val="auto"/>
        </w:rPr>
      </w:pPr>
    </w:p>
    <w:p>
      <w:pPr>
        <w:jc w:val="both"/>
        <w:ind w:left="370" w:right="20" w:firstLine="360"/>
        <w:spacing w:after="0" w:line="258" w:lineRule="auto"/>
        <w:rPr>
          <w:sz w:val="20"/>
          <w:szCs w:val="20"/>
          <w:color w:val="auto"/>
        </w:rPr>
      </w:pPr>
      <w:r>
        <w:rPr>
          <w:rFonts w:ascii="Times New Roman" w:cs="Times New Roman" w:eastAsia="Times New Roman" w:hAnsi="Times New Roman"/>
          <w:sz w:val="20"/>
          <w:szCs w:val="20"/>
          <w:color w:val="auto"/>
        </w:rPr>
        <w:t>The fair value of the Term Loan and Notes is estimated using a discounted cash flow analysis based on quoted market prices for the instrument in an inactive market and is therefore classified as Level 2 within the fair value hierarchy. As of February 3, 2024 and January 28, 2023, the estimated fair value of the Term Loan and Notes was $0.5 billion and $0.6 billion, respectively. As borrowings on the ABL Facility are generally repaid in less than 12 months, we believe that fair value approximates the carrying value.</w:t>
      </w:r>
    </w:p>
    <w:p>
      <w:pPr>
        <w:sectPr>
          <w:pgSz w:w="12240" w:h="15840" w:orient="portrait"/>
          <w:cols w:equalWidth="0" w:num="1">
            <w:col w:w="10270"/>
          </w:cols>
          <w:pgMar w:left="99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70"/>
          </w:cols>
          <w:pgMar w:left="990" w:top="793" w:right="980" w:bottom="0" w:gutter="0" w:footer="0" w:header="0"/>
          <w:type w:val="continuous"/>
        </w:sectPr>
      </w:pPr>
    </w:p>
    <w:bookmarkStart w:id="100" w:name="page101"/>
    <w:bookmarkEnd w:id="100"/>
    <w:p>
      <w:pPr>
        <w:ind w:left="370" w:hanging="370"/>
        <w:spacing w:after="0"/>
        <w:tabs>
          <w:tab w:leader="none" w:pos="37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w:t>
      </w:r>
    </w:p>
    <w:p>
      <w:pPr>
        <w:spacing w:after="0" w:line="25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Property and equipment consists of the following (amounts in thousands) as of:</w:t>
      </w:r>
    </w:p>
    <w:p>
      <w:pPr>
        <w:spacing w:after="0" w:line="319" w:lineRule="exact"/>
        <w:rPr>
          <w:sz w:val="20"/>
          <w:szCs w:val="20"/>
          <w:color w:val="auto"/>
        </w:rPr>
      </w:pPr>
    </w:p>
    <w:tbl>
      <w:tblPr>
        <w:tblLayout w:type="fixed"/>
        <w:tblInd w:w="410" w:type="dxa"/>
        <w:tblCellMar>
          <w:top w:w="0" w:type="dxa"/>
          <w:left w:w="0" w:type="dxa"/>
          <w:bottom w:w="0" w:type="dxa"/>
          <w:right w:w="0" w:type="dxa"/>
        </w:tblCellMar>
      </w:tblPr>
      <w:tr>
        <w:trPr>
          <w:trHeight w:val="267"/>
        </w:trPr>
        <w:tc>
          <w:tcPr>
            <w:tcW w:w="642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r>
      <w:tr>
        <w:trPr>
          <w:trHeight w:val="277"/>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571,785</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484,930</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Equipment and software</w:t>
            </w: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688,143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641,387</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398,415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360,099</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38,873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23,159</w:t>
            </w:r>
          </w:p>
        </w:tc>
      </w:tr>
      <w:tr>
        <w:trPr>
          <w:trHeight w:val="303"/>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Building and land</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14,919</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3,698</w:t>
            </w:r>
          </w:p>
        </w:tc>
      </w:tr>
      <w:tr>
        <w:trPr>
          <w:trHeight w:val="277"/>
        </w:trPr>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property and equipment</w:t>
            </w: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1,712,135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1,513,273</w:t>
            </w:r>
          </w:p>
        </w:tc>
      </w:tr>
      <w:tr>
        <w:trPr>
          <w:trHeight w:val="303"/>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 and amortization</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(1,266,926)</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(1,161,849)</w:t>
            </w:r>
          </w:p>
        </w:tc>
      </w:tr>
      <w:tr>
        <w:trPr>
          <w:trHeight w:val="260"/>
        </w:trPr>
        <w:tc>
          <w:tcPr>
            <w:tcW w:w="6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445,209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351,424</w:t>
            </w:r>
          </w:p>
        </w:tc>
      </w:tr>
      <w:tr>
        <w:trPr>
          <w:trHeight w:val="20"/>
        </w:trPr>
        <w:tc>
          <w:tcPr>
            <w:tcW w:w="6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-1555115</wp:posOffset>
            </wp:positionV>
            <wp:extent cx="6330950" cy="1562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1">
                      <a:extLst>
                        <a:ext uri="{28A0092B-C50C-407E-A947-70E740481C1C}"/>
                      </a:extLst>
                    </a:blip>
                    <a:srcRect/>
                    <a:stretch>
                      <a:fillRect/>
                    </a:stretch>
                  </pic:blipFill>
                  <pic:spPr bwMode="auto">
                    <a:xfrm>
                      <a:off x="0" y="0"/>
                      <a:ext cx="6330950" cy="1562100"/>
                    </a:xfrm>
                    <a:prstGeom prst="rect">
                      <a:avLst/>
                    </a:prstGeom>
                    <a:noFill/>
                  </pic:spPr>
                </pic:pic>
              </a:graphicData>
            </a:graphic>
          </wp:anchor>
        </w:drawing>
      </w:r>
    </w:p>
    <w:p>
      <w:pPr>
        <w:spacing w:after="0" w:line="22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Depreciation expense was $110.9 million, $106.8 million and $105.3 million in 2023, 2022 and 2021, respectively.</w:t>
      </w:r>
    </w:p>
    <w:p>
      <w:pPr>
        <w:spacing w:after="0" w:line="200" w:lineRule="exact"/>
        <w:rPr>
          <w:sz w:val="20"/>
          <w:szCs w:val="20"/>
          <w:color w:val="auto"/>
        </w:rPr>
      </w:pPr>
    </w:p>
    <w:p>
      <w:pPr>
        <w:spacing w:after="0" w:line="283" w:lineRule="exact"/>
        <w:rPr>
          <w:sz w:val="20"/>
          <w:szCs w:val="20"/>
          <w:color w:val="auto"/>
        </w:rPr>
      </w:pPr>
    </w:p>
    <w:p>
      <w:pPr>
        <w:ind w:left="370" w:hanging="370"/>
        <w:spacing w:after="0"/>
        <w:tabs>
          <w:tab w:leader="none" w:pos="37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Accrued Expenses and Other Current Liabilities</w:t>
      </w:r>
    </w:p>
    <w:p>
      <w:pPr>
        <w:spacing w:after="0" w:line="25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Accrued expenses and other current liabilities consist of the following (amounts in thousands) as of:</w:t>
      </w:r>
    </w:p>
    <w:p>
      <w:pPr>
        <w:spacing w:after="0" w:line="319" w:lineRule="exact"/>
        <w:rPr>
          <w:sz w:val="20"/>
          <w:szCs w:val="20"/>
          <w:color w:val="auto"/>
        </w:rPr>
      </w:pPr>
    </w:p>
    <w:tbl>
      <w:tblPr>
        <w:tblLayout w:type="fixed"/>
        <w:tblInd w:w="410" w:type="dxa"/>
        <w:tblCellMar>
          <w:top w:w="0" w:type="dxa"/>
          <w:left w:w="0" w:type="dxa"/>
          <w:bottom w:w="0" w:type="dxa"/>
          <w:right w:w="0" w:type="dxa"/>
        </w:tblCellMar>
      </w:tblPr>
      <w:tr>
        <w:trPr>
          <w:trHeight w:val="267"/>
        </w:trPr>
        <w:tc>
          <w:tcPr>
            <w:tcW w:w="642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r>
      <w:tr>
        <w:trPr>
          <w:trHeight w:val="277"/>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56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6,717</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7,015</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Accrued personnel costs</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30,899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57,504</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Accrued professional fees</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1,818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3,943</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Accrued sales and use tax</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14,828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9,302</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Accrued self-insurance</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15,269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20,941</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 gift cards and other</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96,688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92,603</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Income taxes payable</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9,313</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6,195</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Property taxes</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14,239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15,921</w:t>
            </w:r>
          </w:p>
        </w:tc>
      </w:tr>
      <w:tr>
        <w:trPr>
          <w:trHeight w:val="30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Sales return allowance</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6,400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w:t>
            </w:r>
          </w:p>
        </w:tc>
      </w:tr>
      <w:tr>
        <w:trPr>
          <w:trHeight w:val="303"/>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21,761</w:t>
            </w:r>
          </w:p>
        </w:tc>
        <w:tc>
          <w:tcPr>
            <w:tcW w:w="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20,645</w:t>
            </w:r>
          </w:p>
        </w:tc>
      </w:tr>
      <w:tr>
        <w:trPr>
          <w:trHeight w:val="260"/>
        </w:trPr>
        <w:tc>
          <w:tcPr>
            <w:tcW w:w="6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56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217,932</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240,169</w:t>
            </w:r>
          </w:p>
        </w:tc>
      </w:tr>
      <w:tr>
        <w:trPr>
          <w:trHeight w:val="20"/>
        </w:trPr>
        <w:tc>
          <w:tcPr>
            <w:tcW w:w="6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-2126615</wp:posOffset>
            </wp:positionV>
            <wp:extent cx="6330950" cy="2133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2">
                      <a:extLst>
                        <a:ext uri="{28A0092B-C50C-407E-A947-70E740481C1C}"/>
                      </a:extLst>
                    </a:blip>
                    <a:srcRect/>
                    <a:stretch>
                      <a:fillRect/>
                    </a:stretch>
                  </pic:blipFill>
                  <pic:spPr bwMode="auto">
                    <a:xfrm>
                      <a:off x="0" y="0"/>
                      <a:ext cx="6330950" cy="21336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70" w:hanging="370"/>
        <w:spacing w:after="0"/>
        <w:tabs>
          <w:tab w:leader="none" w:pos="37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Share-Based Compensation</w:t>
      </w:r>
    </w:p>
    <w:p>
      <w:pPr>
        <w:spacing w:after="0" w:line="197" w:lineRule="exact"/>
        <w:rPr>
          <w:sz w:val="20"/>
          <w:szCs w:val="20"/>
          <w:color w:val="auto"/>
        </w:rPr>
      </w:pPr>
    </w:p>
    <w:p>
      <w:pPr>
        <w:jc w:val="both"/>
        <w:ind w:left="370" w:right="40" w:firstLine="360"/>
        <w:spacing w:after="0" w:line="254" w:lineRule="auto"/>
        <w:rPr>
          <w:sz w:val="20"/>
          <w:szCs w:val="20"/>
          <w:color w:val="auto"/>
        </w:rPr>
      </w:pPr>
      <w:r>
        <w:rPr>
          <w:rFonts w:ascii="Times New Roman" w:cs="Times New Roman" w:eastAsia="Times New Roman" w:hAnsi="Times New Roman"/>
          <w:sz w:val="20"/>
          <w:szCs w:val="20"/>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previously existing share-based compensation plan, the NAHC 2011 Unit Incentive Plan (the "2011 Unit Incentive Plan"), was frozen and no further issuances will be permitted as part of the 2011 Unit Incentive Plan. On June 1, 2023, our stockholders approved the First Amendment to the 2020 Omnibus Incentive Plan, which, among other changes, increased the number of shares available for issuance thereunder by 2,600,000 shares. As of February 3, 2024, there were 4,534,051 shares that were authorized and available for grant under the 2020 Omnibus Incentive Plan.</w:t>
      </w:r>
    </w:p>
    <w:p>
      <w:pPr>
        <w:spacing w:after="0" w:line="153" w:lineRule="exact"/>
        <w:rPr>
          <w:sz w:val="20"/>
          <w:szCs w:val="20"/>
          <w:color w:val="auto"/>
        </w:rPr>
      </w:pPr>
    </w:p>
    <w:p>
      <w:pPr>
        <w:jc w:val="both"/>
        <w:ind w:left="370" w:right="20" w:firstLine="360"/>
        <w:spacing w:after="0" w:line="266" w:lineRule="auto"/>
        <w:rPr>
          <w:sz w:val="20"/>
          <w:szCs w:val="20"/>
          <w:color w:val="auto"/>
        </w:rPr>
      </w:pPr>
      <w:r>
        <w:rPr>
          <w:rFonts w:ascii="Times New Roman" w:cs="Times New Roman" w:eastAsia="Times New Roman" w:hAnsi="Times New Roman"/>
          <w:sz w:val="20"/>
          <w:szCs w:val="20"/>
          <w:color w:val="auto"/>
        </w:rPr>
        <w:t>On September 29, 2020, the ASO, Inc. Board of Directors adopted the 2020 Employee Stock Purchase Plan (the "ESPP"), which became effective on October 1, 2020. We have reserved a total of 2,000,000 shares and as of February 3, 2024, there were 1,593,760 shares authorized and available for future issuance under the ESPP.</w:t>
      </w:r>
    </w:p>
    <w:p>
      <w:pPr>
        <w:sectPr>
          <w:pgSz w:w="12240" w:h="15840" w:orient="portrait"/>
          <w:cols w:equalWidth="0" w:num="1">
            <w:col w:w="10290"/>
          </w:cols>
          <w:pgMar w:left="990" w:top="102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4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90"/>
          </w:cols>
          <w:pgMar w:left="990" w:top="1026" w:right="960" w:bottom="0" w:gutter="0" w:footer="0" w:header="0"/>
          <w:type w:val="continuous"/>
        </w:sectPr>
      </w:pPr>
    </w:p>
    <w:bookmarkStart w:id="101" w:name="page102"/>
    <w:bookmarkEnd w:id="101"/>
    <w:p>
      <w:pPr>
        <w:ind w:left="10" w:right="2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provides total stock-based compensation recognized in the consolidated statements of income (amounts in thousands):</w:t>
      </w:r>
    </w:p>
    <w:p>
      <w:pPr>
        <w:spacing w:after="0" w:line="41"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38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1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r>
        <w:trPr>
          <w:trHeight w:val="295"/>
        </w:trPr>
        <w:tc>
          <w:tcPr>
            <w:tcW w:w="3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January 29, 2022</w:t>
            </w:r>
          </w:p>
        </w:tc>
        <w:tc>
          <w:tcPr>
            <w:tcW w:w="300" w:type="dxa"/>
            <w:vAlign w:val="bottom"/>
          </w:tcPr>
          <w:p>
            <w:pPr>
              <w:spacing w:after="0"/>
              <w:rPr>
                <w:sz w:val="24"/>
                <w:szCs w:val="24"/>
                <w:color w:val="auto"/>
              </w:rPr>
            </w:pPr>
          </w:p>
        </w:tc>
      </w:tr>
      <w:tr>
        <w:trPr>
          <w:trHeight w:val="343"/>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Equity compensation expense </w:t>
            </w:r>
            <w:r>
              <w:rPr>
                <w:rFonts w:ascii="Times New Roman" w:cs="Times New Roman" w:eastAsia="Times New Roman" w:hAnsi="Times New Roman"/>
                <w:sz w:val="26"/>
                <w:szCs w:val="26"/>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24,377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39,264</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w:t>
            </w:r>
          </w:p>
        </w:tc>
      </w:tr>
      <w:tr>
        <w:trPr>
          <w:trHeight w:val="264"/>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Total related tax benefit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5,245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9,075</w:t>
            </w:r>
          </w:p>
        </w:tc>
        <w:tc>
          <w:tcPr>
            <w:tcW w:w="3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-403860</wp:posOffset>
            </wp:positionV>
            <wp:extent cx="6311900" cy="425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3">
                      <a:extLst>
                        <a:ext uri="{28A0092B-C50C-407E-A947-70E740481C1C}"/>
                      </a:extLst>
                    </a:blip>
                    <a:srcRect/>
                    <a:stretch>
                      <a:fillRect/>
                    </a:stretch>
                  </pic:blipFill>
                  <pic:spPr bwMode="auto">
                    <a:xfrm>
                      <a:off x="0" y="0"/>
                      <a:ext cx="6311900" cy="425450"/>
                    </a:xfrm>
                    <a:prstGeom prst="rect">
                      <a:avLst/>
                    </a:prstGeom>
                    <a:noFill/>
                  </pic:spPr>
                </pic:pic>
              </a:graphicData>
            </a:graphic>
          </wp:anchor>
        </w:drawing>
      </w:r>
    </w:p>
    <w:p>
      <w:pPr>
        <w:spacing w:after="0" w:line="38" w:lineRule="exact"/>
        <w:rPr>
          <w:sz w:val="20"/>
          <w:szCs w:val="20"/>
          <w:color w:val="auto"/>
        </w:rPr>
      </w:pPr>
    </w:p>
    <w:p>
      <w:pPr>
        <w:ind w:left="170" w:hanging="170"/>
        <w:spacing w:after="0"/>
        <w:tabs>
          <w:tab w:leader="none" w:pos="170" w:val="left"/>
        </w:tabs>
        <w:numPr>
          <w:ilvl w:val="0"/>
          <w:numId w:val="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These costs are included within selling, general and administrative expenses in the consolidated statements of income.</w:t>
      </w:r>
    </w:p>
    <w:p>
      <w:pPr>
        <w:spacing w:after="0" w:line="49" w:lineRule="exact"/>
        <w:rPr>
          <w:rFonts w:ascii="Times New Roman" w:cs="Times New Roman" w:eastAsia="Times New Roman" w:hAnsi="Times New Roman"/>
          <w:sz w:val="21"/>
          <w:szCs w:val="21"/>
          <w:color w:val="auto"/>
          <w:vertAlign w:val="superscript"/>
        </w:rPr>
      </w:pPr>
    </w:p>
    <w:p>
      <w:pPr>
        <w:ind w:left="190" w:right="20" w:hanging="190"/>
        <w:spacing w:after="0" w:line="200" w:lineRule="auto"/>
        <w:tabs>
          <w:tab w:leader="none" w:pos="213" w:val="left"/>
        </w:tabs>
        <w:numPr>
          <w:ilvl w:val="0"/>
          <w:numId w:val="6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These costs include approximately $24.9 million in non-cash expenses related to the 2021 Vesting Event, which occurred during the 2021 second quarter (see Note 1).</w:t>
      </w:r>
    </w:p>
    <w:p>
      <w:pPr>
        <w:spacing w:after="0" w:line="164" w:lineRule="exact"/>
        <w:rPr>
          <w:sz w:val="20"/>
          <w:szCs w:val="20"/>
          <w:color w:val="auto"/>
        </w:rPr>
      </w:pPr>
    </w:p>
    <w:p>
      <w:pPr>
        <w:jc w:val="both"/>
        <w:ind w:left="10" w:firstLine="360"/>
        <w:spacing w:after="0" w:line="260" w:lineRule="auto"/>
        <w:rPr>
          <w:sz w:val="20"/>
          <w:szCs w:val="20"/>
          <w:color w:val="auto"/>
        </w:rPr>
      </w:pPr>
      <w:r>
        <w:rPr>
          <w:rFonts w:ascii="Times New Roman" w:cs="Times New Roman" w:eastAsia="Times New Roman" w:hAnsi="Times New Roman"/>
          <w:sz w:val="20"/>
          <w:szCs w:val="20"/>
          <w:color w:val="auto"/>
        </w:rPr>
        <w:t>As of February 3, 2024, unrecognized compensation cost related to non-vested share-based compensation awards of $28.6 million is expected to be recognized over a weighted average life of two years. The grant date fair value of Restricted Units and Restricted Stock Units vested was $11.7 million, $3.9 million and $24.4 million for 2023, 2022 and 2021, respectively.</w:t>
      </w:r>
    </w:p>
    <w:p>
      <w:pPr>
        <w:spacing w:after="0" w:line="134"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2011 Unit Incentive Plan</w:t>
      </w:r>
    </w:p>
    <w:p>
      <w:pPr>
        <w:spacing w:after="0" w:line="199" w:lineRule="exact"/>
        <w:rPr>
          <w:sz w:val="20"/>
          <w:szCs w:val="20"/>
          <w:color w:val="auto"/>
        </w:rPr>
      </w:pPr>
    </w:p>
    <w:p>
      <w:pPr>
        <w:jc w:val="both"/>
        <w:ind w:left="10" w:right="20" w:firstLine="360"/>
        <w:spacing w:after="0" w:line="266" w:lineRule="auto"/>
        <w:rPr>
          <w:sz w:val="20"/>
          <w:szCs w:val="20"/>
          <w:color w:val="auto"/>
        </w:rPr>
      </w:pPr>
      <w:r>
        <w:rPr>
          <w:rFonts w:ascii="Times New Roman" w:cs="Times New Roman" w:eastAsia="Times New Roman" w:hAnsi="Times New Roman"/>
          <w:sz w:val="20"/>
          <w:szCs w:val="20"/>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35" w:lineRule="exact"/>
        <w:rPr>
          <w:sz w:val="20"/>
          <w:szCs w:val="20"/>
          <w:color w:val="auto"/>
        </w:rPr>
      </w:pPr>
    </w:p>
    <w:p>
      <w:pPr>
        <w:jc w:val="both"/>
        <w:ind w:left="10" w:right="20" w:firstLine="360"/>
        <w:spacing w:after="0" w:line="266" w:lineRule="auto"/>
        <w:rPr>
          <w:sz w:val="20"/>
          <w:szCs w:val="20"/>
          <w:color w:val="auto"/>
        </w:rPr>
      </w:pPr>
      <w:r>
        <w:rPr>
          <w:rFonts w:ascii="Times New Roman" w:cs="Times New Roman" w:eastAsia="Times New Roman" w:hAnsi="Times New Roman"/>
          <w:sz w:val="20"/>
          <w:szCs w:val="20"/>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135" w:lineRule="exact"/>
        <w:rPr>
          <w:sz w:val="20"/>
          <w:szCs w:val="20"/>
          <w:color w:val="auto"/>
        </w:rPr>
      </w:pPr>
    </w:p>
    <w:p>
      <w:pPr>
        <w:jc w:val="both"/>
        <w:ind w:left="10" w:firstLine="360"/>
        <w:spacing w:after="0" w:line="258" w:lineRule="auto"/>
        <w:rPr>
          <w:sz w:val="20"/>
          <w:szCs w:val="20"/>
          <w:color w:val="auto"/>
        </w:rPr>
      </w:pPr>
      <w:r>
        <w:rPr>
          <w:rFonts w:ascii="Times New Roman" w:cs="Times New Roman" w:eastAsia="Times New Roman" w:hAnsi="Times New Roman"/>
          <w:sz w:val="20"/>
          <w:szCs w:val="20"/>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144" w:lineRule="exact"/>
        <w:rPr>
          <w:sz w:val="20"/>
          <w:szCs w:val="20"/>
          <w:color w:val="auto"/>
        </w:rPr>
      </w:pPr>
    </w:p>
    <w:p>
      <w:pPr>
        <w:jc w:val="both"/>
        <w:ind w:left="10" w:right="20" w:firstLine="360"/>
        <w:spacing w:after="0" w:line="281" w:lineRule="auto"/>
        <w:rPr>
          <w:sz w:val="20"/>
          <w:szCs w:val="20"/>
          <w:color w:val="auto"/>
        </w:rPr>
      </w:pPr>
      <w:r>
        <w:rPr>
          <w:rFonts w:ascii="Times New Roman" w:cs="Times New Roman" w:eastAsia="Times New Roman" w:hAnsi="Times New Roman"/>
          <w:sz w:val="20"/>
          <w:szCs w:val="20"/>
          <w:color w:val="auto"/>
        </w:rPr>
        <w:t>Concurrent with the adoption of the 2020 Omnibus Incentive Plan on October 1, 2020, no further Awards are authorized to be granted under the 2011 Unit Incentive Plan.</w:t>
      </w:r>
    </w:p>
    <w:p>
      <w:pPr>
        <w:spacing w:after="0" w:line="112"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2020 Omnibus Incentive Plan</w:t>
      </w:r>
    </w:p>
    <w:p>
      <w:pPr>
        <w:spacing w:after="0" w:line="199" w:lineRule="exact"/>
        <w:rPr>
          <w:sz w:val="20"/>
          <w:szCs w:val="20"/>
          <w:color w:val="auto"/>
        </w:rPr>
      </w:pPr>
    </w:p>
    <w:p>
      <w:pPr>
        <w:jc w:val="both"/>
        <w:ind w:left="10" w:right="20" w:firstLine="360"/>
        <w:spacing w:after="0" w:line="266" w:lineRule="auto"/>
        <w:rPr>
          <w:sz w:val="20"/>
          <w:szCs w:val="20"/>
          <w:color w:val="auto"/>
        </w:rPr>
      </w:pPr>
      <w:r>
        <w:rPr>
          <w:rFonts w:ascii="Times New Roman" w:cs="Times New Roman" w:eastAsia="Times New Roman" w:hAnsi="Times New Roman"/>
          <w:sz w:val="20"/>
          <w:szCs w:val="20"/>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35" w:lineRule="exact"/>
        <w:rPr>
          <w:sz w:val="20"/>
          <w:szCs w:val="20"/>
          <w:color w:val="auto"/>
        </w:rPr>
      </w:pPr>
    </w:p>
    <w:p>
      <w:pPr>
        <w:jc w:val="both"/>
        <w:ind w:left="10" w:right="20" w:firstLine="360"/>
        <w:spacing w:after="0" w:line="266" w:lineRule="auto"/>
        <w:rPr>
          <w:sz w:val="20"/>
          <w:szCs w:val="20"/>
          <w:color w:val="auto"/>
        </w:rPr>
      </w:pPr>
      <w:r>
        <w:rPr>
          <w:rFonts w:ascii="Times New Roman" w:cs="Times New Roman" w:eastAsia="Times New Roman" w:hAnsi="Times New Roman"/>
          <w:sz w:val="20"/>
          <w:szCs w:val="20"/>
          <w:color w:val="auto"/>
        </w:rPr>
        <w:t>Stock Options granted under the 2020 Omnibus Incentive Plan consist of Stock Options that vest upon the satisfaction of time-based requirements, each, a "Service Stock Option" (Service Unit Options and Service Stock Options together are "Service Options").</w:t>
      </w:r>
    </w:p>
    <w:p>
      <w:pPr>
        <w:spacing w:after="0" w:line="135" w:lineRule="exact"/>
        <w:rPr>
          <w:sz w:val="20"/>
          <w:szCs w:val="20"/>
          <w:color w:val="auto"/>
        </w:rPr>
      </w:pPr>
    </w:p>
    <w:p>
      <w:pPr>
        <w:jc w:val="both"/>
        <w:ind w:left="10" w:right="20" w:firstLine="360"/>
        <w:spacing w:after="0" w:line="257" w:lineRule="auto"/>
        <w:rPr>
          <w:sz w:val="20"/>
          <w:szCs w:val="20"/>
          <w:color w:val="auto"/>
        </w:rPr>
      </w:pPr>
      <w:r>
        <w:rPr>
          <w:rFonts w:ascii="Times New Roman" w:cs="Times New Roman" w:eastAsia="Times New Roman" w:hAnsi="Times New Roman"/>
          <w:sz w:val="20"/>
          <w:szCs w:val="20"/>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and/or market-based requirements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37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ESPP</w:t>
      </w:r>
    </w:p>
    <w:p>
      <w:pPr>
        <w:spacing w:after="0" w:line="199" w:lineRule="exact"/>
        <w:rPr>
          <w:sz w:val="20"/>
          <w:szCs w:val="20"/>
          <w:color w:val="auto"/>
        </w:rPr>
      </w:pPr>
    </w:p>
    <w:p>
      <w:pPr>
        <w:jc w:val="both"/>
        <w:ind w:left="10" w:right="20" w:firstLine="360"/>
        <w:spacing w:after="0" w:line="266" w:lineRule="auto"/>
        <w:rPr>
          <w:sz w:val="20"/>
          <w:szCs w:val="20"/>
          <w:color w:val="auto"/>
        </w:rPr>
      </w:pPr>
      <w:r>
        <w:rPr>
          <w:rFonts w:ascii="Times New Roman" w:cs="Times New Roman" w:eastAsia="Times New Roman" w:hAnsi="Times New Roman"/>
          <w:sz w:val="20"/>
          <w:szCs w:val="20"/>
          <w:color w:val="auto"/>
        </w:rPr>
        <w:t>Our ESPP allows eligible employees to contribute up to 15% of their eligible earnings toward the semi-annual purchase of the Company's shares of common stock at a discount of 15% of the closing stock price on the first or last day of the six-month offering period, whichever is lower.</w:t>
      </w:r>
    </w:p>
    <w:p>
      <w:pPr>
        <w:sectPr>
          <w:pgSz w:w="12240" w:h="15840" w:orient="portrait"/>
          <w:cols w:equalWidth="0" w:num="1">
            <w:col w:w="9910"/>
          </w:cols>
          <w:pgMar w:left="135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0"/>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910"/>
          </w:cols>
          <w:pgMar w:left="1350" w:top="793" w:right="980" w:bottom="0" w:gutter="0" w:footer="0" w:header="0"/>
          <w:type w:val="continuous"/>
        </w:sectPr>
      </w:pPr>
    </w:p>
    <w:bookmarkStart w:id="102" w:name="page103"/>
    <w:bookmarkEnd w:id="102"/>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The number of shares reserved for issuance under the ESPP will be increased automatically on the first day of each fiscal year, beginning in fiscal year 2021, by a number equal to the lesser of (1) 1,000,000 shares of common stock, (2) 2.0% of the total number of all classes of the company's common stock outstanding on the last day of the immediately preceding fiscal year, or (3) a lower number of shares determined by the ASO, Inc. Board of Directors.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Distribution</w:t>
      </w:r>
    </w:p>
    <w:p>
      <w:pPr>
        <w:spacing w:after="0" w:line="199" w:lineRule="exact"/>
        <w:rPr>
          <w:sz w:val="20"/>
          <w:szCs w:val="20"/>
          <w:color w:val="auto"/>
        </w:rPr>
      </w:pPr>
    </w:p>
    <w:p>
      <w:pPr>
        <w:jc w:val="both"/>
        <w:ind w:right="20" w:firstLine="360"/>
        <w:spacing w:after="0" w:line="256" w:lineRule="auto"/>
        <w:rPr>
          <w:sz w:val="20"/>
          <w:szCs w:val="20"/>
          <w:color w:val="auto"/>
        </w:rPr>
      </w:pPr>
      <w:r>
        <w:rPr>
          <w:rFonts w:ascii="Times New Roman" w:cs="Times New Roman" w:eastAsia="Times New Roman" w:hAnsi="Times New Roman"/>
          <w:sz w:val="20"/>
          <w:szCs w:val="20"/>
          <w:color w:val="auto"/>
        </w:rPr>
        <w:t>On August 28, 2020, NAHC paid a $257.0 million distribution to its members of record as of August 25, 2020. Holders of the outstanding granted equity Awards were entitled to receive value equal to $3.546 per share on a post-IPO basis, which was made in the form of cash payments, additional Restricted Unit grants or Unit Option exercise price adjustments. Cash payments due for unvested Awards were paid upon vesting of such Awards. Cash payments for vested Unit Options and vested Restricted Units ("Share-Based Award Payments") of $32.2 million were paid in-full as of July 31, 2021.</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Service Option Fair Value Assumptions</w:t>
      </w:r>
    </w:p>
    <w:p>
      <w:pPr>
        <w:spacing w:after="0" w:line="199" w:lineRule="exact"/>
        <w:rPr>
          <w:sz w:val="20"/>
          <w:szCs w:val="20"/>
          <w:color w:val="auto"/>
        </w:rPr>
      </w:pPr>
    </w:p>
    <w:p>
      <w:pPr>
        <w:jc w:val="both"/>
        <w:ind w:right="20" w:firstLine="360"/>
        <w:spacing w:after="0" w:line="254" w:lineRule="auto"/>
        <w:rPr>
          <w:sz w:val="20"/>
          <w:szCs w:val="20"/>
          <w:color w:val="auto"/>
        </w:rPr>
      </w:pPr>
      <w:r>
        <w:rPr>
          <w:rFonts w:ascii="Times New Roman" w:cs="Times New Roman" w:eastAsia="Times New Roman" w:hAnsi="Times New Roman"/>
          <w:sz w:val="20"/>
          <w:szCs w:val="20"/>
          <w:color w:val="auto"/>
        </w:rPr>
        <w:t>The fair value for Service Options granted was estimated using a Black-Scholes option-pricing model. The expected lives of the Service Options granted were based on the "SEC simplified" method. Expected price volatility was determined based on our own volatility and the implied volatilities of comparable companies over a historical period that matches the expected life of the Service Options. The risk-free interest rate was based on the expected U.S. Treasury rate over the expected life. In 2022 and 2023, the dividend yield was based on the most recent annualized quarterly dividend and the valuation date closing stock price. In 2021, the dividend yield was based on the expectation that no dividends will be paid. The assumptions used to calculate the fair value of Service Options granted are evaluated and modified, as necessary, to reflect current market conditions and experience.</w:t>
      </w:r>
    </w:p>
    <w:p>
      <w:pPr>
        <w:spacing w:after="0" w:line="153"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assumptions and grant date fair values for Service Options granted in 2023, 2022 and 2021:</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920" w:type="dxa"/>
            <w:vAlign w:val="bottom"/>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r>
      <w:tr>
        <w:trPr>
          <w:trHeight w:val="475"/>
        </w:trPr>
        <w:tc>
          <w:tcPr>
            <w:tcW w:w="49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February 3, 2024</w:t>
            </w:r>
          </w:p>
        </w:tc>
        <w:tc>
          <w:tcPr>
            <w:tcW w:w="6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January 28, 2023</w:t>
            </w:r>
          </w:p>
        </w:tc>
        <w:tc>
          <w:tcPr>
            <w:tcW w:w="6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January 29, 2022</w:t>
            </w:r>
          </w:p>
        </w:tc>
      </w:tr>
      <w:tr>
        <w:trPr>
          <w:trHeight w:val="27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in years</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6.0</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6.2</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6.2</w:t>
            </w:r>
          </w:p>
        </w:tc>
      </w:tr>
      <w:tr>
        <w:trPr>
          <w:trHeight w:val="3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46% to 51%</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 to 45%</w:t>
            </w:r>
          </w:p>
        </w:tc>
        <w:tc>
          <w:tcPr>
            <w:tcW w:w="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42% to 44%</w:t>
            </w:r>
          </w:p>
        </w:tc>
      </w:tr>
      <w:tr>
        <w:trPr>
          <w:trHeight w:val="3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volatility</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47.8%</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43.0%</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43.7%</w:t>
            </w:r>
          </w:p>
        </w:tc>
      </w:tr>
      <w:tr>
        <w:trPr>
          <w:trHeight w:val="3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3.7% to 4.4%</w:t>
            </w:r>
          </w:p>
        </w:tc>
        <w:tc>
          <w:tcPr>
            <w:tcW w:w="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 to 4.1%</w:t>
            </w:r>
          </w:p>
        </w:tc>
        <w:tc>
          <w:tcPr>
            <w:tcW w:w="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 to 1.3%</w:t>
            </w:r>
          </w:p>
        </w:tc>
      </w:tr>
      <w:tr>
        <w:trPr>
          <w:trHeight w:val="3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0.6%</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0.8%</w:t>
            </w:r>
          </w:p>
        </w:tc>
        <w:tc>
          <w:tcPr>
            <w:tcW w:w="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30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grant date fair value - Service Options</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$27.60</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$16.36</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-1146810</wp:posOffset>
            </wp:positionV>
            <wp:extent cx="6311900" cy="1168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4">
                      <a:extLst>
                        <a:ext uri="{28A0092B-C50C-407E-A947-70E740481C1C}"/>
                      </a:extLst>
                    </a:blip>
                    <a:srcRect/>
                    <a:stretch>
                      <a:fillRect/>
                    </a:stretch>
                  </pic:blipFill>
                  <pic:spPr bwMode="auto">
                    <a:xfrm>
                      <a:off x="0" y="0"/>
                      <a:ext cx="6311900" cy="1168400"/>
                    </a:xfrm>
                    <a:prstGeom prst="rect">
                      <a:avLst/>
                    </a:prstGeom>
                    <a:noFill/>
                  </pic:spPr>
                </pic:pic>
              </a:graphicData>
            </a:graphic>
          </wp:anchor>
        </w:drawing>
      </w:r>
    </w:p>
    <w:p>
      <w:pPr>
        <w:sectPr>
          <w:pgSz w:w="12240" w:h="15840" w:orient="portrait"/>
          <w:cols w:equalWidth="0" w:num="1">
            <w:col w:w="9900"/>
          </w:cols>
          <w:pgMar w:left="136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900"/>
          </w:cols>
          <w:pgMar w:left="1360" w:top="793" w:right="980" w:bottom="0" w:gutter="0" w:footer="0" w:header="0"/>
          <w:type w:val="continuous"/>
        </w:sectPr>
      </w:pPr>
    </w:p>
    <w:bookmarkStart w:id="103" w:name="page104"/>
    <w:bookmarkEnd w:id="103"/>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Option Activity</w:t>
      </w:r>
    </w:p>
    <w:p>
      <w:pPr>
        <w:spacing w:after="0" w:line="199"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354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Option activity is as follows:</w:t>
            </w: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8"/>
        </w:trPr>
        <w:tc>
          <w:tcPr>
            <w:tcW w:w="3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Service Options</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top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vMerge w:val="restart"/>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 Average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4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60" w:type="dxa"/>
            <w:vAlign w:val="bottom"/>
          </w:tcPr>
          <w:p>
            <w:pPr>
              <w:spacing w:after="0"/>
              <w:rPr>
                <w:sz w:val="17"/>
                <w:szCs w:val="17"/>
                <w:color w:val="auto"/>
              </w:rPr>
            </w:pPr>
          </w:p>
        </w:tc>
        <w:tc>
          <w:tcPr>
            <w:tcW w:w="17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Contractual Life</w:t>
            </w:r>
          </w:p>
        </w:tc>
        <w:tc>
          <w:tcPr>
            <w:tcW w:w="60" w:type="dxa"/>
            <w:vAlign w:val="bottom"/>
          </w:tcPr>
          <w:p>
            <w:pPr>
              <w:spacing w:after="0"/>
              <w:rPr>
                <w:sz w:val="17"/>
                <w:szCs w:val="17"/>
                <w:color w:val="auto"/>
              </w:rPr>
            </w:pPr>
          </w:p>
        </w:tc>
        <w:tc>
          <w:tcPr>
            <w:tcW w:w="15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Intrinsic Value</w:t>
            </w:r>
          </w:p>
        </w:tc>
        <w:tc>
          <w:tcPr>
            <w:tcW w:w="0" w:type="dxa"/>
            <w:vAlign w:val="bottom"/>
          </w:tcPr>
          <w:p>
            <w:pPr>
              <w:spacing w:after="0"/>
              <w:rPr>
                <w:sz w:val="1"/>
                <w:szCs w:val="1"/>
                <w:color w:val="auto"/>
              </w:rPr>
            </w:pPr>
          </w:p>
        </w:tc>
      </w:tr>
      <w:tr>
        <w:trPr>
          <w:trHeight w:val="263"/>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January 30, 2021</w:t>
            </w:r>
          </w:p>
        </w:tc>
        <w:tc>
          <w:tcPr>
            <w:tcW w:w="13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Exercise Price</w:t>
            </w:r>
          </w:p>
        </w:tc>
        <w:tc>
          <w:tcPr>
            <w:tcW w:w="60" w:type="dxa"/>
            <w:vAlign w:val="bottom"/>
          </w:tcPr>
          <w:p>
            <w:pPr>
              <w:spacing w:after="0"/>
              <w:rPr>
                <w:sz w:val="22"/>
                <w:szCs w:val="22"/>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60" w:type="dxa"/>
            <w:vAlign w:val="bottom"/>
          </w:tcPr>
          <w:p>
            <w:pPr>
              <w:spacing w:after="0"/>
              <w:rPr>
                <w:sz w:val="22"/>
                <w:szCs w:val="22"/>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 thousands)</w:t>
            </w:r>
          </w:p>
        </w:tc>
        <w:tc>
          <w:tcPr>
            <w:tcW w:w="0" w:type="dxa"/>
            <w:vAlign w:val="bottom"/>
          </w:tcPr>
          <w:p>
            <w:pPr>
              <w:spacing w:after="0"/>
              <w:rPr>
                <w:sz w:val="1"/>
                <w:szCs w:val="1"/>
                <w:color w:val="auto"/>
              </w:rPr>
            </w:pPr>
          </w:p>
        </w:tc>
      </w:tr>
      <w:tr>
        <w:trPr>
          <w:trHeight w:val="227"/>
        </w:trPr>
        <w:tc>
          <w:tcPr>
            <w:tcW w:w="3540" w:type="dxa"/>
            <w:vAlign w:val="bottom"/>
            <w:gridSpan w:val="2"/>
            <w:vMerge w:val="continue"/>
          </w:tcPr>
          <w:p>
            <w:pPr>
              <w:spacing w:after="0"/>
              <w:rPr>
                <w:sz w:val="19"/>
                <w:szCs w:val="19"/>
                <w:color w:val="auto"/>
              </w:rPr>
            </w:pPr>
          </w:p>
        </w:tc>
        <w:tc>
          <w:tcPr>
            <w:tcW w:w="13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6,282,782</w:t>
            </w:r>
          </w:p>
        </w:tc>
        <w:tc>
          <w:tcPr>
            <w:tcW w:w="60" w:type="dxa"/>
            <w:vAlign w:val="bottom"/>
          </w:tcPr>
          <w:p>
            <w:pPr>
              <w:spacing w:after="0"/>
              <w:rPr>
                <w:sz w:val="19"/>
                <w:szCs w:val="19"/>
                <w:color w:val="auto"/>
              </w:rPr>
            </w:pPr>
          </w:p>
        </w:tc>
        <w:tc>
          <w:tcPr>
            <w:tcW w:w="1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13.53</w:t>
            </w:r>
          </w:p>
        </w:tc>
        <w:tc>
          <w:tcPr>
            <w:tcW w:w="60" w:type="dxa"/>
            <w:vAlign w:val="bottom"/>
          </w:tcPr>
          <w:p>
            <w:pPr>
              <w:spacing w:after="0"/>
              <w:rPr>
                <w:sz w:val="19"/>
                <w:szCs w:val="19"/>
                <w:color w:val="auto"/>
              </w:rPr>
            </w:pPr>
          </w:p>
        </w:tc>
        <w:tc>
          <w:tcPr>
            <w:tcW w:w="17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19"/>
                <w:szCs w:val="19"/>
                <w:color w:val="auto"/>
              </w:rPr>
            </w:pPr>
          </w:p>
        </w:tc>
        <w:tc>
          <w:tcPr>
            <w:tcW w:w="2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50,055</w:t>
            </w: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Granted or modified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915,017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27.41</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Canceled or modified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(39,757)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23.19</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Exercised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(3,258,329)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81,782</w:t>
            </w:r>
          </w:p>
        </w:tc>
        <w:tc>
          <w:tcPr>
            <w:tcW w:w="0" w:type="dxa"/>
            <w:vAlign w:val="bottom"/>
          </w:tcPr>
          <w:p>
            <w:pPr>
              <w:spacing w:after="0"/>
              <w:rPr>
                <w:sz w:val="1"/>
                <w:szCs w:val="1"/>
                <w:color w:val="auto"/>
              </w:rPr>
            </w:pPr>
          </w:p>
        </w:tc>
      </w:tr>
      <w:tr>
        <w:trPr>
          <w:trHeight w:val="227"/>
        </w:trPr>
        <w:tc>
          <w:tcPr>
            <w:tcW w:w="354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Outstanding as of January 29, 2022</w:t>
            </w:r>
          </w:p>
        </w:tc>
        <w:tc>
          <w:tcPr>
            <w:tcW w:w="13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3,898,214</w:t>
            </w:r>
          </w:p>
        </w:tc>
        <w:tc>
          <w:tcPr>
            <w:tcW w:w="2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19.12</w:t>
            </w:r>
          </w:p>
        </w:tc>
        <w:tc>
          <w:tcPr>
            <w:tcW w:w="18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7.4</w:t>
            </w:r>
          </w:p>
        </w:tc>
        <w:tc>
          <w:tcPr>
            <w:tcW w:w="2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72,345</w:t>
            </w: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Granted or modified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817,618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39.22</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Canceled or modified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17.06</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(51,027)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30.32</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Exercised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(1,090,733)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34,611</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Outstanding as of January 28, 2023</w:t>
            </w:r>
          </w:p>
        </w:tc>
        <w:tc>
          <w:tcPr>
            <w:tcW w:w="13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3,570,694</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24.27</w:t>
            </w:r>
          </w:p>
        </w:tc>
        <w:tc>
          <w:tcPr>
            <w:tcW w:w="18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7.3</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112,050</w:t>
            </w: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Granted or modified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262,640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58.13</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Canceled or modified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(694)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(228,160)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w:t>
            </w:r>
          </w:p>
        </w:tc>
        <w:tc>
          <w:tcPr>
            <w:tcW w:w="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Exercised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(988,682)</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36,277</w:t>
            </w:r>
          </w:p>
        </w:tc>
        <w:tc>
          <w:tcPr>
            <w:tcW w:w="0" w:type="dxa"/>
            <w:vAlign w:val="bottom"/>
          </w:tcPr>
          <w:p>
            <w:pPr>
              <w:spacing w:after="0"/>
              <w:rPr>
                <w:sz w:val="1"/>
                <w:szCs w:val="1"/>
                <w:color w:val="auto"/>
              </w:rPr>
            </w:pPr>
          </w:p>
        </w:tc>
      </w:tr>
      <w:tr>
        <w:trPr>
          <w:trHeight w:val="265"/>
        </w:trPr>
        <w:tc>
          <w:tcPr>
            <w:tcW w:w="3540" w:type="dxa"/>
            <w:vAlign w:val="bottom"/>
            <w:gridSpan w:val="2"/>
          </w:tcPr>
          <w:p>
            <w:pPr>
              <w:spacing w:after="0" w:line="265" w:lineRule="exact"/>
              <w:rPr>
                <w:sz w:val="20"/>
                <w:szCs w:val="20"/>
                <w:color w:val="auto"/>
              </w:rPr>
            </w:pPr>
            <w:r>
              <w:rPr>
                <w:rFonts w:ascii="Times New Roman" w:cs="Times New Roman" w:eastAsia="Times New Roman" w:hAnsi="Times New Roman"/>
                <w:sz w:val="20"/>
                <w:szCs w:val="20"/>
                <w:b w:val="1"/>
                <w:bCs w:val="1"/>
                <w:color w:val="auto"/>
              </w:rPr>
              <w:t xml:space="preserve">Outstanding as of February 3, 2024 </w:t>
            </w:r>
            <w:r>
              <w:rPr>
                <w:rFonts w:ascii="Times New Roman" w:cs="Times New Roman" w:eastAsia="Times New Roman" w:hAnsi="Times New Roman"/>
                <w:sz w:val="26"/>
                <w:szCs w:val="26"/>
                <w:b w:val="1"/>
                <w:bCs w:val="1"/>
                <w:color w:val="auto"/>
                <w:vertAlign w:val="superscript"/>
              </w:rPr>
              <w:t>(1)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2,615,798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95,479</w:t>
            </w:r>
          </w:p>
        </w:tc>
        <w:tc>
          <w:tcPr>
            <w:tcW w:w="0" w:type="dxa"/>
            <w:vAlign w:val="bottom"/>
          </w:tcPr>
          <w:p>
            <w:pPr>
              <w:spacing w:after="0"/>
              <w:rPr>
                <w:sz w:val="1"/>
                <w:szCs w:val="1"/>
                <w:color w:val="auto"/>
              </w:rPr>
            </w:pPr>
          </w:p>
        </w:tc>
      </w:tr>
      <w:tr>
        <w:trPr>
          <w:trHeight w:val="260"/>
        </w:trPr>
        <w:tc>
          <w:tcPr>
            <w:tcW w:w="3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Exercisable as of February 3, 2024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1,633,434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70,154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-2831465</wp:posOffset>
            </wp:positionV>
            <wp:extent cx="6311900" cy="2838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5">
                      <a:extLst>
                        <a:ext uri="{28A0092B-C50C-407E-A947-70E740481C1C}"/>
                      </a:extLst>
                    </a:blip>
                    <a:srcRect/>
                    <a:stretch>
                      <a:fillRect/>
                    </a:stretch>
                  </pic:blipFill>
                  <pic:spPr bwMode="auto">
                    <a:xfrm>
                      <a:off x="0" y="0"/>
                      <a:ext cx="6311900" cy="2838450"/>
                    </a:xfrm>
                    <a:prstGeom prst="rect">
                      <a:avLst/>
                    </a:prstGeom>
                    <a:noFill/>
                  </pic:spPr>
                </pic:pic>
              </a:graphicData>
            </a:graphic>
          </wp:anchor>
        </w:drawing>
      </w:r>
    </w:p>
    <w:p>
      <w:pPr>
        <w:ind w:left="190" w:right="220" w:hanging="190"/>
        <w:spacing w:after="0" w:line="282" w:lineRule="auto"/>
        <w:tabs>
          <w:tab w:leader="none" w:pos="23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elected to recognize forfeitures as they occur. Therefore, the number of awards vested and expected to vest is equal to the awards outstanding.</w:t>
      </w:r>
    </w:p>
    <w:p>
      <w:pPr>
        <w:spacing w:after="0" w:line="190"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Unit Options</w:t>
            </w: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18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 Average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2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vMerge w:val="restart"/>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Unit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7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Contractual Life</w:t>
            </w:r>
          </w:p>
        </w:tc>
        <w:tc>
          <w:tcPr>
            <w:tcW w:w="60" w:type="dxa"/>
            <w:vAlign w:val="bottom"/>
          </w:tcPr>
          <w:p>
            <w:pPr>
              <w:spacing w:after="0"/>
              <w:rPr>
                <w:sz w:val="17"/>
                <w:szCs w:val="17"/>
                <w:color w:val="auto"/>
              </w:rPr>
            </w:pPr>
          </w:p>
        </w:tc>
        <w:tc>
          <w:tcPr>
            <w:tcW w:w="15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Intrinsic Value</w:t>
            </w:r>
          </w:p>
        </w:tc>
        <w:tc>
          <w:tcPr>
            <w:tcW w:w="0" w:type="dxa"/>
            <w:vAlign w:val="bottom"/>
          </w:tcPr>
          <w:p>
            <w:pPr>
              <w:spacing w:after="0"/>
              <w:rPr>
                <w:sz w:val="1"/>
                <w:szCs w:val="1"/>
                <w:color w:val="auto"/>
              </w:rPr>
            </w:pPr>
          </w:p>
        </w:tc>
      </w:tr>
      <w:tr>
        <w:trPr>
          <w:trHeight w:val="263"/>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January 30, 2021</w:t>
            </w:r>
          </w:p>
        </w:tc>
        <w:tc>
          <w:tcPr>
            <w:tcW w:w="13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Exercise Price</w:t>
            </w:r>
          </w:p>
        </w:tc>
        <w:tc>
          <w:tcPr>
            <w:tcW w:w="6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60" w:type="dxa"/>
            <w:vAlign w:val="bottom"/>
          </w:tcPr>
          <w:p>
            <w:pPr>
              <w:spacing w:after="0"/>
              <w:rPr>
                <w:sz w:val="22"/>
                <w:szCs w:val="22"/>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 thousands)</w:t>
            </w:r>
          </w:p>
        </w:tc>
        <w:tc>
          <w:tcPr>
            <w:tcW w:w="0" w:type="dxa"/>
            <w:vAlign w:val="bottom"/>
          </w:tcPr>
          <w:p>
            <w:pPr>
              <w:spacing w:after="0"/>
              <w:rPr>
                <w:sz w:val="1"/>
                <w:szCs w:val="1"/>
                <w:color w:val="auto"/>
              </w:rPr>
            </w:pPr>
          </w:p>
        </w:tc>
      </w:tr>
      <w:tr>
        <w:trPr>
          <w:trHeight w:val="235"/>
        </w:trPr>
        <w:tc>
          <w:tcPr>
            <w:tcW w:w="354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2,948,621</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w:t>
            </w:r>
          </w:p>
        </w:tc>
        <w:tc>
          <w:tcPr>
            <w:tcW w:w="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37,422</w:t>
            </w:r>
          </w:p>
        </w:tc>
        <w:tc>
          <w:tcPr>
            <w:tcW w:w="0" w:type="dxa"/>
            <w:vAlign w:val="bottom"/>
          </w:tcPr>
          <w:p>
            <w:pPr>
              <w:spacing w:after="0"/>
              <w:rPr>
                <w:sz w:val="1"/>
                <w:szCs w:val="1"/>
                <w:color w:val="auto"/>
              </w:rPr>
            </w:pPr>
          </w:p>
        </w:tc>
      </w:tr>
      <w:tr>
        <w:trPr>
          <w:trHeight w:val="227"/>
        </w:trPr>
        <w:tc>
          <w:tcPr>
            <w:tcW w:w="3540" w:type="dxa"/>
            <w:vAlign w:val="bottom"/>
            <w:gridSpan w:val="2"/>
          </w:tcPr>
          <w:p>
            <w:pPr>
              <w:ind w:left="140"/>
              <w:spacing w:after="0" w:line="227" w:lineRule="exact"/>
              <w:rPr>
                <w:sz w:val="20"/>
                <w:szCs w:val="20"/>
                <w:color w:val="auto"/>
              </w:rPr>
            </w:pPr>
            <w:r>
              <w:rPr>
                <w:rFonts w:ascii="Times New Roman" w:cs="Times New Roman" w:eastAsia="Times New Roman" w:hAnsi="Times New Roman"/>
                <w:sz w:val="20"/>
                <w:szCs w:val="20"/>
                <w:color w:val="auto"/>
              </w:rPr>
              <w:t>Granted or modified</w:t>
            </w:r>
          </w:p>
        </w:tc>
        <w:tc>
          <w:tcPr>
            <w:tcW w:w="13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Canceled or modified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(295,932)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16.72</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(2,255,780)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55,865</w:t>
            </w:r>
          </w:p>
        </w:tc>
        <w:tc>
          <w:tcPr>
            <w:tcW w:w="0" w:type="dxa"/>
            <w:vAlign w:val="bottom"/>
          </w:tcPr>
          <w:p>
            <w:pPr>
              <w:spacing w:after="0"/>
              <w:rPr>
                <w:sz w:val="1"/>
                <w:szCs w:val="1"/>
                <w:color w:val="auto"/>
              </w:rPr>
            </w:pPr>
          </w:p>
        </w:tc>
      </w:tr>
      <w:tr>
        <w:trPr>
          <w:trHeight w:val="227"/>
        </w:trPr>
        <w:tc>
          <w:tcPr>
            <w:tcW w:w="354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b w:val="1"/>
                <w:bCs w:val="1"/>
                <w:color w:val="auto"/>
              </w:rPr>
              <w:t>Outstanding as of January 29, 2022</w:t>
            </w:r>
          </w:p>
        </w:tc>
        <w:tc>
          <w:tcPr>
            <w:tcW w:w="13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396,909</w:t>
            </w:r>
          </w:p>
        </w:tc>
        <w:tc>
          <w:tcPr>
            <w:tcW w:w="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16.48</w:t>
            </w:r>
          </w:p>
        </w:tc>
        <w:tc>
          <w:tcPr>
            <w:tcW w:w="17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5.8</w:t>
            </w:r>
          </w:p>
        </w:tc>
        <w:tc>
          <w:tcPr>
            <w:tcW w:w="2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8,406</w:t>
            </w: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Granted or modified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Canceled or modified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(178,432)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5,570</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Outstanding as of January 28, 2023</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218,477</w:t>
            </w:r>
          </w:p>
        </w:tc>
        <w:tc>
          <w:tcPr>
            <w:tcW w:w="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16.59</w:t>
            </w:r>
          </w:p>
        </w:tc>
        <w:tc>
          <w:tcPr>
            <w:tcW w:w="17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5.5</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8,534</w:t>
            </w: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Granted or modified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Canceled or modified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(95,915)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16.63</w:t>
            </w:r>
          </w:p>
        </w:tc>
        <w:tc>
          <w:tcPr>
            <w:tcW w:w="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3,656</w:t>
            </w:r>
          </w:p>
        </w:tc>
        <w:tc>
          <w:tcPr>
            <w:tcW w:w="0" w:type="dxa"/>
            <w:vAlign w:val="bottom"/>
          </w:tcPr>
          <w:p>
            <w:pPr>
              <w:spacing w:after="0"/>
              <w:rPr>
                <w:sz w:val="1"/>
                <w:szCs w:val="1"/>
                <w:color w:val="auto"/>
              </w:rPr>
            </w:pPr>
          </w:p>
        </w:tc>
      </w:tr>
      <w:tr>
        <w:trPr>
          <w:trHeight w:val="280"/>
        </w:trPr>
        <w:tc>
          <w:tcPr>
            <w:tcW w:w="3540" w:type="dxa"/>
            <w:vAlign w:val="bottom"/>
            <w:gridSpan w:val="2"/>
          </w:tcPr>
          <w:p>
            <w:pPr>
              <w:spacing w:after="0" w:line="280" w:lineRule="exact"/>
              <w:rPr>
                <w:sz w:val="20"/>
                <w:szCs w:val="20"/>
                <w:color w:val="auto"/>
              </w:rPr>
            </w:pPr>
            <w:r>
              <w:rPr>
                <w:rFonts w:ascii="Times New Roman" w:cs="Times New Roman" w:eastAsia="Times New Roman" w:hAnsi="Times New Roman"/>
                <w:sz w:val="20"/>
                <w:szCs w:val="20"/>
                <w:b w:val="1"/>
                <w:bCs w:val="1"/>
                <w:color w:val="auto"/>
              </w:rPr>
              <w:t xml:space="preserve">Outstanding as of February 3, 2024 </w:t>
            </w:r>
            <w:r>
              <w:rPr>
                <w:rFonts w:ascii="Times New Roman" w:cs="Times New Roman" w:eastAsia="Times New Roman" w:hAnsi="Times New Roman"/>
                <w:sz w:val="26"/>
                <w:szCs w:val="26"/>
                <w:b w:val="1"/>
                <w:bCs w:val="1"/>
                <w:color w:val="auto"/>
                <w:vertAlign w:val="superscript"/>
              </w:rPr>
              <w:t>(1)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122,562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5,874</w:t>
            </w:r>
          </w:p>
        </w:tc>
        <w:tc>
          <w:tcPr>
            <w:tcW w:w="0" w:type="dxa"/>
            <w:vAlign w:val="bottom"/>
          </w:tcPr>
          <w:p>
            <w:pPr>
              <w:spacing w:after="0"/>
              <w:rPr>
                <w:sz w:val="1"/>
                <w:szCs w:val="1"/>
                <w:color w:val="auto"/>
              </w:rPr>
            </w:pPr>
          </w:p>
        </w:tc>
      </w:tr>
      <w:tr>
        <w:trPr>
          <w:trHeight w:val="260"/>
        </w:trPr>
        <w:tc>
          <w:tcPr>
            <w:tcW w:w="3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Exercisable as of February 3, 2024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122,562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-2840990</wp:posOffset>
            </wp:positionV>
            <wp:extent cx="6311900" cy="28479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6">
                      <a:extLst>
                        <a:ext uri="{28A0092B-C50C-407E-A947-70E740481C1C}"/>
                      </a:extLst>
                    </a:blip>
                    <a:srcRect/>
                    <a:stretch>
                      <a:fillRect/>
                    </a:stretch>
                  </pic:blipFill>
                  <pic:spPr bwMode="auto">
                    <a:xfrm>
                      <a:off x="0" y="0"/>
                      <a:ext cx="6311900" cy="2847975"/>
                    </a:xfrm>
                    <a:prstGeom prst="rect">
                      <a:avLst/>
                    </a:prstGeom>
                    <a:noFill/>
                  </pic:spPr>
                </pic:pic>
              </a:graphicData>
            </a:graphic>
          </wp:anchor>
        </w:drawing>
      </w:r>
    </w:p>
    <w:p>
      <w:pPr>
        <w:ind w:left="190" w:right="220" w:hanging="190"/>
        <w:spacing w:after="0" w:line="282" w:lineRule="auto"/>
        <w:tabs>
          <w:tab w:leader="none" w:pos="23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elected to recognize forfeitures as they occur. Therefore, the number of awards vested and expected to vest is equal to the awards outstanding.</w:t>
      </w:r>
    </w:p>
    <w:p>
      <w:pPr>
        <w:spacing w:after="0" w:line="120" w:lineRule="exact"/>
        <w:rPr>
          <w:sz w:val="20"/>
          <w:szCs w:val="20"/>
          <w:color w:val="auto"/>
        </w:rPr>
      </w:pPr>
    </w:p>
    <w:p>
      <w:pPr>
        <w:ind w:left="10" w:right="20" w:firstLine="360"/>
        <w:spacing w:after="0" w:line="281" w:lineRule="auto"/>
        <w:rPr>
          <w:sz w:val="20"/>
          <w:szCs w:val="20"/>
          <w:color w:val="auto"/>
        </w:rPr>
      </w:pPr>
      <w:r>
        <w:rPr>
          <w:rFonts w:ascii="Times New Roman" w:cs="Times New Roman" w:eastAsia="Times New Roman" w:hAnsi="Times New Roman"/>
          <w:sz w:val="20"/>
          <w:szCs w:val="20"/>
          <w:color w:val="auto"/>
        </w:rPr>
        <w:t>The total income tax benefit recognized from the exercise of stock options was $3.9 million, $4.2 million and $18.5 million for the fiscal years ended February 3, 2024, January 28, 2023 and January 29, 2022, respectively.</w:t>
      </w:r>
    </w:p>
    <w:p>
      <w:pPr>
        <w:sectPr>
          <w:pgSz w:w="12240" w:h="15840" w:orient="portrait"/>
          <w:cols w:equalWidth="0" w:num="1">
            <w:col w:w="9910"/>
          </w:cols>
          <w:pgMar w:left="1350" w:top="784" w:right="980" w:bottom="0" w:gutter="0" w:footer="0" w:header="0"/>
        </w:sectPr>
      </w:pPr>
    </w:p>
    <w:p>
      <w:pPr>
        <w:spacing w:after="0" w:line="130" w:lineRule="exact"/>
        <w:rPr>
          <w:sz w:val="20"/>
          <w:szCs w:val="20"/>
          <w:color w:val="auto"/>
        </w:rPr>
      </w:pPr>
    </w:p>
    <w:p>
      <w:pPr>
        <w:jc w:val="center"/>
        <w:ind w:right="9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910"/>
          </w:cols>
          <w:pgMar w:left="1350" w:top="784" w:right="980" w:bottom="0" w:gutter="0" w:footer="0" w:header="0"/>
          <w:type w:val="continuous"/>
        </w:sectPr>
      </w:pPr>
    </w:p>
    <w:bookmarkStart w:id="104" w:name="page105"/>
    <w:bookmarkEnd w:id="104"/>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Restricted Unit Activity</w:t>
      </w:r>
    </w:p>
    <w:p>
      <w:pPr>
        <w:spacing w:after="0" w:line="2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Restricted Unit activity is as follows: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tcPr>
          <w:p>
            <w:pPr>
              <w:spacing w:after="0"/>
              <w:rPr>
                <w:sz w:val="19"/>
                <w:szCs w:val="19"/>
                <w:color w:val="auto"/>
              </w:rPr>
            </w:pPr>
          </w:p>
        </w:tc>
        <w:tc>
          <w:tcPr>
            <w:tcW w:w="22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Service Restricted Units</w:t>
            </w:r>
          </w:p>
        </w:tc>
        <w:tc>
          <w:tcPr>
            <w:tcW w:w="60" w:type="dxa"/>
            <w:vAlign w:val="bottom"/>
          </w:tcPr>
          <w:p>
            <w:pPr>
              <w:spacing w:after="0"/>
              <w:rPr>
                <w:sz w:val="19"/>
                <w:szCs w:val="19"/>
                <w:color w:val="auto"/>
              </w:rPr>
            </w:pPr>
          </w:p>
        </w:tc>
        <w:tc>
          <w:tcPr>
            <w:tcW w:w="230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Liquidity Event</w:t>
            </w:r>
          </w:p>
        </w:tc>
        <w:tc>
          <w:tcPr>
            <w:tcW w:w="60" w:type="dxa"/>
            <w:vAlign w:val="bottom"/>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Performance Restricted</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2200" w:type="dxa"/>
            <w:vAlign w:val="bottom"/>
            <w:tcBorders>
              <w:bottom w:val="single" w:sz="8" w:color="auto"/>
            </w:tcBorders>
            <w:gridSpan w:val="4"/>
            <w:vMerge w:val="continue"/>
          </w:tcPr>
          <w:p>
            <w:pPr>
              <w:spacing w:after="0"/>
              <w:rPr>
                <w:sz w:val="22"/>
                <w:szCs w:val="22"/>
                <w:color w:val="auto"/>
              </w:rPr>
            </w:pPr>
          </w:p>
        </w:tc>
        <w:tc>
          <w:tcPr>
            <w:tcW w:w="60" w:type="dxa"/>
            <w:vAlign w:val="bottom"/>
          </w:tcPr>
          <w:p>
            <w:pPr>
              <w:spacing w:after="0"/>
              <w:rPr>
                <w:sz w:val="22"/>
                <w:szCs w:val="22"/>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Restricted Units</w:t>
            </w:r>
          </w:p>
        </w:tc>
        <w:tc>
          <w:tcPr>
            <w:tcW w:w="60" w:type="dxa"/>
            <w:vAlign w:val="bottom"/>
          </w:tcPr>
          <w:p>
            <w:pPr>
              <w:spacing w:after="0"/>
              <w:rPr>
                <w:sz w:val="22"/>
                <w:szCs w:val="22"/>
                <w:color w:val="auto"/>
              </w:rPr>
            </w:pPr>
          </w:p>
        </w:tc>
        <w:tc>
          <w:tcPr>
            <w:tcW w:w="222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Units</w:t>
            </w: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60"/>
              <w:spacing w:after="0" w:line="20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40"/>
              <w:spacing w:after="0" w:line="20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0"/>
              <w:spacing w:after="0" w:line="20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3020" w:type="dxa"/>
            <w:vAlign w:val="bottom"/>
          </w:tcPr>
          <w:p>
            <w:pPr>
              <w:spacing w:after="0"/>
              <w:rPr>
                <w:sz w:val="17"/>
                <w:szCs w:val="17"/>
                <w:color w:val="auto"/>
              </w:rPr>
            </w:pPr>
          </w:p>
        </w:tc>
        <w:tc>
          <w:tcPr>
            <w:tcW w:w="9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Units</w:t>
            </w:r>
          </w:p>
        </w:tc>
        <w:tc>
          <w:tcPr>
            <w:tcW w:w="60" w:type="dxa"/>
            <w:vAlign w:val="bottom"/>
          </w:tcPr>
          <w:p>
            <w:pPr>
              <w:spacing w:after="0"/>
              <w:rPr>
                <w:sz w:val="17"/>
                <w:szCs w:val="17"/>
                <w:color w:val="auto"/>
              </w:rPr>
            </w:pPr>
          </w:p>
        </w:tc>
        <w:tc>
          <w:tcPr>
            <w:tcW w:w="12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60" w:type="dxa"/>
            <w:vAlign w:val="bottom"/>
          </w:tcPr>
          <w:p>
            <w:pPr>
              <w:spacing w:after="0"/>
              <w:rPr>
                <w:sz w:val="17"/>
                <w:szCs w:val="17"/>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Units</w:t>
            </w:r>
          </w:p>
        </w:tc>
        <w:tc>
          <w:tcPr>
            <w:tcW w:w="60" w:type="dxa"/>
            <w:vAlign w:val="bottom"/>
          </w:tcPr>
          <w:p>
            <w:pPr>
              <w:spacing w:after="0"/>
              <w:rPr>
                <w:sz w:val="17"/>
                <w:szCs w:val="17"/>
                <w:color w:val="auto"/>
              </w:rPr>
            </w:pPr>
          </w:p>
        </w:tc>
        <w:tc>
          <w:tcPr>
            <w:tcW w:w="12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Grant Date</w:t>
            </w:r>
          </w:p>
        </w:tc>
        <w:tc>
          <w:tcPr>
            <w:tcW w:w="60" w:type="dxa"/>
            <w:vAlign w:val="bottom"/>
          </w:tcPr>
          <w:p>
            <w:pPr>
              <w:spacing w:after="0"/>
              <w:rPr>
                <w:sz w:val="17"/>
                <w:szCs w:val="17"/>
                <w:color w:val="auto"/>
              </w:rPr>
            </w:pPr>
          </w:p>
        </w:tc>
        <w:tc>
          <w:tcPr>
            <w:tcW w:w="9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Units</w:t>
            </w:r>
          </w:p>
        </w:tc>
        <w:tc>
          <w:tcPr>
            <w:tcW w:w="6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77"/>
        </w:trPr>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Non-vested as of January 30, 2021</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32,049</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1,339,330</w:t>
            </w:r>
          </w:p>
        </w:tc>
        <w:tc>
          <w:tcPr>
            <w:tcW w:w="2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w:t>
            </w:r>
          </w:p>
        </w:tc>
        <w:tc>
          <w:tcPr>
            <w:tcW w:w="0" w:type="dxa"/>
            <w:vAlign w:val="bottom"/>
          </w:tcPr>
          <w:p>
            <w:pPr>
              <w:spacing w:after="0"/>
              <w:rPr>
                <w:sz w:val="1"/>
                <w:szCs w:val="1"/>
                <w:color w:val="auto"/>
              </w:rPr>
            </w:pPr>
          </w:p>
        </w:tc>
      </w:tr>
      <w:tr>
        <w:trPr>
          <w:trHeight w:val="300"/>
        </w:trPr>
        <w:tc>
          <w:tcPr>
            <w:tcW w:w="3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358,960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36.64</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196,056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27.41</w:t>
            </w:r>
          </w:p>
        </w:tc>
        <w:tc>
          <w:tcPr>
            <w:tcW w:w="0" w:type="dxa"/>
            <w:vAlign w:val="bottom"/>
          </w:tcPr>
          <w:p>
            <w:pPr>
              <w:spacing w:after="0"/>
              <w:rPr>
                <w:sz w:val="1"/>
                <w:szCs w:val="1"/>
                <w:color w:val="auto"/>
              </w:rPr>
            </w:pPr>
          </w:p>
        </w:tc>
      </w:tr>
      <w:tr>
        <w:trPr>
          <w:trHeight w:val="300"/>
        </w:trPr>
        <w:tc>
          <w:tcPr>
            <w:tcW w:w="3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Vested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(33,389)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(1,339,330)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w:t>
            </w:r>
          </w:p>
        </w:tc>
        <w:tc>
          <w:tcPr>
            <w:tcW w:w="0" w:type="dxa"/>
            <w:vAlign w:val="bottom"/>
          </w:tcPr>
          <w:p>
            <w:pPr>
              <w:spacing w:after="0"/>
              <w:rPr>
                <w:sz w:val="1"/>
                <w:szCs w:val="1"/>
                <w:color w:val="auto"/>
              </w:rPr>
            </w:pPr>
          </w:p>
        </w:tc>
      </w:tr>
      <w:tr>
        <w:trPr>
          <w:trHeight w:val="303"/>
        </w:trPr>
        <w:tc>
          <w:tcPr>
            <w:tcW w:w="3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(18,741)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30.07</w:t>
            </w:r>
          </w:p>
        </w:tc>
        <w:tc>
          <w:tcPr>
            <w:tcW w:w="0" w:type="dxa"/>
            <w:vAlign w:val="bottom"/>
          </w:tcPr>
          <w:p>
            <w:pPr>
              <w:spacing w:after="0"/>
              <w:rPr>
                <w:sz w:val="1"/>
                <w:szCs w:val="1"/>
                <w:color w:val="auto"/>
              </w:rPr>
            </w:pPr>
          </w:p>
        </w:tc>
      </w:tr>
      <w:tr>
        <w:trPr>
          <w:trHeight w:val="277"/>
        </w:trPr>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Non-vested as of January 29, 2022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338,879</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37.18</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203,918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26.54</w:t>
            </w:r>
          </w:p>
        </w:tc>
        <w:tc>
          <w:tcPr>
            <w:tcW w:w="0" w:type="dxa"/>
            <w:vAlign w:val="bottom"/>
          </w:tcPr>
          <w:p>
            <w:pPr>
              <w:spacing w:after="0"/>
              <w:rPr>
                <w:sz w:val="1"/>
                <w:szCs w:val="1"/>
                <w:color w:val="auto"/>
              </w:rPr>
            </w:pPr>
          </w:p>
        </w:tc>
      </w:tr>
      <w:tr>
        <w:trPr>
          <w:trHeight w:val="300"/>
        </w:trPr>
        <w:tc>
          <w:tcPr>
            <w:tcW w:w="3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198,346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39.40</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170,250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37.36</w:t>
            </w:r>
          </w:p>
        </w:tc>
        <w:tc>
          <w:tcPr>
            <w:tcW w:w="0" w:type="dxa"/>
            <w:vAlign w:val="bottom"/>
          </w:tcPr>
          <w:p>
            <w:pPr>
              <w:spacing w:after="0"/>
              <w:rPr>
                <w:sz w:val="1"/>
                <w:szCs w:val="1"/>
                <w:color w:val="auto"/>
              </w:rPr>
            </w:pPr>
          </w:p>
        </w:tc>
      </w:tr>
      <w:tr>
        <w:trPr>
          <w:trHeight w:val="300"/>
        </w:trPr>
        <w:tc>
          <w:tcPr>
            <w:tcW w:w="3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Vested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(66,980)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(65,979)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26.44</w:t>
            </w:r>
          </w:p>
        </w:tc>
        <w:tc>
          <w:tcPr>
            <w:tcW w:w="0" w:type="dxa"/>
            <w:vAlign w:val="bottom"/>
          </w:tcPr>
          <w:p>
            <w:pPr>
              <w:spacing w:after="0"/>
              <w:rPr>
                <w:sz w:val="1"/>
                <w:szCs w:val="1"/>
                <w:color w:val="auto"/>
              </w:rPr>
            </w:pPr>
          </w:p>
        </w:tc>
      </w:tr>
      <w:tr>
        <w:trPr>
          <w:trHeight w:val="303"/>
        </w:trPr>
        <w:tc>
          <w:tcPr>
            <w:tcW w:w="3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(33,137)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34.63</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32.20</w:t>
            </w:r>
          </w:p>
        </w:tc>
        <w:tc>
          <w:tcPr>
            <w:tcW w:w="0" w:type="dxa"/>
            <w:vAlign w:val="bottom"/>
          </w:tcPr>
          <w:p>
            <w:pPr>
              <w:spacing w:after="0"/>
              <w:rPr>
                <w:sz w:val="1"/>
                <w:szCs w:val="1"/>
                <w:color w:val="auto"/>
              </w:rPr>
            </w:pPr>
          </w:p>
        </w:tc>
      </w:tr>
      <w:tr>
        <w:trPr>
          <w:trHeight w:val="277"/>
        </w:trPr>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Non-vested as of January 28, 2023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437,108</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39.11</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298,929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32.55</w:t>
            </w:r>
          </w:p>
        </w:tc>
        <w:tc>
          <w:tcPr>
            <w:tcW w:w="0" w:type="dxa"/>
            <w:vAlign w:val="bottom"/>
          </w:tcPr>
          <w:p>
            <w:pPr>
              <w:spacing w:after="0"/>
              <w:rPr>
                <w:sz w:val="1"/>
                <w:szCs w:val="1"/>
                <w:color w:val="auto"/>
              </w:rPr>
            </w:pPr>
          </w:p>
        </w:tc>
      </w:tr>
      <w:tr>
        <w:trPr>
          <w:trHeight w:val="300"/>
        </w:trPr>
        <w:tc>
          <w:tcPr>
            <w:tcW w:w="3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393,131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60.37</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250,384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57.91</w:t>
            </w:r>
          </w:p>
        </w:tc>
        <w:tc>
          <w:tcPr>
            <w:tcW w:w="0" w:type="dxa"/>
            <w:vAlign w:val="bottom"/>
          </w:tcPr>
          <w:p>
            <w:pPr>
              <w:spacing w:after="0"/>
              <w:rPr>
                <w:sz w:val="1"/>
                <w:szCs w:val="1"/>
                <w:color w:val="auto"/>
              </w:rPr>
            </w:pPr>
          </w:p>
        </w:tc>
      </w:tr>
      <w:tr>
        <w:trPr>
          <w:trHeight w:val="300"/>
        </w:trPr>
        <w:tc>
          <w:tcPr>
            <w:tcW w:w="3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Vested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(173,225)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39.48</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(149,190)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32.82</w:t>
            </w:r>
          </w:p>
        </w:tc>
        <w:tc>
          <w:tcPr>
            <w:tcW w:w="0" w:type="dxa"/>
            <w:vAlign w:val="bottom"/>
          </w:tcPr>
          <w:p>
            <w:pPr>
              <w:spacing w:after="0"/>
              <w:rPr>
                <w:sz w:val="1"/>
                <w:szCs w:val="1"/>
                <w:color w:val="auto"/>
              </w:rPr>
            </w:pPr>
          </w:p>
        </w:tc>
      </w:tr>
      <w:tr>
        <w:trPr>
          <w:trHeight w:val="303"/>
        </w:trPr>
        <w:tc>
          <w:tcPr>
            <w:tcW w:w="30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(92,151)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51.32</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(88,301)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47.94</w:t>
            </w:r>
          </w:p>
        </w:tc>
        <w:tc>
          <w:tcPr>
            <w:tcW w:w="0" w:type="dxa"/>
            <w:vAlign w:val="bottom"/>
          </w:tcPr>
          <w:p>
            <w:pPr>
              <w:spacing w:after="0"/>
              <w:rPr>
                <w:sz w:val="1"/>
                <w:szCs w:val="1"/>
                <w:color w:val="auto"/>
              </w:rPr>
            </w:pPr>
          </w:p>
        </w:tc>
      </w:tr>
      <w:tr>
        <w:trPr>
          <w:trHeight w:val="260"/>
        </w:trPr>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Non-vested as of February 3, 2024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564,863</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51.80</w:t>
            </w:r>
          </w:p>
        </w:tc>
        <w:tc>
          <w:tcPr>
            <w:tcW w:w="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311,822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-2507615</wp:posOffset>
            </wp:positionV>
            <wp:extent cx="6321425" cy="2514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7">
                      <a:extLst>
                        <a:ext uri="{28A0092B-C50C-407E-A947-70E740481C1C}"/>
                      </a:extLst>
                    </a:blip>
                    <a:srcRect/>
                    <a:stretch>
                      <a:fillRect/>
                    </a:stretch>
                  </pic:blipFill>
                  <pic:spPr bwMode="auto">
                    <a:xfrm>
                      <a:off x="0" y="0"/>
                      <a:ext cx="6321425" cy="2514600"/>
                    </a:xfrm>
                    <a:prstGeom prst="rect">
                      <a:avLst/>
                    </a:prstGeom>
                    <a:noFill/>
                  </pic:spPr>
                </pic:pic>
              </a:graphicData>
            </a:graphic>
          </wp:anchor>
        </w:drawing>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Vesting</w:t>
      </w:r>
    </w:p>
    <w:p>
      <w:pPr>
        <w:spacing w:after="0" w:line="199"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auto"/>
        </w:rPr>
        <w:t>The Company's outstanding and unvested Service Options typically vest ratably over a three or four-year period, on each anniversary of their grant date.</w:t>
      </w:r>
    </w:p>
    <w:p>
      <w:pPr>
        <w:spacing w:after="0" w:line="121"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The Company’s outstanding and unvested Service Restricted Units generally vest ratably over a three of four-year period on each anniversary of their grant date. In more limited grants, Service Restricted Units vest 100% on the first anniversary of the grant date, or, if earlier, the business day immediately preceding the following annual meeting of stockholders.</w:t>
      </w:r>
    </w:p>
    <w:p>
      <w:pPr>
        <w:spacing w:after="0" w:line="143"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auto"/>
        </w:rPr>
        <w:t>The Company’s outstanding and unvested Performance Restricted Units typically vest either (i) if granted during 2023, on the third anniversary of the Performance Restricted Unit holder's vesting commencement date, or (ii) if granted prior to 2023, ratably over a four-year period on each anniversary of the Performance Restricted Unit holder’s vesting commencement date, so long as the Company achieved (a) the performance metric for the performance period or (b) achieves a stated target share price.</w:t>
      </w:r>
    </w:p>
    <w:p>
      <w:pPr>
        <w:spacing w:after="0" w:line="144" w:lineRule="exact"/>
        <w:rPr>
          <w:sz w:val="20"/>
          <w:szCs w:val="20"/>
          <w:color w:val="auto"/>
        </w:rPr>
      </w:pPr>
    </w:p>
    <w:p>
      <w:pPr>
        <w:jc w:val="both"/>
        <w:ind w:right="20" w:firstLine="360"/>
        <w:spacing w:after="0" w:line="256" w:lineRule="auto"/>
        <w:rPr>
          <w:sz w:val="20"/>
          <w:szCs w:val="20"/>
          <w:color w:val="auto"/>
        </w:rPr>
      </w:pPr>
      <w:r>
        <w:rPr>
          <w:rFonts w:ascii="Times New Roman" w:cs="Times New Roman" w:eastAsia="Times New Roman" w:hAnsi="Times New Roman"/>
          <w:sz w:val="20"/>
          <w:szCs w:val="20"/>
          <w:color w:val="auto"/>
        </w:rPr>
        <w:t>In the event of certain Company change of control transactions, the Company's then-outstanding and unvested Awards will become fully vested and exercisable subject to certain criteria (as defined in the award agreements). For certain Awards granted in 2022 and all Awards granted in 2023,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00"/>
          </w:cols>
          <w:pgMar w:left="1360" w:top="1024" w:right="980" w:bottom="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10. Earnings per Common Share</w:t>
      </w:r>
    </w:p>
    <w:p>
      <w:pPr>
        <w:spacing w:after="0" w:line="197" w:lineRule="exact"/>
        <w:rPr>
          <w:sz w:val="20"/>
          <w:szCs w:val="20"/>
          <w:color w:val="auto"/>
        </w:rPr>
      </w:pPr>
    </w:p>
    <w:p>
      <w:pPr>
        <w:jc w:val="both"/>
        <w:ind w:left="360" w:right="20" w:firstLine="360"/>
        <w:spacing w:after="0" w:line="255" w:lineRule="auto"/>
        <w:rPr>
          <w:sz w:val="20"/>
          <w:szCs w:val="20"/>
          <w:color w:val="auto"/>
        </w:rPr>
      </w:pPr>
      <w:r>
        <w:rPr>
          <w:rFonts w:ascii="Times New Roman" w:cs="Times New Roman" w:eastAsia="Times New Roman" w:hAnsi="Times New Roman"/>
          <w:sz w:val="20"/>
          <w:szCs w:val="20"/>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50" w:lineRule="exact"/>
        <w:rPr>
          <w:sz w:val="20"/>
          <w:szCs w:val="20"/>
          <w:color w:val="auto"/>
        </w:rPr>
      </w:pPr>
    </w:p>
    <w:p>
      <w:pPr>
        <w:ind w:left="360" w:right="40" w:firstLine="360"/>
        <w:spacing w:after="0" w:line="281" w:lineRule="auto"/>
        <w:rPr>
          <w:sz w:val="20"/>
          <w:szCs w:val="20"/>
          <w:color w:val="auto"/>
        </w:rPr>
      </w:pPr>
      <w:r>
        <w:rPr>
          <w:rFonts w:ascii="Times New Roman" w:cs="Times New Roman" w:eastAsia="Times New Roman" w:hAnsi="Times New Roman"/>
          <w:sz w:val="20"/>
          <w:szCs w:val="20"/>
          <w:color w:val="auto"/>
        </w:rPr>
        <w:t>Basic and dilutive weighted average common shares outstanding and basic and diluted earnings per common share are calculated as follows (amounts in thousands except per share amounts):</w:t>
      </w:r>
    </w:p>
    <w:p>
      <w:pPr>
        <w:spacing w:after="0" w:line="41" w:lineRule="exact"/>
        <w:rPr>
          <w:sz w:val="20"/>
          <w:szCs w:val="20"/>
          <w:color w:val="auto"/>
        </w:rPr>
      </w:pPr>
    </w:p>
    <w:tbl>
      <w:tblPr>
        <w:tblLayout w:type="fixed"/>
        <w:tblInd w:w="400" w:type="dxa"/>
        <w:tblCellMar>
          <w:top w:w="0" w:type="dxa"/>
          <w:left w:w="0" w:type="dxa"/>
          <w:bottom w:w="0" w:type="dxa"/>
          <w:right w:w="0" w:type="dxa"/>
        </w:tblCellMar>
      </w:tblPr>
      <w:tr>
        <w:trPr>
          <w:trHeight w:val="267"/>
        </w:trPr>
        <w:tc>
          <w:tcPr>
            <w:tcW w:w="38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3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January 29, 2022</w:t>
            </w:r>
          </w:p>
        </w:tc>
        <w:tc>
          <w:tcPr>
            <w:tcW w:w="0" w:type="dxa"/>
            <w:vAlign w:val="bottom"/>
          </w:tcPr>
          <w:p>
            <w:pPr>
              <w:spacing w:after="0"/>
              <w:rPr>
                <w:sz w:val="1"/>
                <w:szCs w:val="1"/>
                <w:color w:val="auto"/>
              </w:rPr>
            </w:pPr>
          </w:p>
        </w:tc>
      </w:tr>
      <w:tr>
        <w:trPr>
          <w:trHeight w:val="27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519,190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628,001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671,381</w:t>
            </w:r>
          </w:p>
        </w:tc>
        <w:tc>
          <w:tcPr>
            <w:tcW w:w="0" w:type="dxa"/>
            <w:vAlign w:val="bottom"/>
          </w:tcPr>
          <w:p>
            <w:pPr>
              <w:spacing w:after="0"/>
              <w:rPr>
                <w:sz w:val="1"/>
                <w:szCs w:val="1"/>
                <w:color w:val="auto"/>
              </w:rPr>
            </w:pPr>
          </w:p>
        </w:tc>
      </w:tr>
      <w:tr>
        <w:trPr>
          <w:trHeight w:val="535"/>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200" w:type="dxa"/>
            <w:vAlign w:val="bottom"/>
          </w:tcPr>
          <w:p>
            <w:pPr>
              <w:spacing w:after="0"/>
              <w:rPr>
                <w:sz w:val="24"/>
                <w:szCs w:val="2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75,389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81,590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90,956</w:t>
            </w:r>
          </w:p>
        </w:tc>
        <w:tc>
          <w:tcPr>
            <w:tcW w:w="0" w:type="dxa"/>
            <w:vAlign w:val="bottom"/>
          </w:tcPr>
          <w:p>
            <w:pPr>
              <w:spacing w:after="0"/>
              <w:rPr>
                <w:sz w:val="1"/>
                <w:szCs w:val="1"/>
                <w:color w:val="auto"/>
              </w:rPr>
            </w:pPr>
          </w:p>
        </w:tc>
      </w:tr>
      <w:tr>
        <w:trPr>
          <w:trHeight w:val="26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 basic</w:t>
            </w: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Dilutive effect of Service Restricted Units</w:t>
            </w:r>
          </w:p>
        </w:tc>
        <w:tc>
          <w:tcPr>
            <w:tcW w:w="200" w:type="dxa"/>
            <w:vAlign w:val="bottom"/>
          </w:tcPr>
          <w:p>
            <w:pPr>
              <w:spacing w:after="0"/>
              <w:rPr>
                <w:sz w:val="20"/>
                <w:szCs w:val="20"/>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327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60"/>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and Service Restricted Stock Units</w:t>
            </w: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Dilutive effect of Performance Restricted</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86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Stock Units and Liquidity Event Restricted</w:t>
            </w:r>
          </w:p>
        </w:tc>
        <w:tc>
          <w:tcPr>
            <w:tcW w:w="200" w:type="dxa"/>
            <w:vAlign w:val="bottom"/>
          </w:tcPr>
          <w:p>
            <w:pPr>
              <w:spacing w:after="0"/>
              <w:rPr>
                <w:sz w:val="17"/>
                <w:szCs w:val="17"/>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165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0" w:type="dxa"/>
            <w:vAlign w:val="bottom"/>
          </w:tcPr>
          <w:p>
            <w:pPr>
              <w:spacing w:after="0"/>
              <w:rPr>
                <w:sz w:val="1"/>
                <w:szCs w:val="1"/>
                <w:color w:val="auto"/>
              </w:rPr>
            </w:pPr>
          </w:p>
        </w:tc>
      </w:tr>
      <w:tr>
        <w:trPr>
          <w:trHeight w:val="260"/>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Units</w:t>
            </w: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Dilutive effect of Service Options</w:t>
            </w:r>
          </w:p>
        </w:tc>
        <w:tc>
          <w:tcPr>
            <w:tcW w:w="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w:t>
            </w:r>
          </w:p>
        </w:tc>
        <w:tc>
          <w:tcPr>
            <w:tcW w:w="0" w:type="dxa"/>
            <w:vAlign w:val="bottom"/>
          </w:tcPr>
          <w:p>
            <w:pPr>
              <w:spacing w:after="0"/>
              <w:rPr>
                <w:sz w:val="1"/>
                <w:szCs w:val="1"/>
                <w:color w:val="auto"/>
              </w:rPr>
            </w:pPr>
          </w:p>
        </w:tc>
      </w:tr>
      <w:tr>
        <w:trPr>
          <w:trHeight w:val="235"/>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Dilutive effect of Performance Unit</w:t>
            </w:r>
          </w:p>
        </w:tc>
        <w:tc>
          <w:tcPr>
            <w:tcW w:w="200" w:type="dxa"/>
            <w:vAlign w:val="bottom"/>
          </w:tcPr>
          <w:p>
            <w:pPr>
              <w:spacing w:after="0"/>
              <w:rPr>
                <w:sz w:val="20"/>
                <w:szCs w:val="20"/>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0" w:type="dxa"/>
            <w:vAlign w:val="bottom"/>
          </w:tcPr>
          <w:p>
            <w:pPr>
              <w:spacing w:after="0"/>
              <w:rPr>
                <w:sz w:val="1"/>
                <w:szCs w:val="1"/>
                <w:color w:val="auto"/>
              </w:rPr>
            </w:pPr>
          </w:p>
        </w:tc>
      </w:tr>
      <w:tr>
        <w:trPr>
          <w:trHeight w:val="260"/>
        </w:trPr>
        <w:tc>
          <w:tcPr>
            <w:tcW w:w="38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Options</w:t>
            </w: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38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Dilutive effect of ESPP Shares</w:t>
            </w: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12"/>
        </w:trPr>
        <w:tc>
          <w:tcPr>
            <w:tcW w:w="38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Weighted average common shares outstanding</w:t>
            </w:r>
          </w:p>
        </w:tc>
        <w:tc>
          <w:tcPr>
            <w:tcW w:w="200" w:type="dxa"/>
            <w:vAlign w:val="bottom"/>
          </w:tcPr>
          <w:p>
            <w:pPr>
              <w:spacing w:after="0"/>
              <w:rPr>
                <w:sz w:val="18"/>
                <w:szCs w:val="18"/>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77,469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83,895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94,284</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 diluted</w:t>
            </w: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common share - basic</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0" w:type="dxa"/>
            <w:vAlign w:val="bottom"/>
          </w:tcPr>
          <w:p>
            <w:pPr>
              <w:spacing w:after="0"/>
              <w:rPr>
                <w:sz w:val="1"/>
                <w:szCs w:val="1"/>
                <w:color w:val="auto"/>
              </w:rPr>
            </w:pPr>
          </w:p>
        </w:tc>
      </w:tr>
      <w:tr>
        <w:trPr>
          <w:trHeight w:val="30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common share -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w:t>
            </w:r>
          </w:p>
        </w:tc>
        <w:tc>
          <w:tcPr>
            <w:tcW w:w="0" w:type="dxa"/>
            <w:vAlign w:val="bottom"/>
          </w:tcPr>
          <w:p>
            <w:pPr>
              <w:spacing w:after="0"/>
              <w:rPr>
                <w:sz w:val="1"/>
                <w:szCs w:val="1"/>
                <w:color w:val="auto"/>
              </w:rPr>
            </w:pPr>
          </w:p>
        </w:tc>
      </w:tr>
      <w:tr>
        <w:trPr>
          <w:trHeight w:val="415"/>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Anti-dilutive stock-based awards excluded</w:t>
            </w:r>
          </w:p>
        </w:tc>
        <w:tc>
          <w:tcPr>
            <w:tcW w:w="200" w:type="dxa"/>
            <w:vAlign w:val="bottom"/>
          </w:tcPr>
          <w:p>
            <w:pPr>
              <w:spacing w:after="0"/>
              <w:rPr>
                <w:sz w:val="24"/>
                <w:szCs w:val="2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6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from diluted calculation</w:t>
            </w: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-3394710</wp:posOffset>
            </wp:positionV>
            <wp:extent cx="6321425" cy="3416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8">
                      <a:extLst>
                        <a:ext uri="{28A0092B-C50C-407E-A947-70E740481C1C}"/>
                      </a:extLst>
                    </a:blip>
                    <a:srcRect/>
                    <a:stretch>
                      <a:fillRect/>
                    </a:stretch>
                  </pic:blipFill>
                  <pic:spPr bwMode="auto">
                    <a:xfrm>
                      <a:off x="0" y="0"/>
                      <a:ext cx="6321425" cy="3416300"/>
                    </a:xfrm>
                    <a:prstGeom prst="rect">
                      <a:avLst/>
                    </a:prstGeom>
                    <a:noFill/>
                  </pic:spPr>
                </pic:pic>
              </a:graphicData>
            </a:graphic>
          </wp:anchor>
        </w:drawing>
      </w:r>
    </w:p>
    <w:p>
      <w:pPr>
        <w:sectPr>
          <w:pgSz w:w="12240" w:h="15840" w:orient="portrait"/>
          <w:cols w:equalWidth="0" w:num="1">
            <w:col w:w="10260"/>
          </w:cols>
          <w:pgMar w:left="1000" w:top="10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60"/>
          </w:cols>
          <w:pgMar w:left="1000" w:top="1026" w:right="980"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64"/>
        </w:trPr>
        <w:tc>
          <w:tcPr>
            <w:tcW w:w="5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 Income Taxes</w:t>
            </w: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63"/>
        </w:trPr>
        <w:tc>
          <w:tcPr>
            <w:tcW w:w="746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The income tax provision consists of the following (amounts in thousands) as of:</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6"/>
        </w:trPr>
        <w:tc>
          <w:tcPr>
            <w:tcW w:w="50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5"/>
        </w:trPr>
        <w:tc>
          <w:tcPr>
            <w:tcW w:w="502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8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62"/>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Current expense:</w:t>
            </w: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00"/>
        </w:trPr>
        <w:tc>
          <w:tcPr>
            <w:tcW w:w="5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Federal</w:t>
            </w:r>
          </w:p>
        </w:tc>
        <w:tc>
          <w:tcPr>
            <w:tcW w:w="56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125,325</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127,823</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93,373</w:t>
            </w:r>
          </w:p>
        </w:tc>
      </w:tr>
      <w:tr>
        <w:trPr>
          <w:trHeight w:val="300"/>
        </w:trPr>
        <w:tc>
          <w:tcPr>
            <w:tcW w:w="5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State</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22,869</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15,270</w:t>
            </w:r>
          </w:p>
        </w:tc>
      </w:tr>
      <w:tr>
        <w:trPr>
          <w:trHeight w:val="303"/>
        </w:trPr>
        <w:tc>
          <w:tcPr>
            <w:tcW w:w="5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Foreign</w:t>
            </w: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expense</w:t>
            </w: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148,213</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148,488</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108,669</w:t>
            </w:r>
          </w:p>
        </w:tc>
      </w:tr>
      <w:tr>
        <w:trPr>
          <w:trHeight w:val="442"/>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Deferred expense (benefit):</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5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Federal</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(3,395)</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37,971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69,353</w:t>
            </w:r>
          </w:p>
        </w:tc>
      </w:tr>
      <w:tr>
        <w:trPr>
          <w:trHeight w:val="300"/>
        </w:trPr>
        <w:tc>
          <w:tcPr>
            <w:tcW w:w="5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State</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(817)</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3,853</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10,139</w:t>
            </w:r>
          </w:p>
        </w:tc>
      </w:tr>
      <w:tr>
        <w:trPr>
          <w:trHeight w:val="303"/>
        </w:trPr>
        <w:tc>
          <w:tcPr>
            <w:tcW w:w="50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Foreign</w:t>
            </w: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deferred expense</w:t>
            </w: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(4,247)</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41,831</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79,490</w:t>
            </w:r>
          </w:p>
        </w:tc>
      </w:tr>
      <w:tr>
        <w:trPr>
          <w:trHeight w:val="260"/>
        </w:trPr>
        <w:tc>
          <w:tcPr>
            <w:tcW w:w="50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Income tax expense</w:t>
            </w:r>
          </w:p>
        </w:tc>
        <w:tc>
          <w:tcPr>
            <w:tcW w:w="56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143,966</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190,319</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188,159</w:t>
            </w:r>
          </w:p>
        </w:tc>
      </w:tr>
      <w:tr>
        <w:trPr>
          <w:trHeight w:val="20"/>
        </w:trPr>
        <w:tc>
          <w:tcPr>
            <w:tcW w:w="5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-2221865</wp:posOffset>
            </wp:positionV>
            <wp:extent cx="6311900" cy="2228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9">
                      <a:extLst>
                        <a:ext uri="{28A0092B-C50C-407E-A947-70E740481C1C}"/>
                      </a:extLst>
                    </a:blip>
                    <a:srcRect/>
                    <a:stretch>
                      <a:fillRect/>
                    </a:stretch>
                  </pic:blipFill>
                  <pic:spPr bwMode="auto">
                    <a:xfrm>
                      <a:off x="0" y="0"/>
                      <a:ext cx="6311900" cy="2228850"/>
                    </a:xfrm>
                    <a:prstGeom prst="rect">
                      <a:avLst/>
                    </a:prstGeom>
                    <a:noFill/>
                  </pic:spPr>
                </pic:pic>
              </a:graphicData>
            </a:graphic>
          </wp:anchor>
        </w:drawing>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reconciliation of the statutory U.S. federal income tax rate to our effective income tax rate is as follows: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67"/>
        </w:trPr>
        <w:tc>
          <w:tcPr>
            <w:tcW w:w="464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r>
      <w:tr>
        <w:trPr>
          <w:trHeight w:val="265"/>
        </w:trPr>
        <w:tc>
          <w:tcPr>
            <w:tcW w:w="4640" w:type="dxa"/>
            <w:vAlign w:val="bottom"/>
          </w:tcPr>
          <w:p>
            <w:pPr>
              <w:spacing w:after="0"/>
              <w:rPr>
                <w:sz w:val="23"/>
                <w:szCs w:val="23"/>
                <w:color w:val="auto"/>
              </w:rPr>
            </w:pPr>
          </w:p>
        </w:tc>
        <w:tc>
          <w:tcPr>
            <w:tcW w:w="16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80" w:type="dxa"/>
            <w:vAlign w:val="bottom"/>
          </w:tcPr>
          <w:p>
            <w:pPr>
              <w:spacing w:after="0"/>
              <w:rPr>
                <w:sz w:val="23"/>
                <w:szCs w:val="23"/>
                <w:color w:val="auto"/>
              </w:rPr>
            </w:pPr>
          </w:p>
        </w:tc>
        <w:tc>
          <w:tcPr>
            <w:tcW w:w="1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3"/>
                <w:szCs w:val="23"/>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64"/>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Federal income tax at the statutory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84"/>
        </w:trPr>
        <w:tc>
          <w:tcPr>
            <w:tcW w:w="4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State income tax, net of federal benefit</w:t>
            </w:r>
          </w:p>
        </w:tc>
        <w:tc>
          <w:tcPr>
            <w:tcW w:w="168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tcPr>
          <w:p>
            <w:pPr>
              <w:spacing w:after="0"/>
              <w:rPr>
                <w:sz w:val="24"/>
                <w:szCs w:val="24"/>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excess compensation</w:t>
            </w:r>
          </w:p>
        </w:tc>
        <w:tc>
          <w:tcPr>
            <w:tcW w:w="168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0.5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tcPr>
          <w:p>
            <w:pPr>
              <w:spacing w:after="0"/>
              <w:rPr>
                <w:sz w:val="24"/>
                <w:szCs w:val="24"/>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Excess tax benefit for share-based compensation</w:t>
            </w:r>
          </w:p>
        </w:tc>
        <w:tc>
          <w:tcPr>
            <w:tcW w:w="168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(1.1)</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tcPr>
          <w:p>
            <w:pPr>
              <w:spacing w:after="0"/>
              <w:rPr>
                <w:sz w:val="24"/>
                <w:szCs w:val="24"/>
                <w:color w:val="auto"/>
              </w:rPr>
            </w:pPr>
          </w:p>
        </w:tc>
      </w:tr>
      <w:tr>
        <w:trPr>
          <w:trHeight w:val="286"/>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Effect of other permanent items</w:t>
            </w:r>
          </w:p>
        </w:tc>
        <w:tc>
          <w:tcPr>
            <w:tcW w:w="1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(1.2)</w:t>
            </w:r>
          </w:p>
        </w:tc>
        <w:tc>
          <w:tcPr>
            <w:tcW w:w="80" w:type="dxa"/>
            <w:vAlign w:val="bottom"/>
          </w:tcPr>
          <w:p>
            <w:pPr>
              <w:spacing w:after="0"/>
              <w:rPr>
                <w:sz w:val="24"/>
                <w:szCs w:val="24"/>
                <w:color w:val="auto"/>
              </w:rPr>
            </w:pPr>
          </w:p>
        </w:tc>
        <w:tc>
          <w:tcPr>
            <w:tcW w:w="1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200" w:type="dxa"/>
            <w:vAlign w:val="bottom"/>
            <w:tcBorders>
              <w:bottom w:val="single" w:sz="8" w:color="auto"/>
            </w:tcBorders>
          </w:tcPr>
          <w:p>
            <w:pPr>
              <w:spacing w:after="0"/>
              <w:rPr>
                <w:sz w:val="24"/>
                <w:szCs w:val="24"/>
                <w:color w:val="auto"/>
              </w:rPr>
            </w:pPr>
          </w:p>
        </w:tc>
      </w:tr>
      <w:tr>
        <w:trPr>
          <w:trHeight w:val="245"/>
        </w:trPr>
        <w:tc>
          <w:tcPr>
            <w:tcW w:w="4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21.7 %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23.3 %</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21.9 %</w:t>
            </w:r>
          </w:p>
        </w:tc>
      </w:tr>
      <w:tr>
        <w:trPr>
          <w:trHeight w:val="20"/>
        </w:trPr>
        <w:tc>
          <w:tcPr>
            <w:tcW w:w="46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-1116965</wp:posOffset>
            </wp:positionV>
            <wp:extent cx="6311900" cy="1123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0">
                      <a:extLst>
                        <a:ext uri="{28A0092B-C50C-407E-A947-70E740481C1C}"/>
                      </a:extLst>
                    </a:blip>
                    <a:srcRect/>
                    <a:stretch>
                      <a:fillRect/>
                    </a:stretch>
                  </pic:blipFill>
                  <pic:spPr bwMode="auto">
                    <a:xfrm>
                      <a:off x="0" y="0"/>
                      <a:ext cx="6311900" cy="1123950"/>
                    </a:xfrm>
                    <a:prstGeom prst="rect">
                      <a:avLst/>
                    </a:prstGeom>
                    <a:noFill/>
                  </pic:spPr>
                </pic:pic>
              </a:graphicData>
            </a:graphic>
          </wp:anchor>
        </w:drawing>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Components of deferred tax assets and liabilities consist of the following (amounts in thousands) as of:</w:t>
      </w:r>
    </w:p>
    <w:p>
      <w:pPr>
        <w:spacing w:after="0" w:line="309" w:lineRule="exact"/>
        <w:rPr>
          <w:sz w:val="20"/>
          <w:szCs w:val="20"/>
          <w:color w:val="auto"/>
        </w:rPr>
      </w:pPr>
    </w:p>
    <w:tbl>
      <w:tblPr>
        <w:tblLayout w:type="fixed"/>
        <w:tblInd w:w="400" w:type="dxa"/>
        <w:tblCellMar>
          <w:top w:w="0" w:type="dxa"/>
          <w:left w:w="0" w:type="dxa"/>
          <w:bottom w:w="0" w:type="dxa"/>
          <w:right w:w="0" w:type="dxa"/>
        </w:tblCellMar>
      </w:tblPr>
      <w:tr>
        <w:trPr>
          <w:trHeight w:val="267"/>
        </w:trPr>
        <w:tc>
          <w:tcPr>
            <w:tcW w:w="6380" w:type="dxa"/>
            <w:vAlign w:val="bottom"/>
          </w:tcPr>
          <w:p>
            <w:pPr>
              <w:spacing w:after="0"/>
              <w:rPr>
                <w:sz w:val="23"/>
                <w:szCs w:val="23"/>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3"/>
                <w:szCs w:val="23"/>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r>
      <w:tr>
        <w:trPr>
          <w:trHeight w:val="277"/>
        </w:trPr>
        <w:tc>
          <w:tcPr>
            <w:tcW w:w="6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0"/>
        </w:trPr>
        <w:tc>
          <w:tcPr>
            <w:tcW w:w="6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Accounts receivable</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620</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w:t>
            </w:r>
          </w:p>
        </w:tc>
      </w:tr>
      <w:tr>
        <w:trPr>
          <w:trHeight w:val="300"/>
        </w:trPr>
        <w:tc>
          <w:tcPr>
            <w:tcW w:w="6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Accrued liabilities and reserves</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18,810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17,905</w:t>
            </w:r>
          </w:p>
        </w:tc>
      </w:tr>
      <w:tr>
        <w:trPr>
          <w:trHeight w:val="303"/>
        </w:trPr>
        <w:tc>
          <w:tcPr>
            <w:tcW w:w="6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Equity compensation</w:t>
            </w: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7,672</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7,947</w:t>
            </w:r>
          </w:p>
        </w:tc>
      </w:tr>
      <w:tr>
        <w:trPr>
          <w:trHeight w:val="280"/>
        </w:trPr>
        <w:tc>
          <w:tcPr>
            <w:tcW w:w="6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27,102</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26,422</w:t>
            </w:r>
          </w:p>
        </w:tc>
      </w:tr>
      <w:tr>
        <w:trPr>
          <w:trHeight w:val="577"/>
        </w:trPr>
        <w:tc>
          <w:tcPr>
            <w:tcW w:w="6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0"/>
        </w:trPr>
        <w:tc>
          <w:tcPr>
            <w:tcW w:w="6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Inventory</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(34,313)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(49,995)</w:t>
            </w:r>
          </w:p>
        </w:tc>
      </w:tr>
      <w:tr>
        <w:trPr>
          <w:trHeight w:val="300"/>
        </w:trPr>
        <w:tc>
          <w:tcPr>
            <w:tcW w:w="6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Prepaid items</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(6,554)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(5,143)</w:t>
            </w:r>
          </w:p>
        </w:tc>
      </w:tr>
      <w:tr>
        <w:trPr>
          <w:trHeight w:val="300"/>
        </w:trPr>
        <w:tc>
          <w:tcPr>
            <w:tcW w:w="6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and equipment</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(13,983)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(15,496)</w:t>
            </w:r>
          </w:p>
        </w:tc>
      </w:tr>
      <w:tr>
        <w:trPr>
          <w:trHeight w:val="300"/>
        </w:trPr>
        <w:tc>
          <w:tcPr>
            <w:tcW w:w="6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Intangible assets</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(227,027)</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(214,292)</w:t>
            </w:r>
          </w:p>
        </w:tc>
      </w:tr>
      <w:tr>
        <w:trPr>
          <w:trHeight w:val="303"/>
        </w:trPr>
        <w:tc>
          <w:tcPr>
            <w:tcW w:w="6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w:t>
            </w:r>
          </w:p>
        </w:tc>
      </w:tr>
      <w:tr>
        <w:trPr>
          <w:trHeight w:val="280"/>
        </w:trPr>
        <w:tc>
          <w:tcPr>
            <w:tcW w:w="63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(281,898)</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(285,465)</w:t>
            </w:r>
          </w:p>
        </w:tc>
      </w:tr>
      <w:tr>
        <w:trPr>
          <w:trHeight w:val="275"/>
        </w:trPr>
        <w:tc>
          <w:tcPr>
            <w:tcW w:w="63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Net deferred tax liability</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(254,796)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(259,043)</w:t>
            </w:r>
          </w:p>
        </w:tc>
      </w:tr>
      <w:tr>
        <w:trPr>
          <w:trHeight w:val="20"/>
        </w:trPr>
        <w:tc>
          <w:tcPr>
            <w:tcW w:w="6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-2707640</wp:posOffset>
            </wp:positionV>
            <wp:extent cx="6273800" cy="27146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1">
                      <a:extLst>
                        <a:ext uri="{28A0092B-C50C-407E-A947-70E740481C1C}"/>
                      </a:extLst>
                    </a:blip>
                    <a:srcRect/>
                    <a:stretch>
                      <a:fillRect/>
                    </a:stretch>
                  </pic:blipFill>
                  <pic:spPr bwMode="auto">
                    <a:xfrm>
                      <a:off x="0" y="0"/>
                      <a:ext cx="6273800" cy="2714625"/>
                    </a:xfrm>
                    <a:prstGeom prst="rect">
                      <a:avLst/>
                    </a:prstGeom>
                    <a:noFill/>
                  </pic:spPr>
                </pic:pic>
              </a:graphicData>
            </a:graphic>
          </wp:anchor>
        </w:drawing>
      </w:r>
    </w:p>
    <w:p>
      <w:pPr>
        <w:spacing w:after="0" w:line="228" w:lineRule="exact"/>
        <w:rPr>
          <w:sz w:val="20"/>
          <w:szCs w:val="20"/>
          <w:color w:val="auto"/>
        </w:rPr>
      </w:pPr>
    </w:p>
    <w:p>
      <w:pPr>
        <w:jc w:val="both"/>
        <w:ind w:left="360" w:right="20" w:firstLine="360"/>
        <w:spacing w:after="0" w:line="266" w:lineRule="auto"/>
        <w:rPr>
          <w:sz w:val="20"/>
          <w:szCs w:val="20"/>
          <w:color w:val="auto"/>
        </w:rPr>
      </w:pPr>
      <w:r>
        <w:rPr>
          <w:rFonts w:ascii="Times New Roman" w:cs="Times New Roman" w:eastAsia="Times New Roman" w:hAnsi="Times New Roman"/>
          <w:sz w:val="20"/>
          <w:szCs w:val="20"/>
          <w:color w:val="auto"/>
        </w:rPr>
        <w:t>Management evaluates the realizability of the deferred tax assets and the need for additional valuation allowances annually. As of February 3, 2024, based on current facts and circumstances, management believes that it is more likely than not that the Company will realize benefit for its gross deferred tax assets.</w:t>
      </w:r>
    </w:p>
    <w:p>
      <w:pPr>
        <w:sectPr>
          <w:pgSz w:w="12240" w:h="15840" w:orient="portrait"/>
          <w:cols w:equalWidth="0" w:num="1">
            <w:col w:w="10260"/>
          </w:cols>
          <w:pgMar w:left="1000" w:top="1026" w:right="980" w:bottom="0" w:gutter="0" w:footer="0" w:header="0"/>
        </w:sectPr>
      </w:pPr>
    </w:p>
    <w:p>
      <w:pPr>
        <w:spacing w:after="0" w:line="1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60"/>
          </w:cols>
          <w:pgMar w:left="1000" w:top="1026" w:right="980" w:bottom="0" w:gutter="0" w:footer="0" w:header="0"/>
          <w:type w:val="continuous"/>
        </w:sectPr>
      </w:pPr>
    </w:p>
    <w:bookmarkStart w:id="107" w:name="page108"/>
    <w:bookmarkEnd w:id="107"/>
    <w:p>
      <w:pPr>
        <w:jc w:val="both"/>
        <w:ind w:left="360" w:right="20" w:firstLine="360"/>
        <w:spacing w:after="0" w:line="260" w:lineRule="auto"/>
        <w:rPr>
          <w:sz w:val="20"/>
          <w:szCs w:val="20"/>
          <w:color w:val="auto"/>
        </w:rPr>
      </w:pPr>
      <w:r>
        <w:rPr>
          <w:rFonts w:ascii="Times New Roman" w:cs="Times New Roman" w:eastAsia="Times New Roman" w:hAnsi="Times New Roman"/>
          <w:sz w:val="20"/>
          <w:szCs w:val="20"/>
          <w:color w:val="auto"/>
        </w:rPr>
        <w:t>As of February 3, 2024,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2021 through 2023, and 2020 through 2023, respectively.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Leases</w:t>
      </w:r>
    </w:p>
    <w:p>
      <w:pPr>
        <w:spacing w:after="0" w:line="257" w:lineRule="exact"/>
        <w:rPr>
          <w:sz w:val="20"/>
          <w:szCs w:val="20"/>
          <w:color w:val="auto"/>
        </w:rPr>
      </w:pPr>
    </w:p>
    <w:p>
      <w:pPr>
        <w:jc w:val="both"/>
        <w:ind w:left="360" w:right="20" w:firstLine="360"/>
        <w:spacing w:after="0" w:line="270" w:lineRule="auto"/>
        <w:rPr>
          <w:sz w:val="20"/>
          <w:szCs w:val="20"/>
          <w:color w:val="auto"/>
        </w:rPr>
      </w:pPr>
      <w:r>
        <w:rPr>
          <w:rFonts w:ascii="Times New Roman" w:cs="Times New Roman" w:eastAsia="Times New Roman" w:hAnsi="Times New Roman"/>
          <w:sz w:val="19"/>
          <w:szCs w:val="19"/>
          <w:color w:val="auto"/>
        </w:rPr>
        <w:t>With the exception of one retail store which we own, 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such events require a re-measurement of the lease liability at current discount rates. The life of leasehold improvement assets are limited by the expected lease term. Additionally, we have certain agreements for equipment rentals, which are typically 12 months or less in duration. As of February 3, 2024, all of our leases are classified as operating leases. In addition, in certain situations, we may sublease real estate to third parties. Our sublease portfolio consists mainly of former store locations for which we are still under lease and existing store leases in which we have excess or unused space.</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lease expense and sublease income included in selling, general and administrative ("SG&amp;A")</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expenses on our statement of income is as follows (amounts in thousands):</w:t>
      </w:r>
    </w:p>
    <w:p>
      <w:pPr>
        <w:spacing w:after="0" w:line="59" w:lineRule="exact"/>
        <w:rPr>
          <w:sz w:val="20"/>
          <w:szCs w:val="20"/>
          <w:color w:val="auto"/>
        </w:rPr>
      </w:pPr>
    </w:p>
    <w:tbl>
      <w:tblPr>
        <w:tblLayout w:type="fixed"/>
        <w:tblInd w:w="400" w:type="dxa"/>
        <w:tblCellMar>
          <w:top w:w="0" w:type="dxa"/>
          <w:left w:w="0" w:type="dxa"/>
          <w:bottom w:w="0" w:type="dxa"/>
          <w:right w:w="0" w:type="dxa"/>
        </w:tblCellMar>
      </w:tblPr>
      <w:tr>
        <w:trPr>
          <w:trHeight w:val="267"/>
        </w:trPr>
        <w:tc>
          <w:tcPr>
            <w:tcW w:w="474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65"/>
        </w:trPr>
        <w:tc>
          <w:tcPr>
            <w:tcW w:w="4740" w:type="dxa"/>
            <w:vAlign w:val="bottom"/>
          </w:tcPr>
          <w:p>
            <w:pPr>
              <w:spacing w:after="0"/>
              <w:rPr>
                <w:sz w:val="23"/>
                <w:szCs w:val="2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3"/>
                <w:szCs w:val="2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3"/>
                <w:szCs w:val="23"/>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r>
      <w:tr>
        <w:trPr>
          <w:trHeight w:val="277"/>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expense</w:t>
            </w:r>
          </w:p>
        </w:tc>
        <w:tc>
          <w:tcPr>
            <w:tcW w:w="540" w:type="dxa"/>
            <w:vAlign w:val="bottom"/>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214,672</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201,398</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197,321</w:t>
            </w:r>
          </w:p>
        </w:tc>
      </w:tr>
      <w:tr>
        <w:trPr>
          <w:trHeight w:val="30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expense</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expense</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10,405</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7,757</w:t>
            </w:r>
          </w:p>
        </w:tc>
      </w:tr>
      <w:tr>
        <w:trPr>
          <w:trHeight w:val="303"/>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(463)</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w:t>
            </w:r>
          </w:p>
        </w:tc>
      </w:tr>
      <w:tr>
        <w:trPr>
          <w:trHeight w:val="260"/>
        </w:trPr>
        <w:tc>
          <w:tcPr>
            <w:tcW w:w="47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 lease expense</w:t>
            </w:r>
          </w:p>
        </w:tc>
        <w:tc>
          <w:tcPr>
            <w:tcW w:w="540" w:type="dxa"/>
            <w:vAlign w:val="bottom"/>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224,614</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209,354</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204,592</w:t>
            </w:r>
          </w:p>
        </w:tc>
      </w:tr>
      <w:tr>
        <w:trPr>
          <w:trHeight w:val="20"/>
        </w:trPr>
        <w:tc>
          <w:tcPr>
            <w:tcW w:w="4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-983615</wp:posOffset>
            </wp:positionV>
            <wp:extent cx="6311900" cy="990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2">
                      <a:extLst>
                        <a:ext uri="{28A0092B-C50C-407E-A947-70E740481C1C}"/>
                      </a:extLst>
                    </a:blip>
                    <a:srcRect/>
                    <a:stretch>
                      <a:fillRect/>
                    </a:stretch>
                  </pic:blipFill>
                  <pic:spPr bwMode="auto">
                    <a:xfrm>
                      <a:off x="0" y="0"/>
                      <a:ext cx="6311900" cy="990600"/>
                    </a:xfrm>
                    <a:prstGeom prst="rect">
                      <a:avLst/>
                    </a:prstGeom>
                    <a:noFill/>
                  </pic:spPr>
                </pic:pic>
              </a:graphicData>
            </a:graphic>
          </wp:anchor>
        </w:drawing>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Information about our operating leases is as follows (dollar amounts in thousands):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267"/>
        </w:trPr>
        <w:tc>
          <w:tcPr>
            <w:tcW w:w="474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Fiscal Year Ended</w:t>
            </w: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40" w:type="dxa"/>
            <w:vAlign w:val="bottom"/>
          </w:tcPr>
          <w:p>
            <w:pPr>
              <w:spacing w:after="0"/>
              <w:rPr>
                <w:sz w:val="23"/>
                <w:szCs w:val="2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3"/>
                <w:szCs w:val="23"/>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60" w:type="dxa"/>
            <w:vAlign w:val="bottom"/>
          </w:tcPr>
          <w:p>
            <w:pPr>
              <w:spacing w:after="0"/>
              <w:rPr>
                <w:sz w:val="23"/>
                <w:szCs w:val="23"/>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29, 2022</w:t>
            </w:r>
          </w:p>
        </w:tc>
        <w:tc>
          <w:tcPr>
            <w:tcW w:w="0" w:type="dxa"/>
            <w:vAlign w:val="bottom"/>
          </w:tcPr>
          <w:p>
            <w:pPr>
              <w:spacing w:after="0"/>
              <w:rPr>
                <w:sz w:val="1"/>
                <w:szCs w:val="1"/>
                <w:color w:val="auto"/>
              </w:rPr>
            </w:pPr>
          </w:p>
        </w:tc>
      </w:tr>
      <w:tr>
        <w:trPr>
          <w:trHeight w:val="212"/>
        </w:trPr>
        <w:tc>
          <w:tcPr>
            <w:tcW w:w="474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Right-of-use assets obtained in exchange for new</w:t>
            </w:r>
          </w:p>
        </w:tc>
        <w:tc>
          <w:tcPr>
            <w:tcW w:w="52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134,181</w:t>
            </w: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116,652</w:t>
            </w: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26,253</w:t>
            </w:r>
          </w:p>
        </w:tc>
        <w:tc>
          <w:tcPr>
            <w:tcW w:w="0" w:type="dxa"/>
            <w:vAlign w:val="bottom"/>
          </w:tcPr>
          <w:p>
            <w:pPr>
              <w:spacing w:after="0"/>
              <w:rPr>
                <w:sz w:val="1"/>
                <w:szCs w:val="1"/>
                <w:color w:val="auto"/>
              </w:rPr>
            </w:pPr>
          </w:p>
        </w:tc>
      </w:tr>
      <w:tr>
        <w:trPr>
          <w:trHeight w:val="26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52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w:t>
            </w:r>
          </w:p>
        </w:tc>
        <w:tc>
          <w:tcPr>
            <w:tcW w:w="52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213,860</w:t>
            </w: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204,159</w:t>
            </w: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203,554</w:t>
            </w:r>
          </w:p>
        </w:tc>
        <w:tc>
          <w:tcPr>
            <w:tcW w:w="0" w:type="dxa"/>
            <w:vAlign w:val="bottom"/>
          </w:tcPr>
          <w:p>
            <w:pPr>
              <w:spacing w:after="0"/>
              <w:rPr>
                <w:sz w:val="1"/>
                <w:szCs w:val="1"/>
                <w:color w:val="auto"/>
              </w:rPr>
            </w:pPr>
          </w:p>
        </w:tc>
      </w:tr>
      <w:tr>
        <w:trPr>
          <w:trHeight w:val="26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52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6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0" w:type="dxa"/>
            <w:vAlign w:val="bottom"/>
          </w:tcPr>
          <w:p>
            <w:pPr>
              <w:spacing w:after="0"/>
              <w:rPr>
                <w:sz w:val="1"/>
                <w:szCs w:val="1"/>
                <w:color w:val="auto"/>
              </w:rPr>
            </w:pPr>
          </w:p>
        </w:tc>
      </w:tr>
      <w:tr>
        <w:trPr>
          <w:trHeight w:val="277"/>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30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incremental borrowing rate</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-1384935</wp:posOffset>
            </wp:positionV>
            <wp:extent cx="6311900" cy="654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3">
                      <a:extLst>
                        <a:ext uri="{28A0092B-C50C-407E-A947-70E740481C1C}"/>
                      </a:extLst>
                    </a:blip>
                    <a:srcRect/>
                    <a:stretch>
                      <a:fillRect/>
                    </a:stretch>
                  </pic:blipFill>
                  <pic:spPr bwMode="auto">
                    <a:xfrm>
                      <a:off x="0" y="0"/>
                      <a:ext cx="6311900" cy="65405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-384810</wp:posOffset>
            </wp:positionV>
            <wp:extent cx="6311900" cy="406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4">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71" w:lineRule="exact"/>
        <w:rPr>
          <w:sz w:val="20"/>
          <w:szCs w:val="20"/>
          <w:color w:val="auto"/>
        </w:rPr>
      </w:pPr>
    </w:p>
    <w:p>
      <w:pPr>
        <w:jc w:val="both"/>
        <w:ind w:left="360" w:right="20" w:firstLine="360"/>
        <w:spacing w:after="0" w:line="266" w:lineRule="auto"/>
        <w:rPr>
          <w:sz w:val="20"/>
          <w:szCs w:val="20"/>
          <w:color w:val="auto"/>
        </w:rPr>
      </w:pPr>
      <w:r>
        <w:rPr>
          <w:rFonts w:ascii="Times New Roman" w:cs="Times New Roman" w:eastAsia="Times New Roman" w:hAnsi="Times New Roman"/>
          <w:sz w:val="20"/>
          <w:szCs w:val="20"/>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ectPr>
          <w:pgSz w:w="12240" w:h="15840" w:orient="portrait"/>
          <w:cols w:equalWidth="0" w:num="1">
            <w:col w:w="10260"/>
          </w:cols>
          <w:pgMar w:left="1000" w:top="10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60"/>
          </w:cols>
          <w:pgMar w:left="1000" w:top="1033" w:right="980" w:bottom="0" w:gutter="0" w:footer="0" w:header="0"/>
          <w:type w:val="continuous"/>
        </w:sectPr>
      </w:pPr>
    </w:p>
    <w:bookmarkStart w:id="108" w:name="page109"/>
    <w:bookmarkEnd w:id="108"/>
    <w:p>
      <w:pPr>
        <w:ind w:left="370" w:right="980" w:firstLine="360"/>
        <w:spacing w:after="0" w:line="281" w:lineRule="auto"/>
        <w:rPr>
          <w:sz w:val="20"/>
          <w:szCs w:val="20"/>
          <w:color w:val="auto"/>
        </w:rPr>
      </w:pPr>
      <w:r>
        <w:rPr>
          <w:rFonts w:ascii="Times New Roman" w:cs="Times New Roman" w:eastAsia="Times New Roman" w:hAnsi="Times New Roman"/>
          <w:sz w:val="20"/>
          <w:szCs w:val="20"/>
          <w:color w:val="auto"/>
        </w:rPr>
        <w:t>The remaining maturities of lease liabilities by fiscal year as of February 3, 2024 are as follows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-10160</wp:posOffset>
            </wp:positionV>
            <wp:extent cx="6340475" cy="1752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5">
                      <a:extLst>
                        <a:ext uri="{28A0092B-C50C-407E-A947-70E740481C1C}"/>
                      </a:extLst>
                    </a:blip>
                    <a:srcRect/>
                    <a:stretch>
                      <a:fillRect/>
                    </a:stretch>
                  </pic:blipFill>
                  <pic:spPr bwMode="auto">
                    <a:xfrm>
                      <a:off x="0" y="0"/>
                      <a:ext cx="6340475" cy="1752600"/>
                    </a:xfrm>
                    <a:prstGeom prst="rect">
                      <a:avLst/>
                    </a:prstGeom>
                    <a:noFill/>
                  </pic:spPr>
                </pic:pic>
              </a:graphicData>
            </a:graphic>
          </wp:anchor>
        </w:drawing>
      </w:r>
    </w:p>
    <w:p>
      <w:pPr>
        <w:spacing w:after="0" w:line="10" w:lineRule="exact"/>
        <w:rPr>
          <w:sz w:val="20"/>
          <w:szCs w:val="20"/>
          <w:color w:val="auto"/>
        </w:rPr>
      </w:pPr>
    </w:p>
    <w:tbl>
      <w:tblPr>
        <w:tblLayout w:type="fixed"/>
        <w:tblInd w:w="410" w:type="dxa"/>
        <w:tblCellMar>
          <w:top w:w="0" w:type="dxa"/>
          <w:left w:w="0" w:type="dxa"/>
          <w:bottom w:w="0" w:type="dxa"/>
          <w:right w:w="0" w:type="dxa"/>
        </w:tblCellMar>
      </w:tblPr>
      <w:tr>
        <w:trPr>
          <w:trHeight w:val="260"/>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5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200,494</w:t>
            </w:r>
          </w:p>
        </w:tc>
      </w:tr>
      <w:tr>
        <w:trPr>
          <w:trHeight w:val="300"/>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214,244</w:t>
            </w:r>
          </w:p>
        </w:tc>
      </w:tr>
      <w:tr>
        <w:trPr>
          <w:trHeight w:val="300"/>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205,944</w:t>
            </w:r>
          </w:p>
        </w:tc>
      </w:tr>
      <w:tr>
        <w:trPr>
          <w:trHeight w:val="300"/>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191,893</w:t>
            </w:r>
          </w:p>
        </w:tc>
      </w:tr>
      <w:tr>
        <w:trPr>
          <w:trHeight w:val="300"/>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173,835</w:t>
            </w:r>
          </w:p>
        </w:tc>
      </w:tr>
      <w:tr>
        <w:trPr>
          <w:trHeight w:val="303"/>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After 2028</w:t>
            </w:r>
          </w:p>
        </w:tc>
        <w:tc>
          <w:tcPr>
            <w:tcW w:w="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810,337</w:t>
            </w:r>
          </w:p>
        </w:tc>
      </w:tr>
      <w:tr>
        <w:trPr>
          <w:trHeight w:val="317"/>
        </w:trPr>
        <w:tc>
          <w:tcPr>
            <w:tcW w:w="80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 xml:space="preserve">Total lease payments </w:t>
            </w:r>
            <w:r>
              <w:rPr>
                <w:rFonts w:ascii="Times New Roman" w:cs="Times New Roman" w:eastAsia="Times New Roman" w:hAnsi="Times New Roman"/>
                <w:sz w:val="26"/>
                <w:szCs w:val="26"/>
                <w:color w:val="auto"/>
                <w:vertAlign w:val="superscript"/>
              </w:rPr>
              <w:t>(1)</w:t>
            </w:r>
          </w:p>
        </w:tc>
        <w:tc>
          <w:tcPr>
            <w:tcW w:w="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1,796,747</w:t>
            </w:r>
          </w:p>
        </w:tc>
      </w:tr>
      <w:tr>
        <w:trPr>
          <w:trHeight w:val="263"/>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Less: Interest</w:t>
            </w: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(587,604)</w:t>
            </w:r>
          </w:p>
        </w:tc>
      </w:tr>
      <w:tr>
        <w:trPr>
          <w:trHeight w:val="260"/>
        </w:trPr>
        <w:tc>
          <w:tcPr>
            <w:tcW w:w="80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5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1,209,143</w:t>
            </w:r>
          </w:p>
        </w:tc>
      </w:tr>
      <w:tr>
        <w:trPr>
          <w:trHeight w:val="20"/>
        </w:trPr>
        <w:tc>
          <w:tcPr>
            <w:tcW w:w="8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jc w:val="both"/>
        <w:ind w:left="630" w:right="60" w:hanging="180"/>
        <w:spacing w:after="0" w:line="226" w:lineRule="auto"/>
        <w:tabs>
          <w:tab w:leader="none" w:pos="684" w:val="left"/>
        </w:tabs>
        <w:numPr>
          <w:ilvl w:val="1"/>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Minimum lease payments have not been reduced by sublease rentals of $2.3 million due in the future under non-cancelable subleases. The Company has entered into operating leases related to future store locations for which we have not yet taken possession of the location. As of February 3, 2024, the future minimum lease payments on these leases approximated $159.3 million.</w:t>
      </w:r>
    </w:p>
    <w:p>
      <w:pPr>
        <w:spacing w:after="0" w:line="200" w:lineRule="exact"/>
        <w:rPr>
          <w:rFonts w:ascii="Times New Roman" w:cs="Times New Roman" w:eastAsia="Times New Roman" w:hAnsi="Times New Roman"/>
          <w:sz w:val="26"/>
          <w:szCs w:val="26"/>
          <w:color w:val="auto"/>
          <w:vertAlign w:val="superscript"/>
        </w:rPr>
      </w:pPr>
    </w:p>
    <w:p>
      <w:pPr>
        <w:spacing w:after="0" w:line="237" w:lineRule="exact"/>
        <w:rPr>
          <w:rFonts w:ascii="Times New Roman" w:cs="Times New Roman" w:eastAsia="Times New Roman" w:hAnsi="Times New Roman"/>
          <w:sz w:val="26"/>
          <w:szCs w:val="26"/>
          <w:color w:val="auto"/>
          <w:vertAlign w:val="superscript"/>
        </w:rPr>
      </w:pPr>
    </w:p>
    <w:p>
      <w:pPr>
        <w:ind w:left="370" w:hanging="370"/>
        <w:spacing w:after="0"/>
        <w:tabs>
          <w:tab w:leader="none" w:pos="37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57" w:lineRule="exact"/>
        <w:rPr>
          <w:sz w:val="20"/>
          <w:szCs w:val="20"/>
          <w:color w:val="auto"/>
        </w:rPr>
      </w:pPr>
    </w:p>
    <w:p>
      <w:pPr>
        <w:jc w:val="both"/>
        <w:ind w:left="370" w:right="60" w:firstLine="360"/>
        <w:spacing w:after="0" w:line="256" w:lineRule="auto"/>
        <w:rPr>
          <w:sz w:val="20"/>
          <w:szCs w:val="20"/>
          <w:color w:val="auto"/>
        </w:rPr>
      </w:pPr>
      <w:r>
        <w:rPr>
          <w:rFonts w:ascii="Times New Roman" w:cs="Times New Roman" w:eastAsia="Times New Roman" w:hAnsi="Times New Roman"/>
          <w:sz w:val="20"/>
          <w:szCs w:val="20"/>
          <w:color w:val="auto"/>
        </w:rPr>
        <w:t>On May 5, 2021, and September 14, 2021, in connection with the May 2021 Secondary Offering and the September 2021 Secondary Offering, respectively, the Company entered into Underwriting Agreements with affiliates of KKR (as selling stockholders), several other selling stockholders named therein, and several underwriters named therein, including KCM (as underwriter). The May 2021 Secondary Offering and September 2021 Secondary Offering were completed on May 10, 2021, and September 17, 2021, respectively. The Company did not pay KCM any fees in connection with these secondary offerings.</w:t>
      </w:r>
    </w:p>
    <w:p>
      <w:pPr>
        <w:spacing w:after="0" w:line="148" w:lineRule="exact"/>
        <w:rPr>
          <w:sz w:val="20"/>
          <w:szCs w:val="20"/>
          <w:color w:val="auto"/>
        </w:rPr>
      </w:pPr>
    </w:p>
    <w:p>
      <w:pPr>
        <w:jc w:val="both"/>
        <w:ind w:left="370" w:right="40" w:firstLine="360"/>
        <w:spacing w:after="0" w:line="258" w:lineRule="auto"/>
        <w:rPr>
          <w:sz w:val="20"/>
          <w:szCs w:val="20"/>
          <w:color w:val="auto"/>
        </w:rPr>
      </w:pPr>
      <w:r>
        <w:rPr>
          <w:rFonts w:ascii="Times New Roman" w:cs="Times New Roman" w:eastAsia="Times New Roman" w:hAnsi="Times New Roman"/>
          <w:sz w:val="20"/>
          <w:szCs w:val="20"/>
          <w:color w:val="auto"/>
        </w:rPr>
        <w:t>In connection with the May 2021 Secondary Offering, we repurchased from the underwriters 3,229,974 shares of ASO, Inc. common stock at $30.96 per share for approximately $100.0 million. In connection with the September 2021 Secondary Offering, we repurchased from the underwriters 4,500,000 shares of ASO, Inc. common stock at approximately $43.52 for approximately $195.8 million. The shares repurchased in both the May 2021 Secondary Offering and the September 2021 Secondary Offering were immediately retired by the Company (see Note 1 and Note 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14. Commitments and Contingencies</w:t>
      </w:r>
    </w:p>
    <w:p>
      <w:pPr>
        <w:spacing w:after="0" w:line="251"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Technology Related Commitments and Other</w:t>
      </w:r>
    </w:p>
    <w:p>
      <w:pPr>
        <w:spacing w:after="0" w:line="256" w:lineRule="exact"/>
        <w:rPr>
          <w:sz w:val="20"/>
          <w:szCs w:val="20"/>
          <w:color w:val="auto"/>
        </w:rPr>
      </w:pPr>
    </w:p>
    <w:p>
      <w:pPr>
        <w:jc w:val="both"/>
        <w:ind w:left="370" w:right="40" w:firstLine="360"/>
        <w:spacing w:after="0" w:line="266" w:lineRule="auto"/>
        <w:rPr>
          <w:sz w:val="20"/>
          <w:szCs w:val="20"/>
          <w:color w:val="auto"/>
        </w:rPr>
      </w:pPr>
      <w:r>
        <w:rPr>
          <w:rFonts w:ascii="Times New Roman" w:cs="Times New Roman" w:eastAsia="Times New Roman" w:hAnsi="Times New Roman"/>
          <w:sz w:val="20"/>
          <w:szCs w:val="20"/>
          <w:color w:val="auto"/>
        </w:rPr>
        <w:t>As of February 3, 2024, we have obligations under technology-related, construction and other contractual commitments in the amount of $68.0 million. Of such commitments, approximately $40.9 million is payable in the next 12 months.</w:t>
      </w:r>
    </w:p>
    <w:p>
      <w:pPr>
        <w:spacing w:after="0" w:line="186"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Financial Guarantees</w:t>
      </w:r>
    </w:p>
    <w:p>
      <w:pPr>
        <w:spacing w:after="0" w:line="259" w:lineRule="exact"/>
        <w:rPr>
          <w:sz w:val="20"/>
          <w:szCs w:val="20"/>
          <w:color w:val="auto"/>
        </w:rPr>
      </w:pPr>
    </w:p>
    <w:p>
      <w:pPr>
        <w:jc w:val="both"/>
        <w:ind w:left="370" w:right="60" w:firstLine="360"/>
        <w:spacing w:after="0" w:line="260" w:lineRule="auto"/>
        <w:rPr>
          <w:sz w:val="20"/>
          <w:szCs w:val="20"/>
          <w:color w:val="auto"/>
        </w:rPr>
      </w:pPr>
      <w:r>
        <w:rPr>
          <w:rFonts w:ascii="Times New Roman" w:cs="Times New Roman" w:eastAsia="Times New Roman" w:hAnsi="Times New Roman"/>
          <w:sz w:val="20"/>
          <w:szCs w:val="20"/>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ectPr>
          <w:pgSz w:w="12240" w:h="15840" w:orient="portrait"/>
          <w:cols w:equalWidth="0" w:num="1">
            <w:col w:w="10310"/>
          </w:cols>
          <w:pgMar w:left="99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310"/>
          </w:cols>
          <w:pgMar w:left="990" w:top="793" w:right="940" w:bottom="0" w:gutter="0" w:footer="0" w:header="0"/>
          <w:type w:val="continuous"/>
        </w:sectPr>
      </w:pPr>
    </w:p>
    <w:bookmarkStart w:id="109" w:name="page110"/>
    <w:bookmarkEnd w:id="109"/>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99" w:lineRule="exact"/>
        <w:rPr>
          <w:sz w:val="20"/>
          <w:szCs w:val="20"/>
          <w:color w:val="auto"/>
        </w:rPr>
      </w:pPr>
    </w:p>
    <w:p>
      <w:pPr>
        <w:jc w:val="both"/>
        <w:ind w:left="370" w:firstLine="360"/>
        <w:spacing w:after="0" w:line="252" w:lineRule="auto"/>
        <w:rPr>
          <w:sz w:val="20"/>
          <w:szCs w:val="20"/>
          <w:color w:val="auto"/>
        </w:rPr>
      </w:pPr>
      <w:r>
        <w:rPr>
          <w:rFonts w:ascii="Times New Roman" w:cs="Times New Roman" w:eastAsia="Times New Roman" w:hAnsi="Times New Roman"/>
          <w:sz w:val="20"/>
          <w:szCs w:val="20"/>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In May and December 2023, U.S. Customs and Border Protection ("CBP") notified us that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anticipate that this matter will be resolved without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w:t>
      </w:r>
    </w:p>
    <w:p>
      <w:pPr>
        <w:spacing w:after="0" w:line="153" w:lineRule="exact"/>
        <w:rPr>
          <w:sz w:val="20"/>
          <w:szCs w:val="20"/>
          <w:color w:val="auto"/>
        </w:rPr>
      </w:pPr>
    </w:p>
    <w:p>
      <w:pPr>
        <w:jc w:val="both"/>
        <w:ind w:left="370" w:right="20" w:firstLine="447"/>
        <w:spacing w:after="0" w:line="260" w:lineRule="auto"/>
        <w:rPr>
          <w:sz w:val="20"/>
          <w:szCs w:val="20"/>
          <w:color w:val="auto"/>
        </w:rPr>
      </w:pPr>
      <w:r>
        <w:rPr>
          <w:rFonts w:ascii="Times New Roman" w:cs="Times New Roman" w:eastAsia="Times New Roman" w:hAnsi="Times New Roman"/>
          <w:sz w:val="20"/>
          <w:szCs w:val="20"/>
          <w:color w:val="auto"/>
        </w:rPr>
        <w:t>During 2023, the Company settled a legal matter pertaining to the overcharge of interchange feeds with certain financial institutions for prior periods dating back to 2004. In connection with this settlement, we recognized a net gain of approximately $15.9 million in Other (income), net on the Consolidated Statements of Income, when the gain became realizable.</w:t>
      </w:r>
    </w:p>
    <w:p>
      <w:pPr>
        <w:spacing w:after="0" w:line="143" w:lineRule="exact"/>
        <w:rPr>
          <w:sz w:val="20"/>
          <w:szCs w:val="20"/>
          <w:color w:val="auto"/>
        </w:rPr>
      </w:pPr>
    </w:p>
    <w:p>
      <w:pPr>
        <w:jc w:val="both"/>
        <w:ind w:left="370" w:right="20" w:firstLine="360"/>
        <w:spacing w:after="0" w:line="281" w:lineRule="auto"/>
        <w:rPr>
          <w:sz w:val="20"/>
          <w:szCs w:val="20"/>
          <w:color w:val="auto"/>
        </w:rPr>
      </w:pPr>
      <w:r>
        <w:rPr>
          <w:rFonts w:ascii="Times New Roman" w:cs="Times New Roman" w:eastAsia="Times New Roman" w:hAnsi="Times New Roman"/>
          <w:sz w:val="20"/>
          <w:szCs w:val="20"/>
          <w:color w:val="auto"/>
        </w:rPr>
        <w:t>We are not currently party to any other legal proceedings that we believe would have a material adverse effect on our financial position, results of operations or cash flows.</w:t>
      </w:r>
    </w:p>
    <w:p>
      <w:pPr>
        <w:spacing w:after="0" w:line="172"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b w:val="1"/>
          <w:bCs w:val="1"/>
          <w:i w:val="1"/>
          <w:iCs w:val="1"/>
          <w:color w:val="auto"/>
        </w:rPr>
        <w:t>Sponsorship Agreement and Intellectual Property Commitments</w:t>
      </w:r>
    </w:p>
    <w:p>
      <w:pPr>
        <w:spacing w:after="0" w:line="259" w:lineRule="exact"/>
        <w:rPr>
          <w:sz w:val="20"/>
          <w:szCs w:val="20"/>
          <w:color w:val="auto"/>
        </w:rPr>
      </w:pPr>
    </w:p>
    <w:p>
      <w:pPr>
        <w:jc w:val="both"/>
        <w:ind w:left="370" w:right="20" w:firstLine="360"/>
        <w:spacing w:after="0" w:line="256" w:lineRule="auto"/>
        <w:rPr>
          <w:sz w:val="20"/>
          <w:szCs w:val="20"/>
          <w:color w:val="auto"/>
        </w:rPr>
      </w:pPr>
      <w:r>
        <w:rPr>
          <w:rFonts w:ascii="Times New Roman" w:cs="Times New Roman" w:eastAsia="Times New Roman" w:hAnsi="Times New Roman"/>
          <w:sz w:val="20"/>
          <w:szCs w:val="20"/>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3, 2024, we have $13.7 million in related commitments through 2027, of which $5.6 million is payable in next 12 months.</w:t>
      </w:r>
    </w:p>
    <w:p>
      <w:pPr>
        <w:spacing w:after="0" w:line="200" w:lineRule="exact"/>
        <w:rPr>
          <w:sz w:val="20"/>
          <w:szCs w:val="20"/>
          <w:color w:val="auto"/>
        </w:rPr>
      </w:pPr>
    </w:p>
    <w:p>
      <w:pPr>
        <w:spacing w:after="0" w:line="241" w:lineRule="exact"/>
        <w:rPr>
          <w:sz w:val="20"/>
          <w:szCs w:val="20"/>
          <w:color w:val="auto"/>
        </w:rPr>
      </w:pPr>
    </w:p>
    <w:p>
      <w:pPr>
        <w:ind w:left="370" w:right="7880" w:hanging="370"/>
        <w:spacing w:after="0" w:line="504" w:lineRule="auto"/>
        <w:tabs>
          <w:tab w:leader="none" w:pos="37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Employee Benefit Plans </w:t>
      </w:r>
      <w:r>
        <w:rPr>
          <w:rFonts w:ascii="Times New Roman" w:cs="Times New Roman" w:eastAsia="Times New Roman" w:hAnsi="Times New Roman"/>
          <w:sz w:val="20"/>
          <w:szCs w:val="20"/>
          <w:b w:val="1"/>
          <w:bCs w:val="1"/>
          <w:i w:val="1"/>
          <w:iCs w:val="1"/>
          <w:color w:val="auto"/>
        </w:rPr>
        <w:t>401(k) Plan</w:t>
      </w:r>
    </w:p>
    <w:p>
      <w:pPr>
        <w:spacing w:after="0" w:line="1" w:lineRule="exact"/>
        <w:rPr>
          <w:sz w:val="20"/>
          <w:szCs w:val="20"/>
          <w:color w:val="auto"/>
        </w:rPr>
      </w:pPr>
    </w:p>
    <w:p>
      <w:pPr>
        <w:jc w:val="both"/>
        <w:ind w:left="370" w:right="20" w:firstLine="360"/>
        <w:spacing w:after="0" w:line="254" w:lineRule="auto"/>
        <w:rPr>
          <w:sz w:val="20"/>
          <w:szCs w:val="20"/>
          <w:color w:val="auto"/>
        </w:rPr>
      </w:pPr>
      <w:r>
        <w:rPr>
          <w:rFonts w:ascii="Times New Roman" w:cs="Times New Roman" w:eastAsia="Times New Roman" w:hAnsi="Times New Roman"/>
          <w:sz w:val="20"/>
          <w:szCs w:val="20"/>
          <w:color w:val="auto"/>
        </w:rPr>
        <w:t>We sponsor a safe harbor defined contribution 401(k) profit sharing plan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the money contributed by a plan participant to the 401(k) Plan each pay period, on a dollar-for-dollar basis, up to 6% of a plan participant’s eligible compensation during such pay period. Annual Company profit sharing contributions are made at the discretion of our Board of Directors, subject to certain limitations. The 401(k) Plan may be amended or terminated at our discretion. Employer contributions related to the 401(k) Plan totaled $15.5 million, $15.5 million and $15.6 million in 2023, 2022 and 2021, respectively.</w:t>
      </w:r>
    </w:p>
    <w:p>
      <w:pPr>
        <w:sectPr>
          <w:pgSz w:w="12240" w:h="15840" w:orient="portrait"/>
          <w:cols w:equalWidth="0" w:num="1">
            <w:col w:w="10270"/>
          </w:cols>
          <w:pgMar w:left="99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4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270"/>
          </w:cols>
          <w:pgMar w:left="990" w:top="784" w:right="98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color w:val="auto"/>
        </w:rPr>
        <w:t>16. Selected Quarterly Financial Data (Unaudited)</w:t>
      </w:r>
    </w:p>
    <w:p>
      <w:pPr>
        <w:spacing w:after="0" w:line="257" w:lineRule="exact"/>
        <w:rPr>
          <w:sz w:val="20"/>
          <w:szCs w:val="20"/>
          <w:color w:val="auto"/>
        </w:rPr>
      </w:pPr>
    </w:p>
    <w:p>
      <w:pPr>
        <w:ind w:left="360" w:right="480" w:firstLine="360"/>
        <w:spacing w:after="0" w:line="281" w:lineRule="auto"/>
        <w:rPr>
          <w:sz w:val="20"/>
          <w:szCs w:val="20"/>
          <w:color w:val="auto"/>
        </w:rPr>
      </w:pPr>
      <w:r>
        <w:rPr>
          <w:rFonts w:ascii="Times New Roman" w:cs="Times New Roman" w:eastAsia="Times New Roman" w:hAnsi="Times New Roman"/>
          <w:sz w:val="20"/>
          <w:szCs w:val="20"/>
          <w:color w:val="auto"/>
        </w:rPr>
        <w:t>The summarized quarterly financial information for the fiscal years ended 2023 and 2022 are reflected in the table below (amounts in thousands, except earnings per share data):</w:t>
      </w:r>
    </w:p>
    <w:p>
      <w:pPr>
        <w:spacing w:after="0" w:line="251" w:lineRule="exact"/>
        <w:rPr>
          <w:sz w:val="20"/>
          <w:szCs w:val="20"/>
          <w:color w:val="auto"/>
        </w:rPr>
      </w:pPr>
    </w:p>
    <w:tbl>
      <w:tblPr>
        <w:tblLayout w:type="fixed"/>
        <w:tblInd w:w="400" w:type="dxa"/>
        <w:tblCellMar>
          <w:top w:w="0" w:type="dxa"/>
          <w:left w:w="0" w:type="dxa"/>
          <w:bottom w:w="0" w:type="dxa"/>
          <w:right w:w="0" w:type="dxa"/>
        </w:tblCellMar>
      </w:tblPr>
      <w:tr>
        <w:trPr>
          <w:trHeight w:val="264"/>
        </w:trPr>
        <w:tc>
          <w:tcPr>
            <w:tcW w:w="3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1st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2nd</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3rd</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4th</w:t>
            </w:r>
          </w:p>
        </w:tc>
        <w:tc>
          <w:tcPr>
            <w:tcW w:w="0" w:type="dxa"/>
            <w:vAlign w:val="bottom"/>
          </w:tcPr>
          <w:p>
            <w:pPr>
              <w:spacing w:after="0"/>
              <w:rPr>
                <w:sz w:val="1"/>
                <w:szCs w:val="1"/>
                <w:color w:val="auto"/>
              </w:rPr>
            </w:pPr>
          </w:p>
        </w:tc>
      </w:tr>
      <w:tr>
        <w:trPr>
          <w:trHeight w:val="288"/>
        </w:trPr>
        <w:tc>
          <w:tcPr>
            <w:tcW w:w="326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Quarter</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Quarter</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Quarter</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Quarter</w:t>
            </w:r>
          </w:p>
        </w:tc>
        <w:tc>
          <w:tcPr>
            <w:tcW w:w="0" w:type="dxa"/>
            <w:vAlign w:val="bottom"/>
          </w:tcPr>
          <w:p>
            <w:pPr>
              <w:spacing w:after="0"/>
              <w:rPr>
                <w:sz w:val="1"/>
                <w:szCs w:val="1"/>
                <w:color w:val="auto"/>
              </w:rPr>
            </w:pPr>
          </w:p>
        </w:tc>
      </w:tr>
      <w:tr>
        <w:trPr>
          <w:trHeight w:val="262"/>
        </w:trPr>
        <w:tc>
          <w:tcPr>
            <w:tcW w:w="3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1,383,609</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1,583,077</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1,397,777</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1,794,828</w:t>
            </w:r>
          </w:p>
        </w:tc>
        <w:tc>
          <w:tcPr>
            <w:tcW w:w="0" w:type="dxa"/>
            <w:vAlign w:val="bottom"/>
          </w:tcPr>
          <w:p>
            <w:pPr>
              <w:spacing w:after="0"/>
              <w:rPr>
                <w:sz w:val="1"/>
                <w:szCs w:val="1"/>
                <w:color w:val="auto"/>
              </w:rPr>
            </w:pPr>
          </w:p>
        </w:tc>
      </w:tr>
      <w:tr>
        <w:trPr>
          <w:trHeight w:val="28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60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467,115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563,446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482,641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597,009</w:t>
            </w:r>
          </w:p>
        </w:tc>
        <w:tc>
          <w:tcPr>
            <w:tcW w:w="0" w:type="dxa"/>
            <w:vAlign w:val="bottom"/>
          </w:tcPr>
          <w:p>
            <w:pPr>
              <w:spacing w:after="0"/>
              <w:rPr>
                <w:sz w:val="1"/>
                <w:szCs w:val="1"/>
                <w:color w:val="auto"/>
              </w:rPr>
            </w:pPr>
          </w:p>
        </w:tc>
      </w:tr>
      <w:tr>
        <w:trPr>
          <w:trHeight w:val="30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126,196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210,963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136,731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203,965</w:t>
            </w:r>
          </w:p>
        </w:tc>
        <w:tc>
          <w:tcPr>
            <w:tcW w:w="0" w:type="dxa"/>
            <w:vAlign w:val="bottom"/>
          </w:tcPr>
          <w:p>
            <w:pPr>
              <w:spacing w:after="0"/>
              <w:rPr>
                <w:sz w:val="1"/>
                <w:szCs w:val="1"/>
                <w:color w:val="auto"/>
              </w:rPr>
            </w:pPr>
          </w:p>
        </w:tc>
      </w:tr>
      <w:tr>
        <w:trPr>
          <w:trHeight w:val="363"/>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Net income </w:t>
            </w:r>
            <w:r>
              <w:rPr>
                <w:rFonts w:ascii="Times New Roman" w:cs="Times New Roman" w:eastAsia="Times New Roman" w:hAnsi="Times New Roman"/>
                <w:sz w:val="26"/>
                <w:szCs w:val="26"/>
                <w:color w:val="auto"/>
                <w:vertAlign w:val="superscript"/>
              </w:rPr>
              <w:t>(1)</w:t>
            </w: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93,970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157,075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99,978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168,167</w:t>
            </w:r>
          </w:p>
        </w:tc>
        <w:tc>
          <w:tcPr>
            <w:tcW w:w="0" w:type="dxa"/>
            <w:vAlign w:val="bottom"/>
          </w:tcPr>
          <w:p>
            <w:pPr>
              <w:spacing w:after="0"/>
              <w:rPr>
                <w:sz w:val="1"/>
                <w:szCs w:val="1"/>
                <w:color w:val="auto"/>
              </w:rPr>
            </w:pPr>
          </w:p>
        </w:tc>
      </w:tr>
      <w:tr>
        <w:trPr>
          <w:trHeight w:val="357"/>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common share:</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w:t>
            </w:r>
          </w:p>
        </w:tc>
        <w:tc>
          <w:tcPr>
            <w:tcW w:w="60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2.27</w:t>
            </w:r>
          </w:p>
        </w:tc>
        <w:tc>
          <w:tcPr>
            <w:tcW w:w="0" w:type="dxa"/>
            <w:vAlign w:val="bottom"/>
          </w:tcPr>
          <w:p>
            <w:pPr>
              <w:spacing w:after="0"/>
              <w:rPr>
                <w:sz w:val="1"/>
                <w:szCs w:val="1"/>
                <w:color w:val="auto"/>
              </w:rPr>
            </w:pPr>
          </w:p>
        </w:tc>
      </w:tr>
      <w:tr>
        <w:trPr>
          <w:trHeight w:val="300"/>
        </w:trPr>
        <w:tc>
          <w:tcPr>
            <w:tcW w:w="3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Diluted</w:t>
            </w:r>
          </w:p>
        </w:tc>
        <w:tc>
          <w:tcPr>
            <w:tcW w:w="600" w:type="dxa"/>
            <w:vAlign w:val="bottom"/>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2.21</w:t>
            </w:r>
          </w:p>
        </w:tc>
        <w:tc>
          <w:tcPr>
            <w:tcW w:w="0" w:type="dxa"/>
            <w:vAlign w:val="bottom"/>
          </w:tcPr>
          <w:p>
            <w:pPr>
              <w:spacing w:after="0"/>
              <w:rPr>
                <w:sz w:val="1"/>
                <w:szCs w:val="1"/>
                <w:color w:val="auto"/>
              </w:rPr>
            </w:pPr>
          </w:p>
        </w:tc>
      </w:tr>
      <w:tr>
        <w:trPr>
          <w:trHeight w:val="420"/>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w:t>
            </w: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76,862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76,104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74,461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74,219</w:t>
            </w:r>
          </w:p>
        </w:tc>
        <w:tc>
          <w:tcPr>
            <w:tcW w:w="0" w:type="dxa"/>
            <w:vAlign w:val="bottom"/>
          </w:tcPr>
          <w:p>
            <w:pPr>
              <w:spacing w:after="0"/>
              <w:rPr>
                <w:sz w:val="1"/>
                <w:szCs w:val="1"/>
                <w:color w:val="auto"/>
              </w:rPr>
            </w:pPr>
          </w:p>
        </w:tc>
      </w:tr>
      <w:tr>
        <w:trPr>
          <w:trHeight w:val="300"/>
        </w:trPr>
        <w:tc>
          <w:tcPr>
            <w:tcW w:w="3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Diluted</w:t>
            </w: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79,288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78,091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76,057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76,035</w:t>
            </w:r>
          </w:p>
        </w:tc>
        <w:tc>
          <w:tcPr>
            <w:tcW w:w="0" w:type="dxa"/>
            <w:vAlign w:val="bottom"/>
          </w:tcPr>
          <w:p>
            <w:pPr>
              <w:spacing w:after="0"/>
              <w:rPr>
                <w:sz w:val="1"/>
                <w:szCs w:val="1"/>
                <w:color w:val="auto"/>
              </w:rPr>
            </w:pPr>
          </w:p>
        </w:tc>
      </w:tr>
      <w:tr>
        <w:trPr>
          <w:trHeight w:val="570"/>
        </w:trPr>
        <w:tc>
          <w:tcPr>
            <w:tcW w:w="3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6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1,467,730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1,686,915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1,493,925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1,746,503</w:t>
            </w:r>
          </w:p>
        </w:tc>
        <w:tc>
          <w:tcPr>
            <w:tcW w:w="0" w:type="dxa"/>
            <w:vAlign w:val="bottom"/>
          </w:tcPr>
          <w:p>
            <w:pPr>
              <w:spacing w:after="0"/>
              <w:rPr>
                <w:sz w:val="1"/>
                <w:szCs w:val="1"/>
                <w:color w:val="auto"/>
              </w:rPr>
            </w:pPr>
          </w:p>
        </w:tc>
      </w:tr>
      <w:tr>
        <w:trPr>
          <w:trHeight w:val="28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521,424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596,063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522,471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572,544</w:t>
            </w:r>
          </w:p>
        </w:tc>
        <w:tc>
          <w:tcPr>
            <w:tcW w:w="0" w:type="dxa"/>
            <w:vAlign w:val="bottom"/>
          </w:tcPr>
          <w:p>
            <w:pPr>
              <w:spacing w:after="0"/>
              <w:rPr>
                <w:sz w:val="1"/>
                <w:szCs w:val="1"/>
                <w:color w:val="auto"/>
              </w:rPr>
            </w:pPr>
          </w:p>
        </w:tc>
      </w:tr>
      <w:tr>
        <w:trPr>
          <w:trHeight w:val="285"/>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205,493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256,734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204,800</w:t>
            </w:r>
          </w:p>
        </w:tc>
        <w:tc>
          <w:tcPr>
            <w:tcW w:w="0" w:type="dxa"/>
            <w:vAlign w:val="bottom"/>
          </w:tcPr>
          <w:p>
            <w:pPr>
              <w:spacing w:after="0"/>
              <w:rPr>
                <w:sz w:val="1"/>
                <w:szCs w:val="1"/>
                <w:color w:val="auto"/>
              </w:rPr>
            </w:pPr>
          </w:p>
        </w:tc>
      </w:tr>
      <w:tr>
        <w:trPr>
          <w:trHeight w:val="348"/>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Net income </w:t>
            </w:r>
            <w:r>
              <w:rPr>
                <w:rFonts w:ascii="Times New Roman" w:cs="Times New Roman" w:eastAsia="Times New Roman" w:hAnsi="Times New Roman"/>
                <w:sz w:val="26"/>
                <w:szCs w:val="26"/>
                <w:color w:val="auto"/>
                <w:vertAlign w:val="superscript"/>
              </w:rPr>
              <w:t>(2)</w:t>
            </w:r>
          </w:p>
        </w:tc>
        <w:tc>
          <w:tcPr>
            <w:tcW w:w="6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149,806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188,801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131,741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157,653</w:t>
            </w:r>
          </w:p>
        </w:tc>
        <w:tc>
          <w:tcPr>
            <w:tcW w:w="0" w:type="dxa"/>
            <w:vAlign w:val="bottom"/>
          </w:tcPr>
          <w:p>
            <w:pPr>
              <w:spacing w:after="0"/>
              <w:rPr>
                <w:sz w:val="1"/>
                <w:szCs w:val="1"/>
                <w:color w:val="auto"/>
              </w:rPr>
            </w:pPr>
          </w:p>
        </w:tc>
      </w:tr>
      <w:tr>
        <w:trPr>
          <w:trHeight w:val="344"/>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common share:</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w:t>
            </w:r>
          </w:p>
        </w:tc>
        <w:tc>
          <w:tcPr>
            <w:tcW w:w="6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0" w:type="dxa"/>
            <w:vAlign w:val="bottom"/>
          </w:tcPr>
          <w:p>
            <w:pPr>
              <w:spacing w:after="0"/>
              <w:rPr>
                <w:sz w:val="1"/>
                <w:szCs w:val="1"/>
                <w:color w:val="auto"/>
              </w:rPr>
            </w:pPr>
          </w:p>
        </w:tc>
      </w:tr>
      <w:tr>
        <w:trPr>
          <w:trHeight w:val="285"/>
        </w:trPr>
        <w:tc>
          <w:tcPr>
            <w:tcW w:w="3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Diluted</w:t>
            </w:r>
          </w:p>
        </w:tc>
        <w:tc>
          <w:tcPr>
            <w:tcW w:w="6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0" w:type="dxa"/>
            <w:vAlign w:val="bottom"/>
          </w:tcPr>
          <w:p>
            <w:pPr>
              <w:spacing w:after="0"/>
              <w:rPr>
                <w:sz w:val="1"/>
                <w:szCs w:val="1"/>
                <w:color w:val="auto"/>
              </w:rPr>
            </w:pPr>
          </w:p>
        </w:tc>
      </w:tr>
      <w:tr>
        <w:trPr>
          <w:trHeight w:val="433"/>
        </w:trPr>
        <w:tc>
          <w:tcPr>
            <w:tcW w:w="3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w:t>
            </w: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86,658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77,657</w:t>
            </w:r>
          </w:p>
        </w:tc>
        <w:tc>
          <w:tcPr>
            <w:tcW w:w="0" w:type="dxa"/>
            <w:vAlign w:val="bottom"/>
          </w:tcPr>
          <w:p>
            <w:pPr>
              <w:spacing w:after="0"/>
              <w:rPr>
                <w:sz w:val="1"/>
                <w:szCs w:val="1"/>
                <w:color w:val="auto"/>
              </w:rPr>
            </w:pPr>
          </w:p>
        </w:tc>
      </w:tr>
      <w:tr>
        <w:trPr>
          <w:trHeight w:val="315"/>
        </w:trPr>
        <w:tc>
          <w:tcPr>
            <w:tcW w:w="3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Diluted</w:t>
            </w: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-4613910</wp:posOffset>
            </wp:positionV>
            <wp:extent cx="6350000" cy="4835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6">
                      <a:extLst>
                        <a:ext uri="{28A0092B-C50C-407E-A947-70E740481C1C}"/>
                      </a:extLst>
                    </a:blip>
                    <a:srcRect/>
                    <a:stretch>
                      <a:fillRect/>
                    </a:stretch>
                  </pic:blipFill>
                  <pic:spPr bwMode="auto">
                    <a:xfrm>
                      <a:off x="0" y="0"/>
                      <a:ext cx="6350000" cy="4835525"/>
                    </a:xfrm>
                    <a:prstGeom prst="rect">
                      <a:avLst/>
                    </a:prstGeom>
                    <a:noFill/>
                  </pic:spPr>
                </pic:pic>
              </a:graphicData>
            </a:graphic>
          </wp:anchor>
        </w:drawing>
      </w:r>
    </w:p>
    <w:p>
      <w:pPr>
        <w:spacing w:after="0" w:line="343" w:lineRule="exact"/>
        <w:rPr>
          <w:sz w:val="20"/>
          <w:szCs w:val="20"/>
          <w:color w:val="auto"/>
        </w:rPr>
      </w:pPr>
    </w:p>
    <w:p>
      <w:pPr>
        <w:ind w:left="680" w:right="120" w:hanging="277"/>
        <w:spacing w:after="0"/>
        <w:tabs>
          <w:tab w:leader="none" w:pos="67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for the quarter ended February 3, 2024, includes a $15.9 million net gain relative to a credit card fee litigation settlement which occurred in the fourth quarter of 2023 (see Note 2).</w:t>
      </w:r>
    </w:p>
    <w:p>
      <w:pPr>
        <w:spacing w:after="0" w:line="52" w:lineRule="exact"/>
        <w:rPr>
          <w:rFonts w:ascii="Times New Roman" w:cs="Times New Roman" w:eastAsia="Times New Roman" w:hAnsi="Times New Roman"/>
          <w:sz w:val="16"/>
          <w:szCs w:val="16"/>
          <w:color w:val="auto"/>
        </w:rPr>
      </w:pPr>
    </w:p>
    <w:p>
      <w:pPr>
        <w:ind w:left="680" w:right="80" w:hanging="277"/>
        <w:spacing w:after="0"/>
        <w:tabs>
          <w:tab w:leader="none" w:pos="67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for the year ended January 28, 2023, included a $7.2 million gain from a business interruption insurance recovery and a $3.7 million gain from the sale of a tariff relief litigation claim, both of which occurred in the fourth quarter of 2022 (see Note 2).</w:t>
      </w:r>
    </w:p>
    <w:p>
      <w:pPr>
        <w:sectPr>
          <w:pgSz w:w="12240" w:h="15840" w:orient="portrait"/>
          <w:cols w:equalWidth="0" w:num="1">
            <w:col w:w="10320"/>
          </w:cols>
          <w:pgMar w:left="1000" w:top="102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320"/>
          </w:cols>
          <w:pgMar w:left="1000" w:top="1026" w:right="92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auto"/>
        </w:rPr>
        <w:t>17. Subsequent Events</w:t>
      </w:r>
    </w:p>
    <w:p>
      <w:pPr>
        <w:spacing w:after="0" w:line="257" w:lineRule="exact"/>
        <w:rPr>
          <w:sz w:val="20"/>
          <w:szCs w:val="20"/>
          <w:color w:val="auto"/>
        </w:rPr>
      </w:pPr>
    </w:p>
    <w:p>
      <w:pPr>
        <w:jc w:val="both"/>
        <w:ind w:left="360" w:right="20" w:firstLine="360"/>
        <w:spacing w:after="0" w:line="281" w:lineRule="auto"/>
        <w:rPr>
          <w:sz w:val="20"/>
          <w:szCs w:val="20"/>
          <w:color w:val="auto"/>
        </w:rPr>
      </w:pPr>
      <w:r>
        <w:rPr>
          <w:rFonts w:ascii="Times New Roman" w:cs="Times New Roman" w:eastAsia="Times New Roman" w:hAnsi="Times New Roman"/>
          <w:sz w:val="20"/>
          <w:szCs w:val="20"/>
          <w:color w:val="auto"/>
        </w:rPr>
        <w:t>Our management evaluated events or transactions that occurred after February 3, 2024 through March 21, 2024, the issuance date of the consolidated financial statements, and identified the following matter to report:</w:t>
      </w:r>
    </w:p>
    <w:p>
      <w:pPr>
        <w:spacing w:after="0" w:line="181" w:lineRule="exact"/>
        <w:rPr>
          <w:sz w:val="20"/>
          <w:szCs w:val="20"/>
          <w:color w:val="auto"/>
        </w:rPr>
      </w:pPr>
    </w:p>
    <w:p>
      <w:pPr>
        <w:jc w:val="both"/>
        <w:ind w:left="360" w:right="20" w:firstLine="360"/>
        <w:spacing w:after="0" w:line="266" w:lineRule="auto"/>
        <w:rPr>
          <w:sz w:val="20"/>
          <w:szCs w:val="20"/>
          <w:color w:val="auto"/>
        </w:rPr>
      </w:pPr>
      <w:r>
        <w:rPr>
          <w:rFonts w:ascii="Times New Roman" w:cs="Times New Roman" w:eastAsia="Times New Roman" w:hAnsi="Times New Roman"/>
          <w:sz w:val="20"/>
          <w:szCs w:val="20"/>
          <w:color w:val="auto"/>
        </w:rPr>
        <w:t>On March 7, 2024, the Company's Board of Directors declared a quarterly cash dividend in the amount of $0.11 per share on the Company's common stock, payable on April 18, 2024 to stockholders of record as of the close of business on March 26, 2024.</w:t>
      </w:r>
    </w:p>
    <w:p>
      <w:pPr>
        <w:spacing w:after="0" w:line="195" w:lineRule="exact"/>
        <w:rPr>
          <w:sz w:val="20"/>
          <w:szCs w:val="20"/>
          <w:color w:val="auto"/>
        </w:rPr>
      </w:pPr>
    </w:p>
    <w:p>
      <w:pPr>
        <w:jc w:val="both"/>
        <w:ind w:left="360" w:firstLine="360"/>
        <w:spacing w:after="0" w:line="236" w:lineRule="auto"/>
        <w:rPr>
          <w:sz w:val="20"/>
          <w:szCs w:val="20"/>
          <w:color w:val="auto"/>
        </w:rPr>
      </w:pPr>
      <w:r>
        <w:rPr>
          <w:rFonts w:ascii="Times New Roman" w:cs="Times New Roman" w:eastAsia="Times New Roman" w:hAnsi="Times New Roman"/>
          <w:sz w:val="20"/>
          <w:szCs w:val="20"/>
          <w:color w:val="auto"/>
        </w:rPr>
        <w:t>On March 8, 2024 Academy, Ltd. (“Academy”), a wholly-owned subsidiary of Academy Sports and Outdoors, Inc., as borrower, New Academy Holding Company, LLC, Associated Investors, L.L.C. and Academy Managing Co., L.L.C., each a direct or indirect, wholly-owned subsidiary of the Company, as guarantors, entered into an amendment (the “ABL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Academy’s asset-based revolving credit facility (the “ABL Credit Facility”) to March 8, 2029, unless if (i) more than $100 million of the aggregate principal amount of the 2027 Senior Notes (as defined in the ABL Amendment) or the Term Loans (as defined in the ABL Amendment), or any refinancing thereof, in each case, is outstanding on the date that is 91 days prior to the earliest maturity date of any such indebtedness or (ii) equal to or less than $100 million of the aggregate principal amount of the 2027 Senior Notes or the Term Loans, in either case, is outstanding on the date that is 91 days prior to the earliest maturity date of any such indebtedness and a Reserve (as defined in the ABL Amendment) in the ABL Credit Facility has not been taken for such amount, then the maturity date of the ABL Credit Facility will be the date that is 91 days earlier than the earlier maturity date of the 2027 Senior Notes and the Term Loans.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60"/>
          </w:cols>
          <w:pgMar w:left="1000" w:top="10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260"/>
          </w:cols>
          <w:pgMar w:left="1000" w:top="1026" w:right="980" w:bottom="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66"/>
        </w:trPr>
        <w:tc>
          <w:tcPr>
            <w:tcW w:w="21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Index to Exhibits</w:t>
            </w:r>
          </w:p>
        </w:tc>
        <w:tc>
          <w:tcPr>
            <w:tcW w:w="60" w:type="dxa"/>
            <w:vAlign w:val="bottom"/>
          </w:tcPr>
          <w:p>
            <w:pPr>
              <w:spacing w:after="0"/>
              <w:rPr>
                <w:sz w:val="23"/>
                <w:szCs w:val="23"/>
                <w:color w:val="auto"/>
              </w:rPr>
            </w:pPr>
          </w:p>
        </w:tc>
        <w:tc>
          <w:tcPr>
            <w:tcW w:w="8080" w:type="dxa"/>
            <w:vAlign w:val="bottom"/>
          </w:tcPr>
          <w:p>
            <w:pPr>
              <w:spacing w:after="0"/>
              <w:rPr>
                <w:sz w:val="23"/>
                <w:szCs w:val="23"/>
                <w:color w:val="auto"/>
              </w:rPr>
            </w:pPr>
          </w:p>
        </w:tc>
      </w:tr>
      <w:tr>
        <w:trPr>
          <w:trHeight w:val="560"/>
        </w:trPr>
        <w:tc>
          <w:tcPr>
            <w:tcW w:w="2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60" w:type="dxa"/>
            <w:vAlign w:val="bottom"/>
          </w:tcPr>
          <w:p>
            <w:pPr>
              <w:spacing w:after="0"/>
              <w:rPr>
                <w:sz w:val="24"/>
                <w:szCs w:val="24"/>
                <w:color w:val="auto"/>
              </w:rPr>
            </w:pPr>
          </w:p>
        </w:tc>
        <w:tc>
          <w:tcPr>
            <w:tcW w:w="808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04"/>
        </w:trPr>
        <w:tc>
          <w:tcPr>
            <w:tcW w:w="2120" w:type="dxa"/>
            <w:vAlign w:val="bottom"/>
          </w:tcPr>
          <w:p>
            <w:pPr>
              <w:ind w:left="40"/>
              <w:spacing w:after="0" w:line="204" w:lineRule="exact"/>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4" w:lineRule="exact"/>
              <w:rPr>
                <w:sz w:val="20"/>
                <w:szCs w:val="20"/>
                <w:color w:val="auto"/>
              </w:rPr>
            </w:pPr>
            <w:r>
              <w:rPr>
                <w:rFonts w:ascii="Times New Roman" w:cs="Times New Roman" w:eastAsia="Times New Roman" w:hAnsi="Times New Roman"/>
                <w:sz w:val="20"/>
                <w:szCs w:val="20"/>
                <w:color w:val="auto"/>
              </w:rPr>
              <w:t>Amended and Restated Certificate of Incorporation of the Registrant (incorporated by reference to</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Exhibit 3.1 to the Registrant’s Current Report on Form 8-K filed on October 6,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Certificate of Change of Registered Agent and/or Registered Office of the Registrant (incorporated</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 reference to Exhibit 3.1 to the Registrant’s Current Report on Form 8-K filed on June 1, 2023).</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Amended and Restated Bylaws of the Registrant (incorporated by reference to Exhibit 3.2 to the</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Registrant’s Quarterly Report on Form 10-Q filed on December 6, 2022).</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Indenture, dated as of November 6, 2020, by and among Academy, Ltd., as issuer, the guarantors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named therein and The Bank of New York Mellon Trust Company, N.A., as trustee and notes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collateral agent (incorporated by reference to Exhibit 4.1 to the Registrant’s Current Report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8-K filed on November 6, 2020).</w:t>
            </w:r>
          </w:p>
        </w:tc>
      </w:tr>
      <w:tr>
        <w:trPr>
          <w:trHeight w:val="26"/>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Description of Securities Registered Under Section 12 of the Exchange Act (incorporated by</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reference to Exhibit 4.2 to the Registrant’s Annual Report on Form 10-K filed on March 16, 2023).</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Second Amended and Restated Credit Agreement, dated as of November 6, 2020, among</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Academy, Ltd., as Borrower, New Academy Holding Company, LLC, as Holdings, Associated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Investors L.L.C. and Academy Managing Co., L.L.C., as Texas Intermediate Holdcos, the several</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lenders from time to time party thereto, Credit Suisse AG, Cayman Islands Branch, as the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and the several other parties named therein (incorporated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by reference to Exhibit 10.1 to the Registrant’s Current Report on Form 8-K filed on November 6,</w:t>
            </w:r>
          </w:p>
        </w:tc>
      </w:tr>
      <w:tr>
        <w:trPr>
          <w:trHeight w:val="260"/>
        </w:trPr>
        <w:tc>
          <w:tcPr>
            <w:tcW w:w="2120" w:type="dxa"/>
            <w:vAlign w:val="bottom"/>
          </w:tcPr>
          <w:p>
            <w:pPr>
              <w:spacing w:after="0"/>
              <w:rPr>
                <w:sz w:val="22"/>
                <w:szCs w:val="22"/>
                <w:color w:val="auto"/>
              </w:rPr>
            </w:pP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2020).</w:t>
            </w:r>
          </w:p>
        </w:tc>
      </w:tr>
      <w:tr>
        <w:trPr>
          <w:trHeight w:val="26"/>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Amendment No. 4, dated May 25, 2021, to the Second Amended and Restated Credit Agreement</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among  Academy,  Ltd.,  as  Borrower,  Credit  Suisse  AG,  Cayman  Islands  Branch,  as  the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the several lenders party thereto and the several other</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parties named therein (incorporated by reference to Exhibit 10.1 to the Registrant’s Current Report</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on Form 8-K filed on May 25, 2021).</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Conforming Changes Amendment to the Credit Agreement, dated May 17, 2023, which amends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that certain Second Amended and Restated Credit Agreement, dated November 6, 2020 (as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amended, restated, amended and restated, supplemented or otherwise modified from time to time),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by and among Academy, Ltd., as Borrower, New Academy Holding Company, LLC, as Holdings,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Associated Investors, L.L.C. and Academy Managing Co., L.L.C., as Texas Intermediate Holdcos,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the lending institutions from time to time party thereto and Credit Suisse AG, Cayman Island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Branch, as the Administrative Agent and the Collateral Agent and the several other parties named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therein (incorporated by reference to Exhibit 10.1 to the Registrant’s Quarterly Report on Form 10-</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 filed on August 31, 2023).</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Amended and Restated Term Loan Security Agreement, dated as of July 2, 2015, among Academy,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Ltd., as Borrower, each of the subsidiaries listed on the signature pages thereto, and Morgan</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Stanley Senior Funding, Inc., as collateral agent for the benefit of the secured parties (incorporated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by reference to Exhibit 10.2 to the Registrant’s Registration Statement on Form S-1 filed on</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Amended and Restated Term Loan Pledge Agreement, dated as of July 2, 2015, among New</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Academy Holding Company, LLC, as Holdings, Associated Investors L.L.C. and Academy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Managing Co., L.L.C, as Texas Intermediate Holdcos, Academy, Ltd., as Borrower, each of the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subsidiaries listed on the signature pages thereto and Morgan Stanley Senior Funding, Inc., as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collateral agent for the benefit of the secured parties (incorporated by reference to Exhibit 10.3 to</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Registrant’s Registration Statement on Form S-1 filed on 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ABL Intercreditor Agreement, dated July 2, 2015, among JPMorgan Chase Bank, N.A., as agent</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for the ABL Secured Parties referred to therein, Morgan Stanley Senior Funding, Inc., as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for the Term Loan Secured Parties referred to therein,</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New Academy Holding Company, LLC, as Holdings, Associated Investors L.L.C. and Academy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Managing Co., L.L.C, as Texas Intermediate Holdcos, Academy, Ltd., as Borrower, and each of</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the subsidiaries of the Borrower listed on the signature pages thereto (incorporated by reference to</w:t>
            </w:r>
          </w:p>
        </w:tc>
      </w:tr>
      <w:tr>
        <w:trPr>
          <w:trHeight w:val="286"/>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Exhibit 10.4 to the Registrant’s Registration Statement on Form S-1 filed on 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Joinder to ABL Intercreditor Agreement, dated November 6, 2020, among JPMorgan Chase Bank,</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N.A., as agent for the ABL Secured Parties referred to therein, Credit Suisse AG, Cayman Islands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Branch, as agent for the Term Loan Secured Parties referred to therein, and The Bank of New York</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Mellon Trust Company, N.A., as collateral agent for the Additional Debt Secured Parties referred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to therein (incorporated by reference to Exhibit 10.5 to the Registrant’s Registration Statement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S-1 filed on January 25,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-7983855</wp:posOffset>
            </wp:positionV>
            <wp:extent cx="6540500" cy="8016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7">
                      <a:extLst>
                        <a:ext uri="{28A0092B-C50C-407E-A947-70E740481C1C}"/>
                      </a:extLst>
                    </a:blip>
                    <a:srcRect/>
                    <a:stretch>
                      <a:fillRect/>
                    </a:stretch>
                  </pic:blipFill>
                  <pic:spPr bwMode="auto">
                    <a:xfrm>
                      <a:off x="0" y="0"/>
                      <a:ext cx="6540500" cy="8016875"/>
                    </a:xfrm>
                    <a:prstGeom prst="rect">
                      <a:avLst/>
                    </a:prstGeom>
                    <a:noFill/>
                  </pic:spPr>
                </pic:pic>
              </a:graphicData>
            </a:graphic>
          </wp:anchor>
        </w:drawing>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260"/>
          </w:cols>
          <w:pgMar w:left="1000" w:top="784" w:right="980" w:bottom="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67"/>
        </w:trPr>
        <w:tc>
          <w:tcPr>
            <w:tcW w:w="2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60" w:type="dxa"/>
            <w:vAlign w:val="bottom"/>
          </w:tcPr>
          <w:p>
            <w:pPr>
              <w:spacing w:after="0"/>
              <w:rPr>
                <w:sz w:val="23"/>
                <w:szCs w:val="23"/>
                <w:color w:val="auto"/>
              </w:rPr>
            </w:pPr>
          </w:p>
        </w:tc>
        <w:tc>
          <w:tcPr>
            <w:tcW w:w="808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04"/>
        </w:trPr>
        <w:tc>
          <w:tcPr>
            <w:tcW w:w="2120" w:type="dxa"/>
            <w:vAlign w:val="bottom"/>
          </w:tcPr>
          <w:p>
            <w:pPr>
              <w:ind w:left="40"/>
              <w:spacing w:after="0" w:line="204" w:lineRule="exact"/>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4" w:lineRule="exact"/>
              <w:rPr>
                <w:sz w:val="20"/>
                <w:szCs w:val="20"/>
                <w:color w:val="auto"/>
              </w:rPr>
            </w:pPr>
            <w:r>
              <w:rPr>
                <w:rFonts w:ascii="Times New Roman" w:cs="Times New Roman" w:eastAsia="Times New Roman" w:hAnsi="Times New Roman"/>
                <w:sz w:val="20"/>
                <w:szCs w:val="20"/>
                <w:color w:val="auto"/>
              </w:rPr>
              <w:t>Joinder to ABL Intercreditor Agreement, dated November 6, 2020, among JPMorgan Chase Bank,</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N.A., as agent for the ABL Secured Parties referred to therein, and Credit Suisse AG, Cayman</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Islands Branch, as agent for the Term Loan Secured Parties referred to therein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10.6 to the Registrant’s Registration Statement on Form S-1 filed on January</w:t>
            </w:r>
          </w:p>
        </w:tc>
      </w:tr>
      <w:tr>
        <w:trPr>
          <w:trHeight w:val="281"/>
        </w:trPr>
        <w:tc>
          <w:tcPr>
            <w:tcW w:w="2120" w:type="dxa"/>
            <w:vAlign w:val="bottom"/>
          </w:tcPr>
          <w:p>
            <w:pPr>
              <w:spacing w:after="0"/>
              <w:rPr>
                <w:sz w:val="24"/>
                <w:szCs w:val="24"/>
                <w:color w:val="auto"/>
              </w:rPr>
            </w:pPr>
          </w:p>
        </w:tc>
        <w:tc>
          <w:tcPr>
            <w:tcW w:w="8140" w:type="dxa"/>
            <w:vAlign w:val="bottom"/>
            <w:tcBorders>
              <w:right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25, 2021).</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First Lien Intercreditor Agreement, dated November 6, 2020, among Credit Suisse AG, Cayman</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Islands Branch, as First Lien Collateral Agent and Authorized Representative for the Credit</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Secured Parties referred to therein, The Bank of New York Mellon Trust (incorporated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by reference to Exhibit 10.7 to the Registrant’s Registration Statement on Form S-1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January 25, 2021).</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Amended and Restated ABL Security Agreement, dated as of July 2, 2015, among Academy, Ltd.,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as Borrower, each of the subsidiaries listed on the signature pages thereto, and JPMorgan Chase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Bank, N.A., as collateral agent for the benefit of the secured parties (incorporated by reference to</w:t>
            </w:r>
          </w:p>
        </w:tc>
      </w:tr>
      <w:tr>
        <w:trPr>
          <w:trHeight w:val="286"/>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Exhibit 10.7 to the Registrant’s Registration Statement on Form S-1 filed on 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10.11</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Amended and Restated ABL Pledge Agreement, dated July 2, 2015, among New Academy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Holding Company, LLC, as Holdings, Associated Investors L.L.C. and Academy Managing Co.,</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L.L.C, as Texas Intermediate Holdcos, Academy, Ltd., as Borrower, each of the subsidiaries listed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on the signature pages thereto and JPMorgan Chase Bank, N.A., as collateral agent for the benefit</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of the secured parties (incorporated by reference to Exhibit 10.8 to the Registrant’s Registration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Statement on Form S-1 filed on 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First Amended and Restated ABL Credit Agreement, dated July 2, 2015, among Academy, Ltd., as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Borrower, New Academy Holding Company, LLC, as Holdings, Associated Investors L.L.C. and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Academy Managing Co., L.L.C, as Texas Intermediate Holdcos, the lending institutions from time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to time party thereto and JPMorgan Chase Bank, N.A., as the Administrative Agent, the Collateral</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Agent, the Letter of Credit Issuer and the Swingline Lender (incorporated by reference to Exhibit</w:t>
            </w:r>
          </w:p>
        </w:tc>
      </w:tr>
      <w:tr>
        <w:trPr>
          <w:trHeight w:val="29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10.5 to the Registrant’s Registration Statement on Form S-1 filed on 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Amendment No. 1 to First Amended and Restated ABL Credit Agreement, dated as of May 22,</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2018, among Academy, Ltd., as Borrower, New Academy Holding Company, LLC, as Holdings,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Associated Investors L.L.C. and Academy Managing Co., L.L.C, as Texas Intermediate Holdcos,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each of the Guarantors party thereto, each of the lenders party thereto and JPMorgan Chase Bank,</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N.A., as the Administrative Agent, the Collateral Agent, the Letter of Credit Issuer and the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Swingline Lender (incorporated by reference to Exhibit 10.6 to the Registrant’s Registration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Statement on Form S-1 filed on September 23, 2020).</w:t>
            </w:r>
          </w:p>
        </w:tc>
      </w:tr>
      <w:tr>
        <w:trPr>
          <w:trHeight w:val="26"/>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Amendment No. 2 to First Amended and Restated ABL Credit Agreement, dated as of November</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6, 2020, among Academy, Ltd., as Borrower, New Academy Holding Company, LLC, as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Holdings, Associated Investors, L.L.C. and Academy Managing Co., L.L.C., as Texas Intermediate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Holdcos, the several lenders from time to time party thereto, JPMorgan Chase Bank, N.A., as the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letter of credit issuer, administrative agent and collateral agent (incorporated by reference to</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Exhibit 10.2 to the Registrant’s Current Report on Form 8-K filed on November 6,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Borders>
              <w:right w:val="single" w:sz="8" w:color="DEDEDE"/>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-5412740</wp:posOffset>
            </wp:positionV>
            <wp:extent cx="6540500" cy="8597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8">
                      <a:extLst>
                        <a:ext uri="{28A0092B-C50C-407E-A947-70E740481C1C}"/>
                      </a:extLst>
                    </a:blip>
                    <a:srcRect/>
                    <a:stretch>
                      <a:fillRect/>
                    </a:stretch>
                  </pic:blipFill>
                  <pic:spPr bwMode="auto">
                    <a:xfrm>
                      <a:off x="0" y="0"/>
                      <a:ext cx="6540500" cy="8597900"/>
                    </a:xfrm>
                    <a:prstGeom prst="rect">
                      <a:avLst/>
                    </a:prstGeom>
                    <a:noFill/>
                  </pic:spPr>
                </pic:pic>
              </a:graphicData>
            </a:graphic>
          </wp:anchor>
        </w:drawing>
      </w:r>
    </w:p>
    <w:p>
      <w:pPr>
        <w:sectPr>
          <w:pgSz w:w="12240" w:h="15840" w:orient="portrait"/>
          <w:cols w:equalWidth="0" w:num="1">
            <w:col w:w="10260"/>
          </w:cols>
          <w:pgMar w:left="1000" w:top="862" w:right="980" w:bottom="0" w:gutter="0" w:footer="0" w:header="0"/>
        </w:sectPr>
      </w:pP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20"/>
          <w:szCs w:val="20"/>
          <w:color w:val="auto"/>
        </w:rPr>
        <w:t>Amendment No. 3, dated March 30, 2023, to First Amended and Restated ABL Credit Agreement,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(incorporated by reference to Exhibit 10.1 to the Registrant’s Quarterly Report on Form 10-Q filed on June 6, 2023)</w:t>
      </w:r>
    </w:p>
    <w:p>
      <w:pPr>
        <w:spacing w:after="0" w:line="49" w:lineRule="exact"/>
        <w:rPr>
          <w:sz w:val="20"/>
          <w:szCs w:val="20"/>
          <w:color w:val="auto"/>
        </w:rPr>
      </w:pPr>
    </w:p>
    <w:p>
      <w:pPr>
        <w:jc w:val="both"/>
        <w:ind w:right="60"/>
        <w:spacing w:after="0" w:line="219" w:lineRule="auto"/>
        <w:rPr>
          <w:sz w:val="20"/>
          <w:szCs w:val="20"/>
          <w:color w:val="auto"/>
        </w:rPr>
      </w:pPr>
      <w:r>
        <w:rPr>
          <w:rFonts w:ascii="Times New Roman" w:cs="Times New Roman" w:eastAsia="Times New Roman" w:hAnsi="Times New Roman"/>
          <w:sz w:val="20"/>
          <w:szCs w:val="20"/>
          <w:color w:val="auto"/>
        </w:rPr>
        <w:t>Amendment No. 4, dated March 8, 2024, to the First Amended and Restated ABL Credit agreement, dated as of July 2, 2015, among Academy, Ltd., as borrower, New Academy Holding Company, LLC, Associated Investors, L.L.C., and Academy Managing Co., L.L.C., as guarantors, the several lenders from time to time party thereto and JPMorgan Chase Bank, N.A., as the letter of credit issuer, swingline lender, administrative agent and collateral agent (incorporated by reference to Exhibit 10.1 of the Registrant's Current Report on Form 8-K filed on March 8, 2024).</w:t>
      </w:r>
    </w:p>
    <w:p>
      <w:pPr>
        <w:spacing w:after="0" w:line="27" w:lineRule="exact"/>
        <w:rPr>
          <w:sz w:val="20"/>
          <w:szCs w:val="20"/>
          <w:color w:val="auto"/>
        </w:rPr>
      </w:pPr>
    </w:p>
    <w:p>
      <w:pPr>
        <w:jc w:val="both"/>
        <w:ind w:right="60"/>
        <w:spacing w:after="0" w:line="221" w:lineRule="auto"/>
        <w:rPr>
          <w:sz w:val="20"/>
          <w:szCs w:val="20"/>
          <w:color w:val="auto"/>
        </w:rPr>
      </w:pPr>
      <w:r>
        <w:rPr>
          <w:rFonts w:ascii="Times New Roman" w:cs="Times New Roman" w:eastAsia="Times New Roman" w:hAnsi="Times New Roman"/>
          <w:sz w:val="20"/>
          <w:szCs w:val="20"/>
          <w:color w:val="auto"/>
        </w:rPr>
        <w:t>Notes Security Agreement, dated as of November 6, 2020, among Academy, Ltd., as Issuer, each of the guarantors listed on the signature pages thereto, and The Bank of New York Mellon Trust Company, N.A., as collateral agent for the benefit of the Secured Parties referred to therein (incorporated by reference to Exhibit 10.13 to the Registrant’s Registration Statement on Form S-1 filed on January 25, 2021).</w:t>
      </w:r>
    </w:p>
    <w:p>
      <w:pPr>
        <w:spacing w:after="0" w:line="6" w:lineRule="exact"/>
        <w:rPr>
          <w:sz w:val="20"/>
          <w:szCs w:val="20"/>
          <w:color w:val="auto"/>
        </w:rPr>
      </w:pPr>
    </w:p>
    <w:p>
      <w:pPr>
        <w:sectPr>
          <w:pgSz w:w="12240" w:h="15840" w:orient="portrait"/>
          <w:cols w:equalWidth="0" w:num="2">
            <w:col w:w="1520" w:space="720"/>
            <w:col w:w="8020"/>
          </w:cols>
          <w:pgMar w:left="1000" w:top="862" w:right="980" w:bottom="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132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w w:val="97"/>
              </w:rPr>
              <w:t>10.18</w:t>
            </w:r>
          </w:p>
        </w:tc>
        <w:tc>
          <w:tcPr>
            <w:tcW w:w="884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Notes Pledge Agreement, dated as of November 6, 2020, among Academy, Ltd., as Issuer, each of</w:t>
            </w:r>
          </w:p>
        </w:tc>
      </w:tr>
      <w:tr>
        <w:trPr>
          <w:trHeight w:val="200"/>
        </w:trPr>
        <w:tc>
          <w:tcPr>
            <w:tcW w:w="1320" w:type="dxa"/>
            <w:vAlign w:val="bottom"/>
          </w:tcPr>
          <w:p>
            <w:pPr>
              <w:spacing w:after="0"/>
              <w:rPr>
                <w:sz w:val="17"/>
                <w:szCs w:val="17"/>
                <w:color w:val="auto"/>
              </w:rPr>
            </w:pPr>
          </w:p>
        </w:tc>
        <w:tc>
          <w:tcPr>
            <w:tcW w:w="8840" w:type="dxa"/>
            <w:vAlign w:val="bottom"/>
          </w:tcPr>
          <w:p>
            <w:pPr>
              <w:ind w:left="880"/>
              <w:spacing w:after="0" w:line="200" w:lineRule="exact"/>
              <w:rPr>
                <w:sz w:val="20"/>
                <w:szCs w:val="20"/>
                <w:color w:val="auto"/>
              </w:rPr>
            </w:pPr>
            <w:r>
              <w:rPr>
                <w:rFonts w:ascii="Times New Roman" w:cs="Times New Roman" w:eastAsia="Times New Roman" w:hAnsi="Times New Roman"/>
                <w:sz w:val="20"/>
                <w:szCs w:val="20"/>
                <w:color w:val="auto"/>
              </w:rPr>
              <w:t>the guarantors listed on the signature pages thereto, and The Bank of New York Mellon Trust</w:t>
            </w:r>
          </w:p>
        </w:tc>
      </w:tr>
      <w:tr>
        <w:trPr>
          <w:trHeight w:val="200"/>
        </w:trPr>
        <w:tc>
          <w:tcPr>
            <w:tcW w:w="1320" w:type="dxa"/>
            <w:vAlign w:val="bottom"/>
          </w:tcPr>
          <w:p>
            <w:pPr>
              <w:spacing w:after="0"/>
              <w:rPr>
                <w:sz w:val="17"/>
                <w:szCs w:val="17"/>
                <w:color w:val="auto"/>
              </w:rPr>
            </w:pPr>
          </w:p>
        </w:tc>
        <w:tc>
          <w:tcPr>
            <w:tcW w:w="8840" w:type="dxa"/>
            <w:vAlign w:val="bottom"/>
          </w:tcPr>
          <w:p>
            <w:pPr>
              <w:ind w:left="880"/>
              <w:spacing w:after="0" w:line="200" w:lineRule="exact"/>
              <w:rPr>
                <w:sz w:val="20"/>
                <w:szCs w:val="20"/>
                <w:color w:val="auto"/>
              </w:rPr>
            </w:pPr>
            <w:r>
              <w:rPr>
                <w:rFonts w:ascii="Times New Roman" w:cs="Times New Roman" w:eastAsia="Times New Roman" w:hAnsi="Times New Roman"/>
                <w:sz w:val="20"/>
                <w:szCs w:val="20"/>
                <w:color w:val="auto"/>
              </w:rPr>
              <w:t>Company, N.A., as collateral agent for the benefit of the Secured Parties referred to therein</w:t>
            </w:r>
          </w:p>
        </w:tc>
      </w:tr>
      <w:tr>
        <w:trPr>
          <w:trHeight w:val="200"/>
        </w:trPr>
        <w:tc>
          <w:tcPr>
            <w:tcW w:w="1320" w:type="dxa"/>
            <w:vAlign w:val="bottom"/>
          </w:tcPr>
          <w:p>
            <w:pPr>
              <w:spacing w:after="0"/>
              <w:rPr>
                <w:sz w:val="17"/>
                <w:szCs w:val="17"/>
                <w:color w:val="auto"/>
              </w:rPr>
            </w:pPr>
          </w:p>
        </w:tc>
        <w:tc>
          <w:tcPr>
            <w:tcW w:w="8840" w:type="dxa"/>
            <w:vAlign w:val="bottom"/>
          </w:tcPr>
          <w:p>
            <w:pPr>
              <w:ind w:left="88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10.14 to the Registrant’s Registration Statement on Form S-1</w:t>
            </w:r>
          </w:p>
        </w:tc>
      </w:tr>
      <w:tr>
        <w:trPr>
          <w:trHeight w:val="260"/>
        </w:trPr>
        <w:tc>
          <w:tcPr>
            <w:tcW w:w="1320" w:type="dxa"/>
            <w:vAlign w:val="bottom"/>
          </w:tcPr>
          <w:p>
            <w:pPr>
              <w:spacing w:after="0"/>
              <w:rPr>
                <w:sz w:val="22"/>
                <w:szCs w:val="22"/>
                <w:color w:val="auto"/>
              </w:rPr>
            </w:pPr>
          </w:p>
        </w:tc>
        <w:tc>
          <w:tcPr>
            <w:tcW w:w="884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filed on January 25, 2021).</w:t>
            </w:r>
          </w:p>
        </w:tc>
      </w:tr>
    </w:tbl>
    <w:p>
      <w:pPr>
        <w:spacing w:after="0" w:line="200" w:lineRule="exact"/>
        <w:rPr>
          <w:sz w:val="20"/>
          <w:szCs w:val="20"/>
          <w:color w:val="auto"/>
        </w:rPr>
      </w:pPr>
    </w:p>
    <w:p>
      <w:pPr>
        <w:sectPr>
          <w:pgSz w:w="12240" w:h="15840" w:orient="portrait"/>
          <w:cols w:equalWidth="0" w:num="1">
            <w:col w:w="10260"/>
          </w:cols>
          <w:pgMar w:left="1000" w:top="862" w:right="980" w:bottom="0" w:gutter="0" w:footer="0" w:header="0"/>
          <w:type w:val="continuous"/>
        </w:sectPr>
      </w:pPr>
    </w:p>
    <w:p>
      <w:pPr>
        <w:spacing w:after="0" w:line="2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260"/>
          </w:cols>
          <w:pgMar w:left="1000" w:top="862" w:right="980" w:bottom="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67"/>
        </w:trPr>
        <w:tc>
          <w:tcPr>
            <w:tcW w:w="2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60" w:type="dxa"/>
            <w:vAlign w:val="bottom"/>
          </w:tcPr>
          <w:p>
            <w:pPr>
              <w:spacing w:after="0"/>
              <w:rPr>
                <w:sz w:val="23"/>
                <w:szCs w:val="23"/>
                <w:color w:val="auto"/>
              </w:rPr>
            </w:pPr>
          </w:p>
        </w:tc>
        <w:tc>
          <w:tcPr>
            <w:tcW w:w="808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04"/>
        </w:trPr>
        <w:tc>
          <w:tcPr>
            <w:tcW w:w="2120" w:type="dxa"/>
            <w:vAlign w:val="bottom"/>
          </w:tcPr>
          <w:p>
            <w:pPr>
              <w:ind w:left="40"/>
              <w:spacing w:after="0" w:line="204" w:lineRule="exact"/>
              <w:rPr>
                <w:sz w:val="20"/>
                <w:szCs w:val="20"/>
                <w:color w:val="auto"/>
              </w:rPr>
            </w:pPr>
            <w:r>
              <w:rPr>
                <w:rFonts w:ascii="Times New Roman" w:cs="Times New Roman" w:eastAsia="Times New Roman" w:hAnsi="Times New Roman"/>
                <w:sz w:val="20"/>
                <w:szCs w:val="20"/>
                <w:color w:val="auto"/>
              </w:rPr>
              <w:t>10.19†</w:t>
            </w:r>
          </w:p>
        </w:tc>
        <w:tc>
          <w:tcPr>
            <w:tcW w:w="60" w:type="dxa"/>
            <w:vAlign w:val="bottom"/>
          </w:tcPr>
          <w:p>
            <w:pPr>
              <w:spacing w:after="0"/>
              <w:rPr>
                <w:sz w:val="17"/>
                <w:szCs w:val="17"/>
                <w:color w:val="auto"/>
              </w:rPr>
            </w:pPr>
          </w:p>
        </w:tc>
        <w:tc>
          <w:tcPr>
            <w:tcW w:w="8080" w:type="dxa"/>
            <w:vAlign w:val="bottom"/>
          </w:tcPr>
          <w:p>
            <w:pPr>
              <w:ind w:left="60"/>
              <w:spacing w:after="0" w:line="204" w:lineRule="exact"/>
              <w:rPr>
                <w:sz w:val="20"/>
                <w:szCs w:val="20"/>
                <w:color w:val="auto"/>
              </w:rPr>
            </w:pPr>
            <w:r>
              <w:rPr>
                <w:rFonts w:ascii="Times New Roman" w:cs="Times New Roman" w:eastAsia="Times New Roman" w:hAnsi="Times New Roman"/>
                <w:sz w:val="20"/>
                <w:szCs w:val="20"/>
                <w:color w:val="auto"/>
              </w:rPr>
              <w:t>Form of Non-Employee Director Time-Based Restricted Stock Unit Agreement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10.2 to the Registrant’s Quarterly Report on Form 10-Q filed on September 7,</w:t>
            </w:r>
          </w:p>
        </w:tc>
      </w:tr>
      <w:tr>
        <w:trPr>
          <w:trHeight w:val="260"/>
        </w:trPr>
        <w:tc>
          <w:tcPr>
            <w:tcW w:w="2120" w:type="dxa"/>
            <w:vAlign w:val="bottom"/>
          </w:tcPr>
          <w:p>
            <w:pPr>
              <w:spacing w:after="0"/>
              <w:rPr>
                <w:sz w:val="22"/>
                <w:szCs w:val="22"/>
                <w:color w:val="auto"/>
              </w:rPr>
            </w:pP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2022).</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10.20†</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Q1 2023 CEO Performance-Based Restricted Stock Unit Agreement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10.5 to the Registrant’s Quarterly Report on Form 10-Q filed on August 31,</w:t>
            </w:r>
          </w:p>
        </w:tc>
      </w:tr>
      <w:tr>
        <w:trPr>
          <w:trHeight w:val="291"/>
        </w:trPr>
        <w:tc>
          <w:tcPr>
            <w:tcW w:w="2120" w:type="dxa"/>
            <w:vAlign w:val="bottom"/>
          </w:tcPr>
          <w:p>
            <w:pPr>
              <w:spacing w:after="0"/>
              <w:rPr>
                <w:sz w:val="24"/>
                <w:szCs w:val="24"/>
                <w:color w:val="auto"/>
              </w:rPr>
            </w:pPr>
          </w:p>
        </w:tc>
        <w:tc>
          <w:tcPr>
            <w:tcW w:w="8140" w:type="dxa"/>
            <w:vAlign w:val="bottom"/>
            <w:tcBorders>
              <w:right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2023).</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Q1 2023 CEO Time-Based Restricted Stock Unit Agreement (incorporated by reference to</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 10.6 to the Registrant’s Quarterly Report on Form 10-Q filed on August 31, 2023).</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10.22†</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Q1 2023 CEO Time-Based Option Agreement (incorporated by reference to Exhibit 10.7</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to the Registrant’s Quarterly Report on Form 10-Q filed on August 31, 2023).</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10.23†</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2022 CEO Performance-Based Restricted Stock Unit Agreement (incorporated by</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reference to Exhibit 10.1 to the Registrant’s Quarterly Report on Form 10-Q filed on June 7, 2022).</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10.24†</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2022 CEO Time-Based Option Agreement (incorporated by reference to Exhibit 10.2 to</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the Registrant’s Quarterly Report on Form 10-Q filed on June 7, 2022).</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Q2 2023 Executive Performance-Based Restricted Stock Unit Agreement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10.2 to the Registrant’s Quarterly Report on Form 10-Q filed on August 31,</w:t>
            </w:r>
          </w:p>
        </w:tc>
      </w:tr>
      <w:tr>
        <w:trPr>
          <w:trHeight w:val="260"/>
        </w:trPr>
        <w:tc>
          <w:tcPr>
            <w:tcW w:w="2120" w:type="dxa"/>
            <w:vAlign w:val="bottom"/>
          </w:tcPr>
          <w:p>
            <w:pPr>
              <w:spacing w:after="0"/>
              <w:rPr>
                <w:sz w:val="22"/>
                <w:szCs w:val="22"/>
                <w:color w:val="auto"/>
              </w:rPr>
            </w:pP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2023).</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Q2 2023 Executive Time-Based Restricted Stock Unit Agreement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10.3 to the Registrant’s Quarterly Report on Form 10-Q filed on August 31,</w:t>
            </w:r>
          </w:p>
        </w:tc>
      </w:tr>
      <w:tr>
        <w:trPr>
          <w:trHeight w:val="291"/>
        </w:trPr>
        <w:tc>
          <w:tcPr>
            <w:tcW w:w="2120" w:type="dxa"/>
            <w:vAlign w:val="bottom"/>
          </w:tcPr>
          <w:p>
            <w:pPr>
              <w:spacing w:after="0"/>
              <w:rPr>
                <w:sz w:val="24"/>
                <w:szCs w:val="24"/>
                <w:color w:val="auto"/>
              </w:rPr>
            </w:pPr>
          </w:p>
        </w:tc>
        <w:tc>
          <w:tcPr>
            <w:tcW w:w="8140" w:type="dxa"/>
            <w:vAlign w:val="bottom"/>
            <w:tcBorders>
              <w:right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2023).</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10.27†</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Q2 2023 Executive Time-Based Option Agreement (incorporated by reference to Exhibit</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 to the Registrant’s Quarterly Report on Form 10-Q filed on August 31, 2023).</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10.28†</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2023 Executive Performance-Based Restricted Stock Unit Agreement (incorporated by</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reference to Exhibit 10.2 to the Registrant’s Quarterly Report on Form 10-Q filed on June 6, 2023).</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10.29†</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2023 Executive Time-Based Restricted Stock Unit Agreement (incorporated by reference</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 Exhibit 10.3 to the Registrant’s Quarterly Report on Form 10-Q filed on June 6, 2023).</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10.30†</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2023 Executive Time-Based Option Agreement (incorporated by reference to Exhibit 10.4</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to the Registrant’s Quarterly Report on Form 10-Q filed on June 6, 2023).</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10.31†</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2022 Executive Performance-Based Restricted Stock Unit Agreement (incorporated by</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reference to Exhibit 10.3 to the Registrant’s Quarterly Report on Form 10-Q filed on June 7, 2022).</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2022 Executive Time-Based Restricted Stock Unit Agreement (incorporated by reference</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to Exhibit 10.4 to the Registrant’s Quarterly Report on Form 10-Q filed on June 7, 2022).</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10.33†</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2022 Executive Time-Based Option Agreement (incorporated by reference to Exhibit 10.5</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 the Registrant’s Quarterly Report on Form 10-Q filed on June 7, 2022).</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10.34†</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2021 RSU Executive Retention Award Agreement (incorporated by reference to Exhibit</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10.01 to the Registrant's Quarterly Report on From 10-Q filed on December 10, 2021).</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10.35†</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2021 Form of Performance-Based Restricted Stock Unit Agreement under the 2020 Omnibus</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Incentive Plan. Plan (incorporated by reference to Exhibit 10.19 to the Registrant’s Annual Report</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on Form 10-K filed on April 7, 2021).</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10.36†</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2020 Omnibus Incentive Plan (incorporated by reference to Exhibit 10.2 to the Registrant’s</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Quarterly Report on Form 10-Q filed on December 10,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10.37†</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2020 Omnibus Incentive Plan, as amended by the First Amendment (incorporated by reference to</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 10.1 to the Registrant’s Current Report on Form 8-K filed on June 1, 2023).</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10.38†</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Time-Based Option Agreement under 2020 Omnibus Incentive Plan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10.10 to Amendment No. 1 to the Registrant’s Registration Statement on Form</w:t>
            </w:r>
          </w:p>
        </w:tc>
      </w:tr>
      <w:tr>
        <w:trPr>
          <w:trHeight w:val="29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S-1 filed on 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10.39†</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Non-Employee Director Restricted Stock Unit Agreement under 2020 Omnibus Incentive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Plan (incorporated by reference to Exhibit 10.11 to Amendment No. 1 to the Registrant’s</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Registration Statement on Form S-1 filed on 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10.40†</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2020 Form of Performance-Based Restricted Stock Unit Agreement under 2020 Omnibus Incentive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Plan (incorporated by reference to Exhibit 10.12 to Amendment No. 1 to the Registrant’s</w:t>
            </w:r>
          </w:p>
        </w:tc>
      </w:tr>
      <w:tr>
        <w:trPr>
          <w:trHeight w:val="29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Registration Statement on Form S-1 filed on 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10.41†</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2011  Unit  Incentive  Plan  (incorporated  by  reference  to  Exhibit  10.13  to  the  Registrant’s</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Registration Statement on Form S-1 filed on September 23, 2020).</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10.42†</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2020 CEO Option Agreement under 2011 Unit Incentive Plan (incorporated by reference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to Exhibit 10.14 to the Registrant’s Registration Statement on Form S-1 filed on September 23,</w:t>
            </w:r>
          </w:p>
        </w:tc>
      </w:tr>
      <w:tr>
        <w:trPr>
          <w:trHeight w:val="260"/>
        </w:trPr>
        <w:tc>
          <w:tcPr>
            <w:tcW w:w="2120" w:type="dxa"/>
            <w:vAlign w:val="bottom"/>
          </w:tcPr>
          <w:p>
            <w:pPr>
              <w:spacing w:after="0"/>
              <w:rPr>
                <w:sz w:val="22"/>
                <w:szCs w:val="22"/>
                <w:color w:val="auto"/>
              </w:rPr>
            </w:pPr>
          </w:p>
        </w:tc>
        <w:tc>
          <w:tcPr>
            <w:tcW w:w="8140" w:type="dxa"/>
            <w:vAlign w:val="bottom"/>
            <w:tcBorders>
              <w:right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Borders>
              <w:right w:val="single" w:sz="8" w:color="DEDEDE"/>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-8747125</wp:posOffset>
            </wp:positionV>
            <wp:extent cx="6540500" cy="87604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9">
                      <a:extLst>
                        <a:ext uri="{28A0092B-C50C-407E-A947-70E740481C1C}"/>
                      </a:extLst>
                    </a:blip>
                    <a:srcRect/>
                    <a:stretch>
                      <a:fillRect/>
                    </a:stretch>
                  </pic:blipFill>
                  <pic:spPr bwMode="auto">
                    <a:xfrm>
                      <a:off x="0" y="0"/>
                      <a:ext cx="6540500" cy="8760460"/>
                    </a:xfrm>
                    <a:prstGeom prst="rect">
                      <a:avLst/>
                    </a:prstGeom>
                    <a:noFill/>
                  </pic:spPr>
                </pic:pic>
              </a:graphicData>
            </a:graphic>
          </wp:anchor>
        </w:drawing>
      </w:r>
    </w:p>
    <w:p>
      <w:pPr>
        <w:sectPr>
          <w:pgSz w:w="12240" w:h="15840" w:orient="portrait"/>
          <w:cols w:equalWidth="0" w:num="1">
            <w:col w:w="10260"/>
          </w:cols>
          <w:pgMar w:left="1000" w:top="862" w:right="980" w:bottom="0" w:gutter="0" w:footer="0" w:header="0"/>
        </w:sectPr>
      </w:pPr>
    </w:p>
    <w:p>
      <w:pPr>
        <w:spacing w:after="0" w:line="1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260"/>
          </w:cols>
          <w:pgMar w:left="1000" w:top="862" w:right="980" w:bottom="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67"/>
        </w:trPr>
        <w:tc>
          <w:tcPr>
            <w:tcW w:w="2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60" w:type="dxa"/>
            <w:vAlign w:val="bottom"/>
          </w:tcPr>
          <w:p>
            <w:pPr>
              <w:spacing w:after="0"/>
              <w:rPr>
                <w:sz w:val="23"/>
                <w:szCs w:val="23"/>
                <w:color w:val="auto"/>
              </w:rPr>
            </w:pPr>
          </w:p>
        </w:tc>
        <w:tc>
          <w:tcPr>
            <w:tcW w:w="808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04"/>
        </w:trPr>
        <w:tc>
          <w:tcPr>
            <w:tcW w:w="2120" w:type="dxa"/>
            <w:vAlign w:val="bottom"/>
          </w:tcPr>
          <w:p>
            <w:pPr>
              <w:ind w:left="40"/>
              <w:spacing w:after="0" w:line="204" w:lineRule="exact"/>
              <w:rPr>
                <w:sz w:val="20"/>
                <w:szCs w:val="20"/>
                <w:color w:val="auto"/>
              </w:rPr>
            </w:pPr>
            <w:r>
              <w:rPr>
                <w:rFonts w:ascii="Times New Roman" w:cs="Times New Roman" w:eastAsia="Times New Roman" w:hAnsi="Times New Roman"/>
                <w:sz w:val="20"/>
                <w:szCs w:val="20"/>
                <w:color w:val="auto"/>
              </w:rPr>
              <w:t>10.43†</w:t>
            </w:r>
          </w:p>
        </w:tc>
        <w:tc>
          <w:tcPr>
            <w:tcW w:w="60" w:type="dxa"/>
            <w:vAlign w:val="bottom"/>
          </w:tcPr>
          <w:p>
            <w:pPr>
              <w:spacing w:after="0"/>
              <w:rPr>
                <w:sz w:val="17"/>
                <w:szCs w:val="17"/>
                <w:color w:val="auto"/>
              </w:rPr>
            </w:pPr>
          </w:p>
        </w:tc>
        <w:tc>
          <w:tcPr>
            <w:tcW w:w="8080" w:type="dxa"/>
            <w:vAlign w:val="bottom"/>
          </w:tcPr>
          <w:p>
            <w:pPr>
              <w:ind w:left="60"/>
              <w:spacing w:after="0" w:line="204" w:lineRule="exact"/>
              <w:rPr>
                <w:sz w:val="20"/>
                <w:szCs w:val="20"/>
                <w:color w:val="auto"/>
              </w:rPr>
            </w:pPr>
            <w:r>
              <w:rPr>
                <w:rFonts w:ascii="Times New Roman" w:cs="Times New Roman" w:eastAsia="Times New Roman" w:hAnsi="Times New Roman"/>
                <w:sz w:val="20"/>
                <w:szCs w:val="20"/>
                <w:color w:val="auto"/>
              </w:rPr>
              <w:t>Form of 2020 Executive Option Agreement under 2011 Unit Incentive Plan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10.15 to the Registrant’s Registration Statement on Form S-1 filed on</w:t>
            </w:r>
          </w:p>
        </w:tc>
      </w:tr>
      <w:tr>
        <w:trPr>
          <w:trHeight w:val="261"/>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214"/>
        </w:trPr>
        <w:tc>
          <w:tcPr>
            <w:tcW w:w="2120" w:type="dxa"/>
            <w:vAlign w:val="bottom"/>
          </w:tcPr>
          <w:p>
            <w:pPr>
              <w:ind w:left="40"/>
              <w:spacing w:after="0" w:line="214" w:lineRule="exact"/>
              <w:rPr>
                <w:sz w:val="20"/>
                <w:szCs w:val="20"/>
                <w:color w:val="auto"/>
              </w:rPr>
            </w:pPr>
            <w:r>
              <w:rPr>
                <w:rFonts w:ascii="Times New Roman" w:cs="Times New Roman" w:eastAsia="Times New Roman" w:hAnsi="Times New Roman"/>
                <w:sz w:val="20"/>
                <w:szCs w:val="20"/>
                <w:color w:val="auto"/>
              </w:rPr>
              <w:t>10.44†</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4" w:lineRule="exact"/>
              <w:rPr>
                <w:sz w:val="20"/>
                <w:szCs w:val="20"/>
                <w:color w:val="auto"/>
              </w:rPr>
            </w:pPr>
            <w:r>
              <w:rPr>
                <w:rFonts w:ascii="Times New Roman" w:cs="Times New Roman" w:eastAsia="Times New Roman" w:hAnsi="Times New Roman"/>
                <w:sz w:val="20"/>
                <w:szCs w:val="20"/>
                <w:color w:val="auto"/>
              </w:rPr>
              <w:t>Form of 2019 CEO Option Agreement under 2011 Unit Incentive Plan (incorporated by reference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to Exhibit 10.16 to the Registrant’s Registration Statement on Form S-1 filed on September 23,</w:t>
            </w:r>
          </w:p>
        </w:tc>
      </w:tr>
      <w:tr>
        <w:trPr>
          <w:trHeight w:val="291"/>
        </w:trPr>
        <w:tc>
          <w:tcPr>
            <w:tcW w:w="2120" w:type="dxa"/>
            <w:vAlign w:val="bottom"/>
          </w:tcPr>
          <w:p>
            <w:pPr>
              <w:spacing w:after="0"/>
              <w:rPr>
                <w:sz w:val="24"/>
                <w:szCs w:val="24"/>
                <w:color w:val="auto"/>
              </w:rPr>
            </w:pPr>
          </w:p>
        </w:tc>
        <w:tc>
          <w:tcPr>
            <w:tcW w:w="8140" w:type="dxa"/>
            <w:vAlign w:val="bottom"/>
            <w:tcBorders>
              <w:right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10.45†</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2019 Executive Option Agreement under 2011 Unit Incentive Plan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10.17 to the Registrant’s Registration Statement on Form S-1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10.46†</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2018 CEO Option Agreement under 2011 Unit Incentive Plan (incorporated by reference</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to Exhibit 10.18 to the Registrant’s Registration Statement on Form S-1 filed on September 23,</w:t>
            </w:r>
          </w:p>
        </w:tc>
      </w:tr>
      <w:tr>
        <w:trPr>
          <w:trHeight w:val="291"/>
        </w:trPr>
        <w:tc>
          <w:tcPr>
            <w:tcW w:w="2120" w:type="dxa"/>
            <w:vAlign w:val="bottom"/>
          </w:tcPr>
          <w:p>
            <w:pPr>
              <w:spacing w:after="0"/>
              <w:rPr>
                <w:sz w:val="24"/>
                <w:szCs w:val="24"/>
                <w:color w:val="auto"/>
              </w:rPr>
            </w:pPr>
          </w:p>
        </w:tc>
        <w:tc>
          <w:tcPr>
            <w:tcW w:w="8140" w:type="dxa"/>
            <w:vAlign w:val="bottom"/>
            <w:tcBorders>
              <w:right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10.47†</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2018 Executive Option Agreement under 2011 Unit Incentive Plan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10.19 to the Registrant’s Registration Statement on Form S-1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10.48†</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2018 Non Executive Option Agreement under 2011 Unit Incentive Plan (incorporated by</w:t>
            </w:r>
          </w:p>
        </w:tc>
      </w:tr>
      <w:tr>
        <w:trPr>
          <w:trHeight w:val="28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reference to Exhibit 10.27 to the Registrant’s Annual Report on Form 10-K filed on April 7, 2021).</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10.49†</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2017 Executive Option Agreement under 2011 Unit Incentive Plan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10.20 to the Registrant’s Registration Statement on Form S-1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10.50†</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2016 Executive Option Agreement under 2011 Unit Incentive Plan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10.21 to the Registrant’s Registration Statement on Form S-1 filed on</w:t>
            </w:r>
          </w:p>
        </w:tc>
      </w:tr>
      <w:tr>
        <w:trPr>
          <w:trHeight w:val="29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10.51†</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August 2020 Restricted Unit Agreement under 2011 Unit Incentive Plan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10.22 to the Registrant’s Registration Statement on Form S-1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10.52†</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2020 CEO Restricted Unit Agreement under 2011 Unit Incentive Plan (incorporated by</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reference to Exhibit 10.23 to the Registrant’s Registration Statement on Form S-1 filed on</w:t>
            </w:r>
          </w:p>
        </w:tc>
      </w:tr>
      <w:tr>
        <w:trPr>
          <w:trHeight w:val="29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10.53†</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2020 Executive Restricted Unit Agreement under 2011 Unit Incentive Plan (incorporated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by reference to Exhibit 10.24 to the Registrant’s Registration Statement on Form S-1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10.54†</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2019 Executive Restricted Unit Agreement under 2011 Unit Incentive Plan (incorporated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by reference to Exhibit 10.25 to the Registrant’s Registration Statement on Form S-1 filed on</w:t>
            </w:r>
          </w:p>
        </w:tc>
      </w:tr>
      <w:tr>
        <w:trPr>
          <w:trHeight w:val="29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10.55†</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2018 CEO Restricted Unit Agreement under 2011 Unit Incentive Plan (as amended)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10.26 to the Registrant’s Registration Statement on Form S-1</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filed on 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10.56†</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Independent Non-Employee Director Restricted Unit Agreement under 2011 Unit</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Incentive Plan (incorporated by reference to Exhibit 10.27 to the Registrant’s Registration</w:t>
            </w:r>
          </w:p>
        </w:tc>
      </w:tr>
      <w:tr>
        <w:trPr>
          <w:trHeight w:val="29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Statement on Form S-1 filed on September 23, 2020).</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10.57†</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Form of 2018 Executive Restricted Unit Agreement under 2011 Unit Incentive Plan (incorporated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by reference to Exhibit 10.28 to the Registrant’s Registration Statement on Form S-1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10.58†</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Ken C. Hicks Amended and Restated Employment Agreement, dated April 26, 2023 (incorporated</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by reference to Exhibit 10.1 to the Registrant’s Current Report on Form 8-K filed on April 27,</w:t>
            </w:r>
          </w:p>
        </w:tc>
      </w:tr>
      <w:tr>
        <w:trPr>
          <w:trHeight w:val="291"/>
        </w:trPr>
        <w:tc>
          <w:tcPr>
            <w:tcW w:w="2120" w:type="dxa"/>
            <w:vAlign w:val="bottom"/>
          </w:tcPr>
          <w:p>
            <w:pPr>
              <w:spacing w:after="0"/>
              <w:rPr>
                <w:sz w:val="24"/>
                <w:szCs w:val="24"/>
                <w:color w:val="auto"/>
              </w:rPr>
            </w:pPr>
          </w:p>
        </w:tc>
        <w:tc>
          <w:tcPr>
            <w:tcW w:w="8140" w:type="dxa"/>
            <w:vAlign w:val="bottom"/>
            <w:tcBorders>
              <w:right w:val="single" w:sz="8" w:color="DEDEDE"/>
            </w:tcBorders>
            <w:gridSpan w:val="2"/>
          </w:tcPr>
          <w:p>
            <w:pPr>
              <w:ind w:left="120"/>
              <w:spacing w:after="0"/>
              <w:rPr>
                <w:sz w:val="20"/>
                <w:szCs w:val="20"/>
                <w:color w:val="auto"/>
              </w:rPr>
            </w:pPr>
            <w:r>
              <w:rPr>
                <w:rFonts w:ascii="Times New Roman" w:cs="Times New Roman" w:eastAsia="Times New Roman" w:hAnsi="Times New Roman"/>
                <w:sz w:val="20"/>
                <w:szCs w:val="20"/>
                <w:color w:val="auto"/>
              </w:rPr>
              <w:t>2023).</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10.59†</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Michael P. Mullican Amended and Restated Employment Agreement, dated April 26, 2023</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10.3 to the Registrant’s Current Report on Form 8-K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April 27, 2023).</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10.60†</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Steven (Steve) P. Lawrence Amended and Restated Employment Agreement, dated April 26, 2023</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Borders>
              <w:right w:val="single" w:sz="8" w:color="DEDEDE"/>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10.2 to the Registrant’s Current Report on Form 8-K filed on</w:t>
            </w:r>
          </w:p>
        </w:tc>
      </w:tr>
      <w:tr>
        <w:trPr>
          <w:trHeight w:val="291"/>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April 27, 2023).</w:t>
            </w: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10.61†</w:t>
            </w:r>
          </w:p>
        </w:tc>
        <w:tc>
          <w:tcPr>
            <w:tcW w:w="60" w:type="dxa"/>
            <w:vAlign w:val="bottom"/>
          </w:tcPr>
          <w:p>
            <w:pPr>
              <w:spacing w:after="0"/>
              <w:rPr>
                <w:sz w:val="18"/>
                <w:szCs w:val="18"/>
                <w:color w:val="auto"/>
              </w:rPr>
            </w:pPr>
          </w:p>
        </w:tc>
        <w:tc>
          <w:tcPr>
            <w:tcW w:w="808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Samuel (Sam) J. Johnson Amended and Restated Employment Agreement, dated October 23, 2023</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10.1 to the Registrant’s Current Report on Form 8-K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October 23, 2023).</w:t>
            </w:r>
          </w:p>
        </w:tc>
      </w:tr>
      <w:tr>
        <w:trPr>
          <w:trHeight w:val="31"/>
        </w:trPr>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14"/>
        </w:trPr>
        <w:tc>
          <w:tcPr>
            <w:tcW w:w="212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auto"/>
              </w:rPr>
              <w:t>10.62†</w:t>
            </w:r>
          </w:p>
        </w:tc>
        <w:tc>
          <w:tcPr>
            <w:tcW w:w="60" w:type="dxa"/>
            <w:vAlign w:val="bottom"/>
          </w:tcPr>
          <w:p>
            <w:pPr>
              <w:spacing w:after="0"/>
              <w:rPr>
                <w:sz w:val="18"/>
                <w:szCs w:val="18"/>
                <w:color w:val="auto"/>
              </w:rPr>
            </w:pPr>
          </w:p>
        </w:tc>
        <w:tc>
          <w:tcPr>
            <w:tcW w:w="8080" w:type="dxa"/>
            <w:vAlign w:val="bottom"/>
            <w:tcBorders>
              <w:right w:val="single" w:sz="8" w:color="DEDEDE"/>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Earl Carlton (Carl) Ford, IV Employment Agreement, dated July 6, 2023 (incorporated by</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Borders>
              <w:right w:val="single" w:sz="8" w:color="DEDEDE"/>
            </w:tcBorders>
          </w:tcPr>
          <w:p>
            <w:pPr>
              <w:ind w:left="60"/>
              <w:spacing w:after="0"/>
              <w:rPr>
                <w:sz w:val="20"/>
                <w:szCs w:val="20"/>
                <w:color w:val="auto"/>
              </w:rPr>
            </w:pPr>
            <w:r>
              <w:rPr>
                <w:rFonts w:ascii="Times New Roman" w:cs="Times New Roman" w:eastAsia="Times New Roman" w:hAnsi="Times New Roman"/>
                <w:sz w:val="20"/>
                <w:szCs w:val="20"/>
                <w:color w:val="auto"/>
              </w:rPr>
              <w:t>reference to Exhibit 10.1 to the Registrant’s Current Report on Form 8-K filed on July 11, 2023).</w:t>
            </w:r>
          </w:p>
        </w:tc>
      </w:tr>
      <w:tr>
        <w:trPr>
          <w:trHeight w:val="21"/>
        </w:trPr>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80" w:type="dxa"/>
            <w:vAlign w:val="bottom"/>
            <w:tcBorders>
              <w:right w:val="single" w:sz="8" w:color="DEDED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-8670925</wp:posOffset>
            </wp:positionV>
            <wp:extent cx="6540500" cy="86842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0">
                      <a:extLst>
                        <a:ext uri="{28A0092B-C50C-407E-A947-70E740481C1C}"/>
                      </a:extLst>
                    </a:blip>
                    <a:srcRect/>
                    <a:stretch>
                      <a:fillRect/>
                    </a:stretch>
                  </pic:blipFill>
                  <pic:spPr bwMode="auto">
                    <a:xfrm>
                      <a:off x="0" y="0"/>
                      <a:ext cx="6540500" cy="8684260"/>
                    </a:xfrm>
                    <a:prstGeom prst="rect">
                      <a:avLst/>
                    </a:prstGeom>
                    <a:noFill/>
                  </pic:spPr>
                </pic:pic>
              </a:graphicData>
            </a:graphic>
          </wp:anchor>
        </w:drawing>
      </w:r>
    </w:p>
    <w:p>
      <w:pPr>
        <w:sectPr>
          <w:pgSz w:w="12240" w:h="15840" w:orient="portrait"/>
          <w:cols w:equalWidth="0" w:num="1">
            <w:col w:w="10260"/>
          </w:cols>
          <w:pgMar w:left="1000" w:top="862" w:right="980" w:bottom="0" w:gutter="0" w:footer="0" w:header="0"/>
        </w:sectPr>
      </w:pPr>
    </w:p>
    <w:p>
      <w:pPr>
        <w:spacing w:after="0" w:line="2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260"/>
          </w:cols>
          <w:pgMar w:left="1000" w:top="862" w:right="980" w:bottom="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67"/>
        </w:trPr>
        <w:tc>
          <w:tcPr>
            <w:tcW w:w="2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60" w:type="dxa"/>
            <w:vAlign w:val="bottom"/>
          </w:tcPr>
          <w:p>
            <w:pPr>
              <w:spacing w:after="0"/>
              <w:rPr>
                <w:sz w:val="23"/>
                <w:szCs w:val="23"/>
                <w:color w:val="auto"/>
              </w:rPr>
            </w:pPr>
          </w:p>
        </w:tc>
        <w:tc>
          <w:tcPr>
            <w:tcW w:w="808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04"/>
        </w:trPr>
        <w:tc>
          <w:tcPr>
            <w:tcW w:w="2120" w:type="dxa"/>
            <w:vAlign w:val="bottom"/>
          </w:tcPr>
          <w:p>
            <w:pPr>
              <w:ind w:left="40"/>
              <w:spacing w:after="0" w:line="204" w:lineRule="exact"/>
              <w:rPr>
                <w:sz w:val="20"/>
                <w:szCs w:val="20"/>
                <w:color w:val="auto"/>
              </w:rPr>
            </w:pPr>
            <w:r>
              <w:rPr>
                <w:rFonts w:ascii="Times New Roman" w:cs="Times New Roman" w:eastAsia="Times New Roman" w:hAnsi="Times New Roman"/>
                <w:sz w:val="20"/>
                <w:szCs w:val="20"/>
                <w:color w:val="auto"/>
              </w:rPr>
              <w:t>10.63†</w:t>
            </w:r>
          </w:p>
        </w:tc>
        <w:tc>
          <w:tcPr>
            <w:tcW w:w="60" w:type="dxa"/>
            <w:vAlign w:val="bottom"/>
          </w:tcPr>
          <w:p>
            <w:pPr>
              <w:spacing w:after="0"/>
              <w:rPr>
                <w:sz w:val="17"/>
                <w:szCs w:val="17"/>
                <w:color w:val="auto"/>
              </w:rPr>
            </w:pPr>
          </w:p>
        </w:tc>
        <w:tc>
          <w:tcPr>
            <w:tcW w:w="8080" w:type="dxa"/>
            <w:vAlign w:val="bottom"/>
          </w:tcPr>
          <w:p>
            <w:pPr>
              <w:ind w:left="60"/>
              <w:spacing w:after="0" w:line="204" w:lineRule="exact"/>
              <w:rPr>
                <w:sz w:val="20"/>
                <w:szCs w:val="20"/>
                <w:color w:val="auto"/>
              </w:rPr>
            </w:pPr>
            <w:r>
              <w:rPr>
                <w:rFonts w:ascii="Times New Roman" w:cs="Times New Roman" w:eastAsia="Times New Roman" w:hAnsi="Times New Roman"/>
                <w:sz w:val="20"/>
                <w:szCs w:val="20"/>
                <w:color w:val="auto"/>
              </w:rPr>
              <w:t>Manish Maini Employment Agreement, dated May 25, 2017 (incorporated by reference to Exhibit</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 to the Registrant’s Quarterly Report on Form 10-Q filed on September 7, 2022).</w:t>
            </w:r>
          </w:p>
        </w:tc>
      </w:tr>
      <w:tr>
        <w:trPr>
          <w:trHeight w:val="235"/>
        </w:trPr>
        <w:tc>
          <w:tcPr>
            <w:tcW w:w="2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10.64†</w:t>
            </w:r>
          </w:p>
        </w:tc>
        <w:tc>
          <w:tcPr>
            <w:tcW w:w="6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2020 Employee Stock Purchase Plan (incorporated by reference to Exhibit 10.34 to Amendment</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1 to the Registrant’s Registration Statement on Form S-1 filed on September 23, 2020).</w:t>
            </w:r>
          </w:p>
        </w:tc>
      </w:tr>
      <w:tr>
        <w:trPr>
          <w:trHeight w:val="235"/>
        </w:trPr>
        <w:tc>
          <w:tcPr>
            <w:tcW w:w="2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10.65†</w:t>
            </w:r>
          </w:p>
        </w:tc>
        <w:tc>
          <w:tcPr>
            <w:tcW w:w="6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Director and Officer Indemnification Agreement (incorporated by reference to Exhibit</w:t>
            </w:r>
          </w:p>
        </w:tc>
      </w:tr>
      <w:tr>
        <w:trPr>
          <w:trHeight w:val="200"/>
        </w:trPr>
        <w:tc>
          <w:tcPr>
            <w:tcW w:w="2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10.37 to Amendment No. 1 to the Registrant’s Registration Statement on Form S-1 filed on</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September 23, 2020).</w:t>
            </w:r>
          </w:p>
        </w:tc>
      </w:tr>
      <w:tr>
        <w:trPr>
          <w:trHeight w:val="326"/>
        </w:trPr>
        <w:tc>
          <w:tcPr>
            <w:tcW w:w="2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10.66†*</w:t>
            </w:r>
          </w:p>
        </w:tc>
        <w:tc>
          <w:tcPr>
            <w:tcW w:w="60" w:type="dxa"/>
            <w:vAlign w:val="bottom"/>
          </w:tcPr>
          <w:p>
            <w:pPr>
              <w:spacing w:after="0"/>
              <w:rPr>
                <w:sz w:val="24"/>
                <w:szCs w:val="24"/>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Non-Employee Director Compensation Policy, effective March 18, 2024.</w:t>
            </w:r>
          </w:p>
        </w:tc>
      </w:tr>
      <w:tr>
        <w:trPr>
          <w:trHeight w:val="279"/>
        </w:trPr>
        <w:tc>
          <w:tcPr>
            <w:tcW w:w="2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Subsidiaries of the Registrant.</w:t>
            </w:r>
          </w:p>
        </w:tc>
      </w:tr>
      <w:tr>
        <w:trPr>
          <w:trHeight w:val="240"/>
        </w:trPr>
        <w:tc>
          <w:tcPr>
            <w:tcW w:w="2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Consent of Deloitte &amp; Touche LLP (with respect to the financial statements of Academy Sports</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Outdoors, Inc.).</w:t>
            </w:r>
          </w:p>
        </w:tc>
      </w:tr>
      <w:tr>
        <w:trPr>
          <w:trHeight w:val="235"/>
        </w:trPr>
        <w:tc>
          <w:tcPr>
            <w:tcW w:w="2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Certification of Periodic Report by Chief Executive Officer under Section 302 of the Sarbanes-</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Oxley Act of 2002.</w:t>
            </w:r>
          </w:p>
        </w:tc>
      </w:tr>
      <w:tr>
        <w:trPr>
          <w:trHeight w:val="235"/>
        </w:trPr>
        <w:tc>
          <w:tcPr>
            <w:tcW w:w="2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Certification of Periodic Report by Chief Financial Officer under Section 302 of the Sarbanes-</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Oxley Act of 2002.</w:t>
            </w:r>
          </w:p>
        </w:tc>
      </w:tr>
      <w:tr>
        <w:trPr>
          <w:trHeight w:val="235"/>
        </w:trPr>
        <w:tc>
          <w:tcPr>
            <w:tcW w:w="2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Certification of Chief Executive Officer Pursuant to 18 U.S.C. Section 1350 as Adopted Pursuant</w:t>
            </w:r>
          </w:p>
        </w:tc>
      </w:tr>
      <w:tr>
        <w:trPr>
          <w:trHeight w:val="260"/>
        </w:trPr>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-2399030</wp:posOffset>
            </wp:positionV>
            <wp:extent cx="6540500" cy="5464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1">
                      <a:extLst>
                        <a:ext uri="{28A0092B-C50C-407E-A947-70E740481C1C}"/>
                      </a:extLst>
                    </a:blip>
                    <a:srcRect/>
                    <a:stretch>
                      <a:fillRect/>
                    </a:stretch>
                  </pic:blipFill>
                  <pic:spPr bwMode="auto">
                    <a:xfrm>
                      <a:off x="0" y="0"/>
                      <a:ext cx="6540500" cy="5464175"/>
                    </a:xfrm>
                    <a:prstGeom prst="rect">
                      <a:avLst/>
                    </a:prstGeom>
                    <a:noFill/>
                  </pic:spPr>
                </pic:pic>
              </a:graphicData>
            </a:graphic>
          </wp:anchor>
        </w:drawing>
      </w:r>
    </w:p>
    <w:p>
      <w:pPr>
        <w:sectPr>
          <w:pgSz w:w="12240" w:h="15840" w:orient="portrait"/>
          <w:cols w:equalWidth="0" w:num="1">
            <w:col w:w="10260"/>
          </w:cols>
          <w:pgMar w:left="1000" w:top="862" w:right="980" w:bottom="0" w:gutter="0" w:footer="0" w:header="0"/>
        </w:sectPr>
      </w:pP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32.2**</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97.1†*</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101.INS</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101.SCH</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101.CAL</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101.DEF</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101.LAB</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101.PRE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104</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Certification of Chief Financial Officer Pursuant to 18 U.S.C. Section 1350 as Adopted Pursuant to Section 906 of the Sarbanes-Oxley Act of 2002.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Policy Relating to Recovery of Erroneously Awarded Compensation.</w:t>
      </w:r>
    </w:p>
    <w:p>
      <w:pPr>
        <w:spacing w:after="0" w:line="7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XBRL Instance Document - The instance document does not appear in the Interactive Data File because its XBRL tags are embedded within the Inline XBRL document.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Calculation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Definition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Label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Presentation Linkbase Document</w:t>
      </w:r>
    </w:p>
    <w:p>
      <w:pPr>
        <w:spacing w:after="0" w:line="65"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20"/>
          <w:szCs w:val="20"/>
          <w:color w:val="auto"/>
        </w:rPr>
        <w:t>The cover page for the Company’s Annual Report on Form 10-K for the fiscal year ended February 3, 2024 has been formatted in Inline XBRL.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Filed herewith</w:t>
      </w:r>
    </w:p>
    <w:p>
      <w:pPr>
        <w:spacing w:after="0" w:line="70" w:lineRule="exact"/>
        <w:rPr>
          <w:sz w:val="20"/>
          <w:szCs w:val="20"/>
          <w:color w:val="auto"/>
        </w:rPr>
      </w:pPr>
    </w:p>
    <w:p>
      <w:pPr>
        <w:jc w:val="both"/>
        <w:ind w:right="60"/>
        <w:spacing w:after="0" w:line="224" w:lineRule="auto"/>
        <w:rPr>
          <w:sz w:val="20"/>
          <w:szCs w:val="20"/>
          <w:color w:val="auto"/>
        </w:rPr>
      </w:pPr>
      <w:r>
        <w:rPr>
          <w:rFonts w:ascii="Times New Roman" w:cs="Times New Roman" w:eastAsia="Times New Roman" w:hAnsi="Times New Roman"/>
          <w:sz w:val="20"/>
          <w:szCs w:val="20"/>
          <w:color w:val="auto"/>
        </w:rPr>
        <w:t>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41" w:lineRule="exact"/>
        <w:rPr>
          <w:sz w:val="20"/>
          <w:szCs w:val="20"/>
          <w:color w:val="auto"/>
        </w:rPr>
      </w:pPr>
    </w:p>
    <w:p>
      <w:pPr>
        <w:sectPr>
          <w:pgSz w:w="12240" w:h="15840" w:orient="portrait"/>
          <w:cols w:equalWidth="0" w:num="2">
            <w:col w:w="1520" w:space="720"/>
            <w:col w:w="8020"/>
          </w:cols>
          <w:pgMar w:left="1000" w:top="862" w:right="980" w:bottom="0" w:gutter="0" w:footer="0" w:header="0"/>
          <w:type w:val="continuous"/>
        </w:sectPr>
      </w:pPr>
    </w:p>
    <w:p>
      <w:pPr>
        <w:ind w:left="40"/>
        <w:spacing w:after="0"/>
        <w:tabs>
          <w:tab w:leader="none" w:pos="22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Management contract or compensatory plan or arrangement</w:t>
      </w:r>
    </w:p>
    <w:p>
      <w:pPr>
        <w:spacing w:after="0" w:line="200" w:lineRule="exact"/>
        <w:rPr>
          <w:sz w:val="20"/>
          <w:szCs w:val="20"/>
          <w:color w:val="auto"/>
        </w:rPr>
      </w:pPr>
    </w:p>
    <w:p>
      <w:pPr>
        <w:spacing w:after="0" w:line="36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pgSz w:w="12240" w:h="15840" w:orient="portrait"/>
          <w:cols w:equalWidth="0" w:num="1">
            <w:col w:w="10260"/>
          </w:cols>
          <w:pgMar w:left="1000" w:top="862"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260"/>
          </w:cols>
          <w:pgMar w:left="1000" w:top="862" w:right="98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Annual Report on Form 10-K to be signed on March 21, 2024 on its behalf by the undersigned, thereto duly authorized.</w:t>
      </w:r>
    </w:p>
    <w:p>
      <w:pPr>
        <w:spacing w:after="0" w:line="28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ACADEMY SPORTS AND OUTDOORS, INC.</w:t>
      </w:r>
    </w:p>
    <w:p>
      <w:pPr>
        <w:spacing w:after="0" w:line="186" w:lineRule="exact"/>
        <w:rPr>
          <w:sz w:val="20"/>
          <w:szCs w:val="20"/>
          <w:color w:val="auto"/>
        </w:rPr>
      </w:pPr>
    </w:p>
    <w:p>
      <w:pPr>
        <w:ind w:left="4900"/>
        <w:spacing w:after="0"/>
        <w:tabs>
          <w:tab w:leader="none" w:pos="5580" w:val="left"/>
          <w:tab w:leader="none" w:pos="59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w:t>
        <w:tab/>
        <w:t>EARL CARLTON FORD, IV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3527425</wp:posOffset>
                </wp:positionH>
                <wp:positionV relativeFrom="paragraph">
                  <wp:posOffset>27305</wp:posOffset>
                </wp:positionV>
                <wp:extent cx="326707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67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75pt,2.15pt" to="535pt,2.15pt" o:allowincell="f" strokecolor="#000000" strokeweight="1pt"/>
            </w:pict>
          </mc:Fallback>
        </mc:AlternateContent>
      </w:r>
    </w:p>
    <w:p>
      <w:pPr>
        <w:spacing w:after="0" w:line="6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Earl Carlton Ford, IV</w:t>
      </w:r>
    </w:p>
    <w:p>
      <w:pPr>
        <w:spacing w:after="0" w:line="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 and principal accounting officer)</w:t>
      </w:r>
    </w:p>
    <w:p>
      <w:pPr>
        <w:spacing w:after="0" w:line="326" w:lineRule="exact"/>
        <w:rPr>
          <w:sz w:val="20"/>
          <w:szCs w:val="20"/>
          <w:color w:val="auto"/>
        </w:rPr>
      </w:pPr>
    </w:p>
    <w:p>
      <w:pPr>
        <w:ind w:right="20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Signature</w:t>
            </w:r>
          </w:p>
        </w:tc>
        <w:tc>
          <w:tcPr>
            <w:tcW w:w="1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Title</w:t>
            </w:r>
          </w:p>
        </w:tc>
        <w:tc>
          <w:tcPr>
            <w:tcW w:w="680" w:type="dxa"/>
            <w:vAlign w:val="bottom"/>
          </w:tcPr>
          <w:p>
            <w:pPr>
              <w:spacing w:after="0"/>
              <w:rPr>
                <w:sz w:val="19"/>
                <w:szCs w:val="19"/>
                <w:color w:val="auto"/>
              </w:rPr>
            </w:pPr>
          </w:p>
        </w:tc>
        <w:tc>
          <w:tcPr>
            <w:tcW w:w="820" w:type="dxa"/>
            <w:vAlign w:val="bottom"/>
            <w:gridSpan w:val="2"/>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20"/>
        </w:trPr>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626"/>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STEVEN LAWRENCE</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Steven Lawrence</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EARL CARLTON FORD, IV</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Earl Carlton Ford, IV</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 and principal accounting officer)</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KEN C. HICKS</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Executive Chairman</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Ken C. Hicks</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WENDY A. BECK</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Wendy A. Beck</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BRIAN T. MARLEY</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Brian T. Marley</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TOM M. NEALON</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Tom M. Nealon</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THERESA E. PALERMO</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Theresa E. Palermo</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BERYL B. RAFF</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Beryl B. Raff</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CHRIS L. TURNER</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Chris L. Turner</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8"/>
        </w:trPr>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JEFF C. TWEEDY</w:t>
            </w:r>
          </w:p>
        </w:tc>
        <w:tc>
          <w:tcPr>
            <w:tcW w:w="52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1500" w:type="dxa"/>
            <w:vAlign w:val="bottom"/>
            <w:gridSpan w:val="3"/>
          </w:tcPr>
          <w:p>
            <w:pPr>
              <w:jc w:val="center"/>
              <w:ind w:left="140"/>
              <w:spacing w:after="0"/>
              <w:rPr>
                <w:sz w:val="20"/>
                <w:szCs w:val="20"/>
                <w:color w:val="auto"/>
              </w:rPr>
            </w:pPr>
            <w:r>
              <w:rPr>
                <w:rFonts w:ascii="Times New Roman" w:cs="Times New Roman" w:eastAsia="Times New Roman" w:hAnsi="Times New Roman"/>
                <w:sz w:val="20"/>
                <w:szCs w:val="20"/>
                <w:color w:val="auto"/>
                <w:w w:val="99"/>
              </w:rPr>
              <w:t>March 21, 2024</w:t>
            </w:r>
          </w:p>
        </w:tc>
      </w:tr>
      <w:tr>
        <w:trPr>
          <w:trHeight w:val="277"/>
        </w:trPr>
        <w:tc>
          <w:tcPr>
            <w:tcW w:w="3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Jeff C. Tweedy</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700"/>
          </w:cols>
          <w:pgMar w:left="8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700"/>
          </w:cols>
          <w:pgMar w:left="820" w:top="651" w:right="720" w:bottom="0" w:gutter="0" w:footer="0" w:header="0"/>
          <w:type w:val="continuous"/>
        </w:sectPr>
      </w:pPr>
    </w:p>
    <w:bookmarkStart w:id="118" w:name="page119"/>
    <w:bookmarkEnd w:id="118"/>
    <w:p>
      <w:pPr>
        <w:jc w:val="center"/>
        <w:ind w:right="-349"/>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spacing w:after="0" w:line="34" w:lineRule="exact"/>
        <w:rPr>
          <w:sz w:val="20"/>
          <w:szCs w:val="20"/>
          <w:color w:val="auto"/>
        </w:rPr>
      </w:pPr>
    </w:p>
    <w:p>
      <w:pPr>
        <w:jc w:val="center"/>
        <w:ind w:right="-349"/>
        <w:spacing w:after="0"/>
        <w:rPr>
          <w:sz w:val="20"/>
          <w:szCs w:val="20"/>
          <w:color w:val="auto"/>
        </w:rPr>
      </w:pPr>
      <w:r>
        <w:rPr>
          <w:rFonts w:ascii="Times New Roman" w:cs="Times New Roman" w:eastAsia="Times New Roman" w:hAnsi="Times New Roman"/>
          <w:sz w:val="20"/>
          <w:szCs w:val="20"/>
          <w:b w:val="1"/>
          <w:bCs w:val="1"/>
          <w:color w:val="auto"/>
        </w:rPr>
        <w:t>SCHEDULE II</w:t>
      </w:r>
    </w:p>
    <w:p>
      <w:pPr>
        <w:spacing w:after="0" w:line="10" w:lineRule="exact"/>
        <w:rPr>
          <w:sz w:val="20"/>
          <w:szCs w:val="20"/>
          <w:color w:val="auto"/>
        </w:rPr>
      </w:pPr>
    </w:p>
    <w:p>
      <w:pPr>
        <w:jc w:val="center"/>
        <w:ind w:right="-349"/>
        <w:spacing w:after="0"/>
        <w:rPr>
          <w:sz w:val="20"/>
          <w:szCs w:val="20"/>
          <w:color w:val="auto"/>
        </w:rPr>
      </w:pPr>
      <w:r>
        <w:rPr>
          <w:rFonts w:ascii="Times New Roman" w:cs="Times New Roman" w:eastAsia="Times New Roman" w:hAnsi="Times New Roman"/>
          <w:sz w:val="20"/>
          <w:szCs w:val="20"/>
          <w:b w:val="1"/>
          <w:bCs w:val="1"/>
          <w:color w:val="auto"/>
        </w:rPr>
        <w:t>VALUATION AND QUALIFYING ACCOUNTS</w:t>
      </w:r>
    </w:p>
    <w:p>
      <w:pPr>
        <w:spacing w:after="0" w:line="10" w:lineRule="exact"/>
        <w:rPr>
          <w:sz w:val="20"/>
          <w:szCs w:val="20"/>
          <w:color w:val="auto"/>
        </w:rPr>
      </w:pPr>
    </w:p>
    <w:p>
      <w:pPr>
        <w:jc w:val="center"/>
        <w:ind w:right="-34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57"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Charged to</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at end</w:t>
            </w:r>
          </w:p>
        </w:tc>
        <w:tc>
          <w:tcPr>
            <w:tcW w:w="0" w:type="dxa"/>
            <w:vAlign w:val="bottom"/>
          </w:tcPr>
          <w:p>
            <w:pPr>
              <w:spacing w:after="0"/>
              <w:rPr>
                <w:sz w:val="1"/>
                <w:szCs w:val="1"/>
                <w:color w:val="auto"/>
              </w:rPr>
            </w:pPr>
          </w:p>
        </w:tc>
      </w:tr>
      <w:tr>
        <w:trPr>
          <w:trHeight w:val="200"/>
        </w:trPr>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40"/>
              <w:spacing w:after="0" w:line="200" w:lineRule="exact"/>
              <w:rPr>
                <w:sz w:val="20"/>
                <w:szCs w:val="20"/>
                <w:color w:val="auto"/>
              </w:rPr>
            </w:pPr>
            <w:r>
              <w:rPr>
                <w:rFonts w:ascii="Times New Roman" w:cs="Times New Roman" w:eastAsia="Times New Roman" w:hAnsi="Times New Roman"/>
                <w:sz w:val="20"/>
                <w:szCs w:val="20"/>
                <w:b w:val="1"/>
                <w:bCs w:val="1"/>
                <w:color w:val="auto"/>
                <w:w w:val="99"/>
              </w:rPr>
              <w:t>beginning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9"/>
              </w:rPr>
              <w:t>costs and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3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6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7"/>
              </w:rPr>
              <w:t>period</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expenses</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of period</w:t>
            </w:r>
          </w:p>
        </w:tc>
        <w:tc>
          <w:tcPr>
            <w:tcW w:w="0" w:type="dxa"/>
            <w:vAlign w:val="bottom"/>
          </w:tcPr>
          <w:p>
            <w:pPr>
              <w:spacing w:after="0"/>
              <w:rPr>
                <w:sz w:val="1"/>
                <w:szCs w:val="1"/>
                <w:color w:val="auto"/>
              </w:rPr>
            </w:pPr>
          </w:p>
        </w:tc>
      </w:tr>
      <w:tr>
        <w:trPr>
          <w:trHeight w:val="277"/>
        </w:trPr>
        <w:tc>
          <w:tcPr>
            <w:tcW w:w="3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February 3, 2024:</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2,004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1,107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(894)</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2,217</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Sales return allowance</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11,200</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(10,900)</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6,400</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Inventory shrink adjustments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4,960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99,444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(92,582)</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11,822</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Self-insurance reserves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30,170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70,509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(75,669)</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25,010</w:t>
            </w:r>
          </w:p>
        </w:tc>
        <w:tc>
          <w:tcPr>
            <w:tcW w:w="0" w:type="dxa"/>
            <w:vAlign w:val="bottom"/>
          </w:tcPr>
          <w:p>
            <w:pPr>
              <w:spacing w:after="0"/>
              <w:rPr>
                <w:sz w:val="1"/>
                <w:szCs w:val="1"/>
                <w:color w:val="auto"/>
              </w:rPr>
            </w:pPr>
          </w:p>
        </w:tc>
      </w:tr>
      <w:tr>
        <w:trPr>
          <w:trHeight w:val="465"/>
        </w:trPr>
        <w:tc>
          <w:tcPr>
            <w:tcW w:w="3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January 28, 2023:</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2,004</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Sales return allowance</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11,900</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Inventory shrink adjustments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11,696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79,150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(85,886)</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4,960</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Self-insurance reserves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74,292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(68,631)</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30,170</w:t>
            </w:r>
          </w:p>
        </w:tc>
        <w:tc>
          <w:tcPr>
            <w:tcW w:w="0" w:type="dxa"/>
            <w:vAlign w:val="bottom"/>
          </w:tcPr>
          <w:p>
            <w:pPr>
              <w:spacing w:after="0"/>
              <w:rPr>
                <w:sz w:val="1"/>
                <w:szCs w:val="1"/>
                <w:color w:val="auto"/>
              </w:rPr>
            </w:pPr>
          </w:p>
        </w:tc>
      </w:tr>
      <w:tr>
        <w:trPr>
          <w:trHeight w:val="465"/>
        </w:trPr>
        <w:tc>
          <w:tcPr>
            <w:tcW w:w="3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January 29, 2022:</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Sales return allowance</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13,200</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(12,800)</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6,200</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Inventory shrink adjustments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74,441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(71,249)</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11,696</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Self-insurance reserves</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22,065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72,313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(69,869)</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-3070860</wp:posOffset>
            </wp:positionV>
            <wp:extent cx="6321425" cy="3092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2">
                      <a:extLst>
                        <a:ext uri="{28A0092B-C50C-407E-A947-70E740481C1C}"/>
                      </a:extLst>
                    </a:blip>
                    <a:srcRect/>
                    <a:stretch>
                      <a:fillRect/>
                    </a:stretch>
                  </pic:blipFill>
                  <pic:spPr bwMode="auto">
                    <a:xfrm>
                      <a:off x="0" y="0"/>
                      <a:ext cx="6321425" cy="3092450"/>
                    </a:xfrm>
                    <a:prstGeom prst="rect">
                      <a:avLst/>
                    </a:prstGeom>
                    <a:noFill/>
                  </pic:spPr>
                </pic:pic>
              </a:graphicData>
            </a:graphic>
          </wp:anchor>
        </w:drawing>
      </w:r>
    </w:p>
    <w:p>
      <w:pPr>
        <w:spacing w:after="0" w:line="43" w:lineRule="exact"/>
        <w:rPr>
          <w:sz w:val="20"/>
          <w:szCs w:val="20"/>
          <w:color w:val="auto"/>
        </w:rPr>
      </w:pPr>
    </w:p>
    <w:p>
      <w:pPr>
        <w:ind w:left="230" w:hanging="230"/>
        <w:spacing w:after="0"/>
        <w:tabs>
          <w:tab w:leader="none" w:pos="23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write-offs to the reserve.</w:t>
      </w:r>
    </w:p>
    <w:p>
      <w:pPr>
        <w:spacing w:after="0" w:line="24" w:lineRule="exact"/>
        <w:rPr>
          <w:rFonts w:ascii="Times New Roman" w:cs="Times New Roman" w:eastAsia="Times New Roman" w:hAnsi="Times New Roman"/>
          <w:sz w:val="16"/>
          <w:szCs w:val="16"/>
          <w:color w:val="auto"/>
        </w:rPr>
      </w:pPr>
    </w:p>
    <w:p>
      <w:pPr>
        <w:ind w:left="230" w:hanging="230"/>
        <w:spacing w:after="0"/>
        <w:tabs>
          <w:tab w:leader="none" w:pos="23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monthly increase (decrease) in the required reserve based on the Company's evaluation of anticipated merchandise returns.</w:t>
      </w:r>
    </w:p>
    <w:p>
      <w:pPr>
        <w:spacing w:after="0" w:line="8" w:lineRule="exact"/>
        <w:rPr>
          <w:rFonts w:ascii="Times New Roman" w:cs="Times New Roman" w:eastAsia="Times New Roman" w:hAnsi="Times New Roman"/>
          <w:sz w:val="16"/>
          <w:szCs w:val="16"/>
          <w:color w:val="auto"/>
        </w:rPr>
      </w:pPr>
    </w:p>
    <w:p>
      <w:pPr>
        <w:ind w:left="230" w:hanging="230"/>
        <w:spacing w:after="0"/>
        <w:tabs>
          <w:tab w:leader="none" w:pos="23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actual inventory shrinkage experienced at the time of physical inventories.</w:t>
      </w:r>
    </w:p>
    <w:p>
      <w:pPr>
        <w:spacing w:after="0" w:line="8" w:lineRule="exact"/>
        <w:rPr>
          <w:rFonts w:ascii="Times New Roman" w:cs="Times New Roman" w:eastAsia="Times New Roman" w:hAnsi="Times New Roman"/>
          <w:sz w:val="16"/>
          <w:szCs w:val="16"/>
          <w:color w:val="auto"/>
        </w:rPr>
      </w:pPr>
    </w:p>
    <w:p>
      <w:pPr>
        <w:ind w:left="230" w:hanging="230"/>
        <w:spacing w:after="0"/>
        <w:tabs>
          <w:tab w:leader="none" w:pos="23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claim payments for self-insured claims.</w:t>
      </w:r>
    </w:p>
    <w:p>
      <w:pPr>
        <w:sectPr>
          <w:pgSz w:w="12240" w:h="15840" w:orient="portrait"/>
          <w:cols w:equalWidth="0" w:num="1">
            <w:col w:w="9910"/>
          </w:cols>
          <w:pgMar w:left="990" w:top="786"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110"/>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910"/>
          </w:cols>
          <w:pgMar w:left="990" w:top="786" w:right="1340" w:bottom="0"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000B78"/>
        </w:rPr>
        <w:t>Shareholder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264AD"/>
        </w:rPr>
        <w:t>Nasdaq: ASO</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For information about our company, stock symbol,</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filings, press releases, or other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please visit: https://investors.academy.com</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264AD"/>
        </w:rPr>
        <w:t>Corporate Headquarters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Academy Sports and Outdoors, Inc.</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1800 N. Mason Rd.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Katy, Texas 77449</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281.646.5200</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2264AD"/>
        </w:rPr>
        <w:t>Transfer Agent and Registrar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Broadridge Corporate Issuer Solutions, Inc.</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51 Mercedes Way</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Edgewood, New York 11717</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Shareholder Services: 877.830.4936</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0B78"/>
        </w:rPr>
        <w:t>SPECIAL NOTE REGARDING FORWARD-LOOKING STATEMENTS</w:t>
      </w:r>
    </w:p>
    <w:p>
      <w:pPr>
        <w:spacing w:after="0" w:line="20" w:lineRule="exact"/>
        <w:rPr>
          <w:sz w:val="20"/>
          <w:szCs w:val="20"/>
          <w:color w:val="auto"/>
        </w:rPr>
      </w:pPr>
      <w:r>
        <w:rPr>
          <w:sz w:val="20"/>
          <w:szCs w:val="20"/>
          <w:color w:val="auto"/>
        </w:rPr>
        <w:br w:type="column"/>
      </w:r>
    </w:p>
    <w:tbl>
      <w:tblPr>
        <w:tblLayout w:type="fixed"/>
        <w:tblInd w:w="0" w:type="dxa"/>
        <w:tblCellMar>
          <w:top w:w="0" w:type="dxa"/>
          <w:left w:w="0" w:type="dxa"/>
          <w:bottom w:w="0" w:type="dxa"/>
          <w:right w:w="0" w:type="dxa"/>
        </w:tblCellMar>
      </w:tblPr>
      <w:tr>
        <w:trPr>
          <w:trHeight w:val="1540"/>
        </w:trPr>
        <w:tc>
          <w:tcPr>
            <w:tcW w:w="161" w:type="dxa"/>
            <w:vAlign w:val="bottom"/>
            <w:textDirection w:val="tbRl"/>
          </w:tcPr>
          <w:p>
            <w:pPr>
              <w:spacing w:after="0"/>
              <w:rPr>
                <w:sz w:val="20"/>
                <w:szCs w:val="20"/>
                <w:color w:val="auto"/>
              </w:rPr>
            </w:pPr>
            <w:r>
              <w:rPr>
                <w:rFonts w:ascii="Arial" w:cs="Arial" w:eastAsia="Arial" w:hAnsi="Arial"/>
                <w:sz w:val="14"/>
                <w:szCs w:val="14"/>
                <w:b w:val="1"/>
                <w:bCs w:val="1"/>
                <w:color w:val="000B78"/>
              </w:rPr>
              <w:t>2023 Annual Report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-108585</wp:posOffset>
                </wp:positionH>
                <wp:positionV relativeFrom="paragraph">
                  <wp:posOffset>-1202690</wp:posOffset>
                </wp:positionV>
                <wp:extent cx="23622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220" cy="4763"/>
                        </a:xfrm>
                        <a:prstGeom prst="line">
                          <a:avLst/>
                        </a:prstGeom>
                        <a:solidFill>
                          <a:srgbClr val="FFFFFF"/>
                        </a:solidFill>
                        <a:ln w="6350">
                          <a:solidFill>
                            <a:srgbClr val="2264AD"/>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5499pt,-94.6999pt" to="10.05pt,-94.6999pt" o:allowincell="f" strokecolor="#2264AD" strokeweight="0.5pt"/>
            </w:pict>
          </mc:Fallback>
        </mc:AlternateContent>
      </w:r>
    </w:p>
    <w:p>
      <w:pPr>
        <w:spacing w:after="0" w:line="6466" w:lineRule="exact"/>
        <w:rPr>
          <w:sz w:val="20"/>
          <w:szCs w:val="20"/>
          <w:color w:val="auto"/>
        </w:rPr>
      </w:pPr>
    </w:p>
    <w:p>
      <w:pPr>
        <w:sectPr>
          <w:pgSz w:w="12240" w:h="15480" w:orient="portrait"/>
          <w:cols w:equalWidth="0" w:num="2">
            <w:col w:w="9525" w:space="720"/>
            <w:col w:w="161"/>
          </w:cols>
          <w:pgMar w:left="1080" w:top="1440" w:right="754" w:bottom="1440" w:gutter="0" w:footer="0" w:header="0"/>
        </w:sectPr>
      </w:pPr>
    </w:p>
    <w:p>
      <w:pPr>
        <w:jc w:val="both"/>
        <w:spacing w:after="0" w:line="317" w:lineRule="auto"/>
        <w:rPr>
          <w:sz w:val="20"/>
          <w:szCs w:val="20"/>
          <w:color w:val="auto"/>
        </w:rPr>
      </w:pPr>
      <w:r>
        <w:rPr>
          <w:rFonts w:ascii="Arial" w:cs="Arial" w:eastAsia="Arial" w:hAnsi="Arial"/>
          <w:sz w:val="16"/>
          <w:szCs w:val="16"/>
          <w:color w:val="auto"/>
        </w:rPr>
        <w:t>These materials contain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Words such as “believes,” “forward,” “opportunities,” “plans,” “priorities,” “goals,” “future,” “will,” or the negative version of these words or other comparable words or similar expressions are used to identify these forward-looking statements. Actual results may differ materially from these expectations due to changes in global, regional, or local economic, business, competitive, market, regulatory and other factors,</w:t>
      </w:r>
    </w:p>
    <w:p>
      <w:pPr>
        <w:spacing w:after="0" w:line="20" w:lineRule="exact"/>
        <w:rPr>
          <w:sz w:val="20"/>
          <w:szCs w:val="20"/>
          <w:color w:val="auto"/>
        </w:rPr>
      </w:pPr>
      <w:r>
        <w:rPr>
          <w:sz w:val="20"/>
          <w:szCs w:val="20"/>
          <w:color w:val="auto"/>
        </w:rPr>
        <w:br w:type="column"/>
      </w:r>
    </w:p>
    <w:p>
      <w:pPr>
        <w:jc w:val="both"/>
        <w:ind w:right="686"/>
        <w:spacing w:after="0" w:line="317" w:lineRule="auto"/>
        <w:rPr>
          <w:sz w:val="20"/>
          <w:szCs w:val="20"/>
          <w:color w:val="auto"/>
        </w:rPr>
      </w:pPr>
      <w:r>
        <w:rPr>
          <w:rFonts w:ascii="Arial" w:cs="Arial" w:eastAsia="Arial" w:hAnsi="Arial"/>
          <w:sz w:val="16"/>
          <w:szCs w:val="16"/>
          <w:color w:val="auto"/>
        </w:rPr>
        <w:t>many of which are beyond Academy’s control. Important factors that could cause actual results to differ materially from those in the forward-looking statements are set forth in Academy’s filings with the U.S. Securities and Exchange Commission (the “SEC”), including Academy’s Annual Report on Form 10-K under the caption “Risk Factors,” as may be updated from time to time in our periodic filings with the SEC. Any forward-looking statement in these materials speaks only as of the date released. Academy’s undertakes no obligation to publicly update or review any forward-looking statement, whether as a result of new information, future developments, or otherwise, except as may be required by any applicable securities laws.</w:t>
      </w:r>
    </w:p>
    <w:p>
      <w:pPr>
        <w:sectPr>
          <w:pgSz w:w="12240" w:h="15480" w:orient="portrait"/>
          <w:cols w:equalWidth="0" w:num="2">
            <w:col w:w="4720" w:space="300"/>
            <w:col w:w="5386"/>
          </w:cols>
          <w:pgMar w:left="1080" w:top="1440" w:right="754" w:bottom="1440" w:gutter="0" w:footer="0" w:header="0"/>
          <w:type w:val="continuous"/>
        </w:sectPr>
      </w:pPr>
    </w:p>
    <w:bookmarkStart w:id="121" w:name="page122"/>
    <w:bookmarkEnd w:id="121"/>
    <w:p>
      <w:pPr>
        <w:jc w:val="both"/>
        <w:spacing w:after="0" w:line="31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9829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3">
                      <a:extLst>
                        <a:ext uri="{28A0092B-C50C-407E-A947-70E740481C1C}"/>
                      </a:extLst>
                    </a:blip>
                    <a:srcRect/>
                    <a:stretch>
                      <a:fillRect/>
                    </a:stretch>
                  </pic:blipFill>
                  <pic:spPr bwMode="auto">
                    <a:xfrm>
                      <a:off x="0" y="0"/>
                      <a:ext cx="7772400" cy="9829800"/>
                    </a:xfrm>
                    <a:prstGeom prst="rect">
                      <a:avLst/>
                    </a:prstGeom>
                    <a:noFill/>
                  </pic:spPr>
                </pic:pic>
              </a:graphicData>
            </a:graphic>
          </wp:anchor>
        </w:drawing>
      </w:r>
    </w:p>
    <w:sectPr>
      <w:pgSz w:w="1224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2"/>
    </w:lvl>
  </w:abstractNum>
  <w:abstractNum w:abstractNumId="2">
    <w:nsid w:val="5072367"/>
    <w:multiLevelType w:val="hybridMultilevel"/>
    <w:lvl w:ilvl="0">
      <w:lvlJc w:val="left"/>
      <w:lvlText w:val="(%1)"/>
      <w:numFmt w:val="decimal"/>
      <w:start w:val="3"/>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lowerLetter"/>
      <w:start w:val="1"/>
    </w:lvl>
    <w:lvl w:ilvl="1">
      <w:lvlJc w:val="left"/>
      <w:lvlText w:val="(%2)"/>
      <w:numFmt w:val="decimal"/>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2"/>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3"/>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decimal"/>
      <w:start w:val="5"/>
    </w:lvl>
  </w:abstractNum>
  <w:abstractNum w:abstractNumId="56">
    <w:nsid w:val="77AE35EB"/>
    <w:multiLevelType w:val="hybridMultilevel"/>
    <w:lvl w:ilvl="0">
      <w:lvlJc w:val="left"/>
      <w:lvlText w:val="%1."/>
      <w:numFmt w:val="decimal"/>
      <w:start w:val="6"/>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decimal"/>
      <w:start w:val="7"/>
    </w:lvl>
  </w:abstractNum>
  <w:abstractNum w:abstractNumId="59">
    <w:nsid w:val="5FF87E05"/>
    <w:multiLevelType w:val="hybridMultilevel"/>
    <w:lvl w:ilvl="0">
      <w:lvlJc w:val="left"/>
      <w:lvlText w:val="%1."/>
      <w:numFmt w:val="decimal"/>
      <w:start w:val="8"/>
    </w:lvl>
  </w:abstractNum>
  <w:abstractNum w:abstractNumId="60">
    <w:nsid w:val="2F305DEF"/>
    <w:multiLevelType w:val="hybridMultilevel"/>
    <w:lvl w:ilvl="0">
      <w:lvlJc w:val="left"/>
      <w:lvlText w:val="%1."/>
      <w:numFmt w:val="decimal"/>
      <w:start w:val="9"/>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
    </w:lvl>
    <w:lvl w:ilvl="1">
      <w:lvlJc w:val="left"/>
      <w:lvlText w:val="(%2)"/>
      <w:numFmt w:val="decimal"/>
      <w:start w:val="1"/>
    </w:lvl>
  </w:abstractNum>
  <w:abstractNum w:abstractNumId="65">
    <w:nsid w:val="1381823A"/>
    <w:multiLevelType w:val="hybridMultilevel"/>
    <w:lvl w:ilvl="0">
      <w:lvlJc w:val="left"/>
      <w:lvlText w:val="%1."/>
      <w:numFmt w:val="decimal"/>
      <w:start w:val="13"/>
    </w:lvl>
    <w:lvl w:ilvl="1">
      <w:lvlJc w:val="left"/>
      <w:lvlText w:val="%2"/>
      <w:numFmt w:val="decimal"/>
      <w:start w:val="1"/>
    </w:lvl>
  </w:abstractNum>
  <w:abstractNum w:abstractNumId="66">
    <w:nsid w:val="5DB70AE5"/>
    <w:multiLevelType w:val="hybridMultilevel"/>
    <w:lvl w:ilvl="0">
      <w:lvlJc w:val="left"/>
      <w:lvlText w:val="%1."/>
      <w:numFmt w:val="decimal"/>
      <w:start w:val="15"/>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2024-04-19T18:08:50Z</dcterms:created>
  <dcterms:modified xsi:type="dcterms:W3CDTF">2024-04-19T18:08:50Z</dcterms:modified>
</cp:coreProperties>
</file>