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wf-form4_168297435796757.xml.htm"/>
      <w:bookmarkStart w:id="1" w:name="kswfform4_168297435796757"/>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pPr>
                  <w:hyperlink r:id="rId3">
                    <w:r>
                      <w:rPr>
                        <w:rStyle w:val="InternetLink"/>
                      </w:rPr>
                      <w:t>HICKS KEN 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ACADEMY SPORTS AND OUTDOORS, INC.</w:t>
                  </w:r>
                </w:p>
              </w:tc>
            </w:tr>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1800 NORTH MASON ROAD</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KATY</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77449</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Academy Sports &amp; Outdoors, Inc.</w:t>
              </w:r>
            </w:hyperlink>
            <w:r>
              <w:rPr/>
              <w:t xml:space="preserve"> [ </w:t>
            </w:r>
            <w:r>
              <w:rPr>
                <w:rFonts w:ascii="Times;serif" w:hAnsi="Times;serif"/>
                <w:color w:val="0000FF"/>
                <w:sz w:val="24"/>
                <w:highlight w:val="white"/>
              </w:rPr>
              <w:t>ASO</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23"/>
              <w:gridCol w:w="988"/>
              <w:gridCol w:w="423"/>
              <w:gridCol w:w="989"/>
            </w:tblGrid>
            <w:tr>
              <w:trPr/>
              <w:tc>
                <w:tcPr>
                  <w:tcW w:w="423"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Chairman, President and CEO</w:t>
                  </w:r>
                  <w:r>
                    <w:rPr/>
                    <w:t xml:space="preserve"> </w:t>
                  </w:r>
                </w:p>
              </w:tc>
            </w:tr>
          </w:tbl>
          <w:p>
            <w:pPr>
              <w:pStyle w:val="TableContents"/>
              <w:spacing w:before="0" w:after="283"/>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04/30/2023</w:t>
            </w:r>
            <w:r>
              <w:rPr/>
              <w:t xml:space="preserve"> </w:t>
            </w:r>
          </w:p>
        </w:tc>
        <w:tc>
          <w:tcPr>
            <w:tcW w:w="2943"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22"/>
              <w:gridCol w:w="2401"/>
            </w:tblGrid>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shd w:fill="auto" w:val="clear"/>
                  <w:vAlign w:val="center"/>
                </w:tcPr>
                <w:p>
                  <w:pPr>
                    <w:pStyle w:val="TableContents"/>
                    <w:spacing w:before="0" w:after="283"/>
                    <w:rPr>
                      <w:sz w:val="4"/>
                      <w:szCs w:val="4"/>
                    </w:rPr>
                  </w:pPr>
                  <w:r>
                    <w:rPr>
                      <w:sz w:val="4"/>
                      <w:szCs w:val="4"/>
                    </w:rPr>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6654" w:type="dxa"/>
            <w:gridSpan w:val="3"/>
            <w:tcBorders>
              <w:left w:val="single" w:sz="2" w:space="0" w:color="808080"/>
              <w:bottom w:val="single" w:sz="6" w:space="0" w:color="808080"/>
              <w:right w:val="single" w:sz="6" w:space="0" w:color="808080"/>
            </w:tcBorders>
            <w:shd w:fill="auto" w:val="clear"/>
          </w:tcPr>
          <w:tbl>
            <w:tblPr>
              <w:tblW w:w="5000" w:type="pct"/>
              <w:jc w:val="left"/>
              <w:tblInd w:w="0" w:type="dxa"/>
              <w:tblCellMar>
                <w:top w:w="0" w:type="dxa"/>
                <w:left w:w="0" w:type="dxa"/>
                <w:bottom w:w="0" w:type="dxa"/>
                <w:right w:w="0" w:type="dxa"/>
              </w:tblCellMar>
            </w:tblPr>
            <w:tblGrid>
              <w:gridCol w:w="6534"/>
            </w:tblGrid>
            <w:tr>
              <w:trPr/>
              <w:tc>
                <w:tcPr>
                  <w:tcW w:w="6534" w:type="dxa"/>
                  <w:tcBorders/>
                  <w:shd w:fill="auto" w:val="clear"/>
                  <w:vAlign w:val="center"/>
                </w:tcPr>
                <w:p>
                  <w:pPr>
                    <w:pStyle w:val="TableContents"/>
                    <w:spacing w:before="0" w:after="283"/>
                    <w:rPr/>
                  </w:pPr>
                  <w:r>
                    <w:rPr/>
                    <w:t>Rule 10b5-1(c) Transaction Indication</w:t>
                  </w:r>
                </w:p>
              </w:tc>
            </w:tr>
          </w:tbl>
          <w:p>
            <w:pPr>
              <w:pStyle w:val="TableContents"/>
              <w:spacing w:before="0" w:after="0"/>
              <w:rPr/>
            </w:pPr>
            <w:r>
              <w:rPr/>
            </w:r>
          </w:p>
          <w:tbl>
            <w:tblPr>
              <w:tblW w:w="5000" w:type="pct"/>
              <w:jc w:val="left"/>
              <w:tblInd w:w="0" w:type="dxa"/>
              <w:tblCellMar>
                <w:top w:w="0" w:type="dxa"/>
                <w:left w:w="0" w:type="dxa"/>
                <w:bottom w:w="0" w:type="dxa"/>
                <w:right w:w="0" w:type="dxa"/>
              </w:tblCellMar>
            </w:tblPr>
            <w:tblGrid>
              <w:gridCol w:w="179"/>
              <w:gridCol w:w="6355"/>
            </w:tblGrid>
            <w:tr>
              <w:trPr/>
              <w:tc>
                <w:tcPr>
                  <w:tcW w:w="179" w:type="dxa"/>
                  <w:tcBorders/>
                  <w:shd w:fill="auto" w:val="clear"/>
                  <w:vAlign w:val="center"/>
                </w:tcPr>
                <w:tbl>
                  <w:tblPr>
                    <w:tblW w:w="266" w:type="dxa"/>
                    <w:jc w:val="left"/>
                    <w:tblInd w:w="0" w:type="dxa"/>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83"/>
                          <w:rPr>
                            <w:color w:val="0000FF"/>
                            <w:highlight w:val="white"/>
                          </w:rPr>
                        </w:pPr>
                        <w:r>
                          <w:rPr>
                            <w:color w:val="0000FF"/>
                            <w:highlight w:val="white"/>
                          </w:rPr>
                          <w:t>  </w:t>
                        </w:r>
                      </w:p>
                    </w:tc>
                  </w:tr>
                </w:tbl>
                <w:p>
                  <w:pPr>
                    <w:pStyle w:val="TableContents"/>
                    <w:spacing w:before="0" w:after="283"/>
                    <w:rPr>
                      <w:sz w:val="4"/>
                      <w:szCs w:val="4"/>
                    </w:rPr>
                  </w:pPr>
                  <w:r>
                    <w:rPr>
                      <w:sz w:val="4"/>
                      <w:szCs w:val="4"/>
                    </w:rPr>
                  </w:r>
                </w:p>
              </w:tc>
              <w:tc>
                <w:tcPr>
                  <w:tcW w:w="635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0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4"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423"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04/30/2023</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5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5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1,244</w:t>
            </w:r>
          </w:p>
        </w:tc>
        <w:tc>
          <w:tcPr>
            <w:tcW w:w="45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75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116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472,694</w:t>
            </w:r>
          </w:p>
        </w:tc>
        <w:tc>
          <w:tcPr>
            <w:tcW w:w="10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04/30/2023</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5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5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1,274</w:t>
            </w:r>
          </w:p>
        </w:tc>
        <w:tc>
          <w:tcPr>
            <w:tcW w:w="45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75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116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473,968</w:t>
            </w:r>
          </w:p>
        </w:tc>
        <w:tc>
          <w:tcPr>
            <w:tcW w:w="10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04/30/2023</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F</w:t>
            </w:r>
          </w:p>
        </w:tc>
        <w:tc>
          <w:tcPr>
            <w:tcW w:w="35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5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1,249</w:t>
            </w:r>
          </w:p>
        </w:tc>
        <w:tc>
          <w:tcPr>
            <w:tcW w:w="45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5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63.52</w:t>
            </w:r>
            <w:r>
              <w:rPr/>
              <w:t xml:space="preserve"> </w:t>
            </w:r>
          </w:p>
        </w:tc>
        <w:tc>
          <w:tcPr>
            <w:tcW w:w="116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472,719</w:t>
            </w:r>
          </w:p>
        </w:tc>
        <w:tc>
          <w:tcPr>
            <w:tcW w:w="100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969" w:type="dxa"/>
        <w:jc w:val="left"/>
        <w:tblInd w:w="0" w:type="dxa"/>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98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0"/>
                <w:highlight w:val="white"/>
              </w:rPr>
              <w:t>Restricted Stock Units</w:t>
            </w:r>
            <w:r>
              <w:rPr>
                <w:rFonts w:ascii="Times;serif" w:hAnsi="Times;serif"/>
                <w:color w:val="008000"/>
                <w:position w:val="7"/>
                <w:sz w:val="16"/>
                <w:sz w:val="20"/>
                <w:highlight w:val="white"/>
              </w:rPr>
              <w:t>(2)</w:t>
            </w:r>
            <w:r>
              <w:rPr/>
              <w:t xml:space="preserve"> </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04/30/2023</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1,244</w:t>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(3)</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03/30/2032</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68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1,244</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45,101</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0"/>
                <w:highlight w:val="white"/>
              </w:rPr>
              <w:t>Restricted Stock Units</w:t>
            </w:r>
            <w:r>
              <w:rPr>
                <w:rFonts w:ascii="Times;serif" w:hAnsi="Times;serif"/>
                <w:color w:val="008000"/>
                <w:position w:val="7"/>
                <w:sz w:val="16"/>
                <w:sz w:val="20"/>
                <w:highlight w:val="white"/>
              </w:rPr>
              <w:t>(2)</w:t>
            </w:r>
            <w:r>
              <w:rPr/>
              <w:t xml:space="preserve"> </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04/30/2023</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1,274</w:t>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(4)</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03/31/2031</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68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1,274</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26,754</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Restricted stock units convert into common stock on a one-for-one basis.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Granted under the Company's 2020 Omnibus Incentive Plan.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On March 30, 2022, the Reporting Person was granted 63,760 performance-based restricted stock units ("PRSUs"). These PRSUs vest if certain performance criteria and/or Issuer stock price conditions are met and certified by the Issuer's compensation committee. On March 1, 2023, the Issuer's compensation committee certified achievement of 93.7% of the performance criteria during fiscal 2022 meaning that 59,713 PRSUs were deemed earned. Of this earned amount, 1/48 of the PRSUs earned will vest for every monthly anniversary since the Vesting Commencement Date (i.e., January 30, 2022), and thereafter, subject to the Reporting Person's continued service with the Issuer through each applicable vesting date. The remaining unearned amount of this grant (i.e., 4,047 PRSUs) may vest upon certification by the Issuer's compensation committee of achievement of certain Issuer stock price conditions as of the fourth anniversary of the Vesting Commencement Date.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On March 31, 2021, the Reporting Person was granted 61,133 performance-based restricted stock units. These performance-based restricted stock units vest if certain performance criteria and/or Issuer stock price conditions are met and certified by the Issuer's compensation committee. Following certification of achievement of the performance criteria during fiscal 2021 by the Issuer's compensation committee on March 2, 2022, 1/48 of the total performance-based restricted stock units granted will vest for every monthly anniversary since the Vesting Commencement Date (i.e., January 31, 2021), and thereafter on each monthly anniversary of the Vesting Commencement Date.</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Gary Holland,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05/01/2023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175746" TargetMode="External"/><Relationship Id="rId4" Type="http://schemas.openxmlformats.org/officeDocument/2006/relationships/hyperlink" Target="http://www.sec.gov/cgi-bin/browse-edgar?action=getcompany&amp;CIK=0001817358"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870</Words>
  <CharactersWithSpaces>5606</CharactersWithSpaces>
  <Paragraphs>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