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Academy Sports and Outdoors,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001-39589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85-1800912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76" w:right="33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Katy, Texas 77449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576" w:right="3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(281) 646-5200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00" w:firstLine="8"/>
        <w:spacing w:after="0" w:line="52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3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8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ASO</w:t>
            </w:r>
          </w:p>
        </w:tc>
        <w:tc>
          <w:tcPr>
            <w:tcW w:w="8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connection with a potential registered offering of shares of common stock of Academy Sports and Outdoors, Inc. (the “Company”) by certain stockholders of the Company, the Company is disclosing selected preliminary, unaudited and estimated financial information for the thirteen-week period ended May 1, 2021 (the “first quarter of 2021”), as set forth below.</w:t>
      </w:r>
    </w:p>
    <w:p>
      <w:pPr>
        <w:spacing w:after="0" w:line="21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estimates that its comparable sales grew approximately 38.9% during the first quarter of 2021. This comparable sales increase was driven primarily by double digit sales growth in all merchandise categories and markets, an increase in average unit retails, an increase in total transactions and the positive impact of government issued stimulus checks. Other business trends during the quarter include the Company’s sales mix shifting to a more normalized level compared to the first quarter of 2020, continuing to operate in a less promotional environment and fewer clearance sales resulting in continued strong margin performance. As of May 1, 2021, the Company operated 259 retail locations in 16 states.</w:t>
      </w:r>
    </w:p>
    <w:p>
      <w:pPr>
        <w:spacing w:after="0" w:line="20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This preliminary financial information is for the first quarter of 2021. The unaudited, estimated results for the first quarter of 2021, are preliminary, based upon the Company’s estimates and currently available information, and are subject to revision based upon, among other things, quarter-end closing procedures and/or adjustments, the completion of the Company’s interim consolidated financial statements and other operational procedures. This preliminary financial information should not be viewed as a substitute for full interim financial statements prepared in accordance with the generally accepted accounting principles in the United States and reviewed by the Company’s auditors. These preliminary results are not necessarily indicative of the results to be achieved for the first quarter of 2021 or any future period. The Company’s actual results may be materially different from its estimates, which should not be regarded as a representation by the Company or its management as to the Company’s actual results for the first quarter of 2021. Readers should not place undue reliance on these estimates. This preliminary financial data has been prepared by, and is the responsibility of, the Company’s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in this Item 2.02 is furnished solely pursuant to Item 2.02 of Form 8-K. Consequently, such information is not deemed “filed” for the purposes of Section 18 of the Securities Exchange Act of 1934, as amended (the “Exchange Act”), or otherwise subject to the liabilities of that section. Further, the information in this Item 2.02 shall not be deemed to be incorporated by reference into any of the Company’s filings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Academy Sports and Outdoors, Inc.</w:t>
            </w: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Date: May 3, 2021</w:t>
            </w:r>
          </w:p>
        </w:tc>
        <w:tc>
          <w:tcPr>
            <w:tcW w:w="5040" w:type="dxa"/>
            <w:vAlign w:val="bottom"/>
            <w:vMerge w:val="restart"/>
          </w:tcPr>
          <w:p>
            <w:pPr>
              <w:spacing w:after="0"/>
              <w:rPr>
                <w:sz w:val="20"/>
                <w:szCs w:val="20"/>
                <w:color w:val="auto"/>
              </w:rPr>
            </w:pPr>
            <w:r>
              <w:rPr>
                <w:rFonts w:ascii="Arial" w:cs="Arial" w:eastAsia="Arial" w:hAnsi="Arial"/>
                <w:sz w:val="18"/>
                <w:szCs w:val="18"/>
                <w:color w:val="auto"/>
              </w:rPr>
              <w:t>/s/ Rene G. Casares</w:t>
            </w:r>
          </w:p>
        </w:tc>
        <w:tc>
          <w:tcPr>
            <w:tcW w:w="0" w:type="dxa"/>
            <w:vAlign w:val="bottom"/>
          </w:tcPr>
          <w:p>
            <w:pPr>
              <w:spacing w:after="0"/>
              <w:rPr>
                <w:sz w:val="1"/>
                <w:szCs w:val="1"/>
                <w:color w:val="auto"/>
              </w:rPr>
            </w:pPr>
          </w:p>
        </w:tc>
      </w:tr>
      <w:tr>
        <w:trPr>
          <w:trHeight w:val="229"/>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Rene G. Casares</w:t>
            </w:r>
          </w:p>
        </w:tc>
        <w:tc>
          <w:tcPr>
            <w:tcW w:w="0" w:type="dxa"/>
            <w:vAlign w:val="bottom"/>
          </w:tcPr>
          <w:p>
            <w:pPr>
              <w:spacing w:after="0"/>
              <w:rPr>
                <w:sz w:val="1"/>
                <w:szCs w:val="1"/>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35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2021-05-03T15:28:14Z</dcterms:created>
  <dcterms:modified xsi:type="dcterms:W3CDTF">2021-05-03T15:28:14Z</dcterms:modified>
</cp:coreProperties>
</file>