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139700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145415</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880" w:space="720"/>
            <w:col w:w="2660" w:space="720"/>
            <w:col w:w="2180"/>
          </w:cols>
          <w:pgMar w:left="340" w:top="743" w:right="3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800" w:space="720"/>
            <w:col w:w="2500" w:space="720"/>
            <w:col w:w="2420"/>
          </w:cols>
          <w:pgMar w:left="340" w:top="743"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940" w:space="720"/>
            <w:col w:w="2300" w:space="720"/>
            <w:col w:w="2480"/>
          </w:cols>
          <w:pgMar w:left="340" w:top="743" w:right="39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133350</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ASO</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600"/>
        <w:spacing w:after="0" w:line="242" w:lineRule="auto"/>
        <w:rPr>
          <w:sz w:val="20"/>
          <w:szCs w:val="20"/>
          <w:color w:val="auto"/>
        </w:rPr>
      </w:pPr>
      <w:r>
        <w:rPr>
          <w:rFonts w:ascii="Times New Roman" w:cs="Times New Roman" w:eastAsia="Times New Roman" w:hAnsi="Times New Roman"/>
          <w:sz w:val="18"/>
          <w:szCs w:val="18"/>
          <w:color w:val="auto"/>
        </w:rPr>
        <w:t>On March 6, 2025, the Board of Directors (the “Board”) of Academy Sports and Outdoors, Inc. (the “Company”) amended and restated, effective immediately, the amended and restated bylaws of the Company (the “Bylaws” and, as so further amended and restated, the “Amended and Restated Bylaws”) to reflect the amendments summarized below.</w:t>
      </w:r>
    </w:p>
    <w:p>
      <w:pPr>
        <w:spacing w:after="0" w:line="19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Specifically, the Amended and Restated Bylaws amend Section 3.05, which includes language relating to board vacancies, and Section 9.01, which includes the voting standard for Bylaw amendments by stockholders, in each case, to instead refer to the relevant language in the Amended and Restated Certificate of Incorporation of the Company (the “Certificate”). The foregoing description of the Amended and Restated Bylaws is qualified in its entirety by reference to the Amended and Restated Bylaws, which are filed as Exhibit 3.1 to this Current Report on Form 8-K and incorporated herein by reference.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The Board approved the Amended and Restated Bylaws in advance of the Company’s 2025 Annual Meeting of Stockholders (“2025 Annual Meeting”), at which the Company intends to seek stockholder approval of various management proposals, including, among other things, proposals to amend the Certificate to (i) declassify the Board by 2028 by phasing in annual director elections starting with the Company’s 2026 Annual Meeting of Stockholders; and (ii) remove the supermajority voting requirements for stockholders to amend certain Certificate provisions and the Bylaws. The details of the proposed amendments are expected to be disclosed in the Company’s definitive proxy statement for its 2025 Annual Meeting, to be filed with the Securities and Exchange Commission (the “SEC”) within 120 days of the Company’s fiscal year end.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These forward-looking statements are based on the Company’s current expectations and are not guarantees of future performance. Words such as “outlook,” “guidance,” “anticipates,” “assume,” “believes,” “continues,” “could,” “estimates,” “expects,” “intends,” “may,” “plans,” “potential,” “predicts,” “projects,” “future,” “will,” “seeks,” “foreseeable,” or the negative version of these words or other comparable words or similar expressions are used to identify these forward-looking statements. In particular, forward-looking statements include, but are not limited to, statements we make about the Company’s upcoming 2025 Annual Meeting and potential proposals we intend to submit for a stockholder vote at the 2025 Annual Meeting. Actual results may differ materially from these expectations due to changes in global, regional, or local economic, business, competitive, market, regulatory and other factors, many of which are beyond the Company’s control. Important factors that could cause actual results to differ materially from those in the forward-looking statements are set forth in the Company’s filings with the SEC, including our Annual Report on Form 10-K for the fiscal year ended February 1, 2025 under the caption “Risk Factors,” as may be updated from time to time in our periodic filings with the SEC. Any forward-looking statement in these materials speaks only as of the date released. The Company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sz w:val="20"/>
          <w:szCs w:val="20"/>
          <w:color w:val="auto"/>
        </w:rPr>
      </w:pPr>
    </w:p>
    <w:p>
      <w:pPr>
        <w:ind w:left="72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63" w:lineRule="exact"/>
        <w:rPr>
          <w:sz w:val="20"/>
          <w:szCs w:val="20"/>
          <w:color w:val="auto"/>
        </w:rPr>
      </w:pPr>
    </w:p>
    <w:p>
      <w:pPr>
        <w:ind w:left="1560"/>
        <w:spacing w:after="0"/>
        <w:tabs>
          <w:tab w:leader="none" w:pos="2160" w:val="left"/>
        </w:tabs>
        <w:rPr>
          <w:sz w:val="20"/>
          <w:szCs w:val="20"/>
          <w:color w:val="auto"/>
        </w:rPr>
      </w:pPr>
      <w:r>
        <w:rPr>
          <w:rFonts w:ascii="Times New Roman" w:cs="Times New Roman" w:eastAsia="Times New Roman" w:hAnsi="Times New Roman"/>
          <w:sz w:val="20"/>
          <w:szCs w:val="20"/>
          <w:u w:val="single" w:color="auto"/>
          <w:color w:val="0000FF"/>
        </w:rPr>
        <w:t>3.1</w:t>
      </w:r>
      <w:r>
        <w:rPr>
          <w:sz w:val="20"/>
          <w:szCs w:val="20"/>
          <w:color w:val="auto"/>
        </w:rPr>
        <w:tab/>
      </w:r>
      <w:r>
        <w:rPr>
          <w:rFonts w:ascii="Times New Roman" w:cs="Times New Roman" w:eastAsia="Times New Roman" w:hAnsi="Times New Roman"/>
          <w:sz w:val="17"/>
          <w:szCs w:val="17"/>
          <w:color w:val="auto"/>
        </w:rPr>
        <w:t>Amended and Restated Bylaws of Academy Sports and Outdoors, Inc.</w:t>
      </w:r>
    </w:p>
    <w:p>
      <w:pPr>
        <w:spacing w:after="0" w:line="99" w:lineRule="exact"/>
        <w:rPr>
          <w:sz w:val="20"/>
          <w:szCs w:val="20"/>
          <w:color w:val="auto"/>
        </w:rPr>
      </w:pPr>
    </w:p>
    <w:p>
      <w:pPr>
        <w:ind w:left="2180" w:hanging="660"/>
        <w:spacing w:after="0"/>
        <w:tabs>
          <w:tab w:leader="none" w:pos="21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67" w:lineRule="exact"/>
        <w:rPr>
          <w:rFonts w:ascii="Times New Roman" w:cs="Times New Roman" w:eastAsia="Times New Roman" w:hAnsi="Times New Roman"/>
          <w:sz w:val="19"/>
          <w:szCs w:val="19"/>
          <w:color w:val="auto"/>
        </w:rPr>
      </w:pPr>
    </w:p>
    <w:p>
      <w:pPr>
        <w:ind w:left="5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 w:name="page4"/>
    <w:bookmarkEnd w:id="3"/>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61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ACADEMY SPORTS AND OUTDOORS, INC.</w:t>
            </w:r>
          </w:p>
        </w:tc>
      </w:tr>
      <w:tr>
        <w:trPr>
          <w:trHeight w:val="63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March 7, 2025</w:t>
            </w:r>
          </w:p>
        </w:tc>
        <w:tc>
          <w:tcPr>
            <w:tcW w:w="18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Rene G. Casares</w:t>
            </w:r>
          </w:p>
        </w:tc>
      </w:tr>
      <w:tr>
        <w:trPr>
          <w:trHeight w:val="27"/>
        </w:trPr>
        <w:tc>
          <w:tcPr>
            <w:tcW w:w="2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18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 G. Casares</w:t>
            </w:r>
          </w:p>
        </w:tc>
      </w:tr>
      <w:tr>
        <w:trPr>
          <w:trHeight w:val="252"/>
        </w:trPr>
        <w:tc>
          <w:tcPr>
            <w:tcW w:w="2240" w:type="dxa"/>
            <w:vAlign w:val="bottom"/>
          </w:tcPr>
          <w:p>
            <w:pPr>
              <w:spacing w:after="0"/>
              <w:rPr>
                <w:sz w:val="21"/>
                <w:szCs w:val="21"/>
                <w:color w:val="auto"/>
              </w:rPr>
            </w:pPr>
          </w:p>
        </w:tc>
        <w:tc>
          <w:tcPr>
            <w:tcW w:w="18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w:t>
            </w:r>
          </w:p>
        </w:tc>
      </w:tr>
      <w:tr>
        <w:trPr>
          <w:trHeight w:val="234"/>
        </w:trPr>
        <w:tc>
          <w:tcPr>
            <w:tcW w:w="2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2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and registered agent of Academy Sports and Outdoors,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in the State of Delaware shall be as set forth in the Amended and Restated Certificate of Incorporation (as defined below). The Corporation may also have offices in such other places in the United States or elsewhere (and may change the Corporation’s registered agent) as the Board of Directors of the Corporation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may, from time to time, determine or as the business of the Corporation may require.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2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Annual meetings of stockholders may be held at such place, if any, either within or without the State of Delaware, and at such time and date as the Board of Directors shall determine and state in the notice of meeting. The Board of Directors may, in its sole discretion, determine that annual meetings of stockholders shall not be held at any place, but may instead be held solely by means of remote communication as described in Section 2.11 of these Amended and Restated Bylaws in accordance with Section 211(a)(2) of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The Board of Directors may postpone, reschedule or cancel any annual meeting of stockholders previously scheduled by the Board of Directors.</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stockholders may only be called in the manner provided in the Corporation’s amended and restated certificate of incorporation as then in effect (as the same may be amended and/or restated from time to time, the “</w:t>
      </w:r>
      <w:r>
        <w:rPr>
          <w:rFonts w:ascii="Times New Roman" w:cs="Times New Roman" w:eastAsia="Times New Roman" w:hAnsi="Times New Roman"/>
          <w:sz w:val="22"/>
          <w:szCs w:val="22"/>
          <w:u w:val="single" w:color="auto"/>
          <w:color w:val="auto"/>
        </w:rPr>
        <w:t>Amended and Restated Certificate of Incorporation</w:t>
      </w:r>
      <w:r>
        <w:rPr>
          <w:rFonts w:ascii="Times New Roman" w:cs="Times New Roman" w:eastAsia="Times New Roman" w:hAnsi="Times New Roman"/>
          <w:sz w:val="22"/>
          <w:szCs w:val="22"/>
          <w:color w:val="auto"/>
        </w:rPr>
        <w:t>”) and may be held at such place, if any, either within or without the State of Delaware, and at such time and date as the Board of Directors or the Chairman of the Board of Directors shall determine and state in the notice of meeting. The Board of Directors may, in its sole discretion, determine that special meetings of stockholders shall not be held at any place, but may instead be held solely by means of remote communication as described in Section 2.11 of these Amended and Restated Bylaws in accordance with Section 211(a)(2) of the DGCL. The Board of Directors may postpone,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03.06.2025</w:t>
      </w:r>
    </w:p>
    <w:p>
      <w:pPr>
        <w:sectPr>
          <w:pgSz w:w="11900" w:h="16838" w:orient="portrait"/>
          <w:cols w:equalWidth="0" w:num="1">
            <w:col w:w="11240"/>
          </w:cols>
          <w:pgMar w:left="320" w:top="122" w:right="339" w:bottom="1440" w:gutter="0" w:footer="0" w:header="0"/>
        </w:sectPr>
      </w:pPr>
    </w:p>
    <w:bookmarkStart w:id="5" w:name="page6"/>
    <w:bookmarkEnd w:id="5"/>
    <w:p>
      <w:pPr>
        <w:spacing w:after="0" w:line="271" w:lineRule="auto"/>
        <w:rPr>
          <w:sz w:val="20"/>
          <w:szCs w:val="20"/>
          <w:color w:val="auto"/>
        </w:rPr>
      </w:pPr>
      <w:r>
        <w:rPr>
          <w:rFonts w:ascii="Times New Roman" w:cs="Times New Roman" w:eastAsia="Times New Roman" w:hAnsi="Times New Roman"/>
          <w:sz w:val="22"/>
          <w:szCs w:val="22"/>
          <w:color w:val="auto"/>
        </w:rPr>
        <w:t>reschedule or cancel any special meeting of stockholders previously scheduled by the Board of Directors or the Chairman of the Board of Directors.</w:t>
      </w:r>
    </w:p>
    <w:p>
      <w:pPr>
        <w:spacing w:after="0" w:line="158"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1"/>
          <w:szCs w:val="21"/>
          <w:u w:val="single" w:color="auto"/>
          <w:color w:val="auto"/>
        </w:rPr>
        <w:t>Notice of Stockholder Business and Nominations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820" w:hanging="516"/>
        <w:spacing w:after="0"/>
        <w:tabs>
          <w:tab w:leader="none" w:pos="18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 of Stockholders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65" w:lineRule="auto"/>
        <w:tabs>
          <w:tab w:leader="none" w:pos="189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Nominations of persons for election to the Board of Directors and the proposal of other business to be considered by the stockholders may be made at an annual meeting of stockholders only (a) pursuant to the Corporation’s notice of meeting (or any supplement thereto) delivered pursuant to Section 2.04 of Article II of these Amended and Restated Bylaws, (b) by or at the direction of the Board of Directors or any authorized committee thereof or (c) by any stockholder of the Corporation who is entitled to vote at the meeting, who complied with the notice procedures set forth in paragraphs (A)(2) and (A)(3) of this Section 2.03 and who was a stockholder of record at the time such notice is delivered to the Secretary of the Corporation.</w:t>
      </w:r>
    </w:p>
    <w:p>
      <w:pPr>
        <w:spacing w:after="0" w:line="168" w:lineRule="exact"/>
        <w:rPr>
          <w:rFonts w:ascii="Times New Roman" w:cs="Times New Roman" w:eastAsia="Times New Roman" w:hAnsi="Times New Roman"/>
          <w:sz w:val="21"/>
          <w:szCs w:val="21"/>
          <w:color w:val="auto"/>
        </w:rPr>
      </w:pPr>
    </w:p>
    <w:p>
      <w:pPr>
        <w:jc w:val="both"/>
        <w:ind w:firstLine="1304"/>
        <w:spacing w:after="0" w:line="247" w:lineRule="auto"/>
        <w:tabs>
          <w:tab w:leader="none" w:pos="176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nominations or other business to be properly brought before an annual meeting by a stockholder pursuant to clause (c) of paragraph (A)(1) of this Section 2.03, the stockholder must have given timely notice thereof in writing to the Secretary of the Corporation, and, in the case of business other than nominations of persons for election to the Board of Directors, such other business must constitute a proper matter for stockholder action. To be timely, a stockholder’s notice shall be delivered to the Secretary of the Corporation at the principal executive offices of the Corporation not later than the close of business (as defined below) on the ninetieth (90th) day and not earlier than the close of business on the one hundred and twentieth (120th) day prior to the date of the first anniversary of the preceding year’s annual meeting;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the event that the date of the annual meeting is advanced by more than thirty (30) days or delayed by more than seventy (70) days from the anniversary date of the previous year’s meeting, or, if no annual meeting was held in the preceding year, notice by the stockholder to be timely must be so delivered not earlier than the close of business on the one hundred and twentieth (120th) day prior to such annual meeting and not later than the close of business on the later of the ninetieth (90th) day prior to such annual meeting or the tenth (10th) day following the day on which public announcement (as defined below) of the date of such meeting is first made by the Corporation. Public announcement of an adjournment or postponement of an annual meeting shall not commence a new time period (or extend any time period) for the giving of a stockholder’s notice. Notwithstanding anything in this Section 2.03(A)(2) to the contrary, if the number of directors to be elected to the Board of Directors at an annual meeting is increased and there is no public announcement by the Corporation naming all of the nominees for director or specifying the size of the increased Board of Directors at least one hundred (100) calendar days prior to the first anniversary of the prior year’s annual meeting of stockholders, then a stockholder’s notice required by this Section 2.03 shall be considered timely, but only with respect to nominees for any new positions created by such increase, if it is received by the Secretary of the Corporation not later than the close of business on the tenth (10th) calendar day following the day on which such public announcement is first made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6" w:name="page7"/>
    <w:bookmarkEnd w:id="6"/>
    <w:p>
      <w:pPr>
        <w:jc w:val="both"/>
        <w:ind w:firstLine="1304"/>
        <w:spacing w:after="0" w:line="258" w:lineRule="auto"/>
        <w:tabs>
          <w:tab w:leader="none" w:pos="1757"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stockholder’s notice delivered pursuant to this Section 2.03 shall set forth and include (a) as to each person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Section 14(a)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and the rules and regulations promulgated thereunder, (ii) all fully completed and signed questionnaires prepared by the Corporation (which will be promptly provided following a request therefor), including those questionnaires required of the Corporation’s directors and any other questionnaire the Corporation determines is necessary or advisable to assess whether a nominee will satisfy any qualifications or requirements imposed by the Amended and Restated Certificate of Incorporation or these Amended and Restated Bylaws, any law, rule, regulation or listing standard that may be applicable to the Corporation, and the Corporation’s corporate governance policies and guidelines, and (iii) a written representation and agreement, which shall be signed by such person and pursuant to which such person shall represent and agree that such person: (A) consents to serving as a director if elected and to being named in a proxy statement and form of proxy as a nominee, and currently intends to serve as a director for the full term for which such person is standing for election; (B) is not and will not become a party to any agreement, arrangement or understanding with, and has not given any commitment or assurance to, any person or entity: (1) as to how the person, if elected as a director, will act or vote on any issue or question that has not been disclosed to the Corporation; or (2) that could limit or interfere with the person’s ability to comply, if elected as a director, with such person’s fiduciary duties under applicable law; (C)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and (D)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 (iv) a written statement, not to exceed 500 words, in support of such person;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Amended and Restated Bylaws, the language of the proposed amendment), the reasons for conducting such business at the meeting and any material interest in such business of such stockholder, the beneficial owner, if any, on whose behalf the proposal is made and any proponent persons (as defined below);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that are owned, directly or indirectly, of record by such stockholder and such beneficial owner, (iii) a representation that the stockholder is a holder of record of the stock of the Corporation at the time of the giving of the notice, will be entitled to vote at such meeting and will appear (or have a qualified representative (as defined below) appear) in person or by proxy at the meeting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21"/>
          <w:szCs w:val="21"/>
          <w:color w:val="auto"/>
        </w:rPr>
        <w:t>propose such business or nomination; and (d) as to the stockholder giving the notice and the beneficial owner, if any, on whose behalf the nomination or proposal is made, and if such stockholder or beneficial owner is an entity, as to each director, executive, managing member or control person of such entity, any of their respective affiliates or associates and/or any others acting in concert with any of the foregoing (collectively, “</w:t>
      </w:r>
      <w:r>
        <w:rPr>
          <w:rFonts w:ascii="Times New Roman" w:cs="Times New Roman" w:eastAsia="Times New Roman" w:hAnsi="Times New Roman"/>
          <w:sz w:val="21"/>
          <w:szCs w:val="21"/>
          <w:u w:val="single" w:color="auto"/>
          <w:color w:val="auto"/>
        </w:rPr>
        <w:t>proponent persons</w:t>
      </w:r>
      <w:r>
        <w:rPr>
          <w:rFonts w:ascii="Times New Roman" w:cs="Times New Roman" w:eastAsia="Times New Roman" w:hAnsi="Times New Roman"/>
          <w:sz w:val="21"/>
          <w:szCs w:val="21"/>
          <w:color w:val="auto"/>
        </w:rPr>
        <w:t>”): (i) the class or series and number of shares of stock of the Corporation which are beneficially owned by such stockholder or beneficial owner and by any proponent person as of the date of the notice, (ii) a representation whether the stockholder or the beneficial owner, if any, or any other participant (as defined in Item 4 of Schedule 14A under the Exchange Act) will be or is part of a group that will engage in a solicitation with respect to such nomination or proposal and, if so, whether or not such solicitation will be conducted as an exempt solicitation under Rule 14a-2(b) of the Exchange Act, the name of each participant in such solicitation and the amount of the cost of solicitation that has been and will be borne, directly or indirectly, by each participant in such solicitation and (A) in the case of a proposal of business other than nominations, whether such person or group intends to deliver, through means satisfying each of the conditions that would be applicable to the Corporation under either Rule 14a-16(a) or Rule 14a-16(n) under the Exchange Act, a proxy statement and form of proxy to holders (including any beneficial owners pursuant to Rule 14b-1 and Rule 14b-2 under the Exchange Act) of at least the percentage of the voting power of the Corporation’s outstanding capital stock required under applicable law to approve or adopt the proposal or (B) in the case of any solicitation that is subject to Rule 14a-19 under the Exchange Act, confirming that such person or group will deliver, through means satisfying each of the conditions that would be applicable to the Corporation under either Rule 14a-16(a) or Rule 14a-16(n) under the Exchange Act, a proxy statement and form of proxy to holders (including any beneficial owners pursuant to Rule 14b-1 and Rule 14b-2 of the Exchange Act) of at least 67% of the voting power of the Corporation’s outstanding capital stock entitled to vote generally in the election of directors, (iii) a representation that immediately after soliciting the percentage of stockholders referred to in the representation required under clause (ii)(B) above, such stockholder or beneficial owner will provide the Corporation with documents, which may take the form of a certified statement and documentation from a proxy solicitor, demonstrating that the necessary steps have been taken to deliver a proxy statement and form of proxy to holders of such percentage of the voting power of the Corporation’s outstanding capital stock entitled to vote generally in the election of directors, (iv) a certification regarding whether such stockholder and beneficial owner, if any, have complied with all applicable federal, state and other legal requirements in connection with (A) the stockholder’s and/or beneficial owner’s acquisition of shares of capital stock or other securities of the Corporation and/or (B) the stockholder’s and/or the beneficial owner’s acts or omissions as a stockholder of the Corporation, (v)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(vi)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and if such stockholder or beneficial owner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8" w:name="page9"/>
    <w:bookmarkEnd w:id="8"/>
    <w:p>
      <w:pPr>
        <w:jc w:val="both"/>
        <w:spacing w:after="0" w:line="259" w:lineRule="auto"/>
        <w:rPr>
          <w:sz w:val="20"/>
          <w:szCs w:val="20"/>
          <w:color w:val="auto"/>
        </w:rPr>
      </w:pPr>
      <w:r>
        <w:rPr>
          <w:rFonts w:ascii="Times New Roman" w:cs="Times New Roman" w:eastAsia="Times New Roman" w:hAnsi="Times New Roman"/>
          <w:sz w:val="21"/>
          <w:szCs w:val="21"/>
          <w:color w:val="auto"/>
        </w:rPr>
        <w:t>is an entity, as to each proponent person, including, without limitation any agreements that would be required to be disclosed pursuant to Item 5 or Item 6 of Exchange Act Schedule 13D (regardless of whether the requirement to file a Schedule 13D is applicable), and (vii) a description of any agreement, arrangement or understanding (including without limitation any short positions, performance-related fees, contract to purchase or sell, acquisition or grant of any option, right or warrant to purchase or sell, swap, hedging or pledging transactions, voting rights, dividend rights, borrowed or loaned shares or other instrument) to which any proponent person is a party, the intent or effect of which may be (A) to transfer to or from any proponent person, in whole or in part, any of the economic consequences of ownership of any security of the Corporation, (B) to maintain, increase or decrease the voting power of any proponent person with respect to shares of any class or series of stock of the Corporation and/or</w:t>
      </w:r>
    </w:p>
    <w:p>
      <w:pPr>
        <w:spacing w:after="0" w:line="7" w:lineRule="exact"/>
        <w:rPr>
          <w:sz w:val="20"/>
          <w:szCs w:val="20"/>
          <w:color w:val="auto"/>
        </w:rPr>
      </w:pPr>
    </w:p>
    <w:p>
      <w:pPr>
        <w:jc w:val="both"/>
        <w:ind w:firstLine="8"/>
        <w:spacing w:after="0" w:line="246" w:lineRule="auto"/>
        <w:tabs>
          <w:tab w:leader="none" w:pos="34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of Directors or other business proposed to be brought before a meeting (whether given pursuant to this paragraph (A)(3) or paragraph (B) of this Section 2.03) shall update and supplement such notice from time to time to the extent necessary so that the information provided or required to be provided in such notice shall be true and correct (x) as of the record date for determining the stockholders entitled to notice of the meeting and (y) as of the date that is fifteen (15) days prior to the meeting or any adjournment or postponement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of the Corporation at the principal executive offices of the Corporation not later than five (5) days after the record date for determining the stockholders entitled to notice of the meeting (in the case of any update and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to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185" w:lineRule="exact"/>
        <w:rPr>
          <w:rFonts w:ascii="Times New Roman" w:cs="Times New Roman" w:eastAsia="Times New Roman" w:hAnsi="Times New Roman"/>
          <w:sz w:val="22"/>
          <w:szCs w:val="22"/>
          <w:color w:val="auto"/>
        </w:rPr>
      </w:pPr>
    </w:p>
    <w:p>
      <w:pPr>
        <w:jc w:val="both"/>
        <w:ind w:firstLine="1304"/>
        <w:spacing w:after="0" w:line="253" w:lineRule="auto"/>
        <w:tabs>
          <w:tab w:leader="none" w:pos="2029"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 of Stockholders</w:t>
      </w:r>
      <w:r>
        <w:rPr>
          <w:rFonts w:ascii="Times New Roman" w:cs="Times New Roman" w:eastAsia="Times New Roman" w:hAnsi="Times New Roman"/>
          <w:sz w:val="22"/>
          <w:szCs w:val="22"/>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9" w:name="page10"/>
    <w:bookmarkEnd w:id="9"/>
    <w:p>
      <w:pPr>
        <w:jc w:val="both"/>
        <w:spacing w:after="0" w:line="236" w:lineRule="auto"/>
        <w:rPr>
          <w:sz w:val="20"/>
          <w:szCs w:val="20"/>
          <w:color w:val="auto"/>
        </w:rPr>
      </w:pPr>
      <w:r>
        <w:rPr>
          <w:rFonts w:ascii="Times New Roman" w:cs="Times New Roman" w:eastAsia="Times New Roman" w:hAnsi="Times New Roman"/>
          <w:sz w:val="22"/>
          <w:szCs w:val="22"/>
          <w:color w:val="auto"/>
        </w:rPr>
        <w:t>that directors shall be elected at such meeting, by any stockholder of the Corporation who is entitled to vote at the meeting, who (subject to paragraph (C)(4) of this Section 2.03) complies with the notice procedures set forth in this Section 2.03 and who is a stockholder of record at the time such notice is delivered to the Secretary of the Corporation. In the event a special meeting of stockholders is called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as required by paragraph (A)(2) of this Section 2.03 shall be delivered to the Secretary at the principal executive offices of the Corporation not earlier than the close of business on the one hundred twentieth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special meeting and not later than the close of business on the later of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such special meeting or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200" w:lineRule="exact"/>
        <w:rPr>
          <w:sz w:val="20"/>
          <w:szCs w:val="20"/>
          <w:color w:val="auto"/>
        </w:rPr>
      </w:pPr>
    </w:p>
    <w:p>
      <w:pPr>
        <w:jc w:val="both"/>
        <w:ind w:firstLine="1304"/>
        <w:spacing w:after="0" w:line="248" w:lineRule="auto"/>
        <w:tabs>
          <w:tab w:leader="none" w:pos="182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Except as provided in paragraph (C)(4) of this Section 2.03, only such persons who are nominated in accordance with the procedures set forth in this Section 2.03 shall be eligible to serve as directors and only such business shall be conducted at an annual or special meeting of stockholders as shall have been brought before the meeting in accordance with the procedures set forth in this Section 2.03, including providing the information required under this Section 2.03 to the Corporation within the time frames specified herein and complying with the requirements of the Exchange Act. Except as otherwise provided by the DGCL, the Amended and Restated Certificate of Incorporation or these Amended and Restated Bylaws, the chairman of the meeting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Amended and Restated Bylaws and, if any proposed nomination or business is not in compliance with these Amended and Restated Bylaws, shall declare that such defective proposal or nomination shall be disregarded, notwithstanding that proxies in respect of such vote may have been received by the Corporation.</w:t>
      </w:r>
    </w:p>
    <w:p>
      <w:pPr>
        <w:spacing w:after="0" w:line="198" w:lineRule="exact"/>
        <w:rPr>
          <w:sz w:val="20"/>
          <w:szCs w:val="20"/>
          <w:color w:val="auto"/>
        </w:rPr>
      </w:pPr>
    </w:p>
    <w:p>
      <w:pPr>
        <w:jc w:val="both"/>
        <w:ind w:firstLine="1304"/>
        <w:spacing w:after="0" w:line="248" w:lineRule="auto"/>
        <w:tabs>
          <w:tab w:leader="none" w:pos="181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and time of the opening and the closing of the polls for each matter upon which the stockholders will vote at a meeting shall be announced at the meeting by the chairman of the meeting. The Board of Directors may adopt by resolution such rules and regulations for the conduct of the meeting of stockholders as it shall deem appropriate. Except to the extent inconsistent with such rules and regulations as adopted by the Board of Directors, the chairman of the meeting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(a) the establishment of an agenda or order of business for the meeting; (b) rules and procedures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0" w:name="page11"/>
    <w:bookmarkEnd w:id="10"/>
    <w:p>
      <w:pPr>
        <w:jc w:val="both"/>
        <w:spacing w:after="0" w:line="247" w:lineRule="auto"/>
        <w:rPr>
          <w:sz w:val="20"/>
          <w:szCs w:val="20"/>
          <w:color w:val="auto"/>
        </w:rPr>
      </w:pPr>
      <w:r>
        <w:rPr>
          <w:rFonts w:ascii="Times New Roman" w:cs="Times New Roman" w:eastAsia="Times New Roman" w:hAnsi="Times New Roman"/>
          <w:sz w:val="22"/>
          <w:szCs w:val="22"/>
          <w:color w:val="auto"/>
        </w:rPr>
        <w:t>maintaining order at the meeting and the safety of those present; (c) limitations on attendance at or participation in the meeting to stockholders entitled to vote at the meeting,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Notwithstanding the foregoing provisions of this Section 2.03, unless otherwise required by the DGCL,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Section 2.03,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Unless and to the extent determined by the Board of Directors or the chairman of the meeting, meetings of stockholders shall not be required to be held in accordance with the rules of parliamentary procedure.</w:t>
      </w:r>
    </w:p>
    <w:p>
      <w:pPr>
        <w:spacing w:after="0" w:line="203" w:lineRule="exact"/>
        <w:rPr>
          <w:sz w:val="20"/>
          <w:szCs w:val="20"/>
          <w:color w:val="auto"/>
        </w:rPr>
      </w:pPr>
    </w:p>
    <w:p>
      <w:pPr>
        <w:jc w:val="both"/>
        <w:ind w:firstLine="1304"/>
        <w:spacing w:after="0" w:line="250" w:lineRule="auto"/>
        <w:tabs>
          <w:tab w:leader="none" w:pos="176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used in these Amended and Restated Bylaws, the “</w:t>
      </w:r>
      <w:r>
        <w:rPr>
          <w:rFonts w:ascii="Times New Roman" w:cs="Times New Roman" w:eastAsia="Times New Roman" w:hAnsi="Times New Roman"/>
          <w:sz w:val="22"/>
          <w:szCs w:val="22"/>
          <w:u w:val="single" w:color="auto"/>
          <w:color w:val="auto"/>
        </w:rPr>
        <w:t>close of business</w:t>
      </w:r>
      <w:r>
        <w:rPr>
          <w:rFonts w:ascii="Times New Roman" w:cs="Times New Roman" w:eastAsia="Times New Roman" w:hAnsi="Times New Roman"/>
          <w:sz w:val="22"/>
          <w:szCs w:val="22"/>
          <w:color w:val="auto"/>
        </w:rPr>
        <w:t>” shall mean 6:00 p.m. eastern time at the principal executive offices of the Corporation on any calendar day, whether or not the day is a business day and “</w:t>
      </w:r>
      <w:r>
        <w:rPr>
          <w:rFonts w:ascii="Times New Roman" w:cs="Times New Roman" w:eastAsia="Times New Roman" w:hAnsi="Times New Roman"/>
          <w:sz w:val="22"/>
          <w:szCs w:val="22"/>
          <w:u w:val="single" w:color="auto"/>
          <w:color w:val="auto"/>
        </w:rPr>
        <w:t>public announcement</w:t>
      </w:r>
      <w:r>
        <w:rPr>
          <w:rFonts w:ascii="Times New Roman" w:cs="Times New Roman" w:eastAsia="Times New Roman" w:hAnsi="Times New Roman"/>
          <w:sz w:val="22"/>
          <w:szCs w:val="22"/>
          <w:color w:val="auto"/>
        </w:rPr>
        <w:t xml:space="preserve">” shall mean disclosure (a) in a press release released by the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press release is released by the Corporation following its customary procedures, is reported by the Dow Jones News Service, Associated Press or comparable national news service, or is generally available on internet news sites, or (b) in a document publicly filed by the Corporation with the Securities and Exchange Commission pursuant to Section 13, 14 or 15(d) of the Exchange Act and the rules and regulations promulgated thereunder.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93"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Section 2.03, a stockholder shall also comply with all applicable requirements of the Exchange Act and the rules and regulations promulgated thereunder with respect to the matters set forth in this Section 2.03;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to the fullest extent permitted by law, any references in these Amended and Restated Bylaws to the Exchange Act or the rules and regulations promulgated thereunder are not intended to and shall not limit any requirements applicable to nominations or proposals as to any other business to be considered pursuant to these Amended and Restated Bylaws (including paragraphs (A)(1)(c) and (B) of this Section 2.03), and compliance with paragraphs (A)(1)(c) and (B) of this Section 2.03 shall be the exclusive means for a stockholder to make nominations or submit other business (other than a proposal included in the Corporation’s proxy statement pursuant to and in compliance with Rule 14a-8 under the Exchange Act). Nothing in these Amended and Restated Bylaws shall be deemed to affect any rights of the holders of any class or series of stock having a preference over the Common Stock as to dividends or upon liquidation to elect directors under specified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1" w:name="page12"/>
    <w:bookmarkEnd w:id="11"/>
    <w:p>
      <w:pPr>
        <w:ind w:firstLine="1304"/>
        <w:spacing w:after="0" w:line="271" w:lineRule="auto"/>
        <w:tabs>
          <w:tab w:leader="none" w:pos="177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stockholder directly or indirectly soliciting proxies from other stockholders must use a proxy card color other than white, which shall be reserved for the exclusive use for solicitation by the Board of Directors.</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Whenever stockholders are required or permitted to take any action at a meeting, a timely notice in writing or by electronic transmission, in the manner provided in Section 232 of the DGCL, of the meeting, which shall state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purposes for which the meeting is called, shall be mailed or transmitted electronically by the Secretary of the Corporation to each stockholder of record entitled to vote thereat as of the record date for determining the stockholders entitled to notice of the meeting. Unless otherwise provided by law, the Amended and Restated Certificate of Incorporation or these Amended and Restated Bylaws, the notice of any meeting shall be given not less than ten (10) nor more than sixty (60) days before the date of the meeting to each stockholder entitled to vote at such meeting as of the record date for determining the stockholders entitled to notice of the meeting.</w:t>
      </w:r>
    </w:p>
    <w:p>
      <w:pPr>
        <w:spacing w:after="0" w:line="18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Unless otherwise required by law, the Amended and Restated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 all meetings of stockholders.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Except as otherwise provided by or pursuant to the provisions of the Amended and Restated Certificate of Incorporation, each stockholder entitled to vote at any meeting of stockholders shall be entitled to one vote for each share of stock held by such stockholder that has voting power upon the matter in question. Each stockholder entitled to vote at a meeting of stockholders or to express consent to corporate action in writing without a meeting may authorize another person or persons to act for such stockholder by proxy in any manner provided under Section 212(c) of the DGCL or as otherwise provided by applicable law, but no such proxy shall be voted or acted upon after three (3)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of the Corporation a revocation of the proxy or a new proxy bearing a later date. Unless required by the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48" w:lineRule="auto"/>
        <w:rPr>
          <w:sz w:val="20"/>
          <w:szCs w:val="20"/>
          <w:color w:val="auto"/>
        </w:rPr>
      </w:pPr>
      <w:r>
        <w:rPr>
          <w:rFonts w:ascii="Times New Roman" w:cs="Times New Roman" w:eastAsia="Times New Roman" w:hAnsi="Times New Roman"/>
          <w:sz w:val="22"/>
          <w:szCs w:val="22"/>
          <w:color w:val="auto"/>
        </w:rPr>
        <w:t>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Amended and Restated Certificate of Incorporation or of these Amended and Restated Bylaws, a different vote is required, in which case such express provision shall govern and control the decision of such question. Notwithstanding the foregoing sentence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Chairman of Meetings</w:t>
      </w:r>
      <w:r>
        <w:rPr>
          <w:rFonts w:ascii="Times New Roman" w:cs="Times New Roman" w:eastAsia="Times New Roman" w:hAnsi="Times New Roman"/>
          <w:sz w:val="22"/>
          <w:szCs w:val="22"/>
          <w:color w:val="auto"/>
        </w:rPr>
        <w:t>. The Chairman of the Board of Directors, if one is elected, or, in his or her absence or disability, the Chief Executive Officer of the Corporation, or in the absence of the Chairman of the Board of Directors and the Chief Executive Officer, a person designated by the Board of Directors shall be the chairman of the meeting and, as such, preside at all meetings of the stockholders.</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Secretary of Meetings</w:t>
      </w:r>
      <w:r>
        <w:rPr>
          <w:rFonts w:ascii="Times New Roman" w:cs="Times New Roman" w:eastAsia="Times New Roman" w:hAnsi="Times New Roman"/>
          <w:sz w:val="22"/>
          <w:szCs w:val="22"/>
          <w:color w:val="auto"/>
        </w:rPr>
        <w:t>. The Secretary of the Corporation shall act as secretary at all meetings of the stockholders. In the absence or disability of the Secretary, the Chairman of the Board of Directors, the Chief Executive Officer or the chairman of the meeting shall appoint a person to act as secretary at such meetings.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Consent of Stockholders in Lieu of Meeting</w:t>
      </w:r>
      <w:r>
        <w:rPr>
          <w:rFonts w:ascii="Times New Roman" w:cs="Times New Roman" w:eastAsia="Times New Roman" w:hAnsi="Times New Roman"/>
          <w:sz w:val="22"/>
          <w:szCs w:val="22"/>
          <w:color w:val="auto"/>
        </w:rPr>
        <w:t>. Any action required or permitted to be taken at any annual or special meeting of stockholders of the Corporation may be taken without a meeting, without prior notice and without a vote only to the extent permitted by and in the manner provided in the Amended and Restated Certificate of Incorporation and in accordance with applicable law.</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Adjournment</w:t>
      </w:r>
      <w:r>
        <w:rPr>
          <w:rFonts w:ascii="Times New Roman" w:cs="Times New Roman" w:eastAsia="Times New Roman" w:hAnsi="Times New Roman"/>
          <w:sz w:val="22"/>
          <w:szCs w:val="22"/>
          <w:color w:val="auto"/>
        </w:rPr>
        <w:t>. At any meeting of stockholders of the Corporation, if less than a quorum be present, the chairman of the meeting or stockholders holding a majority in voting power of the outstanding shares of stock of the Corporation, present in person or by proxy and entitled to vote thereat, shall have the power to adjourn the meeting from time to time without notice. When a meeting is adjourned to another time or place (including an adjournment taken to address a technical failure to convene or continue a meeting using remote communication), notice need not be given of the adjourned meeting if the place, if any, date and time thereof, and the means of remote communications, if any, by which stockholders and proxyholders may be deemed to be present in person and vote at such adjourned meeting are: (i) announced at the meeting at which the adjournment is taken; (ii) displayed, during the time scheduled for the meeting, on the same electronic network used to enable stockholders and proxyholders to participate in the meeting by means of remote communication; or (iii) set forth in the notice of meeting given in accordance with Section 2.04.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50" w:lineRule="auto"/>
        <w:rPr>
          <w:sz w:val="20"/>
          <w:szCs w:val="20"/>
          <w:color w:val="auto"/>
        </w:rPr>
      </w:pPr>
      <w:r>
        <w:rPr>
          <w:rFonts w:ascii="Times New Roman" w:cs="Times New Roman" w:eastAsia="Times New Roman" w:hAnsi="Times New Roman"/>
          <w:sz w:val="22"/>
          <w:szCs w:val="22"/>
          <w:color w:val="auto"/>
        </w:rPr>
        <w:t>Any business may be transacted at the adjourned meeting that might have been transacted at the meeting originally noticed.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Remote Communication</w:t>
      </w:r>
      <w:r>
        <w:rPr>
          <w:rFonts w:ascii="Times New Roman" w:cs="Times New Roman" w:eastAsia="Times New Roman" w:hAnsi="Times New Roman"/>
          <w:sz w:val="22"/>
          <w:szCs w:val="22"/>
          <w:color w:val="auto"/>
        </w:rPr>
        <w:t>. If authorized by the Board of Directors in its sole discretion, and subject to such guidelines and procedures as the Board of Directors may adopt, stockholders and proxy holders not physically present at a meeting of stockholders may, by means of remote communication:</w:t>
      </w:r>
    </w:p>
    <w:p>
      <w:pPr>
        <w:spacing w:after="0" w:line="167" w:lineRule="exact"/>
        <w:rPr>
          <w:sz w:val="20"/>
          <w:szCs w:val="20"/>
          <w:color w:val="auto"/>
        </w:rPr>
      </w:pPr>
    </w:p>
    <w:p>
      <w:pPr>
        <w:ind w:left="1820" w:hanging="516"/>
        <w:spacing w:after="0"/>
        <w:tabs>
          <w:tab w:leader="none" w:pos="18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meeting of stockholders; and</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4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 deemed present in person and vote at a meeting of stockholders whether such meeting is to be held at a designated place or solely by means of remote communication,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w:t>
      </w:r>
    </w:p>
    <w:p>
      <w:pPr>
        <w:spacing w:after="0" w:line="158" w:lineRule="exact"/>
        <w:rPr>
          <w:sz w:val="20"/>
          <w:szCs w:val="20"/>
          <w:color w:val="auto"/>
        </w:rPr>
      </w:pPr>
    </w:p>
    <w:p>
      <w:pPr>
        <w:ind w:firstLine="1304"/>
        <w:spacing w:after="0" w:line="284" w:lineRule="auto"/>
        <w:tabs>
          <w:tab w:leader="none" w:pos="195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implement reasonable measures to verify that each person deemed present and permitted to vote at the meeting by means of remote communication is a stockholder or proxyholder;</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0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200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stockholder or proxyholder votes or takes other action at the meeting by means of remote communication, a record of such vote or other action shall be maintained by the Corporation.</w:t>
      </w:r>
    </w:p>
    <w:p>
      <w:pPr>
        <w:spacing w:after="0" w:line="14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Inspectors of Election</w:t>
      </w:r>
      <w:r>
        <w:rPr>
          <w:rFonts w:ascii="Times New Roman" w:cs="Times New Roman" w:eastAsia="Times New Roman" w:hAnsi="Times New Roman"/>
          <w:sz w:val="22"/>
          <w:szCs w:val="22"/>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chairman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65" w:lineRule="auto"/>
        <w:rPr>
          <w:sz w:val="20"/>
          <w:szCs w:val="20"/>
          <w:color w:val="auto"/>
        </w:rPr>
      </w:pPr>
      <w:r>
        <w:rPr>
          <w:rFonts w:ascii="Times New Roman" w:cs="Times New Roman" w:eastAsia="Times New Roman" w:hAnsi="Times New Roman"/>
          <w:sz w:val="21"/>
          <w:szCs w:val="21"/>
          <w:color w:val="auto"/>
        </w:rPr>
        <w:t>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Delivery to the Corporation</w:t>
      </w:r>
      <w:r>
        <w:rPr>
          <w:rFonts w:ascii="Times New Roman" w:cs="Times New Roman" w:eastAsia="Times New Roman" w:hAnsi="Times New Roman"/>
          <w:sz w:val="22"/>
          <w:szCs w:val="22"/>
          <w:color w:val="auto"/>
        </w:rPr>
        <w:t>. 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the delivery of information and documents to the Corporation required by this Article II.</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22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Except as otherwise provided in the Amended and Restated Certificate of Incorporation or the DGCL, the business and affairs of the Corporation shall be managed by or under the direction of the Board of Directors. The Board of Directors may exercise all such authority and powers of the Corporation and do all such lawful acts and things as are not by the DGCL or the Amended and Restated Certificate of Incorporation directed or required to be exercised or done by the stockholders.</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u w:val="single" w:color="auto"/>
          <w:color w:val="auto"/>
        </w:rPr>
        <w:t>Number and Term; Chairman</w:t>
      </w:r>
      <w:r>
        <w:rPr>
          <w:rFonts w:ascii="Times New Roman" w:cs="Times New Roman" w:eastAsia="Times New Roman" w:hAnsi="Times New Roman"/>
          <w:sz w:val="21"/>
          <w:szCs w:val="21"/>
          <w:color w:val="auto"/>
        </w:rPr>
        <w:t>. Subject to the Amended and Restated Certificate of Incorporation, the number of directors shall be fixed exclusively by resolution of the Board of Directors. Directors shall be elected by the stockholders at their annual meeting, and the term of each director so elected shall be as set forth in the Amended and Restated Certificate of Incorporation. Directors need not be stockholders. The Board of Directors shall elect a Chairman of the Board of Directors, who shall have the powers and perform such duties as provided in these Amended and Restated Bylaws and as the Board of Directors may from time to time prescribe. The Chairman of the Board of Directors shall preside at all meetings of the Board of Directors at which he or she is present. If the Chairman of the Board of Directors is not present at a meeting of the Board of Directors, the Chief Executive Officer (if the Chief Executive Officer is a director and is not also the Chairman of the Board of Directors) shall preside at such meeting, and, if the Chief Executive Officer is not present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5" w:name="page16"/>
    <w:bookmarkEnd w:id="15"/>
    <w:p>
      <w:pPr>
        <w:jc w:val="both"/>
        <w:spacing w:after="0" w:line="271" w:lineRule="auto"/>
        <w:rPr>
          <w:sz w:val="20"/>
          <w:szCs w:val="20"/>
          <w:color w:val="auto"/>
        </w:rPr>
      </w:pPr>
      <w:r>
        <w:rPr>
          <w:rFonts w:ascii="Times New Roman" w:cs="Times New Roman" w:eastAsia="Times New Roman" w:hAnsi="Times New Roman"/>
          <w:sz w:val="22"/>
          <w:szCs w:val="22"/>
          <w:color w:val="auto"/>
        </w:rPr>
        <w:t>meeting or is not a director, a majority of the directors present at such meeting shall elect one of their members to preside over such meeting.</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Resignations</w:t>
      </w:r>
      <w:r>
        <w:rPr>
          <w:rFonts w:ascii="Times New Roman" w:cs="Times New Roman" w:eastAsia="Times New Roman" w:hAnsi="Times New Roman"/>
          <w:sz w:val="22"/>
          <w:szCs w:val="22"/>
          <w:color w:val="auto"/>
        </w:rPr>
        <w:t>. Any director may resign at any time upon notice given in writing or by electronic transmission to the Board of Directors, the Chairman of the Board of Directors, the Chief Executive Officer or the Secretary of the Corporation. The resignation shall take effect at the time or upon the happening of any event specified therein, and if no specification is so made, at the time of its receipt. The acceptance of a resignation shall not be necessary to make it effective unless otherwise expressly provided in the resignation.</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Directors of the Corporation may be removed in the manner provided in the Amended and Restated Certificate of Incorporation and applicable law.</w:t>
      </w:r>
    </w:p>
    <w:p>
      <w:pPr>
        <w:spacing w:after="0" w:line="14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Vacancies and Newly Created Directorships</w:t>
      </w:r>
      <w:r>
        <w:rPr>
          <w:rFonts w:ascii="Times New Roman" w:cs="Times New Roman" w:eastAsia="Times New Roman" w:hAnsi="Times New Roman"/>
          <w:sz w:val="22"/>
          <w:szCs w:val="22"/>
          <w:color w:val="auto"/>
        </w:rPr>
        <w:t>. Except as otherwise provided by applicable law, vacancies occurring in any directorship (whether by death, resignation, retirement, disqualification, removal or other cause) and newly created directorships resulting from any increase in the number of directors shall be filled in accordance with the Amended and Restated Certificate of Incorporation. Any director elected to fill a vacancy or newly created directorship shall hold office until such time as from time to time set forth in the Amended and Restated Certificate of Incorporation.</w:t>
      </w:r>
    </w:p>
    <w:p>
      <w:pPr>
        <w:spacing w:after="0" w:line="19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Regular meetings of the Board of Directors may be held at such places and times as shall be determined from time to time by the Board of Directors. Special meetings of the Board of Directors may be called by the Chief Executive Officer of the Corporation or the Chairman of the Board of Directors or as provided by the Amended and Restated Certificate of Incorporation, and shall be called by the Chief Executive Officer or the Secretary of the Corporation if directed by a majority of directors then in office and shall be at such places and times as they or he or she shall fix. Notice need not be given of regular meetings of the Board of Directors. At least twenty-four (24) hours before each special meeting of the Board of Directors, either written notice, notice by electronic transmission or oral notice (either in person or by telephone) notice of the time, date and place of the meeting shall be given to each director. Unless otherwise indicated in the notice thereof, any and all business may be transacted at a special meeting.</w:t>
      </w:r>
    </w:p>
    <w:p>
      <w:pPr>
        <w:spacing w:after="0" w:line="18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Quorum, Voting and Adjournment</w:t>
      </w:r>
      <w:r>
        <w:rPr>
          <w:rFonts w:ascii="Times New Roman" w:cs="Times New Roman" w:eastAsia="Times New Roman" w:hAnsi="Times New Roman"/>
          <w:sz w:val="22"/>
          <w:szCs w:val="22"/>
          <w:color w:val="auto"/>
        </w:rPr>
        <w:t>. Except as otherwise provided by the DGCL, the Amended and Restated Certificate of Incorporation or these Amended and Restated Bylaws, a majority of the total number of directors shall constitute a quorum for the transaction of business. Except as otherwise provided by law, the Amended and Restated Certificate of Incorporation or these Amended and Restated Bylaws, the act of a majority of the directors present at a meeting at which a quorum is present shall be the act of the Board of Directors. In the absence of a quorum, a majority of the directors present thereat may adjourn such meeting to another time and place. Notice of such adjourned meeting need not be given if the time and place of such adjourned meeting are announced at the meeting so adjourned.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6" w:name="page17"/>
    <w:bookmarkEnd w:id="16"/>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Committees; Committee Rules</w:t>
      </w:r>
      <w:r>
        <w:rPr>
          <w:rFonts w:ascii="Times New Roman" w:cs="Times New Roman" w:eastAsia="Times New Roman" w:hAnsi="Times New Roman"/>
          <w:sz w:val="22"/>
          <w:szCs w:val="22"/>
          <w:color w:val="auto"/>
        </w:rPr>
        <w:t>. The Board of Directors may designate one or more committees, including but not limited to an Audit Committee, a Compensation Committee and a Nominating and Governance Committee, each such committee to consist of one or more of the directors of the Corporation. The Board of Directors may designate one or more directors as alternate members of any committee to replace any absent or disqualified member at any meeting of the committee. Any such committee, to the extent provided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any Bylaw of the Corporation. All committees of the Board of Directors shall keep minutes of their meetings and shall report their proceedings to the Board of Directors when requested or required by the Board of Directors. Each committee of the Board of Directors may fix its own rules of procedure and shall hold its meetings as provided by such rules, except as may otherwise be provided by a resolution of the Board of Directors designating such committee. Unless otherwise provided in such a resolution,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in the event that a member and that member’s alternate, if alternates are designated by the Board of Directors,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18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Action Without a Meeting</w:t>
      </w:r>
      <w:r>
        <w:rPr>
          <w:rFonts w:ascii="Times New Roman" w:cs="Times New Roman" w:eastAsia="Times New Roman" w:hAnsi="Times New Roman"/>
          <w:sz w:val="22"/>
          <w:szCs w:val="22"/>
          <w:color w:val="auto"/>
        </w:rPr>
        <w:t>. Unless otherwise restricted by the Amended and Restated Certificate of Incorporation, any action required or permitted to be taken at any meeting of the Board of Directors or of any committee thereof may be taken without a meeting if all members of the Board of Directors or any committee thereof, as the case may be, consent thereto in writing or by electronic transmission. After an action is taken, the consent or consents relating thereto shall be filed in the minutes of the proceedings of the Board of Directors. Such filing shall be in paper form if the minutes are maintained in paper form or shall be in electronic form if the minutes are maintained in electronic form.</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Remote Meeting</w:t>
      </w:r>
      <w:r>
        <w:rPr>
          <w:rFonts w:ascii="Times New Roman" w:cs="Times New Roman" w:eastAsia="Times New Roman" w:hAnsi="Times New Roman"/>
          <w:sz w:val="22"/>
          <w:szCs w:val="22"/>
          <w:color w:val="auto"/>
        </w:rPr>
        <w:t>. Unless otherwise restricted by the Amended and Restated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7" w:name="page18"/>
    <w:bookmarkEnd w:id="17"/>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Board of Directors shall have the authority to fix the compensation, including fees and reimbursement of expenses, of directors for services to the Corporation in any capacity.</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Reliance on Books and Records</w:t>
      </w:r>
      <w:r>
        <w:rPr>
          <w:rFonts w:ascii="Times New Roman" w:cs="Times New Roman" w:eastAsia="Times New Roman" w:hAnsi="Times New Roman"/>
          <w:sz w:val="22"/>
          <w:szCs w:val="22"/>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2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The officers of the Corporation shall include any officers required by the DGCL, each of whom shall be elected by the Board of Directors and who shall hold office for such terms as shall be determined by the Board of Directors and until their successors are elected and qualify or until their earlier resignation or removal. In addition, the Board of Directors may elect a Chief Executive Officer, a President, one or more Vice Presidents, including one or more Executive Vice Presidents, Senior Vice Presidents, a Treasurer, a Secretary, one or more Assistant Treasurers and one or more Assistant Secretaries, who shall hold their office for such terms and shall exercise such powers and perform such duties as shall be determined from time to time by the Board of Directors. Any number of offices may be held by the same person.</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Other Officers and Agents</w:t>
      </w:r>
      <w:r>
        <w:rPr>
          <w:rFonts w:ascii="Times New Roman" w:cs="Times New Roman" w:eastAsia="Times New Roman" w:hAnsi="Times New Roman"/>
          <w:sz w:val="22"/>
          <w:szCs w:val="22"/>
          <w:color w:val="auto"/>
        </w:rPr>
        <w:t>. The Board of Directors may appoint such other officers and agents as it deems advisable, who shall hold their office for such terms and shall exercise and perform such powers and duties as shall be determined from time to time by the Board of Directors. The Board of Directors may appoint one or more officers called a Vice Chairman of the Board of Directors, each of whom must be a member of the Board of Directors.</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Chief Executive Officer/President</w:t>
      </w:r>
      <w:r>
        <w:rPr>
          <w:rFonts w:ascii="Times New Roman" w:cs="Times New Roman" w:eastAsia="Times New Roman" w:hAnsi="Times New Roman"/>
          <w:sz w:val="22"/>
          <w:szCs w:val="22"/>
          <w:color w:val="auto"/>
        </w:rPr>
        <w:t>. The Chief Executive Officer, who may also be the President, subject to the determination of the Board of Directors,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Chairman of the Board of Directors or in the absence or inability to act as the Chairman of the Board of Directors, the Chief Executive Officer shall exercise all of the powers and discharge all of the duties of the Chairman of the Board of Directors, but only if the Chief Executive Officer is a director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8" w:name="page19"/>
    <w:bookmarkEnd w:id="18"/>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Each Vice President, if any are appointed, of whom one or more may be designated an Executive Vice President or Senior Vice President, shall have such powers and shall perform such duties as shall be assigned to him or her by the Chief Executive Officer or the Board of Directors.</w:t>
      </w:r>
    </w:p>
    <w:p>
      <w:pPr>
        <w:spacing w:after="0" w:line="18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4.05 </w:t>
      </w:r>
      <w:r>
        <w:rPr>
          <w:rFonts w:ascii="Times New Roman" w:cs="Times New Roman" w:eastAsia="Times New Roman" w:hAnsi="Times New Roman"/>
          <w:sz w:val="21"/>
          <w:szCs w:val="21"/>
          <w:u w:val="single" w:color="auto"/>
          <w:color w:val="auto"/>
        </w:rPr>
        <w:t>Treasurer</w:t>
      </w:r>
      <w:r>
        <w:rPr>
          <w:rFonts w:ascii="Times New Roman" w:cs="Times New Roman" w:eastAsia="Times New Roman" w:hAnsi="Times New Roman"/>
          <w:sz w:val="21"/>
          <w:szCs w:val="21"/>
          <w:color w:val="auto"/>
        </w:rPr>
        <w:t>. The Treasurer, if any is appointed, shall have custody of the corporate funds, securities, evidences of indebtedness and 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of Directors or its designees selected for such purposes. The Treasurer shall disburse the funds of the Corporation, taking proper vouchers therefor. The Treasurer shall render to the Chief Executive Officer and the Board of Directors, upon their request, a report of the financial condition of the Corporation. If required by the Board of Directors, the Treasurer shall give the Corporation a bond for the faithful discharge of his or her duties in such amount and with such surety as the Board of Directors shall prescribe.</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In addition, the Treasurer shall have such further powers and perform such other duties incident to the office of Treasurer as from time to time are assigned to him or her by the Chief Executive Officer or the Board of Directors.</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shall: (a) cause minutes of all meetings of the stockholders and directors to be recorded and kept properly; (b) cause all notices required by these Amended and Restated Bylaws or otherwise to be given properly; (c) see that the minute books, stock books, and other nonfinancial books, records and papers of the Corporation are kept properly; and (d) cause all reports, statements, returns, certificates and other documents to be prepared and filed when and as required. The Secretary shall have such further powers and perform such other duties as prescribed from time to time by the Chief Executive Officer or the Board of Directors.</w:t>
      </w:r>
    </w:p>
    <w:p>
      <w:pPr>
        <w:spacing w:after="0" w:line="19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u w:val="single" w:color="auto"/>
          <w:color w:val="auto"/>
        </w:rPr>
        <w:t>Assistant Treasurers and Assistant Secretaries</w:t>
      </w:r>
      <w:r>
        <w:rPr>
          <w:rFonts w:ascii="Times New Roman" w:cs="Times New Roman" w:eastAsia="Times New Roman" w:hAnsi="Times New Roman"/>
          <w:sz w:val="22"/>
          <w:szCs w:val="22"/>
          <w:color w:val="auto"/>
        </w:rPr>
        <w:t>. Each Assistant Treasurer and each Assistant Secretary, if any are appointed, shall be vested with all the powers and shall perform all the duties of the Treasurer and Secretary, respectively, in the absence or disability of such officer, unless or until the Chief Executive Officer or the Board of Directors shall otherwise determine. In addition, Assistant Treasurers and Assistant Secretaries shall have such powers and shall perform such duties as shall be assigned to them by the Chief Executive Officer or the Board of Directors.</w:t>
      </w:r>
    </w:p>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u w:val="single" w:color="auto"/>
          <w:color w:val="auto"/>
        </w:rPr>
        <w:t>Corporate Funds and Checks</w:t>
      </w:r>
      <w:r>
        <w:rPr>
          <w:rFonts w:ascii="Times New Roman" w:cs="Times New Roman" w:eastAsia="Times New Roman" w:hAnsi="Times New Roman"/>
          <w:sz w:val="22"/>
          <w:szCs w:val="22"/>
          <w:color w:val="auto"/>
        </w:rPr>
        <w:t>. The funds of the Corporation shall be kept in such depositories as shall from time to time be prescribed by the Board of Directors or its designees selected for such purposes. All checks or other orders for the payment of money shall be signed by the Chief Executive Officer, a Vice President, the Treasurer or the Secretary or such other person or agent as may from time to time be authorized and with such countersignature, if any, as may be required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19" w:name="page20"/>
    <w:bookmarkEnd w:id="19"/>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u w:val="single" w:color="auto"/>
          <w:color w:val="auto"/>
        </w:rPr>
        <w:t>Contracts and Other Documents</w:t>
      </w:r>
      <w:r>
        <w:rPr>
          <w:rFonts w:ascii="Times New Roman" w:cs="Times New Roman" w:eastAsia="Times New Roman" w:hAnsi="Times New Roman"/>
          <w:sz w:val="22"/>
          <w:szCs w:val="22"/>
          <w:color w:val="auto"/>
        </w:rPr>
        <w:t>. The Chief Executive Officer and the Secretary, or such other officer or officers as may from time to time be authorized by the Board of Directors, any committee given specific authority in the premises by the Board of Directors, or the Chief Executive Officer during the intervals between the meetings of the Board of Directors, shall have power to sign and execute on behalf of the Corporation deeds, conveyances and contracts, and any and all other documents requiring execution by the Corporation.</w:t>
      </w:r>
    </w:p>
    <w:p>
      <w:pPr>
        <w:spacing w:after="0" w:line="17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Ownership of Stock of Another Corporation</w:t>
      </w:r>
      <w:r>
        <w:rPr>
          <w:rFonts w:ascii="Times New Roman" w:cs="Times New Roman" w:eastAsia="Times New Roman" w:hAnsi="Times New Roman"/>
          <w:sz w:val="22"/>
          <w:szCs w:val="22"/>
          <w:color w:val="auto"/>
        </w:rPr>
        <w:t>. Unless otherwise directed by the Board of Directors, the Chief Executive Officer, a Vice President, the Treasurer or the Secretary, or such other officer or agent as shall be authorized by the Board of Directors,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Delegation of Duties</w:t>
      </w:r>
      <w:r>
        <w:rPr>
          <w:rFonts w:ascii="Times New Roman" w:cs="Times New Roman" w:eastAsia="Times New Roman" w:hAnsi="Times New Roman"/>
          <w:sz w:val="22"/>
          <w:szCs w:val="22"/>
          <w:color w:val="auto"/>
        </w:rPr>
        <w:t>. In the absence, disability or refusal of any officer to exercise and perform his or her duties, the Board of Directors may delegate to another officer such powers or duties.</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Resignation and Removal</w:t>
      </w:r>
      <w:r>
        <w:rPr>
          <w:rFonts w:ascii="Times New Roman" w:cs="Times New Roman" w:eastAsia="Times New Roman" w:hAnsi="Times New Roman"/>
          <w:sz w:val="22"/>
          <w:szCs w:val="22"/>
          <w:color w:val="auto"/>
        </w:rPr>
        <w:t>. Any officer of the Corporation may be removed from office for or without cause at any time by the Board of Directors. Any officer may resign at any time in the same manner prescribed under Section 3.03 of these Amended and Restated Bylaws.</w:t>
      </w:r>
    </w:p>
    <w:p>
      <w:pPr>
        <w:spacing w:after="0" w:line="167" w:lineRule="exact"/>
        <w:rPr>
          <w:sz w:val="20"/>
          <w:szCs w:val="20"/>
          <w:color w:val="auto"/>
        </w:rPr>
      </w:pPr>
    </w:p>
    <w:p>
      <w:pPr>
        <w:jc w:val="center"/>
        <w:ind w:left="1220"/>
        <w:spacing w:after="0"/>
        <w:tabs>
          <w:tab w:leader="none" w:pos="20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 The Board of Directors shall have the power to fill vacancies occurring in any office.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w:t>
      </w:r>
    </w:p>
    <w:p>
      <w:pPr>
        <w:spacing w:after="0" w:line="21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Shares With Certificates</w:t>
      </w:r>
      <w:r>
        <w:rPr>
          <w:rFonts w:ascii="Times New Roman" w:cs="Times New Roman" w:eastAsia="Times New Roman" w:hAnsi="Times New Roman"/>
          <w:sz w:val="22"/>
          <w:szCs w:val="22"/>
          <w:color w:val="auto"/>
        </w:rPr>
        <w:t xml:space="preserve">. The shares of stock of the Corporation shall be represented by certificates,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Chairman of the Board of Directors, the Vice Chairman of the Board of Directors, the Chief Executive Officer, a President, the Chief Financial Officer, a Vice President, the Treasurer, an Assistant Treasurer, the Secretary and an Assistant Secretary of the Corporation shall be an authorized officer for such purpose). Any or all of the signatures on the certificate may be a facsimile or other electronic signature. The Board of Directors shall have the power to appoint one or more transfer agents and/or registrars for the transfer or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20" w:name="page21"/>
    <w:bookmarkEnd w:id="20"/>
    <w:p>
      <w:pPr>
        <w:jc w:val="both"/>
        <w:spacing w:after="0" w:line="271" w:lineRule="auto"/>
        <w:rPr>
          <w:sz w:val="20"/>
          <w:szCs w:val="20"/>
          <w:color w:val="auto"/>
        </w:rPr>
      </w:pPr>
      <w:r>
        <w:rPr>
          <w:rFonts w:ascii="Times New Roman" w:cs="Times New Roman" w:eastAsia="Times New Roman" w:hAnsi="Times New Roman"/>
          <w:sz w:val="22"/>
          <w:szCs w:val="22"/>
          <w:color w:val="auto"/>
        </w:rPr>
        <w:t>of certificates of stock of any class, and may require stock certificates to be countersigned or registered by one or more of such transfer agents and/or registrars.</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Shares Without Certificates</w:t>
      </w:r>
      <w:r>
        <w:rPr>
          <w:rFonts w:ascii="Times New Roman" w:cs="Times New Roman" w:eastAsia="Times New Roman" w:hAnsi="Times New Roman"/>
          <w:sz w:val="22"/>
          <w:szCs w:val="22"/>
          <w:color w:val="auto"/>
        </w:rPr>
        <w:t xml:space="preserve">. If the Board of Directors chooses to issue shares of stock without certificates, the Corporation, if required by the DGCL, shall, within a reasonable time after the issue or transfer of shares without certificates, give a notice to the registered owner thereof containing the information required to be set forth or stated on stock certificates by the applicable provisions of the DGCL. The Corporation may adopt a system of issuance, recordation and transfer of its shares of stock by electronic or other means not involving the issuance of certificates,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the use of such system by the Corporation is permitted in accordance with applicable law.</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5.03 </w:t>
      </w:r>
      <w:r>
        <w:rPr>
          <w:rFonts w:ascii="Times New Roman" w:cs="Times New Roman" w:eastAsia="Times New Roman" w:hAnsi="Times New Roman"/>
          <w:sz w:val="21"/>
          <w:szCs w:val="21"/>
          <w:u w:val="single" w:color="auto"/>
          <w:color w:val="auto"/>
        </w:rPr>
        <w:t>Transfer of Shares</w:t>
      </w:r>
      <w:r>
        <w:rPr>
          <w:rFonts w:ascii="Times New Roman" w:cs="Times New Roman" w:eastAsia="Times New Roman" w:hAnsi="Times New Roman"/>
          <w:sz w:val="21"/>
          <w:szCs w:val="21"/>
          <w:color w:val="auto"/>
        </w:rPr>
        <w:t>. Shares of stock of the Corporation shall be transferable upon its books by the holders thereof, in person or by their duly authorized attorneys or legal representatives, in the manner prescribed by law, the Amended and Restated Certificate of Incorporation and in these Amended and Restated Bylaws,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any procedures adopted by the Corporation or its agents and applicable law. A record shall be made of each transfer. Whenever any transfer of shares shall be made for collateral security, and not absolutely, it shall be so expressed in the entry of the transfer if, when the certificates are presented to the Corporation for transfer or uncertificated shares requested to be transferred, both the transferor and transferee request the Corporation to do so. The Board of Directors shall have power and authority to make such rules and regulations as it may deem necessary or proper concerning the issue, transfer and registration of certificates representing shares of stock of the Corporation and uncertificated shares.</w:t>
      </w:r>
    </w:p>
    <w:p>
      <w:pPr>
        <w:spacing w:after="0" w:line="17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Lost, Stolen, Destroyed or Mutilated Certificates</w:t>
      </w:r>
      <w:r>
        <w:rPr>
          <w:rFonts w:ascii="Times New Roman" w:cs="Times New Roman" w:eastAsia="Times New Roman" w:hAnsi="Times New Roman"/>
          <w:sz w:val="22"/>
          <w:szCs w:val="22"/>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in connection therewith. A new certificate or uncertificated shares of stock may be issued in the place of any certificate previously issued by the Corporation that has become mutilated upon the surrender by such owner of such mutilated certificate and, if required by the Corporation, the posting of a bond by such owner in an amount sufficient to indemnify the Corporation against any claim that may be made against it in connection therewith.</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List of Stockholders Entitled To Vote</w:t>
      </w:r>
      <w:r>
        <w:rPr>
          <w:rFonts w:ascii="Times New Roman" w:cs="Times New Roman" w:eastAsia="Times New Roman" w:hAnsi="Times New Roman"/>
          <w:sz w:val="22"/>
          <w:szCs w:val="22"/>
          <w:color w:val="auto"/>
        </w:rPr>
        <w:t>. The Corporation shall prepare, no later than the tenth (10th) day before each meeting of stockholders, a complete list of the stockholders entitled to vote at the meeting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record date for determining the stockholders entitled to vote is less than ten (10) days before the date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21" w:name="page22"/>
    <w:bookmarkEnd w:id="21"/>
    <w:p>
      <w:pPr>
        <w:jc w:val="both"/>
        <w:spacing w:after="0" w:line="242" w:lineRule="auto"/>
        <w:rPr>
          <w:sz w:val="20"/>
          <w:szCs w:val="20"/>
          <w:color w:val="auto"/>
        </w:rPr>
      </w:pPr>
      <w:r>
        <w:rPr>
          <w:rFonts w:ascii="Times New Roman" w:cs="Times New Roman" w:eastAsia="Times New Roman" w:hAnsi="Times New Roman"/>
          <w:sz w:val="22"/>
          <w:szCs w:val="22"/>
          <w:color w:val="auto"/>
        </w:rPr>
        <w:t>meeting, the list shall reflect the stockholders entitled to vote as of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before the meeting date), arranged in alphabetical order, and showing the address of each stockholder and the number of shares registered in the name of each stockholder. Such list shall be open to the examination of any stockholder, for any purpose germane to the meeting for ten (10) days ending on the day before the meeting date (a) on a reasonably accessible electronic network,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5.05 or to vote in person or by proxy at any meeting of stockholders.</w:t>
      </w:r>
    </w:p>
    <w:p>
      <w:pPr>
        <w:spacing w:after="0" w:line="193"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22"/>
          <w:szCs w:val="22"/>
          <w:color w:val="auto"/>
        </w:rPr>
        <w:t>SECTION 5.06</w:t>
      </w:r>
      <w:r>
        <w:rPr>
          <w:sz w:val="20"/>
          <w:szCs w:val="20"/>
          <w:color w:val="auto"/>
        </w:rPr>
        <w:tab/>
      </w:r>
      <w:r>
        <w:rPr>
          <w:rFonts w:ascii="Times New Roman" w:cs="Times New Roman" w:eastAsia="Times New Roman" w:hAnsi="Times New Roman"/>
          <w:sz w:val="21"/>
          <w:szCs w:val="21"/>
          <w:u w:val="single" w:color="auto"/>
          <w:color w:val="auto"/>
        </w:rPr>
        <w:t>Fixing Date for Determination of Stockholders of Record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2031"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7"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19"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w:t>
      </w:r>
    </w:p>
    <w:p>
      <w:pPr>
        <w:spacing w:after="0" w:line="3" w:lineRule="exact"/>
        <w:rPr>
          <w:rFonts w:ascii="Times New Roman" w:cs="Times New Roman" w:eastAsia="Times New Roman" w:hAnsi="Times New Roman"/>
          <w:sz w:val="21"/>
          <w:szCs w:val="21"/>
          <w:color w:val="auto"/>
        </w:rPr>
      </w:pPr>
    </w:p>
    <w:p>
      <w:pPr>
        <w:ind w:firstLine="8"/>
        <w:spacing w:after="0" w:line="261" w:lineRule="auto"/>
        <w:tabs>
          <w:tab w:leader="none" w:pos="42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such action. If no such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16" w:right="339" w:bottom="1440" w:gutter="0" w:footer="0" w:header="0"/>
        </w:sectPr>
      </w:pPr>
    </w:p>
    <w:bookmarkStart w:id="22" w:name="page23"/>
    <w:bookmarkEnd w:id="22"/>
    <w:p>
      <w:pPr>
        <w:jc w:val="both"/>
        <w:ind w:firstLine="1304"/>
        <w:spacing w:after="0" w:line="249" w:lineRule="auto"/>
        <w:tabs>
          <w:tab w:leader="none" w:pos="191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restricted by the Amended and Restated Certificate of Incorporation, in order that the Corporation may determine the stockholders entitled to express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(a)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(b) if prior action by the Board of Directors is required by law, the record date for such purpose shall be at the close of business on the day on which the Board of Directors adopts the resolution taking such prior action.</w:t>
      </w:r>
    </w:p>
    <w:p>
      <w:pPr>
        <w:spacing w:after="0" w:line="18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Registered Stockholders</w:t>
      </w:r>
      <w:r>
        <w:rPr>
          <w:rFonts w:ascii="Times New Roman" w:cs="Times New Roman" w:eastAsia="Times New Roman" w:hAnsi="Times New Roman"/>
          <w:sz w:val="22"/>
          <w:szCs w:val="22"/>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and Waiver of Notice</w:t>
      </w:r>
    </w:p>
    <w:p>
      <w:pPr>
        <w:spacing w:after="0" w:line="237"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82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manner by which notice otherwise may be given effectively to stockholders, any notice to stockholders given by the Corporation under any provision of the DGCL, the Amended and Restated Certificate of Incorporation or these Amended and Restated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DGCL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22"/>
          <w:szCs w:val="22"/>
          <w:color w:val="auto"/>
        </w:rPr>
        <w:t>contact information of an officer or agent of the Corporation who is available to assist with accessing such files or information. Any notice to stockholders given by the Corporation under any provision of the DGCL,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DGCL.</w:t>
      </w:r>
    </w:p>
    <w:p>
      <w:pPr>
        <w:spacing w:after="0" w:line="179" w:lineRule="exact"/>
        <w:rPr>
          <w:sz w:val="20"/>
          <w:szCs w:val="20"/>
          <w:color w:val="auto"/>
        </w:rPr>
      </w:pPr>
    </w:p>
    <w:p>
      <w:pPr>
        <w:jc w:val="both"/>
        <w:ind w:firstLine="1304"/>
        <w:spacing w:after="0" w:line="272" w:lineRule="auto"/>
        <w:tabs>
          <w:tab w:leader="none" w:pos="193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60" w:lineRule="exact"/>
        <w:rPr>
          <w:rFonts w:ascii="Times New Roman" w:cs="Times New Roman" w:eastAsia="Times New Roman" w:hAnsi="Times New Roman"/>
          <w:sz w:val="21"/>
          <w:szCs w:val="21"/>
          <w:color w:val="auto"/>
        </w:rPr>
      </w:pPr>
    </w:p>
    <w:p>
      <w:pPr>
        <w:jc w:val="both"/>
        <w:ind w:firstLine="1304"/>
        <w:spacing w:after="0" w:line="249" w:lineRule="auto"/>
        <w:tabs>
          <w:tab w:leader="none" w:pos="1807"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manner by which notice otherwise may be given effectively to stockholders, and except as prohibited by applicable law, any notice to stockholders given by the Corporation under any provision of applicable law, the Amended and Restated Certificate of Incorporation, or these Amended and Restated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Section 6.01(C), shall be deemed to have consented to receiving such single written notice.</w:t>
      </w:r>
    </w:p>
    <w:p>
      <w:pPr>
        <w:spacing w:after="0" w:line="39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1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1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Right to Indemnification</w:t>
      </w:r>
      <w:r>
        <w:rPr>
          <w:rFonts w:ascii="Times New Roman" w:cs="Times New Roman" w:eastAsia="Times New Roman" w:hAnsi="Times New Roman"/>
          <w:sz w:val="22"/>
          <w:szCs w:val="22"/>
          <w:color w:val="auto"/>
        </w:rPr>
        <w:t>. Each person who was or is made a party or is threatened to be made a party to or is otherwise involved in any action, suit or proceeding, whether civil, criminal, administrative or investigative (hereinafter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24" w:name="page25"/>
    <w:bookmarkEnd w:id="24"/>
    <w:p>
      <w:pPr>
        <w:jc w:val="both"/>
        <w:spacing w:after="0" w:line="248" w:lineRule="auto"/>
        <w:rPr>
          <w:sz w:val="20"/>
          <w:szCs w:val="20"/>
          <w:color w:val="auto"/>
        </w:rPr>
      </w:pPr>
      <w:r>
        <w:rPr>
          <w:rFonts w:ascii="Times New Roman" w:cs="Times New Roman" w:eastAsia="Times New Roman" w:hAnsi="Times New Roman"/>
          <w:sz w:val="22"/>
          <w:szCs w:val="22"/>
          <w:color w:val="auto"/>
        </w:rPr>
        <w:t>(hereinafter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Delaware law, as the same exists or may hereafter be amended (but, in the case of any such amendment, if permitted,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except as provided in Section 7.03 of these Amended and Restated Bylaws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spacing w:after="0" w:line="18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Any reference to an officer of the Corporation in this Article VII shall be deemed to refer exclusively to the Chief Executive Officer, President, Chief Financial Officer, General Counsel, Treasurer and Secretary of the Corporation appointed pursuant to Article IV of these Bylaws, and to any Vice President, Assistant Secretary, Assistant Treasurer or other officer of the Corporation appointed by the Board of Directors pursuant to Article IV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VII.</w:t>
      </w:r>
    </w:p>
    <w:p>
      <w:pPr>
        <w:spacing w:after="0" w:line="18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Right to Advancement of Expenses</w:t>
      </w:r>
      <w:r>
        <w:rPr>
          <w:rFonts w:ascii="Times New Roman" w:cs="Times New Roman" w:eastAsia="Times New Roman" w:hAnsi="Times New Roman"/>
          <w:sz w:val="22"/>
          <w:szCs w:val="22"/>
          <w:color w:val="auto"/>
        </w:rPr>
        <w:t>. In addition to the right to indemnification conferred in Section 7.01, an indemnitee shall also have the right to be paid by the Corporation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Article VII (which shall be governed by Section 7.03 (hereinafter an “</w:t>
      </w: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DGCL requires or in the case of an advance made in a proceeding brought to establish or enforce a right to indemnification or advancement, an advancement of expenses incurred by an indemnitee in his or her capacity as a director or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22"/>
          <w:szCs w:val="22"/>
          <w:color w:val="auto"/>
        </w:rPr>
        <w:t>(and not in any other capacity in which service was or is rendered by such indemnitee, including, without limitation, service to an employee benefit plan) shall be made solely upon delivery to the Corporation of an undertaking (hereinafter an “</w:t>
      </w:r>
      <w:r>
        <w:rPr>
          <w:rFonts w:ascii="Times New Roman" w:cs="Times New Roman" w:eastAsia="Times New Roman" w:hAnsi="Times New Roman"/>
          <w:sz w:val="22"/>
          <w:szCs w:val="22"/>
          <w:u w:val="single" w:color="auto"/>
          <w:color w:val="auto"/>
        </w:rPr>
        <w:t>undertaking</w:t>
      </w:r>
      <w:r>
        <w:rPr>
          <w:rFonts w:ascii="Times New Roman" w:cs="Times New Roman" w:eastAsia="Times New Roman" w:hAnsi="Times New Roman"/>
          <w:sz w:val="22"/>
          <w:szCs w:val="22"/>
          <w:color w:val="auto"/>
        </w:rPr>
        <w:t>”), by or on behalf of such indemnitee, to repay all amounts so advanced if it shall ultimately be determined by final judicial decision from which there is no further right to appeal (hereinafter a “</w:t>
      </w:r>
      <w:r>
        <w:rPr>
          <w:rFonts w:ascii="Times New Roman" w:cs="Times New Roman" w:eastAsia="Times New Roman" w:hAnsi="Times New Roman"/>
          <w:sz w:val="22"/>
          <w:szCs w:val="22"/>
          <w:u w:val="single" w:color="auto"/>
          <w:color w:val="auto"/>
        </w:rPr>
        <w:t>final adjudication</w:t>
      </w:r>
      <w:r>
        <w:rPr>
          <w:rFonts w:ascii="Times New Roman" w:cs="Times New Roman" w:eastAsia="Times New Roman" w:hAnsi="Times New Roman"/>
          <w:sz w:val="22"/>
          <w:szCs w:val="22"/>
          <w:color w:val="auto"/>
        </w:rPr>
        <w:t>”) that such indemnitee is not entitled to be indemnified or entitled to advancement of expenses under Sections 7.01 and 7.02 or otherwise.</w:t>
      </w:r>
    </w:p>
    <w:p>
      <w:pPr>
        <w:spacing w:after="0" w:line="17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Right of Indemnitee to Bring Suit</w:t>
      </w:r>
      <w:r>
        <w:rPr>
          <w:rFonts w:ascii="Times New Roman" w:cs="Times New Roman" w:eastAsia="Times New Roman" w:hAnsi="Times New Roman"/>
          <w:sz w:val="22"/>
          <w:szCs w:val="22"/>
          <w:color w:val="auto"/>
        </w:rPr>
        <w:t>. If a claim under Section 7.01 or 7.02 of these Amended and Restated Bylaws is not paid in full by the Corporation within (a) sixty (60) days after a written claim for indemnification has been received by the Corporation or (b)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 or otherwise shall be on the Corporation.</w:t>
      </w:r>
    </w:p>
    <w:p>
      <w:pPr>
        <w:spacing w:after="0" w:line="185" w:lineRule="exact"/>
        <w:rPr>
          <w:sz w:val="20"/>
          <w:szCs w:val="20"/>
          <w:color w:val="auto"/>
        </w:rPr>
      </w:pPr>
    </w:p>
    <w:p>
      <w:pPr>
        <w:ind w:left="1300"/>
        <w:spacing w:after="0"/>
        <w:tabs>
          <w:tab w:leader="none" w:pos="2840" w:val="left"/>
        </w:tabs>
        <w:rPr>
          <w:sz w:val="20"/>
          <w:szCs w:val="20"/>
          <w:color w:val="auto"/>
        </w:rPr>
      </w:pPr>
      <w:r>
        <w:rPr>
          <w:rFonts w:ascii="Times New Roman" w:cs="Times New Roman" w:eastAsia="Times New Roman" w:hAnsi="Times New Roman"/>
          <w:sz w:val="22"/>
          <w:szCs w:val="22"/>
          <w:color w:val="auto"/>
        </w:rPr>
        <w:t>SECTION 7.04</w:t>
      </w:r>
      <w:r>
        <w:rPr>
          <w:sz w:val="20"/>
          <w:szCs w:val="20"/>
          <w:color w:val="auto"/>
        </w:rPr>
        <w:tab/>
      </w:r>
      <w:r>
        <w:rPr>
          <w:rFonts w:ascii="Times New Roman" w:cs="Times New Roman" w:eastAsia="Times New Roman" w:hAnsi="Times New Roman"/>
          <w:sz w:val="21"/>
          <w:szCs w:val="21"/>
          <w:u w:val="single" w:color="auto"/>
          <w:color w:val="auto"/>
        </w:rPr>
        <w:t>Indemnification Not Exclusive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8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indemnification to or the advancement of expenses and costs to any indemnitee under this Article VII, or the entitlement of any indemnitee to indemnification or advancement of expenses and costs under this Article VII, shall not limit or restrict in any way the power of the Corporation to indemnify or advance expenses and costs to such indemnitee in any other way permitted by law or be deemed exclusive of, or invalidate,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26" w:name="page27"/>
    <w:bookmarkEnd w:id="26"/>
    <w:p>
      <w:pPr>
        <w:jc w:val="both"/>
        <w:spacing w:after="0" w:line="257" w:lineRule="auto"/>
        <w:rPr>
          <w:sz w:val="20"/>
          <w:szCs w:val="20"/>
          <w:color w:val="auto"/>
        </w:rPr>
      </w:pPr>
      <w:r>
        <w:rPr>
          <w:rFonts w:ascii="Times New Roman" w:cs="Times New Roman" w:eastAsia="Times New Roman" w:hAnsi="Times New Roman"/>
          <w:sz w:val="22"/>
          <w:szCs w:val="22"/>
          <w:color w:val="auto"/>
        </w:rPr>
        <w:t>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186" w:lineRule="exact"/>
        <w:rPr>
          <w:sz w:val="20"/>
          <w:szCs w:val="20"/>
          <w:color w:val="auto"/>
        </w:rPr>
      </w:pPr>
    </w:p>
    <w:p>
      <w:pPr>
        <w:jc w:val="both"/>
        <w:ind w:firstLine="1304"/>
        <w:spacing w:after="0" w:line="247" w:lineRule="auto"/>
        <w:tabs>
          <w:tab w:leader="none" w:pos="194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the payment to the indemnitee in respect of indemnification or advancement of all expenses, judgments, penalties, fines and amounts paid in settlement to the extent legally permitted and as required by the terms of the Amended and Restated Certificate of Incorporation or these Amended and Restated Bylaws of the Corporation (or any other agreement between the Corporation and such persons) in connection with any such jointly indemnifiable claims, pursuant to and in accordance with the terms of this Article VII, irrespective of any right of recovery the indemnitee may have from the indemnitee-related entities. Any obligation on the part of any indemnitee-related entities to indemnify or advance expenses to any indemnitee shall be secondary to the Corporation’s obligation and shall be reduced by any amount that the indemnitee may collect as indemnification or advancement from the Corporation. The Corporation irrevocably waives, relinquishes and releases the indemnitee-related entities from any and all claims it may have against the indemnitee-related entities for contribution, subrogation or any other recovery of any kind in respect thereof.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Section 7.04(B) of Article VII, entitled to enforce this Section 7.04(B) of Article VII.</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this Section 7.04(B) of Article VII, the following terms shall have the following meanings:</w:t>
      </w:r>
    </w:p>
    <w:p>
      <w:pPr>
        <w:spacing w:after="0" w:line="220" w:lineRule="exact"/>
        <w:rPr>
          <w:sz w:val="20"/>
          <w:szCs w:val="20"/>
          <w:color w:val="auto"/>
        </w:rPr>
      </w:pPr>
    </w:p>
    <w:p>
      <w:pPr>
        <w:jc w:val="both"/>
        <w:ind w:firstLine="656"/>
        <w:spacing w:after="0" w:line="251" w:lineRule="auto"/>
        <w:tabs>
          <w:tab w:leader="none" w:pos="114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indemnitee-related entities</w:t>
      </w:r>
      <w:r>
        <w:rPr>
          <w:rFonts w:ascii="Times New Roman" w:cs="Times New Roman" w:eastAsia="Times New Roman" w:hAnsi="Times New Roman"/>
          <w:sz w:val="22"/>
          <w:szCs w:val="22"/>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27" w:name="page28"/>
    <w:bookmarkEnd w:id="27"/>
    <w:p>
      <w:pPr>
        <w:spacing w:after="0" w:line="271" w:lineRule="auto"/>
        <w:rPr>
          <w:sz w:val="20"/>
          <w:szCs w:val="20"/>
          <w:color w:val="auto"/>
        </w:rPr>
      </w:pPr>
      <w:r>
        <w:rPr>
          <w:rFonts w:ascii="Times New Roman" w:cs="Times New Roman" w:eastAsia="Times New Roman" w:hAnsi="Times New Roman"/>
          <w:sz w:val="22"/>
          <w:szCs w:val="22"/>
          <w:color w:val="auto"/>
        </w:rPr>
        <w:t>part, the Corporation may also have an indemnification or advancement obligation (other than as a result of obligations under an insurance policy).</w:t>
      </w:r>
    </w:p>
    <w:p>
      <w:pPr>
        <w:spacing w:after="0" w:line="158" w:lineRule="exact"/>
        <w:rPr>
          <w:sz w:val="20"/>
          <w:szCs w:val="20"/>
          <w:color w:val="auto"/>
        </w:rPr>
      </w:pPr>
    </w:p>
    <w:p>
      <w:pPr>
        <w:jc w:val="both"/>
        <w:ind w:firstLine="656"/>
        <w:spacing w:after="0" w:line="268" w:lineRule="auto"/>
        <w:tabs>
          <w:tab w:leader="none" w:pos="113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jointly indemnifiable claims</w:t>
      </w:r>
      <w:r>
        <w:rPr>
          <w:rFonts w:ascii="Times New Roman" w:cs="Times New Roman" w:eastAsia="Times New Roman" w:hAnsi="Times New Roman"/>
          <w:sz w:val="21"/>
          <w:szCs w:val="21"/>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Delaware law or other comparable governing law, or any agreement or certificate of incorporation, bylaws, partnership agreement, operating agreement, certificate of formation, certificate of limited partnership or other comparable organizational documents of the Corporation or the indemnitee-related entities, as applicable.</w:t>
      </w:r>
    </w:p>
    <w:p>
      <w:pPr>
        <w:spacing w:after="0" w:line="16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Corporate Obligations; Reliance</w:t>
      </w:r>
      <w:r>
        <w:rPr>
          <w:rFonts w:ascii="Times New Roman" w:cs="Times New Roman" w:eastAsia="Times New Roman" w:hAnsi="Times New Roman"/>
          <w:sz w:val="22"/>
          <w:szCs w:val="22"/>
          <w:color w:val="auto"/>
        </w:rPr>
        <w:t>. The rights granted pursuant to the provisions of this Article VII shall be contract rights and such rights shall continue as to an indemnitee who has ceased to be a director or officer and shall inure to the benefit of the indemnitee’s heirs, executors and administrators. Any amendment, alteration or repeal of this Article VII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7.07 </w:t>
      </w:r>
      <w:r>
        <w:rPr>
          <w:rFonts w:ascii="Times New Roman" w:cs="Times New Roman" w:eastAsia="Times New Roman" w:hAnsi="Times New Roman"/>
          <w:sz w:val="22"/>
          <w:szCs w:val="22"/>
          <w:u w:val="single" w:color="auto"/>
          <w:color w:val="auto"/>
        </w:rPr>
        <w:t>Indemnification of Employees and Agents of the Corporation</w:t>
      </w:r>
      <w:r>
        <w:rPr>
          <w:rFonts w:ascii="Times New Roman" w:cs="Times New Roman" w:eastAsia="Times New Roman" w:hAnsi="Times New Roman"/>
          <w:sz w:val="22"/>
          <w:szCs w:val="22"/>
          <w:color w:val="auto"/>
        </w:rPr>
        <w:t>. The Corporation may, to the extent authorized from time to time by the Board of Directors, grant rights to indemnification and to the advancement of expenses to any employee or agent of the Corporation to the fullest extent of the provisions of this Article VII with respect to the indemnification and advancement of expenses of directors and officers of the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4"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Electronic Transmission, etc</w:t>
      </w:r>
      <w:r>
        <w:rPr>
          <w:rFonts w:ascii="Times New Roman" w:cs="Times New Roman" w:eastAsia="Times New Roman" w:hAnsi="Times New Roman"/>
          <w:sz w:val="22"/>
          <w:szCs w:val="22"/>
          <w:color w:val="auto"/>
        </w:rPr>
        <w:t>. For purposes of these Amended and Restated Bylaws, “</w:t>
      </w:r>
      <w:r>
        <w:rPr>
          <w:rFonts w:ascii="Times New Roman" w:cs="Times New Roman" w:eastAsia="Times New Roman" w:hAnsi="Times New Roman"/>
          <w:sz w:val="22"/>
          <w:szCs w:val="22"/>
          <w:u w:val="single" w:color="auto"/>
          <w:color w:val="auto"/>
        </w:rPr>
        <w:t>electronic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transmission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electronic mail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electronic mail address</w:t>
      </w:r>
      <w:r>
        <w:rPr>
          <w:rFonts w:ascii="Times New Roman" w:cs="Times New Roman" w:eastAsia="Times New Roman" w:hAnsi="Times New Roman"/>
          <w:sz w:val="22"/>
          <w:szCs w:val="22"/>
          <w:color w:val="auto"/>
        </w:rPr>
        <w:t>” shall have the meanings ascribed thereto in the DGCL.</w:t>
      </w:r>
    </w:p>
    <w:p>
      <w:pPr>
        <w:spacing w:after="0" w:line="14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8.02 </w:t>
      </w:r>
      <w:r>
        <w:rPr>
          <w:rFonts w:ascii="Times New Roman" w:cs="Times New Roman" w:eastAsia="Times New Roman" w:hAnsi="Times New Roman"/>
          <w:sz w:val="21"/>
          <w:szCs w:val="21"/>
          <w:u w:val="single" w:color="auto"/>
          <w:color w:val="auto"/>
        </w:rPr>
        <w:t>Corporate Seal</w:t>
      </w:r>
      <w:r>
        <w:rPr>
          <w:rFonts w:ascii="Times New Roman" w:cs="Times New Roman" w:eastAsia="Times New Roman" w:hAnsi="Times New Roman"/>
          <w:sz w:val="21"/>
          <w:szCs w:val="21"/>
          <w:color w:val="auto"/>
        </w:rPr>
        <w:t>.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p>
      <w:pPr>
        <w:sectPr>
          <w:pgSz w:w="11900" w:h="16838" w:orient="portrait"/>
          <w:cols w:equalWidth="0" w:num="1">
            <w:col w:w="11240"/>
          </w:cols>
          <w:pgMar w:left="320" w:top="1422" w:right="339" w:bottom="1440" w:gutter="0" w:footer="0" w:header="0"/>
        </w:sectPr>
      </w:pPr>
    </w:p>
    <w:bookmarkStart w:id="28" w:name="page29"/>
    <w:bookmarkEnd w:id="28"/>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 xml:space="preserve">SECTION 8.03 </w:t>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The fiscal year of the Corporation shall end on the Saturday closest to January 31 of each year (which Saturday may occur on a date following January 31), or such other day as the Board of Directors may designate.</w:t>
      </w:r>
    </w:p>
    <w:p>
      <w:pPr>
        <w:spacing w:after="0" w:line="13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Section Headings; Section References</w:t>
      </w:r>
      <w:r>
        <w:rPr>
          <w:rFonts w:ascii="Times New Roman" w:cs="Times New Roman" w:eastAsia="Times New Roman" w:hAnsi="Times New Roman"/>
          <w:sz w:val="22"/>
          <w:szCs w:val="22"/>
          <w:color w:val="auto"/>
        </w:rPr>
        <w:t>. Section headings in these Amended and Restated Bylaws are for convenience of reference only and shall not be given any substantive effect in limiting or otherwise construing any provision herein. Except as otherwise indicated, section references herein refer to sections of these Amended and Restated Bylaws.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Inconsistent Provisions</w:t>
      </w:r>
      <w:r>
        <w:rPr>
          <w:rFonts w:ascii="Times New Roman" w:cs="Times New Roman" w:eastAsia="Times New Roman" w:hAnsi="Times New Roman"/>
          <w:sz w:val="22"/>
          <w:szCs w:val="22"/>
          <w:color w:val="auto"/>
        </w:rPr>
        <w:t>. In the event that any provision of these Amended and Restated Bylaws is or becomes inconsistent with any provision of the Amended and Restated Certificate of Incorporation, the DGCL or any other applicable law, such provision of these Amended and Restated Bylaws shall not be given any effect to the extent of such inconsistency but shall otherwise be given full force and effect.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2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9.01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 Bylaws may be amended or repealed by the Board of Directors or the stockholders in accordance with the Amended and Restated Certificate of Incorporation..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1050743</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04"/>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upperLetter"/>
      <w:start w:val="3"/>
    </w:lvl>
    <w:lvl w:ilvl="1">
      <w:lvlJc w:val="left"/>
      <w:lvlText w:val="(%2)"/>
      <w:numFmt w:val="upperLetter"/>
      <w:start w:val="2"/>
    </w:lvl>
  </w:abstractNum>
  <w:abstractNum w:abstractNumId="6">
    <w:nsid w:val="DED7263"/>
    <w:multiLevelType w:val="hybridMultilevel"/>
    <w:lvl w:ilvl="0">
      <w:lvlJc w:val="left"/>
      <w:lvlText w:val="(%1)"/>
      <w:numFmt w:val="upperLetter"/>
      <w:start w:val="3"/>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decimal"/>
      <w:start w:val="4"/>
    </w:lvl>
  </w:abstractNum>
  <w:abstractNum w:abstractNumId="10">
    <w:nsid w:val="6B68079A"/>
    <w:multiLevelType w:val="hybridMultilevel"/>
    <w:lvl w:ilvl="0">
      <w:lvlJc w:val="left"/>
      <w:lvlText w:val="(%1)"/>
      <w:numFmt w:val="upp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lvl w:ilvl="1">
      <w:lvlJc w:val="left"/>
      <w:lvlText w:val="(%2)"/>
      <w:numFmt w:val="upperLetter"/>
      <w:start w:val="1"/>
    </w:lvl>
  </w:abstractNum>
  <w:abstractNum w:abstractNumId="13">
    <w:nsid w:val="519B500D"/>
    <w:multiLevelType w:val="hybridMultilevel"/>
    <w:lvl w:ilvl="0">
      <w:lvlJc w:val="left"/>
      <w:lvlText w:val="(%1)"/>
      <w:numFmt w:val="decimal"/>
      <w:start w:val="60"/>
    </w:lvl>
    <w:lvl w:ilvl="1">
      <w:lvlJc w:val="left"/>
      <w:lvlText w:val="%2"/>
      <w:numFmt w:val="upperLetter"/>
      <w:start w:val="1"/>
    </w:lvl>
  </w:abstractNum>
  <w:abstractNum w:abstractNumId="14">
    <w:nsid w:val="431BD7B7"/>
    <w:multiLevelType w:val="hybridMultilevel"/>
    <w:lvl w:ilvl="0">
      <w:lvlJc w:val="left"/>
      <w:lvlText w:val="(%1)"/>
      <w:numFmt w:val="upperLetter"/>
      <w:start w:val="3"/>
    </w:lvl>
  </w:abstractNum>
  <w:abstractNum w:abstractNumId="15">
    <w:nsid w:val="3F2DBA31"/>
    <w:multiLevelType w:val="hybridMultilevel"/>
    <w:lvl w:ilvl="0">
      <w:lvlJc w:val="left"/>
      <w:lvlText w:val="(%1)"/>
      <w:numFmt w:val="upperLetter"/>
      <w:start w:val="1"/>
    </w:lvl>
  </w:abstractNum>
  <w:abstractNum w:abstractNumId="16">
    <w:nsid w:val="7C83E458"/>
    <w:multiLevelType w:val="hybridMultilevel"/>
    <w:lvl w:ilvl="0">
      <w:lvlJc w:val="left"/>
      <w:lvlText w:val="(%1)"/>
      <w:numFmt w:val="upperLetter"/>
      <w:start w:val="2"/>
    </w:lvl>
  </w:abstractNum>
  <w:abstractNum w:abstractNumId="17">
    <w:nsid w:val="257130A3"/>
    <w:multiLevelType w:val="hybridMultilevel"/>
    <w:lvl w:ilvl="0">
      <w:lvlJc w:val="left"/>
      <w:lvlText w:val="(%1)"/>
      <w:numFmt w:val="upperLetter"/>
      <w:start w:val="1"/>
    </w:lvl>
  </w:abstractNum>
  <w:abstractNum w:abstractNumId="18">
    <w:nsid w:val="62BBD95A"/>
    <w:multiLevelType w:val="hybridMultilevel"/>
    <w:lvl w:ilvl="0">
      <w:lvlJc w:val="left"/>
      <w:lvlText w:val="(%1)"/>
      <w:numFmt w:val="upperLetter"/>
      <w:start w:val="2"/>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2025-03-07T08:10:27Z</dcterms:created>
  <dcterms:modified xsi:type="dcterms:W3CDTF">2025-03-07T08:10:27Z</dcterms:modified>
</cp:coreProperties>
</file>