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245"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w:t>
      </w:r>
    </w:p>
    <w:p>
      <w:pPr>
        <w:spacing w:after="0" w:line="2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(Amendment No.  )</w:t>
      </w:r>
    </w:p>
    <w:p>
      <w:pPr>
        <w:spacing w:after="0" w:line="97" w:lineRule="exact"/>
        <w:rPr>
          <w:sz w:val="24"/>
          <w:szCs w:val="24"/>
          <w:color w:val="auto"/>
        </w:rPr>
      </w:pPr>
    </w:p>
    <w:p>
      <w:pPr>
        <w:ind w:left="220"/>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148"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color w:val="auto"/>
        </w:rPr>
        <w:t xml:space="preserve">Filed by a party other than Registrant </w:t>
      </w:r>
      <w:r>
        <w:rPr>
          <w:rFonts w:ascii="Wingdings" w:cs="Wingdings" w:eastAsia="Wingdings" w:hAnsi="Wingdings"/>
          <w:sz w:val="14"/>
          <w:szCs w:val="14"/>
          <w:b w:val="1"/>
          <w:bCs w:val="1"/>
          <w:color w:val="auto"/>
        </w:rPr>
        <w:t>o</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5"/>
          <w:szCs w:val="15"/>
          <w:color w:val="auto"/>
        </w:rPr>
        <w:t>Check the appropriate box:</w:t>
      </w:r>
    </w:p>
    <w:p>
      <w:pPr>
        <w:ind w:left="860" w:hanging="637"/>
        <w:spacing w:after="0" w:line="232" w:lineRule="auto"/>
        <w:tabs>
          <w:tab w:leader="none" w:pos="860" w:val="left"/>
        </w:tabs>
        <w:numPr>
          <w:ilvl w:val="0"/>
          <w:numId w:val="1"/>
        </w:numPr>
        <w:rPr>
          <w:rFonts w:ascii="Wingdings" w:cs="Wingdings" w:eastAsia="Wingdings" w:hAnsi="Wingdings"/>
          <w:sz w:val="30"/>
          <w:szCs w:val="30"/>
          <w:b w:val="1"/>
          <w:bCs w:val="1"/>
          <w:color w:val="auto"/>
          <w:vertAlign w:val="superscript"/>
        </w:rPr>
      </w:pPr>
      <w:r>
        <w:rPr>
          <w:rFonts w:ascii="Times New Roman" w:cs="Times New Roman" w:eastAsia="Times New Roman" w:hAnsi="Times New Roman"/>
          <w:sz w:val="16"/>
          <w:szCs w:val="16"/>
          <w:color w:val="auto"/>
        </w:rPr>
        <w:t>Preliminary Proxy Statement</w:t>
      </w:r>
    </w:p>
    <w:p>
      <w:pPr>
        <w:spacing w:after="0" w:line="98" w:lineRule="exact"/>
        <w:rPr>
          <w:rFonts w:ascii="Wingdings" w:cs="Wingdings" w:eastAsia="Wingdings" w:hAnsi="Wingdings"/>
          <w:sz w:val="30"/>
          <w:szCs w:val="30"/>
          <w:b w:val="1"/>
          <w:bCs w:val="1"/>
          <w:color w:val="auto"/>
          <w:vertAlign w:val="superscript"/>
        </w:rPr>
      </w:pPr>
    </w:p>
    <w:p>
      <w:pPr>
        <w:ind w:left="860" w:hanging="637"/>
        <w:spacing w:after="0" w:line="184" w:lineRule="auto"/>
        <w:tabs>
          <w:tab w:leader="none" w:pos="860" w:val="left"/>
        </w:tabs>
        <w:numPr>
          <w:ilvl w:val="0"/>
          <w:numId w:val="1"/>
        </w:numPr>
        <w:rPr>
          <w:rFonts w:ascii="Wingdings" w:cs="Wingdings" w:eastAsia="Wingdings" w:hAnsi="Wingdings"/>
          <w:sz w:val="22"/>
          <w:szCs w:val="22"/>
          <w:b w:val="1"/>
          <w:bCs w:val="1"/>
          <w:color w:val="auto"/>
          <w:vertAlign w:val="superscript"/>
        </w:rPr>
      </w:pPr>
      <w:r>
        <w:rPr>
          <w:rFonts w:ascii="Times New Roman" w:cs="Times New Roman" w:eastAsia="Times New Roman" w:hAnsi="Times New Roman"/>
          <w:sz w:val="13"/>
          <w:szCs w:val="13"/>
          <w:color w:val="auto"/>
        </w:rPr>
        <w:t>Confidential, for Use of the Commission Only (as permitted by Rule 14a-6(e)(2))</w:t>
      </w:r>
    </w:p>
    <w:p>
      <w:pPr>
        <w:ind w:left="860" w:hanging="637"/>
        <w:spacing w:after="0" w:line="229" w:lineRule="auto"/>
        <w:tabs>
          <w:tab w:leader="none" w:pos="860" w:val="left"/>
        </w:tabs>
        <w:numPr>
          <w:ilvl w:val="0"/>
          <w:numId w:val="2"/>
        </w:numPr>
        <w:rPr>
          <w:rFonts w:ascii="MS PGothic" w:cs="MS PGothic" w:eastAsia="MS PGothic" w:hAnsi="MS PGothic"/>
          <w:sz w:val="30"/>
          <w:szCs w:val="30"/>
          <w:color w:val="auto"/>
          <w:highlight w:val="black"/>
          <w:vertAlign w:val="superscript"/>
        </w:rPr>
      </w:pPr>
      <w:r>
        <w:rPr>
          <w:rFonts w:ascii="Times New Roman" w:cs="Times New Roman" w:eastAsia="Times New Roman" w:hAnsi="Times New Roman"/>
          <w:sz w:val="16"/>
          <w:szCs w:val="16"/>
          <w:color w:val="auto"/>
        </w:rPr>
        <w:t>Definitive Proxy Statement</w:t>
      </w:r>
    </w:p>
    <w:p>
      <w:pPr>
        <w:ind w:left="860" w:hanging="637"/>
        <w:spacing w:after="0" w:line="206" w:lineRule="auto"/>
        <w:tabs>
          <w:tab w:leader="none" w:pos="860" w:val="left"/>
        </w:tabs>
        <w:numPr>
          <w:ilvl w:val="0"/>
          <w:numId w:val="3"/>
        </w:numPr>
        <w:rPr>
          <w:rFonts w:ascii="Wingdings" w:cs="Wingdings" w:eastAsia="Wingdings" w:hAnsi="Wingdings"/>
          <w:sz w:val="30"/>
          <w:szCs w:val="30"/>
          <w:b w:val="1"/>
          <w:bCs w:val="1"/>
          <w:color w:val="auto"/>
          <w:vertAlign w:val="superscript"/>
        </w:rPr>
      </w:pPr>
      <w:r>
        <w:rPr>
          <w:rFonts w:ascii="Times New Roman" w:cs="Times New Roman" w:eastAsia="Times New Roman" w:hAnsi="Times New Roman"/>
          <w:sz w:val="16"/>
          <w:szCs w:val="16"/>
          <w:color w:val="auto"/>
        </w:rPr>
        <w:t>Definitive Additional Materials</w:t>
      </w:r>
    </w:p>
    <w:p>
      <w:pPr>
        <w:spacing w:after="0" w:line="98" w:lineRule="exact"/>
        <w:rPr>
          <w:rFonts w:ascii="Wingdings" w:cs="Wingdings" w:eastAsia="Wingdings" w:hAnsi="Wingdings"/>
          <w:sz w:val="30"/>
          <w:szCs w:val="30"/>
          <w:b w:val="1"/>
          <w:bCs w:val="1"/>
          <w:color w:val="auto"/>
          <w:vertAlign w:val="superscript"/>
        </w:rPr>
      </w:pPr>
    </w:p>
    <w:p>
      <w:pPr>
        <w:ind w:left="860" w:hanging="637"/>
        <w:spacing w:after="0" w:line="184" w:lineRule="auto"/>
        <w:tabs>
          <w:tab w:leader="none" w:pos="860" w:val="left"/>
        </w:tabs>
        <w:numPr>
          <w:ilvl w:val="0"/>
          <w:numId w:val="3"/>
        </w:numPr>
        <w:rPr>
          <w:rFonts w:ascii="Wingdings" w:cs="Wingdings" w:eastAsia="Wingdings" w:hAnsi="Wingdings"/>
          <w:sz w:val="22"/>
          <w:szCs w:val="22"/>
          <w:b w:val="1"/>
          <w:bCs w:val="1"/>
          <w:color w:val="auto"/>
          <w:vertAlign w:val="superscript"/>
        </w:rPr>
      </w:pPr>
      <w:r>
        <w:rPr>
          <w:rFonts w:ascii="Times New Roman" w:cs="Times New Roman" w:eastAsia="Times New Roman" w:hAnsi="Times New Roman"/>
          <w:sz w:val="13"/>
          <w:szCs w:val="13"/>
          <w:color w:val="auto"/>
        </w:rPr>
        <w:t>Soliciting Material under §240.14a-12</w:t>
      </w:r>
    </w:p>
    <w:p>
      <w:pPr>
        <w:spacing w:after="0" w:line="2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9"/>
          <w:szCs w:val="29"/>
          <w:b w:val="1"/>
          <w:bCs w:val="1"/>
          <w:color w:val="auto"/>
        </w:rPr>
        <w:t>ACADEMY SPORTS AND OUTDOORS, INC.</w:t>
      </w:r>
    </w:p>
    <w:p>
      <w:pPr>
        <w:spacing w:after="0" w:line="6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5"/>
          <w:szCs w:val="15"/>
          <w:b w:val="1"/>
          <w:bCs w:val="1"/>
          <w:color w:val="auto"/>
        </w:rPr>
        <w:t>(Name of Person(s) Filing Proxy Statement, if other than the Registrant)</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Payment of Filing Fee (Check all boxes that apply):</w:t>
      </w:r>
    </w:p>
    <w:p>
      <w:pPr>
        <w:spacing w:after="0" w:line="51" w:lineRule="exact"/>
        <w:rPr>
          <w:sz w:val="24"/>
          <w:szCs w:val="24"/>
          <w:color w:val="auto"/>
        </w:rPr>
      </w:pPr>
    </w:p>
    <w:p>
      <w:pPr>
        <w:ind w:left="760" w:hanging="640"/>
        <w:spacing w:after="0"/>
        <w:tabs>
          <w:tab w:leader="none" w:pos="76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126"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w:t>
            </w:r>
            <w:r>
              <w:rPr>
                <w:rFonts w:ascii="Wingdings" w:cs="Wingdings" w:eastAsia="Wingdings" w:hAnsi="Wingdings"/>
                <w:sz w:val="15"/>
                <w:szCs w:val="15"/>
                <w:b w:val="1"/>
                <w:bCs w:val="1"/>
                <w:color w:val="auto"/>
              </w:rPr>
              <w:t>o</w:t>
            </w:r>
          </w:p>
        </w:tc>
        <w:tc>
          <w:tcPr>
            <w:tcW w:w="632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Fee paid previously with preliminary materials</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w:t>
            </w:r>
            <w:r>
              <w:rPr>
                <w:rFonts w:ascii="Wingdings" w:cs="Wingdings" w:eastAsia="Wingdings" w:hAnsi="Wingdings"/>
                <w:sz w:val="15"/>
                <w:szCs w:val="15"/>
                <w:b w:val="1"/>
                <w:bCs w:val="1"/>
                <w:color w:val="auto"/>
              </w:rPr>
              <w:t>o</w:t>
            </w:r>
          </w:p>
        </w:tc>
        <w:tc>
          <w:tcPr>
            <w:tcW w:w="632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w w:val="98"/>
              </w:rPr>
              <w:t>Fee computed on table in exhibit required by Item 25(b) per Exchange Act Rules 14a-6(i)(1) and 0-11</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-203200</wp:posOffset>
            </wp:positionH>
            <wp:positionV relativeFrom="paragraph">
              <wp:posOffset>1009015</wp:posOffset>
            </wp:positionV>
            <wp:extent cx="716851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9839"/>
          </w:cols>
          <w:pgMar w:left="6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1757680</wp:posOffset>
            </wp:positionH>
            <wp:positionV relativeFrom="page">
              <wp:posOffset>1462405</wp:posOffset>
            </wp:positionV>
            <wp:extent cx="4033520" cy="1776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033520" cy="177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auto"/>
        </w:rPr>
        <w:t>Academy Sports and Outdoors, Inc.</w:t>
      </w:r>
    </w:p>
    <w:p>
      <w:pPr>
        <w:sectPr>
          <w:pgSz w:w="11900" w:h="16838" w:orient="portrait"/>
          <w:cols w:equalWidth="0" w:num="1">
            <w:col w:w="9019"/>
          </w:cols>
          <w:pgMar w:left="1440" w:top="1440" w:right="1440" w:bottom="1440" w:gutter="0" w:footer="0" w:header="0"/>
        </w:sectPr>
      </w:pPr>
    </w:p>
    <w:p>
      <w:pPr>
        <w:spacing w:after="0" w:line="37"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Notice of</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Annual Meeting of Stockholders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Thursday, June 5, 2025</w:t>
      </w:r>
    </w:p>
    <w:p>
      <w:pPr>
        <w:spacing w:after="0" w:line="34" w:lineRule="exact"/>
        <w:rPr>
          <w:sz w:val="20"/>
          <w:szCs w:val="20"/>
          <w:color w:val="auto"/>
        </w:rPr>
      </w:pPr>
    </w:p>
    <w:p>
      <w:pPr>
        <w:ind w:left="3200"/>
        <w:spacing w:after="0"/>
        <w:rPr>
          <w:sz w:val="20"/>
          <w:szCs w:val="20"/>
          <w:color w:val="auto"/>
        </w:rPr>
      </w:pPr>
      <w:r>
        <w:rPr>
          <w:rFonts w:ascii="Arial" w:cs="Arial" w:eastAsia="Arial" w:hAnsi="Arial"/>
          <w:sz w:val="26"/>
          <w:szCs w:val="26"/>
          <w:color w:val="auto"/>
        </w:rPr>
        <w:t>8:00 a.m. Central Time</w:t>
      </w:r>
    </w:p>
    <w:p>
      <w:pPr>
        <w:spacing w:after="0" w:line="174" w:lineRule="exact"/>
        <w:rPr>
          <w:sz w:val="20"/>
          <w:szCs w:val="20"/>
          <w:color w:val="auto"/>
        </w:rPr>
      </w:pPr>
    </w:p>
    <w:p>
      <w:pPr>
        <w:ind w:left="2480"/>
        <w:spacing w:after="0"/>
        <w:rPr>
          <w:sz w:val="20"/>
          <w:szCs w:val="20"/>
          <w:color w:val="auto"/>
        </w:rPr>
      </w:pPr>
      <w:r>
        <w:rPr>
          <w:rFonts w:ascii="Arial" w:cs="Arial" w:eastAsia="Arial" w:hAnsi="Arial"/>
          <w:sz w:val="26"/>
          <w:szCs w:val="26"/>
          <w:color w:val="auto"/>
        </w:rPr>
        <w:t>Academy Sports and Outdoors, Inc.</w:t>
      </w:r>
    </w:p>
    <w:p>
      <w:pPr>
        <w:spacing w:after="0" w:line="11" w:lineRule="exact"/>
        <w:rPr>
          <w:sz w:val="20"/>
          <w:szCs w:val="20"/>
          <w:color w:val="auto"/>
        </w:rPr>
      </w:pPr>
    </w:p>
    <w:p>
      <w:pPr>
        <w:jc w:val="center"/>
        <w:ind w:left="1760" w:right="1759"/>
        <w:spacing w:after="0" w:line="245" w:lineRule="auto"/>
        <w:rPr>
          <w:sz w:val="20"/>
          <w:szCs w:val="20"/>
          <w:color w:val="auto"/>
        </w:rPr>
      </w:pPr>
      <w:r>
        <w:rPr>
          <w:rFonts w:ascii="Arial" w:cs="Arial" w:eastAsia="Arial" w:hAnsi="Arial"/>
          <w:sz w:val="26"/>
          <w:szCs w:val="26"/>
          <w:color w:val="auto"/>
        </w:rPr>
        <w:t>Corporate Headquarters - Ken C. Hicks Stadium 1540 North Mason Road Katy, Texas 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1029335</wp:posOffset>
            </wp:positionV>
            <wp:extent cx="716851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2854960</wp:posOffset>
            </wp:positionH>
            <wp:positionV relativeFrom="page">
              <wp:posOffset>1036320</wp:posOffset>
            </wp:positionV>
            <wp:extent cx="1847215" cy="51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47215"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1B4093"/>
        </w:rPr>
        <w:t>Figures on this page are as of April 21, 2025, unless otherwise indicated.</w:t>
      </w:r>
    </w:p>
    <w:p>
      <w:pPr>
        <w:sectPr>
          <w:pgSz w:w="11900" w:h="16838" w:orient="portrait"/>
          <w:cols w:equalWidth="0" w:num="1">
            <w:col w:w="9019"/>
          </w:cols>
          <w:pgMar w:left="1440" w:top="1440" w:right="1440" w:bottom="1440" w:gutter="0" w:footer="0" w:header="0"/>
        </w:sect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33"/>
          <w:szCs w:val="33"/>
          <w:b w:val="1"/>
          <w:bCs w:val="1"/>
          <w:color w:val="1B4093"/>
        </w:rPr>
        <w:t>OUR MISSION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ACADEMY BY THE NUMBERS</w:t>
      </w:r>
    </w:p>
    <w:p>
      <w:pPr>
        <w:spacing w:after="0" w:line="56" w:lineRule="exact"/>
        <w:rPr>
          <w:sz w:val="20"/>
          <w:szCs w:val="20"/>
          <w:color w:val="auto"/>
        </w:rPr>
      </w:pPr>
    </w:p>
    <w:p>
      <w:pPr>
        <w:sectPr>
          <w:pgSz w:w="11900" w:h="16838" w:orient="portrait"/>
          <w:cols w:equalWidth="0" w:num="2">
            <w:col w:w="2580" w:space="600"/>
            <w:col w:w="5839"/>
          </w:cols>
          <w:pgMar w:left="1440" w:top="1440" w:right="1440" w:bottom="1440" w:gutter="0" w:footer="0" w:header="0"/>
          <w:type w:val="continuous"/>
        </w:sectPr>
      </w:pPr>
    </w:p>
    <w:p>
      <w:pPr>
        <w:ind w:left="360"/>
        <w:spacing w:after="0" w:line="255" w:lineRule="auto"/>
        <w:rPr>
          <w:sz w:val="20"/>
          <w:szCs w:val="20"/>
          <w:color w:val="auto"/>
        </w:rPr>
      </w:pPr>
      <w:r>
        <w:rPr>
          <w:rFonts w:ascii="Arial" w:cs="Arial" w:eastAsia="Arial" w:hAnsi="Arial"/>
          <w:sz w:val="14"/>
          <w:szCs w:val="14"/>
          <w:color w:val="auto"/>
        </w:rPr>
        <w:t xml:space="preserve">Provide </w:t>
      </w:r>
      <w:r>
        <w:rPr>
          <w:rFonts w:ascii="Arial" w:cs="Arial" w:eastAsia="Arial" w:hAnsi="Arial"/>
          <w:sz w:val="14"/>
          <w:szCs w:val="14"/>
          <w:b w:val="1"/>
          <w:bCs w:val="1"/>
          <w:color w:val="auto"/>
        </w:rPr>
        <w:t>FUN FOR ALL</w:t>
      </w:r>
      <w:r>
        <w:rPr>
          <w:rFonts w:ascii="Arial" w:cs="Arial" w:eastAsia="Arial" w:hAnsi="Arial"/>
          <w:sz w:val="14"/>
          <w:szCs w:val="14"/>
          <w:color w:val="auto"/>
        </w:rPr>
        <w:t xml:space="preserve"> through strong assortments, value, and experience</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33"/>
          <w:szCs w:val="33"/>
          <w:b w:val="1"/>
          <w:bCs w:val="1"/>
          <w:color w:val="1B4093"/>
        </w:rPr>
        <w:t>OUR VISION</w:t>
      </w:r>
    </w:p>
    <w:p>
      <w:pPr>
        <w:spacing w:after="0" w:line="79" w:lineRule="exact"/>
        <w:rPr>
          <w:sz w:val="20"/>
          <w:szCs w:val="20"/>
          <w:color w:val="auto"/>
        </w:rPr>
      </w:pPr>
    </w:p>
    <w:p>
      <w:pPr>
        <w:ind w:left="360" w:right="300"/>
        <w:spacing w:after="0" w:line="241" w:lineRule="auto"/>
        <w:rPr>
          <w:sz w:val="20"/>
          <w:szCs w:val="20"/>
          <w:color w:val="auto"/>
        </w:rPr>
      </w:pPr>
      <w:r>
        <w:rPr>
          <w:rFonts w:ascii="Arial" w:cs="Arial" w:eastAsia="Arial" w:hAnsi="Arial"/>
          <w:sz w:val="15"/>
          <w:szCs w:val="15"/>
          <w:color w:val="auto"/>
        </w:rPr>
        <w:t xml:space="preserve">To be the </w:t>
      </w:r>
      <w:r>
        <w:rPr>
          <w:rFonts w:ascii="Arial" w:cs="Arial" w:eastAsia="Arial" w:hAnsi="Arial"/>
          <w:sz w:val="15"/>
          <w:szCs w:val="15"/>
          <w:b w:val="1"/>
          <w:bCs w:val="1"/>
          <w:color w:val="auto"/>
        </w:rPr>
        <w:t>BEST</w:t>
      </w:r>
      <w:r>
        <w:rPr>
          <w:rFonts w:ascii="Arial" w:cs="Arial" w:eastAsia="Arial" w:hAnsi="Arial"/>
          <w:sz w:val="15"/>
          <w:szCs w:val="15"/>
          <w:color w:val="auto"/>
        </w:rPr>
        <w:t xml:space="preserve"> sports + outdoors retailer in the country</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33"/>
          <w:szCs w:val="33"/>
          <w:b w:val="1"/>
          <w:bCs w:val="1"/>
          <w:color w:val="1B4093"/>
        </w:rPr>
        <w:t>OUR VALUES</w:t>
      </w:r>
    </w:p>
    <w:p>
      <w:pPr>
        <w:spacing w:after="0" w:line="91" w:lineRule="exact"/>
        <w:rPr>
          <w:sz w:val="20"/>
          <w:szCs w:val="20"/>
          <w:color w:val="auto"/>
        </w:rPr>
      </w:pPr>
    </w:p>
    <w:p>
      <w:pPr>
        <w:ind w:left="480" w:hanging="130"/>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CUSTOMER </w:t>
      </w:r>
      <w:r>
        <w:rPr>
          <w:rFonts w:ascii="Arial" w:cs="Arial" w:eastAsia="Arial" w:hAnsi="Arial"/>
          <w:sz w:val="15"/>
          <w:szCs w:val="15"/>
          <w:color w:val="auto"/>
        </w:rPr>
        <w:t>focus and service</w:t>
      </w:r>
    </w:p>
    <w:p>
      <w:pPr>
        <w:spacing w:after="0" w:line="27" w:lineRule="exact"/>
        <w:rPr>
          <w:rFonts w:ascii="Arial" w:cs="Arial" w:eastAsia="Arial" w:hAnsi="Arial"/>
          <w:sz w:val="15"/>
          <w:szCs w:val="15"/>
          <w:color w:val="auto"/>
        </w:rPr>
      </w:pPr>
    </w:p>
    <w:p>
      <w:pPr>
        <w:ind w:left="480" w:hanging="130"/>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EXCELLENCE </w:t>
      </w:r>
      <w:r>
        <w:rPr>
          <w:rFonts w:ascii="Arial" w:cs="Arial" w:eastAsia="Arial" w:hAnsi="Arial"/>
          <w:sz w:val="15"/>
          <w:szCs w:val="15"/>
          <w:color w:val="auto"/>
        </w:rPr>
        <w:t>in all we do</w:t>
      </w:r>
    </w:p>
    <w:p>
      <w:pPr>
        <w:spacing w:after="0" w:line="1" w:lineRule="exact"/>
        <w:rPr>
          <w:rFonts w:ascii="Arial" w:cs="Arial" w:eastAsia="Arial" w:hAnsi="Arial"/>
          <w:sz w:val="15"/>
          <w:szCs w:val="15"/>
          <w:color w:val="auto"/>
        </w:rPr>
      </w:pPr>
    </w:p>
    <w:p>
      <w:pPr>
        <w:ind w:left="480" w:hanging="130"/>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Responsible </w:t>
      </w:r>
      <w:r>
        <w:rPr>
          <w:rFonts w:ascii="Arial" w:cs="Arial" w:eastAsia="Arial" w:hAnsi="Arial"/>
          <w:sz w:val="15"/>
          <w:szCs w:val="15"/>
          <w:b w:val="1"/>
          <w:bCs w:val="1"/>
          <w:color w:val="auto"/>
        </w:rPr>
        <w:t>LEADERSHIP</w:t>
      </w:r>
    </w:p>
    <w:p>
      <w:pPr>
        <w:spacing w:after="0" w:line="13" w:lineRule="exact"/>
        <w:rPr>
          <w:rFonts w:ascii="Arial" w:cs="Arial" w:eastAsia="Arial" w:hAnsi="Arial"/>
          <w:sz w:val="15"/>
          <w:szCs w:val="15"/>
          <w:color w:val="auto"/>
        </w:rPr>
      </w:pPr>
    </w:p>
    <w:p>
      <w:pPr>
        <w:ind w:left="480" w:hanging="130"/>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INITIATIVE </w:t>
      </w:r>
      <w:r>
        <w:rPr>
          <w:rFonts w:ascii="Arial" w:cs="Arial" w:eastAsia="Arial" w:hAnsi="Arial"/>
          <w:sz w:val="15"/>
          <w:szCs w:val="15"/>
          <w:color w:val="auto"/>
        </w:rPr>
        <w:t>with urgency</w:t>
      </w:r>
    </w:p>
    <w:p>
      <w:pPr>
        <w:spacing w:after="0" w:line="13" w:lineRule="exact"/>
        <w:rPr>
          <w:rFonts w:ascii="Arial" w:cs="Arial" w:eastAsia="Arial" w:hAnsi="Arial"/>
          <w:sz w:val="15"/>
          <w:szCs w:val="15"/>
          <w:color w:val="auto"/>
        </w:rPr>
      </w:pPr>
    </w:p>
    <w:p>
      <w:pPr>
        <w:ind w:left="480" w:hanging="130"/>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STUDENTS </w:t>
      </w:r>
      <w:r>
        <w:rPr>
          <w:rFonts w:ascii="Arial" w:cs="Arial" w:eastAsia="Arial" w:hAnsi="Arial"/>
          <w:sz w:val="15"/>
          <w:szCs w:val="15"/>
          <w:color w:val="auto"/>
        </w:rPr>
        <w:t>of the business</w:t>
      </w:r>
    </w:p>
    <w:p>
      <w:pPr>
        <w:spacing w:after="0" w:line="1" w:lineRule="exact"/>
        <w:rPr>
          <w:rFonts w:ascii="Arial" w:cs="Arial" w:eastAsia="Arial" w:hAnsi="Arial"/>
          <w:sz w:val="15"/>
          <w:szCs w:val="15"/>
          <w:color w:val="auto"/>
        </w:rPr>
      </w:pPr>
    </w:p>
    <w:p>
      <w:pPr>
        <w:ind w:left="480" w:hanging="130"/>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INTEGRITY </w:t>
      </w:r>
      <w:r>
        <w:rPr>
          <w:rFonts w:ascii="Arial" w:cs="Arial" w:eastAsia="Arial" w:hAnsi="Arial"/>
          <w:sz w:val="15"/>
          <w:szCs w:val="15"/>
          <w:color w:val="auto"/>
        </w:rPr>
        <w:t>always</w:t>
      </w:r>
    </w:p>
    <w:p>
      <w:pPr>
        <w:spacing w:after="0" w:line="13" w:lineRule="exact"/>
        <w:rPr>
          <w:rFonts w:ascii="Arial" w:cs="Arial" w:eastAsia="Arial" w:hAnsi="Arial"/>
          <w:sz w:val="15"/>
          <w:szCs w:val="15"/>
          <w:color w:val="auto"/>
        </w:rPr>
      </w:pPr>
    </w:p>
    <w:p>
      <w:pPr>
        <w:ind w:left="480" w:hanging="130"/>
        <w:spacing w:after="0" w:line="207" w:lineRule="auto"/>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Positive impact on our</w:t>
      </w:r>
    </w:p>
    <w:p>
      <w:pPr>
        <w:ind w:left="500"/>
        <w:spacing w:after="0"/>
        <w:rPr>
          <w:rFonts w:ascii="Arial" w:cs="Arial" w:eastAsia="Arial" w:hAnsi="Arial"/>
          <w:sz w:val="15"/>
          <w:szCs w:val="15"/>
          <w:color w:val="auto"/>
        </w:rPr>
      </w:pPr>
      <w:r>
        <w:rPr>
          <w:rFonts w:ascii="Arial" w:cs="Arial" w:eastAsia="Arial" w:hAnsi="Arial"/>
          <w:sz w:val="15"/>
          <w:szCs w:val="15"/>
          <w:b w:val="1"/>
          <w:bCs w:val="1"/>
          <w:color w:val="auto"/>
        </w:rPr>
        <w:t>COMMUNITIES</w:t>
      </w:r>
    </w:p>
    <w:p>
      <w:pPr>
        <w:spacing w:after="0" w:line="337" w:lineRule="exact"/>
        <w:rPr>
          <w:sz w:val="20"/>
          <w:szCs w:val="20"/>
          <w:color w:val="auto"/>
        </w:rPr>
      </w:pPr>
    </w:p>
    <w:p>
      <w:pPr>
        <w:ind w:left="360"/>
        <w:spacing w:after="0"/>
        <w:rPr>
          <w:sz w:val="20"/>
          <w:szCs w:val="20"/>
          <w:color w:val="auto"/>
        </w:rPr>
      </w:pPr>
      <w:r>
        <w:rPr>
          <w:rFonts w:ascii="Arial" w:cs="Arial" w:eastAsia="Arial" w:hAnsi="Arial"/>
          <w:sz w:val="33"/>
          <w:szCs w:val="33"/>
          <w:b w:val="1"/>
          <w:bCs w:val="1"/>
          <w:color w:val="1B4093"/>
        </w:rPr>
        <w: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26035</wp:posOffset>
            </wp:positionV>
            <wp:extent cx="17049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4975" cy="7620"/>
                    </a:xfrm>
                    <a:prstGeom prst="rect">
                      <a:avLst/>
                    </a:prstGeom>
                    <a:noFill/>
                  </pic:spPr>
                </pic:pic>
              </a:graphicData>
            </a:graphic>
          </wp:anchor>
        </w:drawing>
      </w:r>
    </w:p>
    <w:p>
      <w:pPr>
        <w:spacing w:after="0" w:line="51"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1B4093"/>
        </w:rPr>
        <w:t>Nasdaq ticker symbol</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Katy,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3652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1B4093"/>
        </w:rPr>
        <w:t>Headquarters</w:t>
      </w:r>
    </w:p>
    <w:p>
      <w:pPr>
        <w:spacing w:after="0" w:line="333"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3652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1B4093"/>
        </w:rPr>
        <w:t>Distribution</w:t>
      </w:r>
    </w:p>
    <w:p>
      <w:pPr>
        <w:spacing w:after="0"/>
        <w:rPr>
          <w:sz w:val="20"/>
          <w:szCs w:val="20"/>
          <w:color w:val="auto"/>
        </w:rPr>
      </w:pPr>
      <w:r>
        <w:rPr>
          <w:rFonts w:ascii="Arial" w:cs="Arial" w:eastAsia="Arial" w:hAnsi="Arial"/>
          <w:sz w:val="13"/>
          <w:szCs w:val="13"/>
          <w:b w:val="1"/>
          <w:bCs w:val="1"/>
          <w:color w:val="1B4093"/>
        </w:rPr>
        <w:t>Centers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OUR</w:t>
      </w:r>
    </w:p>
    <w:p>
      <w:pPr>
        <w:spacing w:after="0"/>
        <w:rPr>
          <w:sz w:val="20"/>
          <w:szCs w:val="20"/>
          <w:color w:val="auto"/>
        </w:rPr>
      </w:pPr>
      <w:r>
        <w:rPr>
          <w:rFonts w:ascii="Arial" w:cs="Arial" w:eastAsia="Arial" w:hAnsi="Arial"/>
          <w:sz w:val="33"/>
          <w:szCs w:val="33"/>
          <w:b w:val="1"/>
          <w:bCs w:val="1"/>
          <w:color w:val="1B4093"/>
        </w:rPr>
        <w:t>FOOTPRINT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~$5.9B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3652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1B4093"/>
        </w:rPr>
        <w:t>Fiscal 2024 Net Sales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9259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5955" cy="762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1B4093"/>
        </w:rPr>
        <w:t>Team Members</w:t>
      </w:r>
    </w:p>
    <w:p>
      <w:pPr>
        <w:spacing w:after="0" w:line="333" w:lineRule="exact"/>
        <w:rPr>
          <w:sz w:val="20"/>
          <w:szCs w:val="20"/>
          <w:color w:val="auto"/>
        </w:rPr>
      </w:pPr>
    </w:p>
    <w:p>
      <w:pPr>
        <w:spacing w:after="0"/>
        <w:tabs>
          <w:tab w:leader="none" w:pos="1500" w:val="left"/>
        </w:tabs>
        <w:rPr>
          <w:sz w:val="20"/>
          <w:szCs w:val="20"/>
          <w:color w:val="auto"/>
        </w:rPr>
      </w:pPr>
      <w:r>
        <w:rPr>
          <w:rFonts w:ascii="Arial" w:cs="Arial" w:eastAsia="Arial" w:hAnsi="Arial"/>
          <w:sz w:val="33"/>
          <w:szCs w:val="33"/>
          <w:b w:val="1"/>
          <w:bCs w:val="1"/>
          <w:color w:val="1B4093"/>
        </w:rPr>
        <w:t>303</w:t>
      </w:r>
      <w:r>
        <w:rPr>
          <w:sz w:val="20"/>
          <w:szCs w:val="20"/>
          <w:color w:val="auto"/>
        </w:rPr>
        <w:tab/>
      </w:r>
      <w:r>
        <w:rPr>
          <w:rFonts w:ascii="Arial" w:cs="Arial" w:eastAsia="Arial" w:hAnsi="Arial"/>
          <w:sz w:val="33"/>
          <w:szCs w:val="33"/>
          <w:b w:val="1"/>
          <w:bCs w:val="1"/>
          <w:color w:val="1B4093"/>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9259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5955" cy="7620"/>
                    </a:xfrm>
                    <a:prstGeom prst="rect">
                      <a:avLst/>
                    </a:prstGeom>
                    <a:noFill/>
                  </pic:spPr>
                </pic:pic>
              </a:graphicData>
            </a:graphic>
          </wp:anchor>
        </w:drawing>
      </w:r>
    </w:p>
    <w:p>
      <w:pPr>
        <w:spacing w:after="0" w:line="51" w:lineRule="exact"/>
        <w:rPr>
          <w:sz w:val="20"/>
          <w:szCs w:val="20"/>
          <w:color w:val="auto"/>
        </w:rPr>
      </w:pPr>
    </w:p>
    <w:p>
      <w:pPr>
        <w:spacing w:after="0"/>
        <w:tabs>
          <w:tab w:leader="none" w:pos="1500" w:val="left"/>
        </w:tabs>
        <w:rPr>
          <w:sz w:val="20"/>
          <w:szCs w:val="20"/>
          <w:color w:val="auto"/>
        </w:rPr>
      </w:pPr>
      <w:r>
        <w:rPr>
          <w:rFonts w:ascii="Arial" w:cs="Arial" w:eastAsia="Arial" w:hAnsi="Arial"/>
          <w:sz w:val="13"/>
          <w:szCs w:val="13"/>
          <w:b w:val="1"/>
          <w:bCs w:val="1"/>
          <w:color w:val="1B4093"/>
        </w:rPr>
        <w:t>Stores</w:t>
      </w:r>
      <w:r>
        <w:rPr>
          <w:sz w:val="20"/>
          <w:szCs w:val="20"/>
          <w:color w:val="auto"/>
        </w:rPr>
        <w:tab/>
      </w:r>
      <w:r>
        <w:rPr>
          <w:rFonts w:ascii="Arial" w:cs="Arial" w:eastAsia="Arial" w:hAnsi="Arial"/>
          <w:sz w:val="13"/>
          <w:szCs w:val="13"/>
          <w:b w:val="1"/>
          <w:bCs w:val="1"/>
          <w:color w:val="1B4093"/>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297180</wp:posOffset>
            </wp:positionV>
            <wp:extent cx="1767840" cy="128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7840" cy="1286510"/>
                    </a:xfrm>
                    <a:prstGeom prst="rect">
                      <a:avLst/>
                    </a:prstGeom>
                    <a:noFill/>
                  </pic:spPr>
                </pic:pic>
              </a:graphicData>
            </a:graphic>
          </wp:anchor>
        </w:drawing>
      </w:r>
    </w:p>
    <w:p>
      <w:pPr>
        <w:spacing w:after="0" w:line="2756" w:lineRule="exact"/>
        <w:rPr>
          <w:sz w:val="20"/>
          <w:szCs w:val="20"/>
          <w:color w:val="auto"/>
        </w:rPr>
      </w:pPr>
    </w:p>
    <w:p>
      <w:pPr>
        <w:sectPr>
          <w:pgSz w:w="11900" w:h="16838" w:orient="portrait"/>
          <w:cols w:equalWidth="0" w:num="3">
            <w:col w:w="2900" w:space="280"/>
            <w:col w:w="1920" w:space="560"/>
            <w:col w:w="3359"/>
          </w:cols>
          <w:pgMar w:left="1440" w:top="1440" w:right="1440" w:bottom="1440" w:gutter="0" w:footer="0" w:header="0"/>
          <w:type w:val="continuous"/>
        </w:sectPr>
      </w:pPr>
    </w:p>
    <w:p>
      <w:pPr>
        <w:ind w:left="780"/>
        <w:spacing w:after="0"/>
        <w:rPr>
          <w:sz w:val="20"/>
          <w:szCs w:val="20"/>
          <w:color w:val="auto"/>
        </w:rPr>
      </w:pPr>
      <w:r>
        <w:rPr>
          <w:rFonts w:ascii="Arial" w:cs="Arial" w:eastAsia="Arial" w:hAnsi="Arial"/>
          <w:sz w:val="33"/>
          <w:szCs w:val="33"/>
          <w:b w:val="1"/>
          <w:bCs w:val="1"/>
          <w:color w:val="1B4093"/>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539115</wp:posOffset>
            </wp:positionV>
            <wp:extent cx="1499870" cy="1397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9870" cy="1397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399"/>
        <w:spacing w:after="0" w:line="269" w:lineRule="auto"/>
        <w:rPr>
          <w:sz w:val="20"/>
          <w:szCs w:val="20"/>
          <w:color w:val="auto"/>
        </w:rPr>
      </w:pPr>
      <w:r>
        <w:rPr>
          <w:rFonts w:ascii="Arial" w:cs="Arial" w:eastAsia="Arial" w:hAnsi="Arial"/>
          <w:sz w:val="13"/>
          <w:szCs w:val="13"/>
          <w:b w:val="1"/>
          <w:bCs w:val="1"/>
          <w:color w:val="auto"/>
        </w:rPr>
        <w:t>Academy Sports + Outdoors is a leading full-line sporting goods and outdoor recreation retailer in the United States. Academy’s product assortment focuses on key categories of outdoor, apparel, footwear and sports &amp; recreation through both leading national brands and a portfolio of private label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2723515</wp:posOffset>
            </wp:positionV>
            <wp:extent cx="71685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321310</wp:posOffset>
            </wp:positionV>
            <wp:extent cx="5612130" cy="1397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12130" cy="1397000"/>
                    </a:xfrm>
                    <a:prstGeom prst="rect">
                      <a:avLst/>
                    </a:prstGeom>
                    <a:noFill/>
                  </pic:spPr>
                </pic:pic>
              </a:graphicData>
            </a:graphic>
          </wp:anchor>
        </w:drawing>
      </w:r>
    </w:p>
    <w:p>
      <w:pPr>
        <w:sectPr>
          <w:pgSz w:w="11900" w:h="16838" w:orient="portrait"/>
          <w:cols w:equalWidth="0" w:num="2">
            <w:col w:w="3000" w:space="180"/>
            <w:col w:w="5839"/>
          </w:cols>
          <w:pgMar w:left="1440" w:top="1440" w:right="144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273685</wp:posOffset>
            </wp:positionV>
            <wp:extent cx="34410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41065" cy="76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Basis of Presentation</w:t>
            </w:r>
          </w:p>
        </w:tc>
        <w:tc>
          <w:tcPr>
            <w:tcW w:w="580" w:type="dxa"/>
            <w:vAlign w:val="bottom"/>
          </w:tcPr>
          <w:p>
            <w:pPr>
              <w:ind w:left="260"/>
              <w:spacing w:after="0"/>
              <w:rPr>
                <w:sz w:val="20"/>
                <w:szCs w:val="20"/>
                <w:color w:val="auto"/>
              </w:rPr>
            </w:pPr>
            <w:r>
              <w:rPr>
                <w:rFonts w:ascii="Arial" w:cs="Arial" w:eastAsia="Arial" w:hAnsi="Arial"/>
                <w:sz w:val="13"/>
                <w:szCs w:val="13"/>
                <w:b w:val="1"/>
                <w:bCs w:val="1"/>
                <w:color w:val="1B4093"/>
              </w:rPr>
              <w:t>i</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Notice of Annual Meeting of Stockholders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1B4093"/>
              </w:rPr>
              <w:t>1</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Proxy Voting Methods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1B4093"/>
              </w:rPr>
              <w:t>2</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Proxy Statement - Annual Meeting of Stockholders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1B4093"/>
              </w:rPr>
              <w:t>3</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90"/>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General Information/Questions and Answers about the Annual Meeting</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rPr>
              <w:t>3</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Proposal One - Election of Directors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1B4093"/>
              </w:rPr>
              <w:t>9</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Board of Directors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rPr>
              <w:t>9</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Board Composition and Matrix</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10</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Board Skills Matrix</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11</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Nominees for Election to the Board of Directors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13</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Board Governance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24</w:t>
            </w:r>
          </w:p>
        </w:tc>
      </w:tr>
      <w:tr>
        <w:trPr>
          <w:trHeight w:val="218"/>
        </w:trPr>
        <w:tc>
          <w:tcPr>
            <w:tcW w:w="4840" w:type="dxa"/>
            <w:vAlign w:val="bottom"/>
          </w:tcPr>
          <w:p>
            <w:pPr>
              <w:ind w:left="320"/>
              <w:spacing w:after="0"/>
              <w:rPr>
                <w:sz w:val="20"/>
                <w:szCs w:val="20"/>
                <w:color w:val="auto"/>
              </w:rPr>
            </w:pPr>
            <w:r>
              <w:rPr>
                <w:rFonts w:ascii="Arial" w:cs="Arial" w:eastAsia="Arial" w:hAnsi="Arial"/>
                <w:sz w:val="13"/>
                <w:szCs w:val="13"/>
                <w:color w:val="auto"/>
              </w:rPr>
              <w:t>Board Governance Highlights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24</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Board Oversight</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25</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Corporate Governance Guidelines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25</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Director Independence</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25</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Leadership Structure of the Board</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26</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Executive Sessions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27</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Board Committees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27</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Board and Committee Meetings and Attendance</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31</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Board and Committee Evaluations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31</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Director Nomination Process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32</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Director Qualification Criteria</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32</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Director Orientation, Engagement, and Continuing Education</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33</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Management Succession</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33</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Stockholder Engagement</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34</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Corporate Responsibility</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35</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Board Oversight of Risk Management</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37</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Code of Ethics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38</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Insider Trading Policy</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39</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Communications with the Board</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39</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Compensation of Directors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39</w:t>
            </w:r>
          </w:p>
        </w:tc>
      </w:tr>
      <w:tr>
        <w:trPr>
          <w:trHeight w:val="33"/>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84"/>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Proposal Two - Ratification of Appointment of Independent Registered</w:t>
            </w:r>
          </w:p>
        </w:tc>
        <w:tc>
          <w:tcPr>
            <w:tcW w:w="580" w:type="dxa"/>
            <w:vAlign w:val="bottom"/>
          </w:tcPr>
          <w:p>
            <w:pPr>
              <w:spacing w:after="0"/>
              <w:rPr>
                <w:sz w:val="15"/>
                <w:szCs w:val="15"/>
                <w:color w:val="auto"/>
              </w:rPr>
            </w:pPr>
          </w:p>
        </w:tc>
      </w:tr>
      <w:tr>
        <w:trPr>
          <w:trHeight w:val="18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Public Accounting Firm</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1B4093"/>
                <w:w w:val="96"/>
              </w:rPr>
              <w:t>42</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Audit and Non-Audit Fees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43</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Audit Committee Pre-Approval Policy</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43</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Report of the Audit Committee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44</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1449070</wp:posOffset>
            </wp:positionV>
            <wp:extent cx="34410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410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Proposal Three - Non-Binding Advisory Vote, of the Fiscal 2024</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Compensation Paid to the Company’s Named Executive Officers</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1B4093"/>
              </w:rPr>
              <w:t>45</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Compensation Discussion and Analysis</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46</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Compensation Committee Report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61</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Summary Compensation Table</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62</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Grants of Plan Based Awards in 2024</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64</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Outstanding Equity Awards at 2024 Fiscal Year End</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65</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Option Exercises and Stock Awards Vested</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69</w:t>
            </w:r>
          </w:p>
        </w:tc>
        <w:tc>
          <w:tcPr>
            <w:tcW w:w="0" w:type="dxa"/>
            <w:vAlign w:val="bottom"/>
          </w:tcPr>
          <w:p>
            <w:pPr>
              <w:spacing w:after="0"/>
              <w:rPr>
                <w:sz w:val="1"/>
                <w:szCs w:val="1"/>
                <w:color w:val="auto"/>
              </w:rPr>
            </w:pPr>
          </w:p>
        </w:tc>
      </w:tr>
      <w:tr>
        <w:trPr>
          <w:trHeight w:val="218"/>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Potential Payments Upon Qualifying Termination of Employment or</w:t>
            </w:r>
          </w:p>
        </w:tc>
        <w:tc>
          <w:tcPr>
            <w:tcW w:w="62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007EC4"/>
              </w:rPr>
              <w:t>69</w:t>
            </w:r>
          </w:p>
        </w:tc>
        <w:tc>
          <w:tcPr>
            <w:tcW w:w="0" w:type="dxa"/>
            <w:vAlign w:val="bottom"/>
          </w:tcPr>
          <w:p>
            <w:pPr>
              <w:spacing w:after="0"/>
              <w:rPr>
                <w:sz w:val="1"/>
                <w:szCs w:val="1"/>
                <w:color w:val="auto"/>
              </w:rPr>
            </w:pPr>
          </w:p>
        </w:tc>
      </w:tr>
      <w:tr>
        <w:trPr>
          <w:trHeight w:val="93"/>
        </w:trPr>
        <w:tc>
          <w:tcPr>
            <w:tcW w:w="4800" w:type="dxa"/>
            <w:vAlign w:val="bottom"/>
            <w:vMerge w:val="restart"/>
          </w:tcPr>
          <w:p>
            <w:pPr>
              <w:ind w:left="180"/>
              <w:spacing w:after="0"/>
              <w:rPr>
                <w:sz w:val="20"/>
                <w:szCs w:val="20"/>
                <w:color w:val="auto"/>
              </w:rPr>
            </w:pPr>
            <w:r>
              <w:rPr>
                <w:rFonts w:ascii="Arial" w:cs="Arial" w:eastAsia="Arial" w:hAnsi="Arial"/>
                <w:sz w:val="13"/>
                <w:szCs w:val="13"/>
                <w:b w:val="1"/>
                <w:bCs w:val="1"/>
                <w:color w:val="007EC4"/>
              </w:rPr>
              <w:t>Change of Control</w:t>
            </w: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8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Employment Agreements</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71</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Severance Arrangements</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72</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Equity Award Accelerated Vesting</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73</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CEO Pay Ratio</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74</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Pay versus Performance</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75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7A9AC"/>
            </w:tcBorders>
          </w:tcPr>
          <w:p>
            <w:pPr>
              <w:spacing w:after="0"/>
              <w:rPr>
                <w:sz w:val="2"/>
                <w:szCs w:val="2"/>
                <w:color w:val="auto"/>
              </w:rPr>
            </w:pPr>
          </w:p>
        </w:tc>
        <w:tc>
          <w:tcPr>
            <w:tcW w:w="620" w:type="dxa"/>
            <w:vAlign w:val="bottom"/>
            <w:tcBorders>
              <w:bottom w:val="single" w:sz="8" w:color="A7A9AC"/>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Proposal Four - Amendment of the Company’s Amended and Restated</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Certificate of Incorporation to Remove the Supermajority Voting</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Requirements for Stockholders to Amend the Company’s Amended and</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Restated Bylaws and Certain Provisions of the Company’s Amended and</w:t>
            </w:r>
          </w:p>
        </w:tc>
        <w:tc>
          <w:tcPr>
            <w:tcW w:w="62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1B4093"/>
              </w:rPr>
              <w:t>79</w:t>
            </w:r>
          </w:p>
        </w:tc>
        <w:tc>
          <w:tcPr>
            <w:tcW w:w="0" w:type="dxa"/>
            <w:vAlign w:val="bottom"/>
          </w:tcPr>
          <w:p>
            <w:pPr>
              <w:spacing w:after="0"/>
              <w:rPr>
                <w:sz w:val="1"/>
                <w:szCs w:val="1"/>
                <w:color w:val="auto"/>
              </w:rPr>
            </w:pPr>
          </w:p>
        </w:tc>
      </w:tr>
      <w:tr>
        <w:trPr>
          <w:trHeight w:val="180"/>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Restated Certificate of Incorporation</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Purpose and Effect of the Majority Voting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80</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Reasons for the Majority Voting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81</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Effectiveness and Vote Required</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B6B6B6"/>
            </w:tcBorders>
          </w:tcPr>
          <w:p>
            <w:pPr>
              <w:spacing w:after="0"/>
              <w:rPr>
                <w:sz w:val="2"/>
                <w:szCs w:val="2"/>
                <w:color w:val="auto"/>
              </w:rPr>
            </w:pPr>
          </w:p>
        </w:tc>
        <w:tc>
          <w:tcPr>
            <w:tcW w:w="620" w:type="dxa"/>
            <w:vAlign w:val="bottom"/>
            <w:tcBorders>
              <w:bottom w:val="single" w:sz="8" w:color="A7A9AC"/>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Proposal Five - Amendment of the Company’s Amended and Restated</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Certificate of Incorporation to Declassify the Board and Phase-In Annual</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Director Elections by 2028</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1B4093"/>
              </w:rPr>
              <w:t>83</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Purpose and Effect of the Declassification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83</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Reasons for the Declassification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84</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Effectiveness and Vote Required</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B6B6B6"/>
            </w:tcBorders>
          </w:tcPr>
          <w:p>
            <w:pPr>
              <w:spacing w:after="0"/>
              <w:rPr>
                <w:sz w:val="2"/>
                <w:szCs w:val="2"/>
                <w:color w:val="auto"/>
              </w:rPr>
            </w:pPr>
          </w:p>
        </w:tc>
        <w:tc>
          <w:tcPr>
            <w:tcW w:w="620" w:type="dxa"/>
            <w:vAlign w:val="bottom"/>
            <w:tcBorders>
              <w:bottom w:val="single" w:sz="8" w:color="A7A9AC"/>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Proposal Six - Amendment to the Company’s Amended and Restated</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Certificate of Incorporation to Limit the Liability of Certain Officers of the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Company as Permitted by Law</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1B4093"/>
              </w:rPr>
              <w:t>85</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Purpose and Effect of the Exculpation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85</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Reasons for the Exculpation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86</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Effectiveness and Vote Required</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8A9AC"/>
            </w:tcBorders>
          </w:tcPr>
          <w:p>
            <w:pPr>
              <w:spacing w:after="0"/>
              <w:rPr>
                <w:sz w:val="2"/>
                <w:szCs w:val="2"/>
                <w:color w:val="auto"/>
              </w:rPr>
            </w:pPr>
          </w:p>
        </w:tc>
        <w:tc>
          <w:tcPr>
            <w:tcW w:w="620" w:type="dxa"/>
            <w:vAlign w:val="bottom"/>
            <w:tcBorders>
              <w:bottom w:val="single" w:sz="8" w:color="A8A9AC"/>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Ownership of Securities</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1B4093"/>
              </w:rPr>
              <w:t>88</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Beneficial Ownership of Company Common Stock</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8A9AC"/>
            </w:tcBorders>
          </w:tcPr>
          <w:p>
            <w:pPr>
              <w:spacing w:after="0"/>
              <w:rPr>
                <w:sz w:val="2"/>
                <w:szCs w:val="2"/>
                <w:color w:val="auto"/>
              </w:rPr>
            </w:pPr>
          </w:p>
        </w:tc>
        <w:tc>
          <w:tcPr>
            <w:tcW w:w="620" w:type="dxa"/>
            <w:vAlign w:val="bottom"/>
            <w:tcBorders>
              <w:bottom w:val="single" w:sz="8" w:color="A8A9A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1297305</wp:posOffset>
            </wp:positionV>
            <wp:extent cx="716851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5420" w:space="280"/>
            <w:col w:w="5540"/>
          </w:cols>
          <w:pgMar w:left="320" w:top="13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873125</wp:posOffset>
            </wp:positionV>
            <wp:extent cx="344106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410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Transactions with Related Persons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1B4093"/>
                <w:w w:val="96"/>
              </w:rPr>
              <w:t>91</w:t>
            </w: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80"/>
              <w:spacing w:after="0"/>
              <w:rPr>
                <w:sz w:val="20"/>
                <w:szCs w:val="20"/>
                <w:color w:val="auto"/>
              </w:rPr>
            </w:pPr>
            <w:r>
              <w:rPr>
                <w:rFonts w:ascii="Arial" w:cs="Arial" w:eastAsia="Arial" w:hAnsi="Arial"/>
                <w:sz w:val="13"/>
                <w:szCs w:val="13"/>
                <w:b w:val="1"/>
                <w:bCs w:val="1"/>
                <w:color w:val="007EC4"/>
              </w:rPr>
              <w:t>Related Party Transaction Policy</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007EC4"/>
                <w:w w:val="96"/>
              </w:rPr>
              <w:t>91</w:t>
            </w:r>
          </w:p>
        </w:tc>
        <w:tc>
          <w:tcPr>
            <w:tcW w:w="5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80"/>
              <w:spacing w:after="0"/>
              <w:rPr>
                <w:sz w:val="20"/>
                <w:szCs w:val="20"/>
                <w:color w:val="auto"/>
              </w:rPr>
            </w:pPr>
            <w:r>
              <w:rPr>
                <w:rFonts w:ascii="Arial" w:cs="Arial" w:eastAsia="Arial" w:hAnsi="Arial"/>
                <w:sz w:val="13"/>
                <w:szCs w:val="13"/>
                <w:b w:val="1"/>
                <w:bCs w:val="1"/>
                <w:color w:val="007EC4"/>
              </w:rPr>
              <w:t>Related Party Transactions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007EC4"/>
                <w:w w:val="96"/>
              </w:rPr>
              <w:t>91</w:t>
            </w:r>
          </w:p>
        </w:tc>
        <w:tc>
          <w:tcPr>
            <w:tcW w:w="5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8A9AC"/>
            </w:tcBorders>
          </w:tcPr>
          <w:p>
            <w:pPr>
              <w:spacing w:after="0"/>
              <w:rPr>
                <w:sz w:val="2"/>
                <w:szCs w:val="2"/>
                <w:color w:val="auto"/>
              </w:rPr>
            </w:pPr>
          </w:p>
        </w:tc>
        <w:tc>
          <w:tcPr>
            <w:tcW w:w="520" w:type="dxa"/>
            <w:vAlign w:val="bottom"/>
            <w:tcBorders>
              <w:bottom w:val="single" w:sz="8" w:color="A8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Stockholder Proposals for the 2026 Annual Meeting of Stockholders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1B4093"/>
                <w:w w:val="96"/>
              </w:rPr>
              <w:t>92</w:t>
            </w:r>
          </w:p>
        </w:tc>
        <w:tc>
          <w:tcPr>
            <w:tcW w:w="5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7A9AC"/>
            </w:tcBorders>
          </w:tcPr>
          <w:p>
            <w:pPr>
              <w:spacing w:after="0"/>
              <w:rPr>
                <w:sz w:val="2"/>
                <w:szCs w:val="2"/>
                <w:color w:val="auto"/>
              </w:rPr>
            </w:pPr>
          </w:p>
        </w:tc>
        <w:tc>
          <w:tcPr>
            <w:tcW w:w="520" w:type="dxa"/>
            <w:vAlign w:val="bottom"/>
            <w:tcBorders>
              <w:bottom w:val="single" w:sz="8" w:color="A7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Householding of Proxy Materials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1B4093"/>
                <w:w w:val="96"/>
              </w:rPr>
              <w:t>93</w:t>
            </w:r>
          </w:p>
        </w:tc>
        <w:tc>
          <w:tcPr>
            <w:tcW w:w="5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7A9AC"/>
            </w:tcBorders>
          </w:tcPr>
          <w:p>
            <w:pPr>
              <w:spacing w:after="0"/>
              <w:rPr>
                <w:sz w:val="2"/>
                <w:szCs w:val="2"/>
                <w:color w:val="auto"/>
              </w:rPr>
            </w:pPr>
          </w:p>
        </w:tc>
        <w:tc>
          <w:tcPr>
            <w:tcW w:w="520" w:type="dxa"/>
            <w:vAlign w:val="bottom"/>
            <w:tcBorders>
              <w:bottom w:val="single" w:sz="8" w:color="A7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Other Business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1B4093"/>
                <w:w w:val="96"/>
              </w:rPr>
              <w:t>94</w:t>
            </w:r>
          </w:p>
        </w:tc>
        <w:tc>
          <w:tcPr>
            <w:tcW w:w="5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80"/>
              <w:spacing w:after="0"/>
              <w:rPr>
                <w:sz w:val="20"/>
                <w:szCs w:val="20"/>
                <w:color w:val="auto"/>
              </w:rPr>
            </w:pPr>
            <w:r>
              <w:rPr>
                <w:rFonts w:ascii="Arial" w:cs="Arial" w:eastAsia="Arial" w:hAnsi="Arial"/>
                <w:sz w:val="13"/>
                <w:szCs w:val="13"/>
                <w:b w:val="1"/>
                <w:bCs w:val="1"/>
                <w:color w:val="007EC4"/>
              </w:rPr>
              <w:t>Voluntary Electronic Delivery of Proxy Materials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007EC4"/>
                <w:w w:val="96"/>
              </w:rPr>
              <w:t>94</w:t>
            </w:r>
          </w:p>
        </w:tc>
        <w:tc>
          <w:tcPr>
            <w:tcW w:w="5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8A9AC"/>
            </w:tcBorders>
          </w:tcPr>
          <w:p>
            <w:pPr>
              <w:spacing w:after="0"/>
              <w:rPr>
                <w:sz w:val="2"/>
                <w:szCs w:val="2"/>
                <w:color w:val="auto"/>
              </w:rPr>
            </w:pPr>
          </w:p>
        </w:tc>
        <w:tc>
          <w:tcPr>
            <w:tcW w:w="520" w:type="dxa"/>
            <w:vAlign w:val="bottom"/>
            <w:tcBorders>
              <w:bottom w:val="single" w:sz="8" w:color="A8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Annex A - Amendment to the Company’s Amended and Restated Certificate</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of Incorporation to Remove the Supermajority Voting Requirements for</w:t>
            </w:r>
          </w:p>
        </w:tc>
        <w:tc>
          <w:tcPr>
            <w:tcW w:w="6340" w:type="dxa"/>
            <w:vAlign w:val="bottom"/>
            <w:gridSpan w:val="2"/>
            <w:vMerge w:val="restart"/>
          </w:tcPr>
          <w:p>
            <w:pPr>
              <w:jc w:val="center"/>
              <w:ind w:right="5920"/>
              <w:spacing w:after="0"/>
              <w:rPr>
                <w:sz w:val="20"/>
                <w:szCs w:val="20"/>
                <w:color w:val="auto"/>
              </w:rPr>
            </w:pPr>
            <w:r>
              <w:rPr>
                <w:rFonts w:ascii="Arial" w:cs="Arial" w:eastAsia="Arial" w:hAnsi="Arial"/>
                <w:sz w:val="13"/>
                <w:szCs w:val="13"/>
                <w:b w:val="1"/>
                <w:bCs w:val="1"/>
                <w:color w:val="1B4093"/>
              </w:rPr>
              <w:t>A-1</w:t>
            </w:r>
          </w:p>
        </w:tc>
        <w:tc>
          <w:tcPr>
            <w:tcW w:w="0" w:type="dxa"/>
            <w:vAlign w:val="bottom"/>
          </w:tcPr>
          <w:p>
            <w:pPr>
              <w:spacing w:after="0"/>
              <w:rPr>
                <w:sz w:val="1"/>
                <w:szCs w:val="1"/>
                <w:color w:val="auto"/>
              </w:rPr>
            </w:pPr>
          </w:p>
        </w:tc>
      </w:tr>
      <w:tr>
        <w:trPr>
          <w:trHeight w:val="17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Stockholders to Amend the Company’s Amended and Restated Bylaws and</w:t>
            </w:r>
          </w:p>
        </w:tc>
        <w:tc>
          <w:tcPr>
            <w:tcW w:w="6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Certain Provisions of the Company’s Amended and Restated Certificate of</w:t>
            </w:r>
          </w:p>
        </w:tc>
        <w:tc>
          <w:tcPr>
            <w:tcW w:w="5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Incorporation</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7A9AC"/>
            </w:tcBorders>
          </w:tcPr>
          <w:p>
            <w:pPr>
              <w:spacing w:after="0"/>
              <w:rPr>
                <w:sz w:val="2"/>
                <w:szCs w:val="2"/>
                <w:color w:val="auto"/>
              </w:rPr>
            </w:pPr>
          </w:p>
        </w:tc>
        <w:tc>
          <w:tcPr>
            <w:tcW w:w="520" w:type="dxa"/>
            <w:vAlign w:val="bottom"/>
            <w:tcBorders>
              <w:bottom w:val="single" w:sz="8" w:color="A7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Annex B - Amendment to the Company’s Amended and Restated Certificate</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of Incorporation to Declassify the Board and Phase-In Annual Director</w:t>
            </w:r>
          </w:p>
        </w:tc>
        <w:tc>
          <w:tcPr>
            <w:tcW w:w="6340" w:type="dxa"/>
            <w:vAlign w:val="bottom"/>
            <w:gridSpan w:val="2"/>
          </w:tcPr>
          <w:p>
            <w:pPr>
              <w:jc w:val="center"/>
              <w:ind w:right="5920"/>
              <w:spacing w:after="0"/>
              <w:rPr>
                <w:sz w:val="20"/>
                <w:szCs w:val="20"/>
                <w:color w:val="auto"/>
              </w:rPr>
            </w:pPr>
            <w:r>
              <w:rPr>
                <w:rFonts w:ascii="Arial" w:cs="Arial" w:eastAsia="Arial" w:hAnsi="Arial"/>
                <w:sz w:val="13"/>
                <w:szCs w:val="13"/>
                <w:b w:val="1"/>
                <w:bCs w:val="1"/>
                <w:color w:val="1B4093"/>
              </w:rPr>
              <w:t>B-1</w:t>
            </w: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Elections by 2028</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7A9AC"/>
            </w:tcBorders>
          </w:tcPr>
          <w:p>
            <w:pPr>
              <w:spacing w:after="0"/>
              <w:rPr>
                <w:sz w:val="2"/>
                <w:szCs w:val="2"/>
                <w:color w:val="auto"/>
              </w:rPr>
            </w:pPr>
          </w:p>
        </w:tc>
        <w:tc>
          <w:tcPr>
            <w:tcW w:w="520" w:type="dxa"/>
            <w:vAlign w:val="bottom"/>
            <w:tcBorders>
              <w:bottom w:val="single" w:sz="8" w:color="A7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Annex C - Amendment to the Company’s Amended and Restated Certificate</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of Incorporation to Limit the Liability of Certain Officers of the Company as</w:t>
            </w:r>
          </w:p>
        </w:tc>
        <w:tc>
          <w:tcPr>
            <w:tcW w:w="6340" w:type="dxa"/>
            <w:vAlign w:val="bottom"/>
            <w:gridSpan w:val="2"/>
          </w:tcPr>
          <w:p>
            <w:pPr>
              <w:jc w:val="center"/>
              <w:ind w:right="5920"/>
              <w:spacing w:after="0"/>
              <w:rPr>
                <w:sz w:val="20"/>
                <w:szCs w:val="20"/>
                <w:color w:val="auto"/>
              </w:rPr>
            </w:pPr>
            <w:r>
              <w:rPr>
                <w:rFonts w:ascii="Arial" w:cs="Arial" w:eastAsia="Arial" w:hAnsi="Arial"/>
                <w:sz w:val="13"/>
                <w:szCs w:val="13"/>
                <w:b w:val="1"/>
                <w:bCs w:val="1"/>
                <w:color w:val="1B4093"/>
              </w:rPr>
              <w:t>C-1</w:t>
            </w: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Permitted by Law</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7A9AC"/>
            </w:tcBorders>
          </w:tcPr>
          <w:p>
            <w:pPr>
              <w:spacing w:after="0"/>
              <w:rPr>
                <w:sz w:val="2"/>
                <w:szCs w:val="2"/>
                <w:color w:val="auto"/>
              </w:rPr>
            </w:pPr>
          </w:p>
        </w:tc>
        <w:tc>
          <w:tcPr>
            <w:tcW w:w="520" w:type="dxa"/>
            <w:vAlign w:val="bottom"/>
            <w:tcBorders>
              <w:bottom w:val="single" w:sz="8" w:color="A7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Annex D - Reconciliations of GAAP to Non-GAAP Financial Measures</w:t>
            </w:r>
          </w:p>
        </w:tc>
        <w:tc>
          <w:tcPr>
            <w:tcW w:w="6340" w:type="dxa"/>
            <w:vAlign w:val="bottom"/>
            <w:gridSpan w:val="2"/>
          </w:tcPr>
          <w:p>
            <w:pPr>
              <w:jc w:val="center"/>
              <w:ind w:right="5920"/>
              <w:spacing w:after="0"/>
              <w:rPr>
                <w:sz w:val="20"/>
                <w:szCs w:val="20"/>
                <w:color w:val="auto"/>
              </w:rPr>
            </w:pPr>
            <w:r>
              <w:rPr>
                <w:rFonts w:ascii="Arial" w:cs="Arial" w:eastAsia="Arial" w:hAnsi="Arial"/>
                <w:sz w:val="13"/>
                <w:szCs w:val="13"/>
                <w:b w:val="1"/>
                <w:bCs w:val="1"/>
                <w:color w:val="1B4093"/>
              </w:rPr>
              <w:t>D-1</w:t>
            </w:r>
          </w:p>
        </w:tc>
        <w:tc>
          <w:tcPr>
            <w:tcW w:w="0" w:type="dxa"/>
            <w:vAlign w:val="bottom"/>
          </w:tcPr>
          <w:p>
            <w:pPr>
              <w:spacing w:after="0"/>
              <w:rPr>
                <w:sz w:val="1"/>
                <w:szCs w:val="1"/>
                <w:color w:val="auto"/>
              </w:rPr>
            </w:pPr>
          </w:p>
        </w:tc>
      </w:tr>
      <w:tr>
        <w:trPr>
          <w:trHeight w:val="1834"/>
        </w:trPr>
        <w:tc>
          <w:tcPr>
            <w:tcW w:w="49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1"/>
          <w:szCs w:val="41"/>
          <w:b w:val="1"/>
          <w:bCs w:val="1"/>
          <w:color w:val="1B4093"/>
        </w:rPr>
        <w:t>Basis of Presentation</w:t>
      </w:r>
    </w:p>
    <w:p>
      <w:pPr>
        <w:spacing w:after="0" w:line="368"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All references below to “Academy,” “we,"” “us,” “our” ”or the “Company”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References to this “Proxy Statement” refer to the 2025 Proxy Statement of the Company. References to the “Annual Meeting” refers to the Company’s 2025 Annual Meeting of Stockholders to be held on June 5, 2025.</w:t>
      </w:r>
    </w:p>
    <w:p>
      <w:pPr>
        <w:spacing w:after="0" w:line="166"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“2019,” “2020,” “2021,” “2022,” “2023,” and “2024,” or to such fiscal year relate to our fiscal years ended February 1, 2020, January 30, 2021, January 29, 2022, January 28, 2023, February 3, 2024, and February 1, 2025, respectively, unless the context requires otherwise.</w:t>
      </w:r>
    </w:p>
    <w:p>
      <w:pPr>
        <w:spacing w:after="0" w:line="166" w:lineRule="exact"/>
        <w:rPr>
          <w:sz w:val="20"/>
          <w:szCs w:val="20"/>
          <w:color w:val="auto"/>
        </w:rPr>
      </w:pPr>
    </w:p>
    <w:p>
      <w:pPr>
        <w:jc w:val="both"/>
        <w:ind w:right="320"/>
        <w:spacing w:after="0" w:line="323" w:lineRule="auto"/>
        <w:rPr>
          <w:sz w:val="20"/>
          <w:szCs w:val="20"/>
          <w:color w:val="auto"/>
        </w:rPr>
      </w:pPr>
      <w:r>
        <w:rPr>
          <w:rFonts w:ascii="Arial" w:cs="Arial" w:eastAsia="Arial" w:hAnsi="Arial"/>
          <w:sz w:val="14"/>
          <w:szCs w:val="14"/>
          <w:color w:val="auto"/>
        </w:rPr>
        <w:t>Capitalized terms used but not defined herein have the meanings set forth in our Annual Report on Form 10-K for the fiscal year ended February 1, 2025 (the “Annual Report”), filed with the Securities and Exchange Commission (the “SEC”) on March 20, 2025. Numerical figures included in this Proxy Statement have been subject to rounding adjustments. Accordingly, numerical figures shown as totals in various tables may not be arithmetic aggregations of the figures that precede them.</w:t>
      </w:r>
    </w:p>
    <w:p>
      <w:pPr>
        <w:spacing w:after="0" w:line="146"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This Proxy Statement contains forward-looking statements within the meaning of Section 27A of the Securities Act of 1933, as amended (the “Securities Act”), and Section 21E of the Securities Exchange Act of 1934, as amended (the “Exchange Act”). These forward-looking statements are based on the Company’s current expectations and are not guarantees of future performance. Words such as “outlook,” “guidance,” “anticipates,” “assume,” “believes,” “continues,” “could,” “estimates,” “expects,” “intends,” “may,” “plans,” “potential,” “predicts,” “projects,” “future,” “will,” “seeks,” “foreseeable,” or the negative version of these words or other comparable words or similar expressions are used to identify these forward-looking statements. In particular, forward-looking statements include, but are not limited to, statements regarding the payment, timing or amount of dividends, share repurchases, or debt repayment/debt interest savings, statements we make about our expectations for our operations and business and our corporate responsibility progress, plans, and initiatives. 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 and higher interest rates, trade policy changes or additional tariffs, geopolitical tensions, or changes to the financial health of our customers, many of which are beyond the Company’s control. Important factors that could cause actual results to differ materially from those in the forward-looking statements are set forth in the Company’s filings with the SEC, including the Annual Report under the caption “Part I, Item 1A. Risk Factors,” as may be updated from time to time in our periodic filings with the SEC. Any forward-looking statement in these materials speaks only as of the date released. The Company undertakes no obligation to publicly update or review any forward-looking statement, whether as a result of new information, future developments or otherwise, except as may be required by any applicable securities laws. Our sustainability-related initiatives are aspirational and may change. Statements regarding our initiatives are not guarantees or promises that they will be achieved.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161"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Reference to websites included throughout this Proxy Statement are provided for convenience only, and the contents of our websites do not constitute a part of and are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840740</wp:posOffset>
            </wp:positionV>
            <wp:extent cx="716851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1"/>
          <w:szCs w:val="41"/>
          <w:b w:val="1"/>
          <w:bCs w:val="1"/>
          <w:color w:val="1B4093"/>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7143115" cy="615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115" cy="61595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EF3B35"/>
          <w:highlight w:val="lightGray"/>
        </w:rPr>
        <w:t>Date and Time</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8:00 a.m. Central Time, on Thursday, June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3520440" cy="789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20440" cy="78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EF3B35"/>
          <w:highlight w:val="lightGray"/>
        </w:rPr>
        <w:t>Record Date</w:t>
      </w:r>
    </w:p>
    <w:p>
      <w:pPr>
        <w:spacing w:after="0" w:line="31" w:lineRule="exact"/>
        <w:rPr>
          <w:sz w:val="20"/>
          <w:szCs w:val="20"/>
          <w:color w:val="auto"/>
        </w:rPr>
      </w:pPr>
    </w:p>
    <w:p>
      <w:pPr>
        <w:ind w:left="1080" w:right="820"/>
        <w:spacing w:after="0" w:line="279" w:lineRule="auto"/>
        <w:rPr>
          <w:sz w:val="20"/>
          <w:szCs w:val="20"/>
          <w:color w:val="auto"/>
        </w:rPr>
      </w:pPr>
      <w:r>
        <w:rPr>
          <w:rFonts w:ascii="Arial" w:cs="Arial" w:eastAsia="Arial" w:hAnsi="Arial"/>
          <w:sz w:val="13"/>
          <w:szCs w:val="13"/>
          <w:color w:val="auto"/>
        </w:rPr>
        <w:t>You may vote at the Annual Meeting if you were a stockholder of record at the close of business on April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383603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3603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b w:val="1"/>
          <w:bCs w:val="1"/>
          <w:color w:val="EF3B35"/>
          <w:highlight w:val="lightGray"/>
        </w:rPr>
        <w:t>Place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Academy Sports and Outdoors,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Corporate Headquarters</w:t>
      </w:r>
    </w:p>
    <w:p>
      <w:pPr>
        <w:spacing w:after="0"/>
        <w:rPr>
          <w:sz w:val="20"/>
          <w:szCs w:val="20"/>
          <w:color w:val="auto"/>
        </w:rPr>
      </w:pPr>
      <w:r>
        <w:rPr>
          <w:rFonts w:ascii="Arial" w:cs="Arial" w:eastAsia="Arial" w:hAnsi="Arial"/>
          <w:sz w:val="13"/>
          <w:szCs w:val="13"/>
          <w:color w:val="auto"/>
        </w:rPr>
        <w:t>Ken C. Hicks Stadium</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1540 North Mason Road, Katy, Texas 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83820</wp:posOffset>
            </wp:positionV>
            <wp:extent cx="3528060" cy="789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28060" cy="7893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EF3B35"/>
          <w:highlight w:val="lightGray"/>
        </w:rPr>
        <w:t>Voting by Proxy</w:t>
      </w:r>
    </w:p>
    <w:p>
      <w:pPr>
        <w:spacing w:after="0" w:line="31" w:lineRule="exact"/>
        <w:rPr>
          <w:sz w:val="20"/>
          <w:szCs w:val="20"/>
          <w:color w:val="auto"/>
        </w:rPr>
      </w:pPr>
    </w:p>
    <w:p>
      <w:pPr>
        <w:ind w:right="540"/>
        <w:spacing w:after="0" w:line="264" w:lineRule="auto"/>
        <w:rPr>
          <w:sz w:val="20"/>
          <w:szCs w:val="20"/>
          <w:color w:val="auto"/>
        </w:rPr>
      </w:pPr>
      <w:r>
        <w:rPr>
          <w:rFonts w:ascii="Arial" w:cs="Arial" w:eastAsia="Arial" w:hAnsi="Arial"/>
          <w:sz w:val="13"/>
          <w:szCs w:val="13"/>
          <w:color w:val="auto"/>
        </w:rPr>
        <w:t>To ensure your shares are voted, you may vote your shares via the Internet, by telephone or by completing, signing, and mailing the enclosed proxy card or voting instruction form. Voting methods are described on the following page and on the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137795</wp:posOffset>
            </wp:positionV>
            <wp:extent cx="329946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9946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40"/>
          </w:cols>
          <w:pgMar w:left="320" w:top="132" w:right="339" w:bottom="1440" w:gutter="0" w:footer="0" w:header="0"/>
          <w:type w:val="continuous"/>
        </w:sectPr>
      </w:pPr>
    </w:p>
    <w:p>
      <w:pPr>
        <w:spacing w:after="0" w:line="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B4093"/>
        </w:rPr>
        <w:t>Items of</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B4093"/>
        </w:rPr>
        <w:t>Business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27"/>
          <w:szCs w:val="27"/>
          <w:color w:val="EF3B35"/>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50800</wp:posOffset>
            </wp:positionV>
            <wp:extent cx="29210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2100" cy="1587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7"/>
          <w:szCs w:val="27"/>
          <w:color w:val="EF3B35"/>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58420</wp:posOffset>
            </wp:positionV>
            <wp:extent cx="29210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2100" cy="1587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27"/>
          <w:szCs w:val="27"/>
          <w:color w:val="EF3B35"/>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58420</wp:posOffset>
            </wp:positionV>
            <wp:extent cx="29210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210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Election of the three Class II director nominees named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520954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09540" cy="1587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Ratification of the appointment of Deloitte &amp; Touche LLP as the Company’s independent registered public accounting firm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99060</wp:posOffset>
            </wp:positionV>
            <wp:extent cx="52095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09540" cy="1587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Approval, on a non-binding advisory basis, of the fiscal 2024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99060</wp:posOffset>
            </wp:positionV>
            <wp:extent cx="520954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09540" cy="1587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3">
            <w:col w:w="2040" w:space="720"/>
            <w:col w:w="160" w:space="220"/>
            <w:col w:w="8100"/>
          </w:cols>
          <w:pgMar w:left="320" w:top="132" w:right="339" w:bottom="1440" w:gutter="0" w:footer="0" w:header="0"/>
          <w:type w:val="continuous"/>
        </w:sectPr>
      </w:pPr>
    </w:p>
    <w:p>
      <w:pPr>
        <w:ind w:left="3140"/>
        <w:spacing w:after="0"/>
        <w:rPr>
          <w:sz w:val="20"/>
          <w:szCs w:val="20"/>
          <w:color w:val="auto"/>
        </w:rPr>
      </w:pPr>
      <w:r>
        <w:rPr>
          <w:rFonts w:ascii="Arial" w:cs="Arial" w:eastAsia="Arial" w:hAnsi="Arial"/>
          <w:sz w:val="13"/>
          <w:szCs w:val="13"/>
          <w:color w:val="auto"/>
        </w:rPr>
        <w:t>Approval of an amendment of the Company’s Amended and Restated Certificate of Incorporation to remove the supermajority voting</w:t>
      </w:r>
    </w:p>
    <w:p>
      <w:pPr>
        <w:spacing w:after="0" w:line="71" w:lineRule="exact"/>
        <w:rPr>
          <w:sz w:val="20"/>
          <w:szCs w:val="20"/>
          <w:color w:val="auto"/>
        </w:rPr>
      </w:pPr>
    </w:p>
    <w:p>
      <w:pPr>
        <w:ind w:left="3140" w:right="580" w:hanging="374"/>
        <w:spacing w:after="0" w:line="181" w:lineRule="auto"/>
        <w:tabs>
          <w:tab w:leader="none" w:pos="3140" w:val="left"/>
        </w:tabs>
        <w:numPr>
          <w:ilvl w:val="0"/>
          <w:numId w:val="6"/>
        </w:numPr>
        <w:rPr>
          <w:rFonts w:ascii="Arial" w:cs="Arial" w:eastAsia="Arial" w:hAnsi="Arial"/>
          <w:sz w:val="27"/>
          <w:szCs w:val="27"/>
          <w:color w:val="EF3B35"/>
        </w:rPr>
      </w:pPr>
      <w:r>
        <w:rPr>
          <w:rFonts w:ascii="Arial" w:cs="Arial" w:eastAsia="Arial" w:hAnsi="Arial"/>
          <w:sz w:val="13"/>
          <w:szCs w:val="13"/>
          <w:color w:val="auto"/>
        </w:rPr>
        <w:t>requirements for stockholders to amend the Company’s Amended and Restated Bylaws and certain provisions of the Company’s Amended and Restated Certificate of Incorporation.</w:t>
      </w:r>
    </w:p>
    <w:p>
      <w:pPr>
        <w:spacing w:after="0" w:line="63" w:lineRule="exact"/>
        <w:rPr>
          <w:sz w:val="20"/>
          <w:szCs w:val="20"/>
          <w:color w:val="auto"/>
        </w:rPr>
      </w:pPr>
    </w:p>
    <w:p>
      <w:pPr>
        <w:ind w:left="3140" w:right="260" w:hanging="374"/>
        <w:spacing w:after="0" w:line="184" w:lineRule="auto"/>
        <w:tabs>
          <w:tab w:leader="none" w:pos="3140" w:val="left"/>
        </w:tabs>
        <w:numPr>
          <w:ilvl w:val="0"/>
          <w:numId w:val="7"/>
        </w:numPr>
        <w:rPr>
          <w:rFonts w:ascii="Arial" w:cs="Arial" w:eastAsia="Arial" w:hAnsi="Arial"/>
          <w:sz w:val="27"/>
          <w:szCs w:val="27"/>
          <w:color w:val="EF3B35"/>
          <w:vertAlign w:val="subscript"/>
        </w:rPr>
      </w:pPr>
      <w:r>
        <w:rPr>
          <w:rFonts w:ascii="Arial" w:cs="Arial" w:eastAsia="Arial" w:hAnsi="Arial"/>
          <w:sz w:val="11"/>
          <w:szCs w:val="11"/>
          <w:color w:val="auto"/>
        </w:rPr>
        <w:t>Approval of an amendment of the Company’s Amended and Restated Certificate of Incorporation to declassify the Board and phase-in annual director elections by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-238760</wp:posOffset>
            </wp:positionV>
            <wp:extent cx="551751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7515" cy="15875"/>
                    </a:xfrm>
                    <a:prstGeom prst="rect">
                      <a:avLst/>
                    </a:prstGeom>
                    <a:noFill/>
                  </pic:spPr>
                </pic:pic>
              </a:graphicData>
            </a:graphic>
          </wp:anchor>
        </w:drawing>
      </w:r>
    </w:p>
    <w:p>
      <w:pPr>
        <w:spacing w:after="0" w:line="68" w:lineRule="exact"/>
        <w:rPr>
          <w:sz w:val="20"/>
          <w:szCs w:val="20"/>
          <w:color w:val="auto"/>
        </w:rPr>
      </w:pPr>
    </w:p>
    <w:p>
      <w:pPr>
        <w:ind w:left="3140" w:right="160" w:hanging="374"/>
        <w:spacing w:after="0" w:line="184" w:lineRule="auto"/>
        <w:tabs>
          <w:tab w:leader="none" w:pos="3140" w:val="left"/>
        </w:tabs>
        <w:numPr>
          <w:ilvl w:val="0"/>
          <w:numId w:val="8"/>
        </w:numPr>
        <w:rPr>
          <w:rFonts w:ascii="Arial" w:cs="Arial" w:eastAsia="Arial" w:hAnsi="Arial"/>
          <w:sz w:val="27"/>
          <w:szCs w:val="27"/>
          <w:color w:val="EF3B35"/>
          <w:vertAlign w:val="subscript"/>
        </w:rPr>
      </w:pPr>
      <w:r>
        <w:rPr>
          <w:rFonts w:ascii="Arial" w:cs="Arial" w:eastAsia="Arial" w:hAnsi="Arial"/>
          <w:sz w:val="11"/>
          <w:szCs w:val="11"/>
          <w:color w:val="auto"/>
        </w:rPr>
        <w:t>Approval of an amendment of the Company’s Amended and Restated Certificate of Incorporation to limit the liability of certain officers of the Company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29210</wp:posOffset>
            </wp:positionV>
            <wp:extent cx="551751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7515" cy="1587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-238760</wp:posOffset>
            </wp:positionV>
            <wp:extent cx="551751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7515" cy="15875"/>
                    </a:xfrm>
                    <a:prstGeom prst="rect">
                      <a:avLst/>
                    </a:prstGeom>
                    <a:noFill/>
                  </pic:spPr>
                </pic:pic>
              </a:graphicData>
            </a:graphic>
          </wp:anchor>
        </w:drawing>
      </w:r>
    </w:p>
    <w:p>
      <w:pPr>
        <w:spacing w:after="0" w:line="18" w:lineRule="exact"/>
        <w:rPr>
          <w:sz w:val="20"/>
          <w:szCs w:val="20"/>
          <w:color w:val="auto"/>
        </w:rPr>
      </w:pPr>
    </w:p>
    <w:p>
      <w:pPr>
        <w:ind w:left="3140" w:hanging="374"/>
        <w:spacing w:after="0"/>
        <w:tabs>
          <w:tab w:leader="none" w:pos="3140" w:val="left"/>
        </w:tabs>
        <w:numPr>
          <w:ilvl w:val="0"/>
          <w:numId w:val="9"/>
        </w:numPr>
        <w:rPr>
          <w:rFonts w:ascii="Arial" w:cs="Arial" w:eastAsia="Arial" w:hAnsi="Arial"/>
          <w:sz w:val="27"/>
          <w:szCs w:val="27"/>
          <w:color w:val="EF3B35"/>
        </w:rPr>
      </w:pPr>
      <w:r>
        <w:rPr>
          <w:rFonts w:ascii="Arial" w:cs="Arial" w:eastAsia="Arial" w:hAnsi="Arial"/>
          <w:sz w:val="13"/>
          <w:szCs w:val="13"/>
          <w:color w:val="auto"/>
        </w:rPr>
        <w:t>To consider such other business as may properly come before the Annual Meeting and any adjournment or postponements thereof.</w:t>
      </w:r>
    </w:p>
    <w:p>
      <w:pPr>
        <w:spacing w:after="0" w:line="194" w:lineRule="exact"/>
        <w:rPr>
          <w:sz w:val="20"/>
          <w:szCs w:val="20"/>
          <w:color w:val="auto"/>
        </w:rPr>
      </w:pPr>
    </w:p>
    <w:p>
      <w:pPr>
        <w:ind w:right="180"/>
        <w:spacing w:after="0" w:line="255" w:lineRule="auto"/>
        <w:rPr>
          <w:sz w:val="20"/>
          <w:szCs w:val="20"/>
          <w:color w:val="auto"/>
        </w:rPr>
      </w:pPr>
      <w:r>
        <w:rPr>
          <w:rFonts w:ascii="Arial" w:cs="Arial" w:eastAsia="Arial" w:hAnsi="Arial"/>
          <w:sz w:val="15"/>
          <w:szCs w:val="15"/>
          <w:color w:val="auto"/>
        </w:rPr>
        <w:t>In order to conserve natural resources and reduce the cost of printing and distributing the proxy materials, while providing our stockholders with access to the proxy materials in a fast and efficient manner, we are pleased to be able to take advantage of the SEC rule allowing companies to use a “Notice and Access” model to provide their stockholders with access to proxy materials via the Internet. On or about April 21, 2025, we began mailing Notice of Internet Availability of Proxy Materials (the “Notice of Internet Availability”) to our stockholders informing them that our Notice of Annual Meeting of Stockholders and Annual Report, proxy statement, and voting instructions are available on the Internet at www.proxyvote.com. As more fully described in the Notice of Internet Availability, all stockholders may choose to access our materials at www.proxyvote.com or may request to receive paper copies of the proxy materials.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033780" cy="220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33780" cy="22098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Sarah M. Green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Deputy General Counsel, &amp; Assistant Corporate Secretary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April 21, 2025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Important Notice Regarding the Availability of Proxy Materials for the Annual Meeting to be Held on June 5, 2025.</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This Proxy Statement and the 2024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822325</wp:posOffset>
            </wp:positionV>
            <wp:extent cx="716851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527050</wp:posOffset>
            </wp:positionV>
            <wp:extent cx="789305" cy="189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3"/>
          <w:szCs w:val="13"/>
          <w:b w:val="1"/>
          <w:bCs w:val="1"/>
          <w:color w:val="007EC4"/>
        </w:rPr>
        <w:t xml:space="preserve">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Proxy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447040</wp:posOffset>
            </wp:positionV>
            <wp:extent cx="712724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724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Arial" w:cs="Arial" w:eastAsia="Arial" w:hAnsi="Arial"/>
          <w:sz w:val="13"/>
          <w:szCs w:val="13"/>
          <w:b w:val="1"/>
          <w:bCs w:val="1"/>
          <w:color w:val="EF3B35"/>
        </w:rPr>
        <w:t>VOTING CUTOFF FOR VOTING BY PROXY</w:t>
      </w:r>
    </w:p>
    <w:p>
      <w:pPr>
        <w:spacing w:after="0" w:line="30" w:lineRule="exact"/>
        <w:rPr>
          <w:sz w:val="20"/>
          <w:szCs w:val="20"/>
          <w:color w:val="auto"/>
        </w:rPr>
      </w:pPr>
    </w:p>
    <w:p>
      <w:pPr>
        <w:ind w:left="2640" w:right="220"/>
        <w:spacing w:after="0" w:line="257" w:lineRule="auto"/>
        <w:rPr>
          <w:sz w:val="20"/>
          <w:szCs w:val="20"/>
          <w:color w:val="auto"/>
        </w:rPr>
      </w:pPr>
      <w:r>
        <w:rPr>
          <w:rFonts w:ascii="Arial" w:cs="Arial" w:eastAsia="Arial" w:hAnsi="Arial"/>
          <w:sz w:val="20"/>
          <w:szCs w:val="20"/>
          <w:b w:val="1"/>
          <w:bCs w:val="1"/>
          <w:color w:val="27408E"/>
        </w:rPr>
        <w:t>If you are a stockholder of record, your vote by proxy must be received by 10:59 p.m. Central Time on June 4, 2025 to be counted. If you hold shares through a broker, bank or other nominee, please refer to information from your bank, broker or nominee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12724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7240" cy="15875"/>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-568325</wp:posOffset>
            </wp:positionV>
            <wp:extent cx="331470" cy="331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1470" cy="331470"/>
                    </a:xfrm>
                    <a:prstGeom prst="rect">
                      <a:avLst/>
                    </a:prstGeom>
                    <a:noFill/>
                  </pic:spPr>
                </pic:pic>
              </a:graphicData>
            </a:graphic>
          </wp:anchor>
        </w:drawing>
      </w:r>
    </w:p>
    <w:p>
      <w:pPr>
        <w:spacing w:after="0" w:line="37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 xml:space="preserve">If, as of the close of business on April 10, 2025 (the “Record Date”), you were a stockholder of record or held shares through a broker or bank, you may vote your shares by proxy, which includes voting via the Internet, by telephone or by mail, or you may vote in person at the 2025 Annual Meeting of Stockholders (the “Annual Meeting”). You may also revoke your proxies at the times and in the manners described in the Questions and Answers about the Annual Meeting section of this Proxy Statement. </w:t>
      </w:r>
      <w:r>
        <w:rPr>
          <w:rFonts w:ascii="Arial" w:cs="Arial" w:eastAsia="Arial" w:hAnsi="Arial"/>
          <w:sz w:val="15"/>
          <w:szCs w:val="15"/>
          <w:b w:val="1"/>
          <w:bCs w:val="1"/>
          <w:color w:val="auto"/>
        </w:rPr>
        <w:t>For</w:t>
      </w:r>
      <w:r>
        <w:rPr>
          <w:rFonts w:ascii="Arial" w:cs="Arial" w:eastAsia="Arial" w:hAnsi="Arial"/>
          <w:sz w:val="15"/>
          <w:szCs w:val="15"/>
          <w:color w:val="auto"/>
        </w:rPr>
        <w:t xml:space="preserve"> </w:t>
      </w:r>
      <w:r>
        <w:rPr>
          <w:rFonts w:ascii="Arial" w:cs="Arial" w:eastAsia="Arial" w:hAnsi="Arial"/>
          <w:sz w:val="15"/>
          <w:szCs w:val="15"/>
          <w:b w:val="1"/>
          <w:bCs w:val="1"/>
          <w:color w:val="auto"/>
        </w:rPr>
        <w:t>shares you hold through a broker, bank or other nominee, you may submit voting instructions to your broker, bank or other nominee. Please refer to information from your broker, bank or other nominee on how to submit voting instructions.</w:t>
      </w:r>
    </w:p>
    <w:p>
      <w:pPr>
        <w:sectPr>
          <w:pgSz w:w="11900" w:h="16838" w:orient="portrait"/>
          <w:cols w:equalWidth="0" w:num="1">
            <w:col w:w="11240"/>
          </w:cols>
          <w:pgMar w:left="320" w:top="132" w:right="339" w:bottom="1440" w:gutter="0" w:footer="0" w:header="0"/>
        </w:sectPr>
      </w:pPr>
    </w:p>
    <w:p>
      <w:pPr>
        <w:spacing w:after="0" w:line="18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7EC4"/>
        </w:rPr>
        <w:t>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1649095</wp:posOffset>
            </wp:positionH>
            <wp:positionV relativeFrom="paragraph">
              <wp:posOffset>-193675</wp:posOffset>
            </wp:positionV>
            <wp:extent cx="1689100" cy="30308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89100" cy="30308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7EC4"/>
        </w:rPr>
        <w:t>by proxy:</w:t>
      </w:r>
    </w:p>
    <w:p>
      <w:pPr>
        <w:spacing w:after="0" w:line="153"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EF3B35"/>
        </w:rPr>
        <w:t>By Internet or</w:t>
      </w:r>
    </w:p>
    <w:p>
      <w:pPr>
        <w:spacing w:after="0" w:line="28"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EF3B35"/>
        </w:rPr>
        <w:t>QR Code</w:t>
      </w:r>
    </w:p>
    <w:p>
      <w:pPr>
        <w:spacing w:after="0" w:line="9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Go to the website www.proxyvote.com</w:t>
      </w:r>
    </w:p>
    <w:p>
      <w:pPr>
        <w:spacing w:after="0" w:line="24"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and follow the instructions, 24 hours a</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day, seven days a week, or scan the</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QR code on your proxy card.</w:t>
      </w:r>
    </w:p>
    <w:p>
      <w:pPr>
        <w:spacing w:after="0" w:line="211"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You will need the 16-digit control</w:t>
      </w:r>
    </w:p>
    <w:p>
      <w:pPr>
        <w:spacing w:after="0" w:line="24"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number included on your proxy card to</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obtain your records and to create an</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electronic voting instruction form. If you</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vote via the Internet, you do not need</w:t>
      </w:r>
    </w:p>
    <w:p>
      <w:pPr>
        <w:ind w:left="2760"/>
        <w:spacing w:after="0"/>
        <w:rPr>
          <w:sz w:val="20"/>
          <w:szCs w:val="20"/>
          <w:color w:val="auto"/>
        </w:rPr>
      </w:pPr>
      <w:r>
        <w:rPr>
          <w:rFonts w:ascii="Arial" w:cs="Arial" w:eastAsia="Arial" w:hAnsi="Arial"/>
          <w:sz w:val="13"/>
          <w:szCs w:val="13"/>
          <w:color w:val="auto"/>
          <w:highlight w:val="lightGray"/>
        </w:rPr>
        <w:t>to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1922780</wp:posOffset>
            </wp:positionV>
            <wp:extent cx="789305" cy="189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EF3B35"/>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-622300</wp:posOffset>
            </wp:positionV>
            <wp:extent cx="1681480" cy="30308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81480" cy="3030855"/>
                    </a:xfrm>
                    <a:prstGeom prst="rect">
                      <a:avLst/>
                    </a:prstGeom>
                    <a:noFill/>
                  </pic:spPr>
                </pic:pic>
              </a:graphicData>
            </a:graphic>
          </wp:anchor>
        </w:drawing>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highlight w:val="lightGray"/>
        </w:rPr>
        <w:t>You can vote your shares from a touch-tone telephone by calling the number provided on the proxy card. The telephone voting procedures are designed to authenticate your identity and to allow you to vote your shares and confirm that your voting instructions have been properly recorded.</w:t>
      </w:r>
    </w:p>
    <w:p>
      <w:pPr>
        <w:spacing w:after="0" w:line="363"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highlight w:val="lightGray"/>
        </w:rPr>
        <w:t>You will need the 16-digit control number included on your proxy card to obtain your records and to create an electronic voting instruction form. If you vote via the telephone, you do not need to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-3670300</wp:posOffset>
            </wp:positionH>
            <wp:positionV relativeFrom="paragraph">
              <wp:posOffset>1807210</wp:posOffset>
            </wp:positionV>
            <wp:extent cx="71685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EF3B35"/>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-622300</wp:posOffset>
            </wp:positionV>
            <wp:extent cx="1681480" cy="30308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1480" cy="3030855"/>
                    </a:xfrm>
                    <a:prstGeom prst="rect">
                      <a:avLst/>
                    </a:prstGeom>
                    <a:noFill/>
                  </pic:spPr>
                </pic:pic>
              </a:graphicData>
            </a:graphic>
          </wp:anchor>
        </w:drawing>
      </w:r>
    </w:p>
    <w:p>
      <w:pPr>
        <w:spacing w:after="0" w:line="98" w:lineRule="exact"/>
        <w:rPr>
          <w:sz w:val="20"/>
          <w:szCs w:val="20"/>
          <w:color w:val="auto"/>
        </w:rPr>
      </w:pPr>
    </w:p>
    <w:p>
      <w:pPr>
        <w:ind w:right="500"/>
        <w:spacing w:after="0" w:line="318" w:lineRule="auto"/>
        <w:rPr>
          <w:sz w:val="20"/>
          <w:szCs w:val="20"/>
          <w:color w:val="auto"/>
        </w:rPr>
      </w:pPr>
      <w:r>
        <w:rPr>
          <w:rFonts w:ascii="Arial" w:cs="Arial" w:eastAsia="Arial" w:hAnsi="Arial"/>
          <w:sz w:val="13"/>
          <w:szCs w:val="13"/>
          <w:color w:val="auto"/>
          <w:highlight w:val="lightGray"/>
        </w:rPr>
        <w:t>Mark your selections on the proxy card.</w:t>
      </w:r>
    </w:p>
    <w:p>
      <w:pPr>
        <w:spacing w:after="0" w:line="176" w:lineRule="exact"/>
        <w:rPr>
          <w:sz w:val="20"/>
          <w:szCs w:val="20"/>
          <w:color w:val="auto"/>
        </w:rPr>
      </w:pPr>
    </w:p>
    <w:p>
      <w:pPr>
        <w:ind w:right="280"/>
        <w:spacing w:after="0" w:line="278" w:lineRule="auto"/>
        <w:rPr>
          <w:sz w:val="20"/>
          <w:szCs w:val="20"/>
          <w:color w:val="auto"/>
        </w:rPr>
      </w:pPr>
      <w:r>
        <w:rPr>
          <w:rFonts w:ascii="Arial" w:cs="Arial" w:eastAsia="Arial" w:hAnsi="Arial"/>
          <w:sz w:val="13"/>
          <w:szCs w:val="13"/>
          <w:color w:val="auto"/>
          <w:highlight w:val="lightGray"/>
        </w:rPr>
        <w:t>Date and sign your name exactly as it appears on your proxy card.</w:t>
      </w:r>
    </w:p>
    <w:p>
      <w:pPr>
        <w:spacing w:after="0" w:line="188" w:lineRule="exact"/>
        <w:rPr>
          <w:sz w:val="20"/>
          <w:szCs w:val="20"/>
          <w:color w:val="auto"/>
        </w:rPr>
      </w:pPr>
    </w:p>
    <w:p>
      <w:pPr>
        <w:jc w:val="both"/>
        <w:ind w:right="440"/>
        <w:spacing w:after="0" w:line="279" w:lineRule="auto"/>
        <w:rPr>
          <w:sz w:val="20"/>
          <w:szCs w:val="20"/>
          <w:color w:val="auto"/>
        </w:rPr>
      </w:pPr>
      <w:r>
        <w:rPr>
          <w:rFonts w:ascii="Arial" w:cs="Arial" w:eastAsia="Arial" w:hAnsi="Arial"/>
          <w:sz w:val="13"/>
          <w:szCs w:val="13"/>
          <w:color w:val="auto"/>
          <w:highlight w:val="lightGray"/>
        </w:rPr>
        <w:t>Mail the proxy card in the enclosed postage-paid envelope provided to you.</w:t>
      </w:r>
    </w:p>
    <w:p>
      <w:pPr>
        <w:sectPr>
          <w:pgSz w:w="11900" w:h="16838" w:orient="portrait"/>
          <w:cols w:equalWidth="0" w:num="3">
            <w:col w:w="5040" w:space="720"/>
            <w:col w:w="2300" w:space="700"/>
            <w:col w:w="2480"/>
          </w:cols>
          <w:pgMar w:left="320" w:top="132"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Proxy Statement</w:t>
      </w:r>
    </w:p>
    <w:p>
      <w:pPr>
        <w:spacing w:after="0" w:line="63"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Annual Meeting of Stockholders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EF3B35"/>
        </w:rPr>
        <w:t>June 5, 2025</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General Information</w:t>
      </w:r>
    </w:p>
    <w:p>
      <w:pPr>
        <w:spacing w:after="0" w:line="132"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We have delivered this Proxy Statement to you in connection with the solicitation by the Board of Directors of Academy (the “Board” or “Board of Directors”) of proxies to be voted at the Annual Meeting to be held on June 5, 2025, and at any postponements or adjournments of the Annual Meeting. You are invited to attend the Annual Meeting and vote your shares in person.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08787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7870" cy="15875"/>
                    </a:xfrm>
                    <a:prstGeom prst="rect">
                      <a:avLst/>
                    </a:prstGeom>
                    <a:noFill/>
                  </pic:spPr>
                </pic:pic>
              </a:graphicData>
            </a:graphic>
          </wp:anchor>
        </w:drawing>
      </w:r>
    </w:p>
    <w:p>
      <w:pPr>
        <w:spacing w:after="0" w:line="284" w:lineRule="exact"/>
        <w:rPr>
          <w:sz w:val="20"/>
          <w:szCs w:val="20"/>
          <w:color w:val="auto"/>
        </w:rPr>
      </w:pPr>
    </w:p>
    <w:p>
      <w:pPr>
        <w:ind w:left="20"/>
        <w:spacing w:after="0"/>
        <w:tabs>
          <w:tab w:leader="none" w:pos="2900" w:val="left"/>
        </w:tabs>
        <w:rPr>
          <w:sz w:val="20"/>
          <w:szCs w:val="20"/>
          <w:color w:val="auto"/>
        </w:rPr>
      </w:pPr>
      <w:r>
        <w:rPr>
          <w:rFonts w:ascii="Arial" w:cs="Arial" w:eastAsia="Arial" w:hAnsi="Arial"/>
          <w:sz w:val="30"/>
          <w:szCs w:val="30"/>
          <w:b w:val="1"/>
          <w:bCs w:val="1"/>
          <w:color w:val="EF3B35"/>
        </w:rPr>
        <w:t xml:space="preserve">Q:  </w:t>
      </w:r>
      <w:r>
        <w:rPr>
          <w:rFonts w:ascii="Arial" w:cs="Arial" w:eastAsia="Arial" w:hAnsi="Arial"/>
          <w:sz w:val="14"/>
          <w:szCs w:val="14"/>
          <w:b w:val="1"/>
          <w:bCs w:val="1"/>
          <w:color w:val="007EC4"/>
        </w:rPr>
        <w:t>WHAT AM I VOTING ON?</w:t>
      </w:r>
      <w:r>
        <w:rPr>
          <w:sz w:val="20"/>
          <w:szCs w:val="20"/>
          <w:color w:val="auto"/>
        </w:rPr>
        <w:tab/>
      </w:r>
      <w:r>
        <w:rPr>
          <w:rFonts w:ascii="Arial" w:cs="Arial" w:eastAsia="Arial" w:hAnsi="Arial"/>
          <w:sz w:val="14"/>
          <w:szCs w:val="14"/>
          <w:color w:val="auto"/>
        </w:rPr>
        <w:t>There are six proposals scheduled to be voted on at the Annual Meeting:</w:t>
      </w:r>
    </w:p>
    <w:p>
      <w:pPr>
        <w:sectPr>
          <w:pgSz w:w="11900" w:h="16838" w:orient="portrait"/>
          <w:cols w:equalWidth="0" w:num="1">
            <w:col w:w="11240"/>
          </w:cols>
          <w:pgMar w:left="320" w:top="132" w:right="339" w:bottom="1440" w:gutter="0" w:footer="0" w:header="0"/>
        </w:sectPr>
      </w:pPr>
    </w:p>
    <w:p>
      <w:pPr>
        <w:spacing w:after="0" w:line="181" w:lineRule="exact"/>
        <w:rPr>
          <w:sz w:val="20"/>
          <w:szCs w:val="20"/>
          <w:color w:val="auto"/>
        </w:rPr>
      </w:pPr>
    </w:p>
    <w:p>
      <w:pPr>
        <w:ind w:left="2920"/>
        <w:spacing w:after="0"/>
        <w:rPr>
          <w:sz w:val="20"/>
          <w:szCs w:val="20"/>
          <w:color w:val="auto"/>
        </w:rPr>
      </w:pPr>
      <w:r>
        <w:rPr>
          <w:rFonts w:ascii="Arial" w:cs="Arial" w:eastAsia="Arial" w:hAnsi="Arial"/>
          <w:sz w:val="23"/>
          <w:szCs w:val="23"/>
          <w:b w:val="1"/>
          <w:bCs w:val="1"/>
          <w:color w:val="EF3B35"/>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106680</wp:posOffset>
            </wp:positionV>
            <wp:extent cx="1587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106680</wp:posOffset>
            </wp:positionV>
            <wp:extent cx="1587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106680</wp:posOffset>
            </wp:positionV>
            <wp:extent cx="1587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106680</wp:posOffset>
            </wp:positionV>
            <wp:extent cx="1587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106680</wp:posOffset>
            </wp:positionV>
            <wp:extent cx="1587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106680</wp:posOffset>
            </wp:positionV>
            <wp:extent cx="1587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106680</wp:posOffset>
            </wp:positionV>
            <wp:extent cx="1587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106680</wp:posOffset>
            </wp:positionV>
            <wp:extent cx="1587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106680</wp:posOffset>
            </wp:positionV>
            <wp:extent cx="1587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106680</wp:posOffset>
            </wp:positionV>
            <wp:extent cx="1587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106680</wp:posOffset>
            </wp:positionV>
            <wp:extent cx="1587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106680</wp:posOffset>
            </wp:positionV>
            <wp:extent cx="1587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106680</wp:posOffset>
            </wp:positionV>
            <wp:extent cx="1587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106680</wp:posOffset>
            </wp:positionV>
            <wp:extent cx="1587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106680</wp:posOffset>
            </wp:positionV>
            <wp:extent cx="1587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106680</wp:posOffset>
            </wp:positionV>
            <wp:extent cx="1587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106680</wp:posOffset>
            </wp:positionV>
            <wp:extent cx="1587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106680</wp:posOffset>
            </wp:positionV>
            <wp:extent cx="1587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106680</wp:posOffset>
            </wp:positionV>
            <wp:extent cx="1587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106680</wp:posOffset>
            </wp:positionV>
            <wp:extent cx="1587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106680</wp:posOffset>
            </wp:positionV>
            <wp:extent cx="1587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106680</wp:posOffset>
            </wp:positionV>
            <wp:extent cx="1587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106680</wp:posOffset>
            </wp:positionV>
            <wp:extent cx="1587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106680</wp:posOffset>
            </wp:positionV>
            <wp:extent cx="1587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106680</wp:posOffset>
            </wp:positionV>
            <wp:extent cx="1587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106680</wp:posOffset>
            </wp:positionV>
            <wp:extent cx="1587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106680</wp:posOffset>
            </wp:positionV>
            <wp:extent cx="1587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106680</wp:posOffset>
            </wp:positionV>
            <wp:extent cx="1587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106680</wp:posOffset>
            </wp:positionV>
            <wp:extent cx="1587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106680</wp:posOffset>
            </wp:positionV>
            <wp:extent cx="1587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106680</wp:posOffset>
            </wp:positionV>
            <wp:extent cx="1587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106680</wp:posOffset>
            </wp:positionV>
            <wp:extent cx="1587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106680</wp:posOffset>
            </wp:positionV>
            <wp:extent cx="1587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106680</wp:posOffset>
            </wp:positionV>
            <wp:extent cx="1587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106680</wp:posOffset>
            </wp:positionV>
            <wp:extent cx="1587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106680</wp:posOffset>
            </wp:positionV>
            <wp:extent cx="1587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106680</wp:posOffset>
            </wp:positionV>
            <wp:extent cx="1587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106680</wp:posOffset>
            </wp:positionV>
            <wp:extent cx="1587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106680</wp:posOffset>
            </wp:positionV>
            <wp:extent cx="1587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106680</wp:posOffset>
            </wp:positionV>
            <wp:extent cx="1587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88"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EF3B35"/>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240665</wp:posOffset>
            </wp:positionV>
            <wp:extent cx="1587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240665</wp:posOffset>
            </wp:positionV>
            <wp:extent cx="1587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240665</wp:posOffset>
            </wp:positionV>
            <wp:extent cx="1587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240665</wp:posOffset>
            </wp:positionV>
            <wp:extent cx="1587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240665</wp:posOffset>
            </wp:positionV>
            <wp:extent cx="1587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240665</wp:posOffset>
            </wp:positionV>
            <wp:extent cx="1587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240665</wp:posOffset>
            </wp:positionV>
            <wp:extent cx="1587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240665</wp:posOffset>
            </wp:positionV>
            <wp:extent cx="1587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240665</wp:posOffset>
            </wp:positionV>
            <wp:extent cx="1587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240665</wp:posOffset>
            </wp:positionV>
            <wp:extent cx="1587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240665</wp:posOffset>
            </wp:positionV>
            <wp:extent cx="1587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240665</wp:posOffset>
            </wp:positionV>
            <wp:extent cx="1587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240665</wp:posOffset>
            </wp:positionV>
            <wp:extent cx="1587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240665</wp:posOffset>
            </wp:positionV>
            <wp:extent cx="1587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240665</wp:posOffset>
            </wp:positionV>
            <wp:extent cx="1587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240665</wp:posOffset>
            </wp:positionV>
            <wp:extent cx="1587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240665</wp:posOffset>
            </wp:positionV>
            <wp:extent cx="1587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240665</wp:posOffset>
            </wp:positionV>
            <wp:extent cx="1587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240665</wp:posOffset>
            </wp:positionV>
            <wp:extent cx="1587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240665</wp:posOffset>
            </wp:positionV>
            <wp:extent cx="1587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240665</wp:posOffset>
            </wp:positionV>
            <wp:extent cx="1587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240665</wp:posOffset>
            </wp:positionV>
            <wp:extent cx="1587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240665</wp:posOffset>
            </wp:positionV>
            <wp:extent cx="1587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240665</wp:posOffset>
            </wp:positionV>
            <wp:extent cx="1587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240665</wp:posOffset>
            </wp:positionV>
            <wp:extent cx="1587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240665</wp:posOffset>
            </wp:positionV>
            <wp:extent cx="1587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240665</wp:posOffset>
            </wp:positionV>
            <wp:extent cx="1587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240665</wp:posOffset>
            </wp:positionV>
            <wp:extent cx="1587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240665</wp:posOffset>
            </wp:positionV>
            <wp:extent cx="1587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240665</wp:posOffset>
            </wp:positionV>
            <wp:extent cx="1587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240665</wp:posOffset>
            </wp:positionV>
            <wp:extent cx="1587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240665</wp:posOffset>
            </wp:positionV>
            <wp:extent cx="1587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240665</wp:posOffset>
            </wp:positionV>
            <wp:extent cx="1587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240665</wp:posOffset>
            </wp:positionV>
            <wp:extent cx="1587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240665</wp:posOffset>
            </wp:positionV>
            <wp:extent cx="1587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240665</wp:posOffset>
            </wp:positionV>
            <wp:extent cx="1587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240665</wp:posOffset>
            </wp:positionV>
            <wp:extent cx="1587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240665</wp:posOffset>
            </wp:positionV>
            <wp:extent cx="1587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240665</wp:posOffset>
            </wp:positionV>
            <wp:extent cx="1587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240665</wp:posOffset>
            </wp:positionV>
            <wp:extent cx="1587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Election of the three Class II director nominees named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165735</wp:posOffset>
            </wp:positionV>
            <wp:extent cx="1587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165735</wp:posOffset>
            </wp:positionV>
            <wp:extent cx="1587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165735</wp:posOffset>
            </wp:positionV>
            <wp:extent cx="1587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165735</wp:posOffset>
            </wp:positionV>
            <wp:extent cx="1587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165735</wp:posOffset>
            </wp:positionV>
            <wp:extent cx="1587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165735</wp:posOffset>
            </wp:positionV>
            <wp:extent cx="1587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165735</wp:posOffset>
            </wp:positionV>
            <wp:extent cx="1587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165735</wp:posOffset>
            </wp:positionV>
            <wp:extent cx="1587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165735</wp:posOffset>
            </wp:positionV>
            <wp:extent cx="1587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165735</wp:posOffset>
            </wp:positionV>
            <wp:extent cx="1587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165735</wp:posOffset>
            </wp:positionV>
            <wp:extent cx="1587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165735</wp:posOffset>
            </wp:positionV>
            <wp:extent cx="1587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165735</wp:posOffset>
            </wp:positionV>
            <wp:extent cx="1587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165735</wp:posOffset>
            </wp:positionV>
            <wp:extent cx="1587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165735</wp:posOffset>
            </wp:positionV>
            <wp:extent cx="1587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165735</wp:posOffset>
            </wp:positionV>
            <wp:extent cx="1587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165735</wp:posOffset>
            </wp:positionV>
            <wp:extent cx="1587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165735</wp:posOffset>
            </wp:positionV>
            <wp:extent cx="1587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165735</wp:posOffset>
            </wp:positionV>
            <wp:extent cx="1587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165735</wp:posOffset>
            </wp:positionV>
            <wp:extent cx="1587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165735</wp:posOffset>
            </wp:positionV>
            <wp:extent cx="1587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165735</wp:posOffset>
            </wp:positionV>
            <wp:extent cx="1587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165735</wp:posOffset>
            </wp:positionV>
            <wp:extent cx="1587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165735</wp:posOffset>
            </wp:positionV>
            <wp:extent cx="1587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165735</wp:posOffset>
            </wp:positionV>
            <wp:extent cx="1587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165735</wp:posOffset>
            </wp:positionV>
            <wp:extent cx="1587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165735</wp:posOffset>
            </wp:positionV>
            <wp:extent cx="1587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165735</wp:posOffset>
            </wp:positionV>
            <wp:extent cx="1587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165735</wp:posOffset>
            </wp:positionV>
            <wp:extent cx="1587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165735</wp:posOffset>
            </wp:positionV>
            <wp:extent cx="1587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165735</wp:posOffset>
            </wp:positionV>
            <wp:extent cx="1587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165735</wp:posOffset>
            </wp:positionV>
            <wp:extent cx="1587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165735</wp:posOffset>
            </wp:positionV>
            <wp:extent cx="1587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165735</wp:posOffset>
            </wp:positionV>
            <wp:extent cx="1587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165735</wp:posOffset>
            </wp:positionV>
            <wp:extent cx="1587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165735</wp:posOffset>
            </wp:positionV>
            <wp:extent cx="1587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165735</wp:posOffset>
            </wp:positionV>
            <wp:extent cx="1587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165735</wp:posOffset>
            </wp:positionV>
            <wp:extent cx="1587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165735</wp:posOffset>
            </wp:positionV>
            <wp:extent cx="1587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165735</wp:posOffset>
            </wp:positionV>
            <wp:extent cx="1587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1287780</wp:posOffset>
            </wp:positionH>
            <wp:positionV relativeFrom="paragraph">
              <wp:posOffset>165735</wp:posOffset>
            </wp:positionV>
            <wp:extent cx="1587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165735</wp:posOffset>
            </wp:positionV>
            <wp:extent cx="1587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165735</wp:posOffset>
            </wp:positionV>
            <wp:extent cx="1587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165735</wp:posOffset>
            </wp:positionV>
            <wp:extent cx="1587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165735</wp:posOffset>
            </wp:positionV>
            <wp:extent cx="1587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165735</wp:posOffset>
            </wp:positionV>
            <wp:extent cx="1587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165735</wp:posOffset>
            </wp:positionV>
            <wp:extent cx="1587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165735</wp:posOffset>
            </wp:positionV>
            <wp:extent cx="1587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165735</wp:posOffset>
            </wp:positionV>
            <wp:extent cx="1587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165735</wp:posOffset>
            </wp:positionV>
            <wp:extent cx="1587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165735</wp:posOffset>
            </wp:positionV>
            <wp:extent cx="15875"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165735</wp:posOffset>
            </wp:positionV>
            <wp:extent cx="1587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165735</wp:posOffset>
            </wp:positionV>
            <wp:extent cx="15875"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165735</wp:posOffset>
            </wp:positionV>
            <wp:extent cx="1587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165735</wp:posOffset>
            </wp:positionV>
            <wp:extent cx="1587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165735</wp:posOffset>
            </wp:positionV>
            <wp:extent cx="15875"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165735</wp:posOffset>
            </wp:positionV>
            <wp:extent cx="1587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165735</wp:posOffset>
            </wp:positionV>
            <wp:extent cx="15875"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165735</wp:posOffset>
            </wp:positionV>
            <wp:extent cx="15875"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165735</wp:posOffset>
            </wp:positionV>
            <wp:extent cx="15875"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165735</wp:posOffset>
            </wp:positionV>
            <wp:extent cx="15875"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165735</wp:posOffset>
            </wp:positionV>
            <wp:extent cx="15875"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165735</wp:posOffset>
            </wp:positionV>
            <wp:extent cx="15875"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165735</wp:posOffset>
            </wp:positionV>
            <wp:extent cx="1587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165735</wp:posOffset>
            </wp:positionV>
            <wp:extent cx="15875"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165735</wp:posOffset>
            </wp:positionV>
            <wp:extent cx="15875" cy="1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165735</wp:posOffset>
            </wp:positionV>
            <wp:extent cx="15875"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165735</wp:posOffset>
            </wp:positionV>
            <wp:extent cx="1587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165735</wp:posOffset>
            </wp:positionV>
            <wp:extent cx="1587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165735</wp:posOffset>
            </wp:positionV>
            <wp:extent cx="15875"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165735</wp:posOffset>
            </wp:positionV>
            <wp:extent cx="15875"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165735</wp:posOffset>
            </wp:positionV>
            <wp:extent cx="15875"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165735</wp:posOffset>
            </wp:positionV>
            <wp:extent cx="15875"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165735</wp:posOffset>
            </wp:positionV>
            <wp:extent cx="15875"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165735</wp:posOffset>
            </wp:positionV>
            <wp:extent cx="15875"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165735</wp:posOffset>
            </wp:positionV>
            <wp:extent cx="15875"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165735</wp:posOffset>
            </wp:positionV>
            <wp:extent cx="15875"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165735</wp:posOffset>
            </wp:positionV>
            <wp:extent cx="15875"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165735</wp:posOffset>
            </wp:positionV>
            <wp:extent cx="15875"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165735</wp:posOffset>
            </wp:positionV>
            <wp:extent cx="15875"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165735</wp:posOffset>
            </wp:positionV>
            <wp:extent cx="15875"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165735</wp:posOffset>
            </wp:positionV>
            <wp:extent cx="15875"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165735</wp:posOffset>
            </wp:positionV>
            <wp:extent cx="15875"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165735</wp:posOffset>
            </wp:positionV>
            <wp:extent cx="1587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165735</wp:posOffset>
            </wp:positionV>
            <wp:extent cx="15875"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165735</wp:posOffset>
            </wp:positionV>
            <wp:extent cx="15875"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165735</wp:posOffset>
            </wp:positionV>
            <wp:extent cx="15875"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165735</wp:posOffset>
            </wp:positionV>
            <wp:extent cx="15875"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165735</wp:posOffset>
            </wp:positionV>
            <wp:extent cx="15875"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165735</wp:posOffset>
            </wp:positionV>
            <wp:extent cx="15875"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165735</wp:posOffset>
            </wp:positionV>
            <wp:extent cx="15875" cy="1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165735</wp:posOffset>
            </wp:positionV>
            <wp:extent cx="15875"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165735</wp:posOffset>
            </wp:positionV>
            <wp:extent cx="15875"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165735</wp:posOffset>
            </wp:positionV>
            <wp:extent cx="15875" cy="15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165735</wp:posOffset>
            </wp:positionV>
            <wp:extent cx="15875"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165735</wp:posOffset>
            </wp:positionV>
            <wp:extent cx="15875"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165735</wp:posOffset>
            </wp:positionV>
            <wp:extent cx="15875"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165735</wp:posOffset>
            </wp:positionV>
            <wp:extent cx="15875"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165735</wp:posOffset>
            </wp:positionV>
            <wp:extent cx="15875" cy="15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165735</wp:posOffset>
            </wp:positionV>
            <wp:extent cx="15875"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165735</wp:posOffset>
            </wp:positionV>
            <wp:extent cx="15875"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165735</wp:posOffset>
            </wp:positionV>
            <wp:extent cx="15875"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165735</wp:posOffset>
            </wp:positionV>
            <wp:extent cx="15875"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165735</wp:posOffset>
            </wp:positionV>
            <wp:extent cx="15875"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165735</wp:posOffset>
            </wp:positionV>
            <wp:extent cx="15875"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165735</wp:posOffset>
            </wp:positionV>
            <wp:extent cx="15875"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165735</wp:posOffset>
            </wp:positionV>
            <wp:extent cx="15875"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165735</wp:posOffset>
            </wp:positionV>
            <wp:extent cx="15875"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165735</wp:posOffset>
            </wp:positionV>
            <wp:extent cx="15875"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165735</wp:posOffset>
            </wp:positionV>
            <wp:extent cx="15875"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165735</wp:posOffset>
            </wp:positionV>
            <wp:extent cx="15875"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165735</wp:posOffset>
            </wp:positionV>
            <wp:extent cx="15875" cy="15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165735</wp:posOffset>
            </wp:positionV>
            <wp:extent cx="15875"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165735</wp:posOffset>
            </wp:positionV>
            <wp:extent cx="15875"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165735</wp:posOffset>
            </wp:positionV>
            <wp:extent cx="1587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165735</wp:posOffset>
            </wp:positionV>
            <wp:extent cx="15875" cy="158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165735</wp:posOffset>
            </wp:positionV>
            <wp:extent cx="15875"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165735</wp:posOffset>
            </wp:positionV>
            <wp:extent cx="15875" cy="15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165735</wp:posOffset>
            </wp:positionV>
            <wp:extent cx="15875" cy="15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165735</wp:posOffset>
            </wp:positionV>
            <wp:extent cx="1587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165735</wp:posOffset>
            </wp:positionV>
            <wp:extent cx="15875"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165735</wp:posOffset>
            </wp:positionV>
            <wp:extent cx="15875"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165735</wp:posOffset>
            </wp:positionV>
            <wp:extent cx="15875" cy="15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165735</wp:posOffset>
            </wp:positionV>
            <wp:extent cx="15875" cy="158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165735</wp:posOffset>
            </wp:positionV>
            <wp:extent cx="62865" cy="158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91" w:lineRule="exact"/>
        <w:rPr>
          <w:sz w:val="20"/>
          <w:szCs w:val="20"/>
          <w:color w:val="auto"/>
        </w:rPr>
      </w:pPr>
    </w:p>
    <w:p>
      <w:pPr>
        <w:ind w:right="940"/>
        <w:spacing w:after="0" w:line="310" w:lineRule="auto"/>
        <w:rPr>
          <w:sz w:val="20"/>
          <w:szCs w:val="20"/>
          <w:color w:val="auto"/>
        </w:rPr>
      </w:pPr>
      <w:r>
        <w:rPr>
          <w:rFonts w:ascii="Arial" w:cs="Arial" w:eastAsia="Arial" w:hAnsi="Arial"/>
          <w:sz w:val="15"/>
          <w:szCs w:val="15"/>
          <w:color w:val="auto"/>
        </w:rPr>
        <w:t>Ratification of the appointment of Deloitte &amp; Touche LLP as the Company’s independent registered public accounting firm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111760</wp:posOffset>
            </wp:positionV>
            <wp:extent cx="15875" cy="15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111760</wp:posOffset>
            </wp:positionV>
            <wp:extent cx="15875" cy="15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111760</wp:posOffset>
            </wp:positionV>
            <wp:extent cx="15875"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111760</wp:posOffset>
            </wp:positionV>
            <wp:extent cx="15875"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111760</wp:posOffset>
            </wp:positionV>
            <wp:extent cx="15875"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111760</wp:posOffset>
            </wp:positionV>
            <wp:extent cx="15875" cy="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111760</wp:posOffset>
            </wp:positionV>
            <wp:extent cx="15875"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111760</wp:posOffset>
            </wp:positionV>
            <wp:extent cx="15875" cy="158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111760</wp:posOffset>
            </wp:positionV>
            <wp:extent cx="15875"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111760</wp:posOffset>
            </wp:positionV>
            <wp:extent cx="15875"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111760</wp:posOffset>
            </wp:positionV>
            <wp:extent cx="15875"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111760</wp:posOffset>
            </wp:positionV>
            <wp:extent cx="15875" cy="158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111760</wp:posOffset>
            </wp:positionV>
            <wp:extent cx="15875"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111760</wp:posOffset>
            </wp:positionV>
            <wp:extent cx="15875"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111760</wp:posOffset>
            </wp:positionV>
            <wp:extent cx="15875"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111760</wp:posOffset>
            </wp:positionV>
            <wp:extent cx="1587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111760</wp:posOffset>
            </wp:positionV>
            <wp:extent cx="1587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111760</wp:posOffset>
            </wp:positionV>
            <wp:extent cx="15875"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111760</wp:posOffset>
            </wp:positionV>
            <wp:extent cx="15875"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111760</wp:posOffset>
            </wp:positionV>
            <wp:extent cx="15875" cy="15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111760</wp:posOffset>
            </wp:positionV>
            <wp:extent cx="15875"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111760</wp:posOffset>
            </wp:positionV>
            <wp:extent cx="15875" cy="15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111760</wp:posOffset>
            </wp:positionV>
            <wp:extent cx="15875" cy="15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111760</wp:posOffset>
            </wp:positionV>
            <wp:extent cx="15875" cy="158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111760</wp:posOffset>
            </wp:positionV>
            <wp:extent cx="15875" cy="158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111760</wp:posOffset>
            </wp:positionV>
            <wp:extent cx="15875" cy="158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111760</wp:posOffset>
            </wp:positionV>
            <wp:extent cx="15875" cy="158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111760</wp:posOffset>
            </wp:positionV>
            <wp:extent cx="15875" cy="158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111760</wp:posOffset>
            </wp:positionV>
            <wp:extent cx="15875" cy="158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111760</wp:posOffset>
            </wp:positionV>
            <wp:extent cx="15875" cy="158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111760</wp:posOffset>
            </wp:positionV>
            <wp:extent cx="15875" cy="15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111760</wp:posOffset>
            </wp:positionV>
            <wp:extent cx="15875" cy="15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111760</wp:posOffset>
            </wp:positionV>
            <wp:extent cx="15875" cy="158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111760</wp:posOffset>
            </wp:positionV>
            <wp:extent cx="15875" cy="15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111760</wp:posOffset>
            </wp:positionV>
            <wp:extent cx="15875" cy="158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111760</wp:posOffset>
            </wp:positionV>
            <wp:extent cx="15875" cy="15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111760</wp:posOffset>
            </wp:positionV>
            <wp:extent cx="15875" cy="15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111760</wp:posOffset>
            </wp:positionV>
            <wp:extent cx="15875" cy="158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111760</wp:posOffset>
            </wp:positionV>
            <wp:extent cx="15875" cy="158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111760</wp:posOffset>
            </wp:positionV>
            <wp:extent cx="15875"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1287780</wp:posOffset>
            </wp:positionH>
            <wp:positionV relativeFrom="paragraph">
              <wp:posOffset>111760</wp:posOffset>
            </wp:positionV>
            <wp:extent cx="15875" cy="158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111760</wp:posOffset>
            </wp:positionV>
            <wp:extent cx="15875"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111760</wp:posOffset>
            </wp:positionV>
            <wp:extent cx="15875" cy="1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111760</wp:posOffset>
            </wp:positionV>
            <wp:extent cx="15875" cy="158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111760</wp:posOffset>
            </wp:positionV>
            <wp:extent cx="15875" cy="158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111760</wp:posOffset>
            </wp:positionV>
            <wp:extent cx="15875" cy="158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111760</wp:posOffset>
            </wp:positionV>
            <wp:extent cx="15875" cy="158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111760</wp:posOffset>
            </wp:positionV>
            <wp:extent cx="15875" cy="158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111760</wp:posOffset>
            </wp:positionV>
            <wp:extent cx="15875" cy="158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111760</wp:posOffset>
            </wp:positionV>
            <wp:extent cx="15875" cy="158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111760</wp:posOffset>
            </wp:positionV>
            <wp:extent cx="15875" cy="158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111760</wp:posOffset>
            </wp:positionV>
            <wp:extent cx="15875" cy="158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111760</wp:posOffset>
            </wp:positionV>
            <wp:extent cx="15875" cy="158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111760</wp:posOffset>
            </wp:positionV>
            <wp:extent cx="15875" cy="15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111760</wp:posOffset>
            </wp:positionV>
            <wp:extent cx="15875" cy="158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111760</wp:posOffset>
            </wp:positionV>
            <wp:extent cx="15875" cy="15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111760</wp:posOffset>
            </wp:positionV>
            <wp:extent cx="15875" cy="158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111760</wp:posOffset>
            </wp:positionV>
            <wp:extent cx="15875" cy="15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111760</wp:posOffset>
            </wp:positionV>
            <wp:extent cx="15875" cy="15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111760</wp:posOffset>
            </wp:positionV>
            <wp:extent cx="15875" cy="158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111760</wp:posOffset>
            </wp:positionV>
            <wp:extent cx="15875" cy="158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111760</wp:posOffset>
            </wp:positionV>
            <wp:extent cx="15875" cy="158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111760</wp:posOffset>
            </wp:positionV>
            <wp:extent cx="15875" cy="158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111760</wp:posOffset>
            </wp:positionV>
            <wp:extent cx="15875" cy="158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111760</wp:posOffset>
            </wp:positionV>
            <wp:extent cx="15875" cy="15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111760</wp:posOffset>
            </wp:positionV>
            <wp:extent cx="15875" cy="158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111760</wp:posOffset>
            </wp:positionV>
            <wp:extent cx="15875" cy="158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111760</wp:posOffset>
            </wp:positionV>
            <wp:extent cx="15875" cy="158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111760</wp:posOffset>
            </wp:positionV>
            <wp:extent cx="15875" cy="158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111760</wp:posOffset>
            </wp:positionV>
            <wp:extent cx="15875" cy="15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111760</wp:posOffset>
            </wp:positionV>
            <wp:extent cx="15875" cy="15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111760</wp:posOffset>
            </wp:positionV>
            <wp:extent cx="15875" cy="158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111760</wp:posOffset>
            </wp:positionV>
            <wp:extent cx="15875" cy="158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111760</wp:posOffset>
            </wp:positionV>
            <wp:extent cx="15875" cy="158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111760</wp:posOffset>
            </wp:positionV>
            <wp:extent cx="15875" cy="158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111760</wp:posOffset>
            </wp:positionV>
            <wp:extent cx="15875" cy="158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111760</wp:posOffset>
            </wp:positionV>
            <wp:extent cx="15875" cy="158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111760</wp:posOffset>
            </wp:positionV>
            <wp:extent cx="15875" cy="158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111760</wp:posOffset>
            </wp:positionV>
            <wp:extent cx="15875" cy="158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111760</wp:posOffset>
            </wp:positionV>
            <wp:extent cx="15875" cy="158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111760</wp:posOffset>
            </wp:positionV>
            <wp:extent cx="15875" cy="158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111760</wp:posOffset>
            </wp:positionV>
            <wp:extent cx="15875" cy="158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111760</wp:posOffset>
            </wp:positionV>
            <wp:extent cx="15875" cy="158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111760</wp:posOffset>
            </wp:positionV>
            <wp:extent cx="15875" cy="15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111760</wp:posOffset>
            </wp:positionV>
            <wp:extent cx="15875"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111760</wp:posOffset>
            </wp:positionV>
            <wp:extent cx="15875" cy="15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111760</wp:posOffset>
            </wp:positionV>
            <wp:extent cx="15875" cy="15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111760</wp:posOffset>
            </wp:positionV>
            <wp:extent cx="15875" cy="15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111760</wp:posOffset>
            </wp:positionV>
            <wp:extent cx="15875" cy="158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111760</wp:posOffset>
            </wp:positionV>
            <wp:extent cx="15875" cy="158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111760</wp:posOffset>
            </wp:positionV>
            <wp:extent cx="15875" cy="15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111760</wp:posOffset>
            </wp:positionV>
            <wp:extent cx="15875" cy="15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111760</wp:posOffset>
            </wp:positionV>
            <wp:extent cx="15875" cy="15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111760</wp:posOffset>
            </wp:positionV>
            <wp:extent cx="15875" cy="158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111760</wp:posOffset>
            </wp:positionV>
            <wp:extent cx="15875" cy="15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111760</wp:posOffset>
            </wp:positionV>
            <wp:extent cx="15875" cy="15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111760</wp:posOffset>
            </wp:positionV>
            <wp:extent cx="15875" cy="158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111760</wp:posOffset>
            </wp:positionV>
            <wp:extent cx="15875" cy="158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111760</wp:posOffset>
            </wp:positionV>
            <wp:extent cx="15875" cy="158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111760</wp:posOffset>
            </wp:positionV>
            <wp:extent cx="15875" cy="158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111760</wp:posOffset>
            </wp:positionV>
            <wp:extent cx="15875" cy="158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111760</wp:posOffset>
            </wp:positionV>
            <wp:extent cx="15875" cy="158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111760</wp:posOffset>
            </wp:positionV>
            <wp:extent cx="15875" cy="15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111760</wp:posOffset>
            </wp:positionV>
            <wp:extent cx="15875" cy="158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111760</wp:posOffset>
            </wp:positionV>
            <wp:extent cx="15875" cy="158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111760</wp:posOffset>
            </wp:positionV>
            <wp:extent cx="15875" cy="15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111760</wp:posOffset>
            </wp:positionV>
            <wp:extent cx="15875" cy="158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111760</wp:posOffset>
            </wp:positionV>
            <wp:extent cx="15875" cy="158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111760</wp:posOffset>
            </wp:positionV>
            <wp:extent cx="15875" cy="158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111760</wp:posOffset>
            </wp:positionV>
            <wp:extent cx="15875" cy="158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111760</wp:posOffset>
            </wp:positionV>
            <wp:extent cx="15875" cy="158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111760</wp:posOffset>
            </wp:positionV>
            <wp:extent cx="15875" cy="158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111760</wp:posOffset>
            </wp:positionV>
            <wp:extent cx="15875" cy="158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111760</wp:posOffset>
            </wp:positionV>
            <wp:extent cx="15875" cy="158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111760</wp:posOffset>
            </wp:positionV>
            <wp:extent cx="15875" cy="158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111760</wp:posOffset>
            </wp:positionV>
            <wp:extent cx="15875" cy="158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111760</wp:posOffset>
            </wp:positionV>
            <wp:extent cx="15875" cy="158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111760</wp:posOffset>
            </wp:positionV>
            <wp:extent cx="15875" cy="158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111760</wp:posOffset>
            </wp:positionV>
            <wp:extent cx="15875" cy="158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111760</wp:posOffset>
            </wp:positionV>
            <wp:extent cx="15875" cy="158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111760</wp:posOffset>
            </wp:positionV>
            <wp:extent cx="15875" cy="158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111760</wp:posOffset>
            </wp:positionV>
            <wp:extent cx="15875" cy="158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111760</wp:posOffset>
            </wp:positionV>
            <wp:extent cx="15875" cy="158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111760</wp:posOffset>
            </wp:positionV>
            <wp:extent cx="15875" cy="158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111760</wp:posOffset>
            </wp:positionV>
            <wp:extent cx="62865" cy="158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860"/>
          </w:cols>
          <w:pgMar w:left="320" w:top="132" w:right="339" w:bottom="1440" w:gutter="0" w:footer="0" w:header="0"/>
          <w:type w:val="continuous"/>
        </w:sectPr>
      </w:pPr>
    </w:p>
    <w:p>
      <w:pPr>
        <w:spacing w:after="0" w:line="15" w:lineRule="exact"/>
        <w:rPr>
          <w:sz w:val="20"/>
          <w:szCs w:val="20"/>
          <w:color w:val="auto"/>
        </w:rPr>
      </w:pPr>
    </w:p>
    <w:p>
      <w:pPr>
        <w:ind w:left="2920"/>
        <w:spacing w:after="0"/>
        <w:rPr>
          <w:sz w:val="20"/>
          <w:szCs w:val="20"/>
          <w:color w:val="auto"/>
        </w:rPr>
      </w:pPr>
      <w:r>
        <w:rPr>
          <w:rFonts w:ascii="Arial" w:cs="Arial" w:eastAsia="Arial" w:hAnsi="Arial"/>
          <w:sz w:val="23"/>
          <w:szCs w:val="23"/>
          <w:b w:val="1"/>
          <w:bCs w:val="1"/>
          <w:color w:val="EF3B35"/>
        </w:rPr>
        <w:t>Proposal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233045</wp:posOffset>
            </wp:positionV>
            <wp:extent cx="15875" cy="158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233045</wp:posOffset>
            </wp:positionV>
            <wp:extent cx="15875" cy="158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233045</wp:posOffset>
            </wp:positionV>
            <wp:extent cx="15875" cy="158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233045</wp:posOffset>
            </wp:positionV>
            <wp:extent cx="15875" cy="158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233045</wp:posOffset>
            </wp:positionV>
            <wp:extent cx="15875" cy="158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233045</wp:posOffset>
            </wp:positionV>
            <wp:extent cx="15875" cy="158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233045</wp:posOffset>
            </wp:positionV>
            <wp:extent cx="15875" cy="158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233045</wp:posOffset>
            </wp:positionV>
            <wp:extent cx="15875" cy="158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233045</wp:posOffset>
            </wp:positionV>
            <wp:extent cx="15875" cy="158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233045</wp:posOffset>
            </wp:positionV>
            <wp:extent cx="15875" cy="158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233045</wp:posOffset>
            </wp:positionV>
            <wp:extent cx="15875" cy="158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233045</wp:posOffset>
            </wp:positionV>
            <wp:extent cx="15875" cy="158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233045</wp:posOffset>
            </wp:positionV>
            <wp:extent cx="15875" cy="158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233045</wp:posOffset>
            </wp:positionV>
            <wp:extent cx="15875" cy="158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233045</wp:posOffset>
            </wp:positionV>
            <wp:extent cx="15875" cy="158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233045</wp:posOffset>
            </wp:positionV>
            <wp:extent cx="15875" cy="158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233045</wp:posOffset>
            </wp:positionV>
            <wp:extent cx="15875" cy="158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233045</wp:posOffset>
            </wp:positionV>
            <wp:extent cx="15875" cy="158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233045</wp:posOffset>
            </wp:positionV>
            <wp:extent cx="15875" cy="158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233045</wp:posOffset>
            </wp:positionV>
            <wp:extent cx="15875" cy="158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233045</wp:posOffset>
            </wp:positionV>
            <wp:extent cx="15875" cy="158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233045</wp:posOffset>
            </wp:positionV>
            <wp:extent cx="15875" cy="158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233045</wp:posOffset>
            </wp:positionV>
            <wp:extent cx="15875" cy="158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233045</wp:posOffset>
            </wp:positionV>
            <wp:extent cx="15875" cy="158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233045</wp:posOffset>
            </wp:positionV>
            <wp:extent cx="15875" cy="158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233045</wp:posOffset>
            </wp:positionV>
            <wp:extent cx="15875" cy="158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233045</wp:posOffset>
            </wp:positionV>
            <wp:extent cx="15875" cy="158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233045</wp:posOffset>
            </wp:positionV>
            <wp:extent cx="15875" cy="158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233045</wp:posOffset>
            </wp:positionV>
            <wp:extent cx="15875" cy="158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233045</wp:posOffset>
            </wp:positionV>
            <wp:extent cx="15875" cy="158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233045</wp:posOffset>
            </wp:positionV>
            <wp:extent cx="15875" cy="158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233045</wp:posOffset>
            </wp:positionV>
            <wp:extent cx="15875" cy="158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233045</wp:posOffset>
            </wp:positionV>
            <wp:extent cx="15875" cy="158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233045</wp:posOffset>
            </wp:positionV>
            <wp:extent cx="15875" cy="158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233045</wp:posOffset>
            </wp:positionV>
            <wp:extent cx="15875" cy="158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233045</wp:posOffset>
            </wp:positionV>
            <wp:extent cx="15875" cy="158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233045</wp:posOffset>
            </wp:positionV>
            <wp:extent cx="15875" cy="158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233045</wp:posOffset>
            </wp:positionV>
            <wp:extent cx="15875" cy="158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233045</wp:posOffset>
            </wp:positionV>
            <wp:extent cx="15875" cy="158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233045</wp:posOffset>
            </wp:positionV>
            <wp:extent cx="15875" cy="158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233045</wp:posOffset>
            </wp:positionV>
            <wp:extent cx="15875" cy="158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233045</wp:posOffset>
            </wp:positionV>
            <wp:extent cx="15875" cy="158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387" w:lineRule="exact"/>
        <w:rPr>
          <w:sz w:val="20"/>
          <w:szCs w:val="20"/>
          <w:color w:val="auto"/>
        </w:rPr>
      </w:pPr>
    </w:p>
    <w:p>
      <w:pPr>
        <w:ind w:left="2920"/>
        <w:spacing w:after="0"/>
        <w:rPr>
          <w:sz w:val="20"/>
          <w:szCs w:val="20"/>
          <w:color w:val="auto"/>
        </w:rPr>
      </w:pPr>
      <w:r>
        <w:rPr>
          <w:rFonts w:ascii="Arial" w:cs="Arial" w:eastAsia="Arial" w:hAnsi="Arial"/>
          <w:sz w:val="23"/>
          <w:szCs w:val="23"/>
          <w:b w:val="1"/>
          <w:bCs w:val="1"/>
          <w:color w:val="EF3B35"/>
        </w:rPr>
        <w:t>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359410</wp:posOffset>
            </wp:positionV>
            <wp:extent cx="15875" cy="158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359410</wp:posOffset>
            </wp:positionV>
            <wp:extent cx="15875" cy="158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359410</wp:posOffset>
            </wp:positionV>
            <wp:extent cx="15875" cy="158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359410</wp:posOffset>
            </wp:positionV>
            <wp:extent cx="15875" cy="158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359410</wp:posOffset>
            </wp:positionV>
            <wp:extent cx="15875" cy="158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359410</wp:posOffset>
            </wp:positionV>
            <wp:extent cx="15875" cy="158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359410</wp:posOffset>
            </wp:positionV>
            <wp:extent cx="15875" cy="158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359410</wp:posOffset>
            </wp:positionV>
            <wp:extent cx="15875" cy="158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359410</wp:posOffset>
            </wp:positionV>
            <wp:extent cx="15875" cy="158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359410</wp:posOffset>
            </wp:positionV>
            <wp:extent cx="15875" cy="158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359410</wp:posOffset>
            </wp:positionV>
            <wp:extent cx="15875" cy="158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359410</wp:posOffset>
            </wp:positionV>
            <wp:extent cx="15875" cy="158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359410</wp:posOffset>
            </wp:positionV>
            <wp:extent cx="15875" cy="158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359410</wp:posOffset>
            </wp:positionV>
            <wp:extent cx="15875" cy="158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359410</wp:posOffset>
            </wp:positionV>
            <wp:extent cx="15875" cy="158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359410</wp:posOffset>
            </wp:positionV>
            <wp:extent cx="15875" cy="158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359410</wp:posOffset>
            </wp:positionV>
            <wp:extent cx="15875" cy="158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359410</wp:posOffset>
            </wp:positionV>
            <wp:extent cx="15875" cy="158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359410</wp:posOffset>
            </wp:positionV>
            <wp:extent cx="15875" cy="158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359410</wp:posOffset>
            </wp:positionV>
            <wp:extent cx="15875" cy="158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359410</wp:posOffset>
            </wp:positionV>
            <wp:extent cx="15875" cy="158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359410</wp:posOffset>
            </wp:positionV>
            <wp:extent cx="15875" cy="158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359410</wp:posOffset>
            </wp:positionV>
            <wp:extent cx="15875" cy="158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359410</wp:posOffset>
            </wp:positionV>
            <wp:extent cx="15875" cy="158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359410</wp:posOffset>
            </wp:positionV>
            <wp:extent cx="15875" cy="158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359410</wp:posOffset>
            </wp:positionV>
            <wp:extent cx="15875" cy="158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359410</wp:posOffset>
            </wp:positionV>
            <wp:extent cx="15875" cy="158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359410</wp:posOffset>
            </wp:positionV>
            <wp:extent cx="15875" cy="158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359410</wp:posOffset>
            </wp:positionV>
            <wp:extent cx="15875" cy="158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359410</wp:posOffset>
            </wp:positionV>
            <wp:extent cx="15875" cy="158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359410</wp:posOffset>
            </wp:positionV>
            <wp:extent cx="15875" cy="158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359410</wp:posOffset>
            </wp:positionV>
            <wp:extent cx="15875" cy="158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359410</wp:posOffset>
            </wp:positionV>
            <wp:extent cx="15875" cy="158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359410</wp:posOffset>
            </wp:positionV>
            <wp:extent cx="15875" cy="158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359410</wp:posOffset>
            </wp:positionV>
            <wp:extent cx="15875" cy="158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359410</wp:posOffset>
            </wp:positionV>
            <wp:extent cx="15875" cy="158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359410</wp:posOffset>
            </wp:positionV>
            <wp:extent cx="15875" cy="158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359410</wp:posOffset>
            </wp:positionV>
            <wp:extent cx="15875" cy="158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359410</wp:posOffset>
            </wp:positionV>
            <wp:extent cx="15875" cy="158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359410</wp:posOffset>
            </wp:positionV>
            <wp:extent cx="15875" cy="158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359410</wp:posOffset>
            </wp:positionV>
            <wp:extent cx="15875" cy="158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359410</wp:posOffset>
            </wp:positionV>
            <wp:extent cx="15875" cy="158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920"/>
        <w:spacing w:after="0"/>
        <w:rPr>
          <w:sz w:val="20"/>
          <w:szCs w:val="20"/>
          <w:color w:val="auto"/>
        </w:rPr>
      </w:pPr>
      <w:r>
        <w:rPr>
          <w:rFonts w:ascii="Arial" w:cs="Arial" w:eastAsia="Arial" w:hAnsi="Arial"/>
          <w:sz w:val="23"/>
          <w:szCs w:val="23"/>
          <w:b w:val="1"/>
          <w:bCs w:val="1"/>
          <w:color w:val="EF3B35"/>
        </w:rPr>
        <w:t>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106680</wp:posOffset>
            </wp:positionV>
            <wp:extent cx="15875" cy="158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106680</wp:posOffset>
            </wp:positionV>
            <wp:extent cx="15875" cy="158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106680</wp:posOffset>
            </wp:positionV>
            <wp:extent cx="15875" cy="158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106680</wp:posOffset>
            </wp:positionV>
            <wp:extent cx="15875" cy="158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106680</wp:posOffset>
            </wp:positionV>
            <wp:extent cx="15875" cy="158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106680</wp:posOffset>
            </wp:positionV>
            <wp:extent cx="15875" cy="158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106680</wp:posOffset>
            </wp:positionV>
            <wp:extent cx="15875" cy="158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106680</wp:posOffset>
            </wp:positionV>
            <wp:extent cx="15875" cy="158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106680</wp:posOffset>
            </wp:positionV>
            <wp:extent cx="15875" cy="158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106680</wp:posOffset>
            </wp:positionV>
            <wp:extent cx="15875" cy="158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106680</wp:posOffset>
            </wp:positionV>
            <wp:extent cx="15875" cy="158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106680</wp:posOffset>
            </wp:positionV>
            <wp:extent cx="15875" cy="158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106680</wp:posOffset>
            </wp:positionV>
            <wp:extent cx="15875" cy="158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106680</wp:posOffset>
            </wp:positionV>
            <wp:extent cx="15875" cy="158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106680</wp:posOffset>
            </wp:positionV>
            <wp:extent cx="15875" cy="158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106680</wp:posOffset>
            </wp:positionV>
            <wp:extent cx="15875" cy="158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106680</wp:posOffset>
            </wp:positionV>
            <wp:extent cx="15875" cy="158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106680</wp:posOffset>
            </wp:positionV>
            <wp:extent cx="15875" cy="158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106680</wp:posOffset>
            </wp:positionV>
            <wp:extent cx="15875" cy="158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106680</wp:posOffset>
            </wp:positionV>
            <wp:extent cx="15875" cy="158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106680</wp:posOffset>
            </wp:positionV>
            <wp:extent cx="15875" cy="158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106680</wp:posOffset>
            </wp:positionV>
            <wp:extent cx="15875" cy="158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106680</wp:posOffset>
            </wp:positionV>
            <wp:extent cx="15875" cy="158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106680</wp:posOffset>
            </wp:positionV>
            <wp:extent cx="15875" cy="158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106680</wp:posOffset>
            </wp:positionV>
            <wp:extent cx="15875" cy="158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106680</wp:posOffset>
            </wp:positionV>
            <wp:extent cx="15875" cy="158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106680</wp:posOffset>
            </wp:positionV>
            <wp:extent cx="15875" cy="158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106680</wp:posOffset>
            </wp:positionV>
            <wp:extent cx="15875" cy="158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106680</wp:posOffset>
            </wp:positionV>
            <wp:extent cx="15875" cy="158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106680</wp:posOffset>
            </wp:positionV>
            <wp:extent cx="15875" cy="158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106680</wp:posOffset>
            </wp:positionV>
            <wp:extent cx="15875" cy="158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106680</wp:posOffset>
            </wp:positionV>
            <wp:extent cx="15875" cy="158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106680</wp:posOffset>
            </wp:positionV>
            <wp:extent cx="15875" cy="158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106680</wp:posOffset>
            </wp:positionV>
            <wp:extent cx="15875" cy="158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106680</wp:posOffset>
            </wp:positionV>
            <wp:extent cx="15875" cy="158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106680</wp:posOffset>
            </wp:positionV>
            <wp:extent cx="15875" cy="158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106680</wp:posOffset>
            </wp:positionV>
            <wp:extent cx="15875" cy="158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106680</wp:posOffset>
            </wp:positionV>
            <wp:extent cx="15875" cy="158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106680</wp:posOffset>
            </wp:positionV>
            <wp:extent cx="15875" cy="158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106680</wp:posOffset>
            </wp:positionV>
            <wp:extent cx="15875" cy="158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106680</wp:posOffset>
            </wp:positionV>
            <wp:extent cx="15875" cy="158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106680</wp:posOffset>
            </wp:positionV>
            <wp:extent cx="15875" cy="158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88" w:lineRule="exact"/>
        <w:rPr>
          <w:sz w:val="20"/>
          <w:szCs w:val="20"/>
          <w:color w:val="auto"/>
        </w:rPr>
      </w:pPr>
    </w:p>
    <w:p>
      <w:pPr>
        <w:ind w:left="2920"/>
        <w:spacing w:after="0"/>
        <w:rPr>
          <w:sz w:val="20"/>
          <w:szCs w:val="20"/>
          <w:color w:val="auto"/>
        </w:rPr>
      </w:pPr>
      <w:r>
        <w:rPr>
          <w:rFonts w:ascii="Arial" w:cs="Arial" w:eastAsia="Arial" w:hAnsi="Arial"/>
          <w:sz w:val="23"/>
          <w:szCs w:val="23"/>
          <w:b w:val="1"/>
          <w:bCs w:val="1"/>
          <w:color w:val="EF3B35"/>
        </w:rPr>
        <w:t>Proposal Six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430530</wp:posOffset>
            </wp:positionV>
            <wp:extent cx="3149600" cy="158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14960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Approval, on a non-binding advisory basis, of the fiscal 2024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111760</wp:posOffset>
            </wp:positionV>
            <wp:extent cx="15875" cy="158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111760</wp:posOffset>
            </wp:positionV>
            <wp:extent cx="15875" cy="158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111760</wp:posOffset>
            </wp:positionV>
            <wp:extent cx="15875" cy="158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111760</wp:posOffset>
            </wp:positionV>
            <wp:extent cx="15875" cy="158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111760</wp:posOffset>
            </wp:positionV>
            <wp:extent cx="15875" cy="158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111760</wp:posOffset>
            </wp:positionV>
            <wp:extent cx="15875" cy="158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111760</wp:posOffset>
            </wp:positionV>
            <wp:extent cx="15875" cy="158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111760</wp:posOffset>
            </wp:positionV>
            <wp:extent cx="15875" cy="158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111760</wp:posOffset>
            </wp:positionV>
            <wp:extent cx="15875" cy="158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111760</wp:posOffset>
            </wp:positionV>
            <wp:extent cx="15875" cy="158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111760</wp:posOffset>
            </wp:positionV>
            <wp:extent cx="15875" cy="158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111760</wp:posOffset>
            </wp:positionV>
            <wp:extent cx="15875" cy="158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111760</wp:posOffset>
            </wp:positionV>
            <wp:extent cx="15875" cy="158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111760</wp:posOffset>
            </wp:positionV>
            <wp:extent cx="15875" cy="158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111760</wp:posOffset>
            </wp:positionV>
            <wp:extent cx="15875" cy="158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111760</wp:posOffset>
            </wp:positionV>
            <wp:extent cx="15875" cy="158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111760</wp:posOffset>
            </wp:positionV>
            <wp:extent cx="15875" cy="158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111760</wp:posOffset>
            </wp:positionV>
            <wp:extent cx="15875" cy="158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111760</wp:posOffset>
            </wp:positionV>
            <wp:extent cx="15875" cy="158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111760</wp:posOffset>
            </wp:positionV>
            <wp:extent cx="15875" cy="158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111760</wp:posOffset>
            </wp:positionV>
            <wp:extent cx="15875" cy="158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111760</wp:posOffset>
            </wp:positionV>
            <wp:extent cx="15875" cy="158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111760</wp:posOffset>
            </wp:positionV>
            <wp:extent cx="15875" cy="158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111760</wp:posOffset>
            </wp:positionV>
            <wp:extent cx="15875" cy="158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111760</wp:posOffset>
            </wp:positionV>
            <wp:extent cx="15875" cy="158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111760</wp:posOffset>
            </wp:positionV>
            <wp:extent cx="15875" cy="158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111760</wp:posOffset>
            </wp:positionV>
            <wp:extent cx="15875" cy="158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111760</wp:posOffset>
            </wp:positionV>
            <wp:extent cx="15875" cy="158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111760</wp:posOffset>
            </wp:positionV>
            <wp:extent cx="15875" cy="158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111760</wp:posOffset>
            </wp:positionV>
            <wp:extent cx="15875" cy="158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111760</wp:posOffset>
            </wp:positionV>
            <wp:extent cx="15875" cy="158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111760</wp:posOffset>
            </wp:positionV>
            <wp:extent cx="15875" cy="158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111760</wp:posOffset>
            </wp:positionV>
            <wp:extent cx="15875" cy="158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111760</wp:posOffset>
            </wp:positionV>
            <wp:extent cx="15875" cy="158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111760</wp:posOffset>
            </wp:positionV>
            <wp:extent cx="15875" cy="158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111760</wp:posOffset>
            </wp:positionV>
            <wp:extent cx="15875" cy="158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111760</wp:posOffset>
            </wp:positionV>
            <wp:extent cx="15875" cy="158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111760</wp:posOffset>
            </wp:positionV>
            <wp:extent cx="15875" cy="158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111760</wp:posOffset>
            </wp:positionV>
            <wp:extent cx="15875" cy="158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111760</wp:posOffset>
            </wp:positionV>
            <wp:extent cx="15875" cy="158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111760</wp:posOffset>
            </wp:positionV>
            <wp:extent cx="15875" cy="158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1287780</wp:posOffset>
            </wp:positionH>
            <wp:positionV relativeFrom="paragraph">
              <wp:posOffset>111760</wp:posOffset>
            </wp:positionV>
            <wp:extent cx="15875" cy="158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111760</wp:posOffset>
            </wp:positionV>
            <wp:extent cx="15875" cy="158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111760</wp:posOffset>
            </wp:positionV>
            <wp:extent cx="15875" cy="158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111760</wp:posOffset>
            </wp:positionV>
            <wp:extent cx="15875" cy="158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111760</wp:posOffset>
            </wp:positionV>
            <wp:extent cx="15875" cy="158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111760</wp:posOffset>
            </wp:positionV>
            <wp:extent cx="15875" cy="158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111760</wp:posOffset>
            </wp:positionV>
            <wp:extent cx="15875" cy="158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111760</wp:posOffset>
            </wp:positionV>
            <wp:extent cx="15875" cy="158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111760</wp:posOffset>
            </wp:positionV>
            <wp:extent cx="15875" cy="158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111760</wp:posOffset>
            </wp:positionV>
            <wp:extent cx="15875" cy="158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111760</wp:posOffset>
            </wp:positionV>
            <wp:extent cx="15875" cy="158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111760</wp:posOffset>
            </wp:positionV>
            <wp:extent cx="15875" cy="158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111760</wp:posOffset>
            </wp:positionV>
            <wp:extent cx="15875" cy="158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111760</wp:posOffset>
            </wp:positionV>
            <wp:extent cx="15875" cy="158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111760</wp:posOffset>
            </wp:positionV>
            <wp:extent cx="15875" cy="158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111760</wp:posOffset>
            </wp:positionV>
            <wp:extent cx="15875" cy="158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111760</wp:posOffset>
            </wp:positionV>
            <wp:extent cx="15875" cy="158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111760</wp:posOffset>
            </wp:positionV>
            <wp:extent cx="15875" cy="158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111760</wp:posOffset>
            </wp:positionV>
            <wp:extent cx="15875" cy="158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111760</wp:posOffset>
            </wp:positionV>
            <wp:extent cx="15875" cy="158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111760</wp:posOffset>
            </wp:positionV>
            <wp:extent cx="15875" cy="158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111760</wp:posOffset>
            </wp:positionV>
            <wp:extent cx="15875" cy="158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111760</wp:posOffset>
            </wp:positionV>
            <wp:extent cx="15875" cy="158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111760</wp:posOffset>
            </wp:positionV>
            <wp:extent cx="15875" cy="158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111760</wp:posOffset>
            </wp:positionV>
            <wp:extent cx="15875" cy="158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111760</wp:posOffset>
            </wp:positionV>
            <wp:extent cx="15875" cy="158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111760</wp:posOffset>
            </wp:positionV>
            <wp:extent cx="15875" cy="158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111760</wp:posOffset>
            </wp:positionV>
            <wp:extent cx="15875" cy="158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111760</wp:posOffset>
            </wp:positionV>
            <wp:extent cx="15875" cy="158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111760</wp:posOffset>
            </wp:positionV>
            <wp:extent cx="15875" cy="158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111760</wp:posOffset>
            </wp:positionV>
            <wp:extent cx="15875" cy="158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111760</wp:posOffset>
            </wp:positionV>
            <wp:extent cx="15875" cy="158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111760</wp:posOffset>
            </wp:positionV>
            <wp:extent cx="15875" cy="158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111760</wp:posOffset>
            </wp:positionV>
            <wp:extent cx="15875" cy="158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111760</wp:posOffset>
            </wp:positionV>
            <wp:extent cx="15875" cy="158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111760</wp:posOffset>
            </wp:positionV>
            <wp:extent cx="15875" cy="158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111760</wp:posOffset>
            </wp:positionV>
            <wp:extent cx="15875" cy="158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111760</wp:posOffset>
            </wp:positionV>
            <wp:extent cx="15875" cy="158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111760</wp:posOffset>
            </wp:positionV>
            <wp:extent cx="15875" cy="158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111760</wp:posOffset>
            </wp:positionV>
            <wp:extent cx="15875" cy="158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111760</wp:posOffset>
            </wp:positionV>
            <wp:extent cx="15875" cy="158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111760</wp:posOffset>
            </wp:positionV>
            <wp:extent cx="15875" cy="158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111760</wp:posOffset>
            </wp:positionV>
            <wp:extent cx="15875" cy="158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111760</wp:posOffset>
            </wp:positionV>
            <wp:extent cx="15875" cy="158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111760</wp:posOffset>
            </wp:positionV>
            <wp:extent cx="15875" cy="158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111760</wp:posOffset>
            </wp:positionV>
            <wp:extent cx="15875" cy="158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111760</wp:posOffset>
            </wp:positionV>
            <wp:extent cx="15875" cy="158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111760</wp:posOffset>
            </wp:positionV>
            <wp:extent cx="15875" cy="158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111760</wp:posOffset>
            </wp:positionV>
            <wp:extent cx="15875" cy="158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111760</wp:posOffset>
            </wp:positionV>
            <wp:extent cx="15875" cy="158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111760</wp:posOffset>
            </wp:positionV>
            <wp:extent cx="15875" cy="1587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111760</wp:posOffset>
            </wp:positionV>
            <wp:extent cx="15875" cy="158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111760</wp:posOffset>
            </wp:positionV>
            <wp:extent cx="15875" cy="1587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111760</wp:posOffset>
            </wp:positionV>
            <wp:extent cx="15875" cy="158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111760</wp:posOffset>
            </wp:positionV>
            <wp:extent cx="15875" cy="158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111760</wp:posOffset>
            </wp:positionV>
            <wp:extent cx="15875" cy="158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111760</wp:posOffset>
            </wp:positionV>
            <wp:extent cx="15875" cy="1587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111760</wp:posOffset>
            </wp:positionV>
            <wp:extent cx="15875" cy="158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111760</wp:posOffset>
            </wp:positionV>
            <wp:extent cx="15875" cy="158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111760</wp:posOffset>
            </wp:positionV>
            <wp:extent cx="15875" cy="1587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111760</wp:posOffset>
            </wp:positionV>
            <wp:extent cx="15875" cy="1587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111760</wp:posOffset>
            </wp:positionV>
            <wp:extent cx="15875" cy="158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111760</wp:posOffset>
            </wp:positionV>
            <wp:extent cx="15875" cy="158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111760</wp:posOffset>
            </wp:positionV>
            <wp:extent cx="15875" cy="1587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111760</wp:posOffset>
            </wp:positionV>
            <wp:extent cx="15875" cy="158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111760</wp:posOffset>
            </wp:positionV>
            <wp:extent cx="15875" cy="158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111760</wp:posOffset>
            </wp:positionV>
            <wp:extent cx="15875" cy="158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111760</wp:posOffset>
            </wp:positionV>
            <wp:extent cx="15875" cy="158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111760</wp:posOffset>
            </wp:positionV>
            <wp:extent cx="15875" cy="158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111760</wp:posOffset>
            </wp:positionV>
            <wp:extent cx="15875" cy="158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111760</wp:posOffset>
            </wp:positionV>
            <wp:extent cx="15875" cy="158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111760</wp:posOffset>
            </wp:positionV>
            <wp:extent cx="15875" cy="158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111760</wp:posOffset>
            </wp:positionV>
            <wp:extent cx="15875" cy="158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111760</wp:posOffset>
            </wp:positionV>
            <wp:extent cx="15875" cy="158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111760</wp:posOffset>
            </wp:positionV>
            <wp:extent cx="62865" cy="158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2865" cy="1587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111760</wp:posOffset>
            </wp:positionV>
            <wp:extent cx="15875" cy="158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111760</wp:posOffset>
            </wp:positionV>
            <wp:extent cx="15875" cy="158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111760</wp:posOffset>
            </wp:positionV>
            <wp:extent cx="15875" cy="158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111760</wp:posOffset>
            </wp:positionV>
            <wp:extent cx="15875" cy="1587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111760</wp:posOffset>
            </wp:positionV>
            <wp:extent cx="15875" cy="158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111760</wp:posOffset>
            </wp:positionV>
            <wp:extent cx="15875" cy="158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111760</wp:posOffset>
            </wp:positionV>
            <wp:extent cx="62865" cy="158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06" w:lineRule="exact"/>
        <w:rPr>
          <w:sz w:val="20"/>
          <w:szCs w:val="20"/>
          <w:color w:val="auto"/>
        </w:rPr>
      </w:pPr>
    </w:p>
    <w:p>
      <w:pPr>
        <w:ind w:right="340"/>
        <w:spacing w:after="0" w:line="288" w:lineRule="auto"/>
        <w:rPr>
          <w:sz w:val="20"/>
          <w:szCs w:val="20"/>
          <w:color w:val="auto"/>
        </w:rPr>
      </w:pPr>
      <w:r>
        <w:rPr>
          <w:rFonts w:ascii="Arial" w:cs="Arial" w:eastAsia="Arial" w:hAnsi="Arial"/>
          <w:sz w:val="15"/>
          <w:szCs w:val="15"/>
          <w:color w:val="auto"/>
        </w:rPr>
        <w:t>Approval of an amendment of the Company’s Amended and Restated Certificate of Incorporation to remove the supermajority voting requirements for stockholders to amend the Company’s Amended and Restated Bylaws and certain provisions of the Company’s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-4445</wp:posOffset>
            </wp:positionV>
            <wp:extent cx="15875" cy="1587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-4445</wp:posOffset>
            </wp:positionV>
            <wp:extent cx="15875" cy="158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-4445</wp:posOffset>
            </wp:positionV>
            <wp:extent cx="15875" cy="158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-4445</wp:posOffset>
            </wp:positionV>
            <wp:extent cx="15875" cy="158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-4445</wp:posOffset>
            </wp:positionV>
            <wp:extent cx="15875" cy="158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-4445</wp:posOffset>
            </wp:positionV>
            <wp:extent cx="15875" cy="1587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-4445</wp:posOffset>
            </wp:positionV>
            <wp:extent cx="15875" cy="1587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-4445</wp:posOffset>
            </wp:positionV>
            <wp:extent cx="15875" cy="1587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-4445</wp:posOffset>
            </wp:positionV>
            <wp:extent cx="15875" cy="1587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-4445</wp:posOffset>
            </wp:positionV>
            <wp:extent cx="15875" cy="158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-4445</wp:posOffset>
            </wp:positionV>
            <wp:extent cx="15875" cy="1587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-4445</wp:posOffset>
            </wp:positionV>
            <wp:extent cx="15875" cy="158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-4445</wp:posOffset>
            </wp:positionV>
            <wp:extent cx="15875" cy="1587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-4445</wp:posOffset>
            </wp:positionV>
            <wp:extent cx="15875" cy="158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-4445</wp:posOffset>
            </wp:positionV>
            <wp:extent cx="15875" cy="1587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-4445</wp:posOffset>
            </wp:positionV>
            <wp:extent cx="15875" cy="158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-4445</wp:posOffset>
            </wp:positionV>
            <wp:extent cx="15875" cy="1587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-4445</wp:posOffset>
            </wp:positionV>
            <wp:extent cx="15875" cy="158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-4445</wp:posOffset>
            </wp:positionV>
            <wp:extent cx="15875" cy="1587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-4445</wp:posOffset>
            </wp:positionV>
            <wp:extent cx="15875" cy="1587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-4445</wp:posOffset>
            </wp:positionV>
            <wp:extent cx="15875" cy="158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-4445</wp:posOffset>
            </wp:positionV>
            <wp:extent cx="15875" cy="1587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-4445</wp:posOffset>
            </wp:positionV>
            <wp:extent cx="15875" cy="1587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-4445</wp:posOffset>
            </wp:positionV>
            <wp:extent cx="15875" cy="158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-4445</wp:posOffset>
            </wp:positionV>
            <wp:extent cx="15875" cy="1587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-4445</wp:posOffset>
            </wp:positionV>
            <wp:extent cx="15875" cy="1587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-4445</wp:posOffset>
            </wp:positionV>
            <wp:extent cx="15875" cy="158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-4445</wp:posOffset>
            </wp:positionV>
            <wp:extent cx="15875" cy="1587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-4445</wp:posOffset>
            </wp:positionV>
            <wp:extent cx="15875" cy="1587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-4445</wp:posOffset>
            </wp:positionV>
            <wp:extent cx="15875" cy="158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-4445</wp:posOffset>
            </wp:positionV>
            <wp:extent cx="15875" cy="1587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-4445</wp:posOffset>
            </wp:positionV>
            <wp:extent cx="15875" cy="1587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-4445</wp:posOffset>
            </wp:positionV>
            <wp:extent cx="15875" cy="158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-4445</wp:posOffset>
            </wp:positionV>
            <wp:extent cx="15875" cy="1587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-4445</wp:posOffset>
            </wp:positionV>
            <wp:extent cx="15875" cy="1587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-4445</wp:posOffset>
            </wp:positionV>
            <wp:extent cx="15875" cy="1587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-4445</wp:posOffset>
            </wp:positionV>
            <wp:extent cx="15875" cy="158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-4445</wp:posOffset>
            </wp:positionV>
            <wp:extent cx="15875" cy="1587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-4445</wp:posOffset>
            </wp:positionV>
            <wp:extent cx="15875" cy="1587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-4445</wp:posOffset>
            </wp:positionV>
            <wp:extent cx="15875" cy="1587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-4445</wp:posOffset>
            </wp:positionV>
            <wp:extent cx="15875" cy="158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1287780</wp:posOffset>
            </wp:positionH>
            <wp:positionV relativeFrom="paragraph">
              <wp:posOffset>-4445</wp:posOffset>
            </wp:positionV>
            <wp:extent cx="15875" cy="1587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-4445</wp:posOffset>
            </wp:positionV>
            <wp:extent cx="15875" cy="1587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-4445</wp:posOffset>
            </wp:positionV>
            <wp:extent cx="15875" cy="1587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-4445</wp:posOffset>
            </wp:positionV>
            <wp:extent cx="15875" cy="1587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-4445</wp:posOffset>
            </wp:positionV>
            <wp:extent cx="15875" cy="1587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-4445</wp:posOffset>
            </wp:positionV>
            <wp:extent cx="15875" cy="1587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-4445</wp:posOffset>
            </wp:positionV>
            <wp:extent cx="15875" cy="158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-4445</wp:posOffset>
            </wp:positionV>
            <wp:extent cx="15875" cy="1587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-4445</wp:posOffset>
            </wp:positionV>
            <wp:extent cx="15875" cy="1587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-4445</wp:posOffset>
            </wp:positionV>
            <wp:extent cx="15875" cy="158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-4445</wp:posOffset>
            </wp:positionV>
            <wp:extent cx="15875" cy="158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-4445</wp:posOffset>
            </wp:positionV>
            <wp:extent cx="15875" cy="1587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-4445</wp:posOffset>
            </wp:positionV>
            <wp:extent cx="15875" cy="1587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-4445</wp:posOffset>
            </wp:positionV>
            <wp:extent cx="15875" cy="158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-4445</wp:posOffset>
            </wp:positionV>
            <wp:extent cx="15875" cy="1587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-4445</wp:posOffset>
            </wp:positionV>
            <wp:extent cx="15875" cy="158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-4445</wp:posOffset>
            </wp:positionV>
            <wp:extent cx="15875" cy="1587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-4445</wp:posOffset>
            </wp:positionV>
            <wp:extent cx="15875" cy="1587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-4445</wp:posOffset>
            </wp:positionV>
            <wp:extent cx="15875" cy="1587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-4445</wp:posOffset>
            </wp:positionV>
            <wp:extent cx="15875" cy="158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-4445</wp:posOffset>
            </wp:positionV>
            <wp:extent cx="15875" cy="1587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-4445</wp:posOffset>
            </wp:positionV>
            <wp:extent cx="15875" cy="1587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-4445</wp:posOffset>
            </wp:positionV>
            <wp:extent cx="15875" cy="1587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-4445</wp:posOffset>
            </wp:positionV>
            <wp:extent cx="15875" cy="1587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-4445</wp:posOffset>
            </wp:positionV>
            <wp:extent cx="15875" cy="1587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-4445</wp:posOffset>
            </wp:positionV>
            <wp:extent cx="15875" cy="1587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-4445</wp:posOffset>
            </wp:positionV>
            <wp:extent cx="15875" cy="1587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-4445</wp:posOffset>
            </wp:positionV>
            <wp:extent cx="15875" cy="1587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-4445</wp:posOffset>
            </wp:positionV>
            <wp:extent cx="15875" cy="1587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-4445</wp:posOffset>
            </wp:positionV>
            <wp:extent cx="15875" cy="1587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-4445</wp:posOffset>
            </wp:positionV>
            <wp:extent cx="15875" cy="1587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-4445</wp:posOffset>
            </wp:positionV>
            <wp:extent cx="15875" cy="158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-4445</wp:posOffset>
            </wp:positionV>
            <wp:extent cx="15875" cy="1587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-4445</wp:posOffset>
            </wp:positionV>
            <wp:extent cx="15875" cy="1587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-4445</wp:posOffset>
            </wp:positionV>
            <wp:extent cx="15875" cy="1587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-4445</wp:posOffset>
            </wp:positionV>
            <wp:extent cx="15875" cy="1587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-4445</wp:posOffset>
            </wp:positionV>
            <wp:extent cx="15875" cy="1587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-4445</wp:posOffset>
            </wp:positionV>
            <wp:extent cx="15875" cy="1587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-4445</wp:posOffset>
            </wp:positionV>
            <wp:extent cx="15875" cy="1587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-4445</wp:posOffset>
            </wp:positionV>
            <wp:extent cx="15875" cy="1587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-4445</wp:posOffset>
            </wp:positionV>
            <wp:extent cx="15875" cy="1587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-4445</wp:posOffset>
            </wp:positionV>
            <wp:extent cx="15875" cy="1587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-4445</wp:posOffset>
            </wp:positionV>
            <wp:extent cx="15875" cy="1587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-4445</wp:posOffset>
            </wp:positionV>
            <wp:extent cx="15875" cy="1587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-4445</wp:posOffset>
            </wp:positionV>
            <wp:extent cx="15875" cy="1587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-4445</wp:posOffset>
            </wp:positionV>
            <wp:extent cx="15875" cy="1587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-4445</wp:posOffset>
            </wp:positionV>
            <wp:extent cx="15875" cy="1587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-4445</wp:posOffset>
            </wp:positionV>
            <wp:extent cx="15875" cy="1587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-4445</wp:posOffset>
            </wp:positionV>
            <wp:extent cx="15875" cy="1587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-4445</wp:posOffset>
            </wp:positionV>
            <wp:extent cx="15875" cy="1587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-4445</wp:posOffset>
            </wp:positionV>
            <wp:extent cx="15875" cy="1587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-4445</wp:posOffset>
            </wp:positionV>
            <wp:extent cx="15875" cy="1587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-4445</wp:posOffset>
            </wp:positionV>
            <wp:extent cx="15875" cy="1587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-4445</wp:posOffset>
            </wp:positionV>
            <wp:extent cx="15875" cy="1587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-4445</wp:posOffset>
            </wp:positionV>
            <wp:extent cx="15875" cy="1587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-4445</wp:posOffset>
            </wp:positionV>
            <wp:extent cx="15875" cy="1587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-4445</wp:posOffset>
            </wp:positionV>
            <wp:extent cx="15875" cy="1587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-4445</wp:posOffset>
            </wp:positionV>
            <wp:extent cx="15875" cy="1587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-4445</wp:posOffset>
            </wp:positionV>
            <wp:extent cx="15875" cy="1587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-4445</wp:posOffset>
            </wp:positionV>
            <wp:extent cx="15875" cy="1587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-4445</wp:posOffset>
            </wp:positionV>
            <wp:extent cx="15875" cy="1587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-4445</wp:posOffset>
            </wp:positionV>
            <wp:extent cx="15875" cy="1587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-4445</wp:posOffset>
            </wp:positionV>
            <wp:extent cx="15875" cy="1587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-4445</wp:posOffset>
            </wp:positionV>
            <wp:extent cx="15875" cy="1587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-4445</wp:posOffset>
            </wp:positionV>
            <wp:extent cx="15875" cy="1587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-4445</wp:posOffset>
            </wp:positionV>
            <wp:extent cx="15875" cy="1587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-4445</wp:posOffset>
            </wp:positionV>
            <wp:extent cx="15875" cy="1587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-4445</wp:posOffset>
            </wp:positionV>
            <wp:extent cx="15875" cy="1587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-4445</wp:posOffset>
            </wp:positionV>
            <wp:extent cx="15875" cy="1587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-4445</wp:posOffset>
            </wp:positionV>
            <wp:extent cx="15875" cy="1587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-4445</wp:posOffset>
            </wp:positionV>
            <wp:extent cx="15875" cy="1587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-4445</wp:posOffset>
            </wp:positionV>
            <wp:extent cx="15875" cy="1587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-4445</wp:posOffset>
            </wp:positionV>
            <wp:extent cx="15875" cy="1587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-4445</wp:posOffset>
            </wp:positionV>
            <wp:extent cx="15875" cy="1587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-4445</wp:posOffset>
            </wp:positionV>
            <wp:extent cx="62865" cy="1587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2865" cy="1587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-4445</wp:posOffset>
            </wp:positionV>
            <wp:extent cx="15875" cy="1587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-4445</wp:posOffset>
            </wp:positionV>
            <wp:extent cx="15875" cy="1587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-4445</wp:posOffset>
            </wp:positionV>
            <wp:extent cx="15875" cy="1587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-4445</wp:posOffset>
            </wp:positionV>
            <wp:extent cx="15875" cy="1587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-4445</wp:posOffset>
            </wp:positionV>
            <wp:extent cx="15875" cy="1587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-4445</wp:posOffset>
            </wp:positionV>
            <wp:extent cx="15875" cy="1587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-4445</wp:posOffset>
            </wp:positionV>
            <wp:extent cx="62865" cy="1587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2" w:lineRule="exact"/>
        <w:rPr>
          <w:sz w:val="20"/>
          <w:szCs w:val="20"/>
          <w:color w:val="auto"/>
        </w:rPr>
      </w:pPr>
    </w:p>
    <w:p>
      <w:pPr>
        <w:ind w:right="280"/>
        <w:spacing w:after="0" w:line="350" w:lineRule="auto"/>
        <w:rPr>
          <w:sz w:val="20"/>
          <w:szCs w:val="20"/>
          <w:color w:val="auto"/>
        </w:rPr>
      </w:pPr>
      <w:r>
        <w:rPr>
          <w:rFonts w:ascii="Arial" w:cs="Arial" w:eastAsia="Arial" w:hAnsi="Arial"/>
          <w:sz w:val="14"/>
          <w:szCs w:val="14"/>
          <w:color w:val="auto"/>
        </w:rPr>
        <w:t>Approval of an amendment of the Company’s Amended and Restated Certificate of Incorporation to declassify the Board and phase-in annual director elections by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-29210</wp:posOffset>
            </wp:positionV>
            <wp:extent cx="3978275" cy="1587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978275" cy="15875"/>
                    </a:xfrm>
                    <a:prstGeom prst="rect">
                      <a:avLst/>
                    </a:prstGeom>
                    <a:noFill/>
                  </pic:spPr>
                </pic:pic>
              </a:graphicData>
            </a:graphic>
          </wp:anchor>
        </w:drawing>
      </w:r>
    </w:p>
    <w:p>
      <w:pPr>
        <w:ind w:right="160"/>
        <w:spacing w:after="0" w:line="350" w:lineRule="auto"/>
        <w:rPr>
          <w:sz w:val="20"/>
          <w:szCs w:val="20"/>
          <w:color w:val="auto"/>
        </w:rPr>
      </w:pPr>
      <w:r>
        <w:rPr>
          <w:rFonts w:ascii="Arial" w:cs="Arial" w:eastAsia="Arial" w:hAnsi="Arial"/>
          <w:sz w:val="14"/>
          <w:szCs w:val="14"/>
          <w:color w:val="auto"/>
        </w:rPr>
        <w:t>Approval of an amendment of the Company’s Amended and Restated Certificate of Incorporation to limit the liability of certain officers of the Company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294005</wp:posOffset>
            </wp:positionV>
            <wp:extent cx="3985895" cy="1587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98589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860"/>
          </w:cols>
          <w:pgMar w:left="320" w:top="132" w:right="339" w:bottom="1440" w:gutter="0" w:footer="0" w:header="0"/>
          <w:type w:val="continuous"/>
        </w:sectPr>
      </w:pPr>
    </w:p>
    <w:p>
      <w:pPr>
        <w:spacing w:after="0" w:line="311" w:lineRule="exact"/>
        <w:rPr>
          <w:sz w:val="20"/>
          <w:szCs w:val="20"/>
          <w:color w:val="auto"/>
        </w:rPr>
      </w:pPr>
    </w:p>
    <w:p>
      <w:pPr>
        <w:ind w:left="560" w:hanging="539"/>
        <w:spacing w:after="0" w:line="205" w:lineRule="auto"/>
        <w:tabs>
          <w:tab w:leader="none" w:pos="540" w:val="left"/>
        </w:tabs>
        <w:rPr>
          <w:sz w:val="20"/>
          <w:szCs w:val="20"/>
          <w:color w:val="auto"/>
        </w:rPr>
      </w:pPr>
      <w:r>
        <w:rPr>
          <w:rFonts w:ascii="Arial" w:cs="Arial" w:eastAsia="Arial" w:hAnsi="Arial"/>
          <w:sz w:val="30"/>
          <w:szCs w:val="30"/>
          <w:b w:val="1"/>
          <w:bCs w:val="1"/>
          <w:color w:val="EF3B35"/>
        </w:rPr>
        <w:t>Q:</w:t>
      </w:r>
      <w:r>
        <w:rPr>
          <w:sz w:val="20"/>
          <w:szCs w:val="20"/>
          <w:color w:val="auto"/>
        </w:rPr>
        <w:tab/>
      </w:r>
      <w:r>
        <w:rPr>
          <w:rFonts w:ascii="Arial" w:cs="Arial" w:eastAsia="Arial" w:hAnsi="Arial"/>
          <w:sz w:val="15"/>
          <w:szCs w:val="15"/>
          <w:b w:val="1"/>
          <w:bCs w:val="1"/>
          <w:color w:val="007EC4"/>
        </w:rPr>
        <w:t>COULD OTHER MATTERS BE DECIDED AT THE ANNUAL MEETING?</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1198245</wp:posOffset>
            </wp:positionV>
            <wp:extent cx="7168515" cy="4127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902970</wp:posOffset>
            </wp:positionV>
            <wp:extent cx="789305" cy="18923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240" w:space="680"/>
            <w:col w:w="8320"/>
          </w:cols>
          <w:pgMar w:left="320" w:top="132"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b w:val="1"/>
          <w:bCs w:val="1"/>
          <w:color w:val="007EC4"/>
        </w:rPr>
        <w:t xml:space="preserve">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7143115" cy="1587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 w:right="80" w:hanging="539"/>
        <w:spacing w:after="0" w:line="187" w:lineRule="auto"/>
        <w:tabs>
          <w:tab w:leader="none" w:pos="540" w:val="left"/>
        </w:tabs>
        <w:rPr>
          <w:sz w:val="20"/>
          <w:szCs w:val="20"/>
          <w:color w:val="auto"/>
        </w:rPr>
      </w:pPr>
      <w:r>
        <w:rPr>
          <w:rFonts w:ascii="Arial" w:cs="Arial" w:eastAsia="Arial" w:hAnsi="Arial"/>
          <w:sz w:val="28"/>
          <w:szCs w:val="28"/>
          <w:b w:val="1"/>
          <w:bCs w:val="1"/>
          <w:color w:val="EF3B35"/>
        </w:rPr>
        <w:t>Q:</w:t>
      </w:r>
      <w:r>
        <w:rPr>
          <w:sz w:val="20"/>
          <w:szCs w:val="20"/>
          <w:color w:val="auto"/>
        </w:rPr>
        <w:tab/>
      </w:r>
      <w:r>
        <w:rPr>
          <w:rFonts w:ascii="Arial" w:cs="Arial" w:eastAsia="Arial" w:hAnsi="Arial"/>
          <w:sz w:val="14"/>
          <w:szCs w:val="14"/>
          <w:b w:val="1"/>
          <w:bCs w:val="1"/>
          <w:color w:val="007EC4"/>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1293495</wp:posOffset>
            </wp:positionV>
            <wp:extent cx="1570990" cy="1587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57099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80"/>
        <w:spacing w:after="0" w:line="267" w:lineRule="auto"/>
        <w:rPr>
          <w:sz w:val="20"/>
          <w:szCs w:val="20"/>
          <w:color w:val="auto"/>
        </w:rPr>
      </w:pPr>
      <w:r>
        <w:rPr>
          <w:rFonts w:ascii="Arial" w:cs="Arial" w:eastAsia="Arial" w:hAnsi="Arial"/>
          <w:sz w:val="15"/>
          <w:szCs w:val="15"/>
          <w:color w:val="auto"/>
        </w:rPr>
        <w:t>Stockholders of record as of the close of business on the Record Date may vote at the Annual Meeting. As of that date, there were 66,526,588 shares of common stock outstanding. You have one vote for each share of common stock held by you as of the Record Date, including shares:</w:t>
      </w:r>
    </w:p>
    <w:p>
      <w:pPr>
        <w:spacing w:after="0" w:line="58" w:lineRule="exact"/>
        <w:rPr>
          <w:sz w:val="20"/>
          <w:szCs w:val="20"/>
          <w:color w:val="auto"/>
        </w:rPr>
      </w:pPr>
    </w:p>
    <w:p>
      <w:pPr>
        <w:ind w:left="420" w:hanging="204"/>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Held directly in your name as “stockholder of record” (also referred to as “registered stockholder”); and</w:t>
      </w:r>
    </w:p>
    <w:p>
      <w:pPr>
        <w:spacing w:after="0" w:line="113" w:lineRule="exact"/>
        <w:rPr>
          <w:rFonts w:ascii="Arial" w:cs="Arial" w:eastAsia="Arial" w:hAnsi="Arial"/>
          <w:sz w:val="15"/>
          <w:szCs w:val="15"/>
          <w:color w:val="auto"/>
        </w:rPr>
      </w:pPr>
    </w:p>
    <w:p>
      <w:pPr>
        <w:ind w:left="440" w:right="20" w:hanging="224"/>
        <w:spacing w:after="0" w:line="259" w:lineRule="auto"/>
        <w:tabs>
          <w:tab w:leader="none" w:pos="417" w:val="left"/>
        </w:tabs>
        <w:numPr>
          <w:ilvl w:val="0"/>
          <w:numId w:val="10"/>
        </w:numPr>
        <w:rPr>
          <w:rFonts w:ascii="Arial" w:cs="Arial" w:eastAsia="Arial" w:hAnsi="Arial"/>
          <w:sz w:val="15"/>
          <w:szCs w:val="15"/>
          <w:color w:val="auto"/>
        </w:rPr>
      </w:pPr>
      <w:r>
        <w:rPr>
          <w:rFonts w:ascii="Arial" w:cs="Arial" w:eastAsia="Arial" w:hAnsi="Arial"/>
          <w:sz w:val="15"/>
          <w:szCs w:val="15"/>
          <w:color w:val="auto"/>
        </w:rPr>
        <w:t>Held for you in an account with a broker, bank or other nominee (shares held in “street name” or “beneficially”). Street name holders generally cannot vote their shares directly and instead must instruct the brokerage firm, bank or nominee how to vote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544830</wp:posOffset>
            </wp:positionV>
            <wp:extent cx="5564505" cy="1587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56450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720"/>
            <w:col w:w="8300"/>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EF3B35"/>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554355</wp:posOffset>
            </wp:positionV>
            <wp:extent cx="299720" cy="1587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9972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EF3B35"/>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1067435</wp:posOffset>
            </wp:positionV>
            <wp:extent cx="299720" cy="1587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997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80"/>
        <w:spacing w:after="0" w:line="284" w:lineRule="auto"/>
        <w:rPr>
          <w:sz w:val="20"/>
          <w:szCs w:val="20"/>
          <w:color w:val="auto"/>
        </w:rPr>
      </w:pPr>
      <w:r>
        <w:rPr>
          <w:rFonts w:ascii="Arial" w:cs="Arial" w:eastAsia="Arial" w:hAnsi="Arial"/>
          <w:sz w:val="15"/>
          <w:szCs w:val="15"/>
          <w:b w:val="1"/>
          <w:bCs w:val="1"/>
          <w:color w:val="007EC4"/>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450850</wp:posOffset>
            </wp:positionV>
            <wp:extent cx="1546860" cy="1587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54686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301" w:lineRule="auto"/>
        <w:rPr>
          <w:sz w:val="20"/>
          <w:szCs w:val="20"/>
          <w:color w:val="auto"/>
        </w:rPr>
      </w:pPr>
      <w:r>
        <w:rPr>
          <w:rFonts w:ascii="Arial" w:cs="Arial" w:eastAsia="Arial" w:hAnsi="Arial"/>
          <w:sz w:val="15"/>
          <w:szCs w:val="15"/>
          <w:b w:val="1"/>
          <w:bCs w:val="1"/>
          <w:color w:val="007EC4"/>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948690</wp:posOffset>
            </wp:positionV>
            <wp:extent cx="1546860" cy="1587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54686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40"/>
        <w:spacing w:after="0" w:line="293" w:lineRule="auto"/>
        <w:rPr>
          <w:sz w:val="20"/>
          <w:szCs w:val="20"/>
          <w:color w:val="auto"/>
        </w:rPr>
      </w:pPr>
      <w:r>
        <w:rPr>
          <w:rFonts w:ascii="Arial" w:cs="Arial" w:eastAsia="Arial" w:hAnsi="Arial"/>
          <w:sz w:val="15"/>
          <w:szCs w:val="15"/>
          <w:color w:val="auto"/>
        </w:rPr>
        <w:t>The holders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300990</wp:posOffset>
            </wp:positionV>
            <wp:extent cx="5280660" cy="1587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280660" cy="1587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Even with respect to matters where brokers may otherwise have the ability to exercise discretionary voting, some brokers may choose not to exercise discretionary voting. We urge you to promptly provide voting instructions to your broker to ensure that your shares are voted on all of the proposals, even if you do not plan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440690</wp:posOffset>
            </wp:positionV>
            <wp:extent cx="5280660" cy="1587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28066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0" w:space="220"/>
            <w:col w:w="1960" w:space="400"/>
            <w:col w:w="8300"/>
          </w:cols>
          <w:pgMar w:left="320" w:top="157" w:right="35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both"/>
        <w:ind w:left="560" w:hanging="539"/>
        <w:spacing w:after="0" w:line="209" w:lineRule="auto"/>
        <w:tabs>
          <w:tab w:leader="none" w:pos="540" w:val="left"/>
        </w:tabs>
        <w:rPr>
          <w:sz w:val="20"/>
          <w:szCs w:val="20"/>
          <w:color w:val="auto"/>
        </w:rPr>
      </w:pPr>
      <w:r>
        <w:rPr>
          <w:rFonts w:ascii="Arial" w:cs="Arial" w:eastAsia="Arial" w:hAnsi="Arial"/>
          <w:sz w:val="28"/>
          <w:szCs w:val="28"/>
          <w:b w:val="1"/>
          <w:bCs w:val="1"/>
          <w:color w:val="EF3B35"/>
        </w:rPr>
        <w:t>Q:</w:t>
      </w:r>
      <w:r>
        <w:rPr>
          <w:sz w:val="20"/>
          <w:szCs w:val="20"/>
          <w:color w:val="auto"/>
        </w:rPr>
        <w:tab/>
      </w:r>
      <w:r>
        <w:rPr>
          <w:rFonts w:ascii="Arial" w:cs="Arial" w:eastAsia="Arial" w:hAnsi="Arial"/>
          <w:sz w:val="14"/>
          <w:szCs w:val="14"/>
          <w:b w:val="1"/>
          <w:bCs w:val="1"/>
          <w:color w:val="007EC4"/>
        </w:rPr>
        <w:t>HOW MANY VOTES ARE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2604770</wp:posOffset>
            </wp:positionV>
            <wp:extent cx="789305" cy="18923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160"/>
        <w:spacing w:after="0" w:line="276" w:lineRule="auto"/>
        <w:rPr>
          <w:sz w:val="20"/>
          <w:szCs w:val="20"/>
          <w:color w:val="auto"/>
        </w:rPr>
      </w:pPr>
      <w:r>
        <w:rPr>
          <w:rFonts w:ascii="Arial" w:cs="Arial" w:eastAsia="Arial" w:hAnsi="Arial"/>
          <w:sz w:val="15"/>
          <w:szCs w:val="15"/>
          <w:color w:val="auto"/>
        </w:rPr>
        <w:t>Under the Company’s Amended and Restated Bylaws (the “Bylaws”), directors are elected by a plurality vote, which means that the three director nominees with the greatest number of votes cast, even if less than a majority, will be elected. There is no cumulative voting.</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Approval of an amendment to the Company’s Amended and Restated Certificate of Incorporation (the “Certificate of Incorporation”) to remove the supermajority voting requirements for stockholders to amend certain provisions of the Certificate of Incorporation and the Bylaws (Proposal Four) and approval of an amendment to the Certificate of Incorporation to declassify the Board and phase-in annual director elections by 2028 (Proposal Five) requires the holders of at least 66⅔% in voting power of the stock of the Company outstanding and entitled to vote thereon, voting together as a single class. Approval of an amendment to the Certificate of Incorporation to limit the liability of certain officers of the Company as permitted by law (Proposal Six) requires the affirmative vote of the holders of at least a majority in voting power of all the then-outstanding shares of stock of the Company entitled to vote thereon, voting together as a single class. For any other proposal being considered at the Annual Meeting, under the Bylaws, approval of the proposal requires the vote of the holders of a majority of the voting power of the shares of stock present in person or represented by proxy and entitled to vote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1526540</wp:posOffset>
            </wp:positionV>
            <wp:extent cx="7168515" cy="4127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2360" w:space="560"/>
            <w:col w:w="8300"/>
          </w:cols>
          <w:pgMar w:left="320" w:top="157" w:right="35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43115" cy="1587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0" w:type="dxa"/>
            <w:vAlign w:val="bottom"/>
            <w:vMerge w:val="restart"/>
          </w:tcPr>
          <w:p>
            <w:pPr>
              <w:spacing w:after="0"/>
              <w:rPr>
                <w:sz w:val="20"/>
                <w:szCs w:val="20"/>
                <w:color w:val="auto"/>
              </w:rPr>
            </w:pPr>
            <w:r>
              <w:rPr>
                <w:rFonts w:ascii="Arial" w:cs="Arial" w:eastAsia="Arial" w:hAnsi="Arial"/>
                <w:sz w:val="30"/>
                <w:szCs w:val="30"/>
                <w:b w:val="1"/>
                <w:bCs w:val="1"/>
                <w:color w:val="EF3B35"/>
              </w:rPr>
              <w:t>Q:</w:t>
            </w:r>
          </w:p>
        </w:tc>
        <w:tc>
          <w:tcPr>
            <w:tcW w:w="2100" w:type="dxa"/>
            <w:vAlign w:val="bottom"/>
          </w:tcPr>
          <w:p>
            <w:pPr>
              <w:ind w:left="100"/>
              <w:spacing w:after="0"/>
              <w:rPr>
                <w:sz w:val="20"/>
                <w:szCs w:val="20"/>
                <w:color w:val="auto"/>
              </w:rPr>
            </w:pPr>
            <w:r>
              <w:rPr>
                <w:rFonts w:ascii="Arial" w:cs="Arial" w:eastAsia="Arial" w:hAnsi="Arial"/>
                <w:sz w:val="15"/>
                <w:szCs w:val="15"/>
                <w:b w:val="1"/>
                <w:bCs w:val="1"/>
                <w:color w:val="007EC4"/>
              </w:rPr>
              <w:t>HOW MAY I VOTE, AND</w:t>
            </w:r>
          </w:p>
        </w:tc>
        <w:tc>
          <w:tcPr>
            <w:tcW w:w="8620" w:type="dxa"/>
            <w:vAlign w:val="bottom"/>
          </w:tcPr>
          <w:p>
            <w:pPr>
              <w:ind w:left="360"/>
              <w:spacing w:after="0"/>
              <w:rPr>
                <w:sz w:val="20"/>
                <w:szCs w:val="20"/>
                <w:color w:val="auto"/>
              </w:rPr>
            </w:pPr>
            <w:r>
              <w:rPr>
                <w:rFonts w:ascii="Arial" w:cs="Arial" w:eastAsia="Arial" w:hAnsi="Arial"/>
                <w:sz w:val="15"/>
                <w:szCs w:val="15"/>
                <w:color w:val="auto"/>
              </w:rPr>
              <w:t xml:space="preserve">With respect to the election of directors (Proposal One), you may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or </w:t>
            </w:r>
            <w:r>
              <w:rPr>
                <w:rFonts w:ascii="Arial" w:cs="Arial" w:eastAsia="Arial" w:hAnsi="Arial"/>
                <w:sz w:val="15"/>
                <w:szCs w:val="15"/>
                <w:b w:val="1"/>
                <w:bCs w:val="1"/>
                <w:color w:val="auto"/>
              </w:rPr>
              <w:t>“WITHHOLD”</w:t>
            </w:r>
            <w:r>
              <w:rPr>
                <w:rFonts w:ascii="Arial" w:cs="Arial" w:eastAsia="Arial" w:hAnsi="Arial"/>
                <w:sz w:val="15"/>
                <w:szCs w:val="15"/>
                <w:color w:val="auto"/>
              </w:rPr>
              <w:t xml:space="preserve"> with respect to each director</w:t>
            </w:r>
          </w:p>
        </w:tc>
        <w:tc>
          <w:tcPr>
            <w:tcW w:w="0" w:type="dxa"/>
            <w:vAlign w:val="bottom"/>
          </w:tcPr>
          <w:p>
            <w:pPr>
              <w:spacing w:after="0"/>
              <w:rPr>
                <w:sz w:val="1"/>
                <w:szCs w:val="1"/>
                <w:color w:val="auto"/>
              </w:rPr>
            </w:pPr>
          </w:p>
        </w:tc>
      </w:tr>
      <w:tr>
        <w:trPr>
          <w:trHeight w:val="186"/>
        </w:trPr>
        <w:tc>
          <w:tcPr>
            <w:tcW w:w="440" w:type="dxa"/>
            <w:vAlign w:val="bottom"/>
            <w:vMerge w:val="continue"/>
          </w:tcPr>
          <w:p>
            <w:pPr>
              <w:spacing w:after="0"/>
              <w:rPr>
                <w:sz w:val="16"/>
                <w:szCs w:val="16"/>
                <w:color w:val="auto"/>
              </w:rPr>
            </w:pPr>
          </w:p>
        </w:tc>
        <w:tc>
          <w:tcPr>
            <w:tcW w:w="2100" w:type="dxa"/>
            <w:vAlign w:val="bottom"/>
          </w:tcPr>
          <w:p>
            <w:pPr>
              <w:ind w:left="100"/>
              <w:spacing w:after="0"/>
              <w:rPr>
                <w:sz w:val="20"/>
                <w:szCs w:val="20"/>
                <w:color w:val="auto"/>
              </w:rPr>
            </w:pPr>
            <w:r>
              <w:rPr>
                <w:rFonts w:ascii="Arial" w:cs="Arial" w:eastAsia="Arial" w:hAnsi="Arial"/>
                <w:sz w:val="15"/>
                <w:szCs w:val="15"/>
                <w:b w:val="1"/>
                <w:bCs w:val="1"/>
                <w:color w:val="007EC4"/>
              </w:rPr>
              <w:t>HOW IS MY VOTE</w:t>
            </w:r>
          </w:p>
        </w:tc>
        <w:tc>
          <w:tcPr>
            <w:tcW w:w="8620" w:type="dxa"/>
            <w:vAlign w:val="bottom"/>
          </w:tcPr>
          <w:p>
            <w:pPr>
              <w:ind w:left="360"/>
              <w:spacing w:after="0"/>
              <w:rPr>
                <w:sz w:val="20"/>
                <w:szCs w:val="20"/>
                <w:color w:val="auto"/>
              </w:rPr>
            </w:pPr>
            <w:r>
              <w:rPr>
                <w:rFonts w:ascii="Arial" w:cs="Arial" w:eastAsia="Arial" w:hAnsi="Arial"/>
                <w:sz w:val="15"/>
                <w:szCs w:val="15"/>
                <w:color w:val="auto"/>
              </w:rPr>
              <w:t>nominee. Votes that are “withheld” will not count as a vote “FOR” or “AGAINST” a director nominee because directors are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ind w:left="100"/>
              <w:spacing w:after="0"/>
              <w:rPr>
                <w:sz w:val="20"/>
                <w:szCs w:val="20"/>
                <w:color w:val="auto"/>
              </w:rPr>
            </w:pPr>
            <w:r>
              <w:rPr>
                <w:rFonts w:ascii="Arial" w:cs="Arial" w:eastAsia="Arial" w:hAnsi="Arial"/>
                <w:sz w:val="15"/>
                <w:szCs w:val="15"/>
                <w:b w:val="1"/>
                <w:bCs w:val="1"/>
                <w:color w:val="007EC4"/>
              </w:rPr>
              <w:t>COUNTED?</w:t>
            </w:r>
          </w:p>
        </w:tc>
        <w:tc>
          <w:tcPr>
            <w:tcW w:w="8620" w:type="dxa"/>
            <w:vAlign w:val="bottom"/>
          </w:tcPr>
          <w:p>
            <w:pPr>
              <w:ind w:left="360"/>
              <w:spacing w:after="0"/>
              <w:rPr>
                <w:sz w:val="20"/>
                <w:szCs w:val="20"/>
                <w:color w:val="auto"/>
              </w:rPr>
            </w:pPr>
            <w:r>
              <w:rPr>
                <w:rFonts w:ascii="Arial" w:cs="Arial" w:eastAsia="Arial" w:hAnsi="Arial"/>
                <w:sz w:val="15"/>
                <w:szCs w:val="15"/>
                <w:color w:val="auto"/>
              </w:rPr>
              <w:t>elected by plurality voting. Broker non-votes, if any, will have no effect on the outcome of Proposal One. With respect to the</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ratification of the appointment of our independent registered public accounting firm (Proposal Two), the non-binding advisory</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vote to approve the compensation of our named executive officers (Proposal Three), the vote to approve an amendment to</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w w:val="99"/>
              </w:rPr>
              <w:t>the Certificate of Incorporation to remove the supermajority voting requirements for stockholders to amend certain provisions</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of the Certificate of Incorporation and the Bylaws (Proposal Four), the vote to approve an amendment to the Certificate of</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w w:val="99"/>
              </w:rPr>
              <w:t>Incorporation to declassify the Board and phase-in annual director elections by 2028 (Proposal Five), and the vote to approve</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an amendment to the Certificate of Incorporation to limit the liability of certain officers of the Company as permitted by law</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w w:val="98"/>
              </w:rPr>
              <w:t xml:space="preserve">(Proposal Six), you may vote </w:t>
            </w:r>
            <w:r>
              <w:rPr>
                <w:rFonts w:ascii="Arial" w:cs="Arial" w:eastAsia="Arial" w:hAnsi="Arial"/>
                <w:sz w:val="15"/>
                <w:szCs w:val="15"/>
                <w:b w:val="1"/>
                <w:bCs w:val="1"/>
                <w:color w:val="auto"/>
                <w:w w:val="98"/>
              </w:rPr>
              <w:t>“FOR,” “AGAINST”</w:t>
            </w:r>
            <w:r>
              <w:rPr>
                <w:rFonts w:ascii="Arial" w:cs="Arial" w:eastAsia="Arial" w:hAnsi="Arial"/>
                <w:sz w:val="15"/>
                <w:szCs w:val="15"/>
                <w:color w:val="auto"/>
                <w:w w:val="98"/>
              </w:rPr>
              <w:t xml:space="preserve"> or </w:t>
            </w:r>
            <w:r>
              <w:rPr>
                <w:rFonts w:ascii="Arial" w:cs="Arial" w:eastAsia="Arial" w:hAnsi="Arial"/>
                <w:sz w:val="15"/>
                <w:szCs w:val="15"/>
                <w:b w:val="1"/>
                <w:bCs w:val="1"/>
                <w:color w:val="auto"/>
                <w:w w:val="98"/>
              </w:rPr>
              <w:t>“ABSTAIN.”</w:t>
            </w:r>
            <w:r>
              <w:rPr>
                <w:rFonts w:ascii="Arial" w:cs="Arial" w:eastAsia="Arial" w:hAnsi="Arial"/>
                <w:sz w:val="15"/>
                <w:szCs w:val="15"/>
                <w:color w:val="auto"/>
                <w:w w:val="98"/>
              </w:rPr>
              <w:t xml:space="preserve"> For each Proposals Two through Six, abstentions will have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the effect of a vote “against” the proposal. For Proposal Two, we expect that there should be no broker non-votes (brokers</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w w:val="98"/>
              </w:rPr>
              <w:t>may, but are not required to, exercise discretionary voting on routine proposals). For Proposal Three, broker non-votes, if any,</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will have no effect on the outcome of the proposal. For each Proposals Four through Six, broker non-votes, if any, will have</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the effect of a vote against the proposal.</w:t>
            </w:r>
          </w:p>
        </w:tc>
        <w:tc>
          <w:tcPr>
            <w:tcW w:w="0" w:type="dxa"/>
            <w:vAlign w:val="bottom"/>
          </w:tcPr>
          <w:p>
            <w:pPr>
              <w:spacing w:after="0"/>
              <w:rPr>
                <w:sz w:val="1"/>
                <w:szCs w:val="1"/>
                <w:color w:val="auto"/>
              </w:rPr>
            </w:pPr>
          </w:p>
        </w:tc>
      </w:tr>
      <w:tr>
        <w:trPr>
          <w:trHeight w:val="387"/>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You are not required to attend the Annual Meeting in-person to vote. The Board is soliciting proxies so that you can submit</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your proxy before the Annual Meeting. If you vote by proxy, you will be designating Tom Nealon and Chris Turner, each with</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power of substitution as your proxy, and together as your proxies, to vote your shares as you instruct. If you just sign and</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submit your proxy card without voting instructions, your shares will be voted in accordance with the recommendation of the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Board with respect to the proposals. The proxies also have discretionary authority to vote to adjourn our Annual Meeting,</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including for the purposes of soliciting votes in accordance with our Board’s recommendations, or if any other business</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properly comes before the meeting. If any other business comes before the Annual Meeting, the proxies will vote on those</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matters in accordance with their best judgment.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1082675</wp:posOffset>
            </wp:positionV>
            <wp:extent cx="7143115" cy="1587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40" w:type="dxa"/>
            <w:vAlign w:val="bottom"/>
            <w:vMerge w:val="restart"/>
          </w:tcPr>
          <w:p>
            <w:pPr>
              <w:spacing w:after="0"/>
              <w:rPr>
                <w:sz w:val="20"/>
                <w:szCs w:val="20"/>
                <w:color w:val="auto"/>
              </w:rPr>
            </w:pPr>
            <w:r>
              <w:rPr>
                <w:rFonts w:ascii="Arial" w:cs="Arial" w:eastAsia="Arial" w:hAnsi="Arial"/>
                <w:sz w:val="30"/>
                <w:szCs w:val="30"/>
                <w:b w:val="1"/>
                <w:bCs w:val="1"/>
                <w:color w:val="EF3B35"/>
              </w:rPr>
              <w:t>Q:</w:t>
            </w:r>
          </w:p>
        </w:tc>
        <w:tc>
          <w:tcPr>
            <w:tcW w:w="2140" w:type="dxa"/>
            <w:vAlign w:val="bottom"/>
          </w:tcPr>
          <w:p>
            <w:pPr>
              <w:ind w:left="100"/>
              <w:spacing w:after="0"/>
              <w:rPr>
                <w:sz w:val="20"/>
                <w:szCs w:val="20"/>
                <w:color w:val="auto"/>
              </w:rPr>
            </w:pPr>
            <w:r>
              <w:rPr>
                <w:rFonts w:ascii="Arial" w:cs="Arial" w:eastAsia="Arial" w:hAnsi="Arial"/>
                <w:sz w:val="15"/>
                <w:szCs w:val="15"/>
                <w:b w:val="1"/>
                <w:bCs w:val="1"/>
                <w:color w:val="007EC4"/>
              </w:rPr>
              <w:t>HOW DOES THE BOARD</w:t>
            </w:r>
          </w:p>
        </w:tc>
        <w:tc>
          <w:tcPr>
            <w:tcW w:w="6860" w:type="dxa"/>
            <w:vAlign w:val="bottom"/>
            <w:gridSpan w:val="2"/>
          </w:tcPr>
          <w:p>
            <w:pPr>
              <w:ind w:left="300"/>
              <w:spacing w:after="0"/>
              <w:rPr>
                <w:sz w:val="20"/>
                <w:szCs w:val="20"/>
                <w:color w:val="auto"/>
              </w:rPr>
            </w:pPr>
            <w:r>
              <w:rPr>
                <w:rFonts w:ascii="Arial" w:cs="Arial" w:eastAsia="Arial" w:hAnsi="Arial"/>
                <w:sz w:val="15"/>
                <w:szCs w:val="15"/>
                <w:color w:val="auto"/>
              </w:rPr>
              <w:t>The Board recommends that you vote your shares:</w:t>
            </w:r>
          </w:p>
        </w:tc>
        <w:tc>
          <w:tcPr>
            <w:tcW w:w="0" w:type="dxa"/>
            <w:vAlign w:val="bottom"/>
          </w:tcPr>
          <w:p>
            <w:pPr>
              <w:spacing w:after="0"/>
              <w:rPr>
                <w:sz w:val="1"/>
                <w:szCs w:val="1"/>
                <w:color w:val="auto"/>
              </w:rPr>
            </w:pPr>
          </w:p>
        </w:tc>
      </w:tr>
      <w:tr>
        <w:trPr>
          <w:trHeight w:val="174"/>
        </w:trPr>
        <w:tc>
          <w:tcPr>
            <w:tcW w:w="440" w:type="dxa"/>
            <w:vAlign w:val="bottom"/>
            <w:vMerge w:val="continue"/>
          </w:tcPr>
          <w:p>
            <w:pPr>
              <w:spacing w:after="0"/>
              <w:rPr>
                <w:sz w:val="15"/>
                <w:szCs w:val="15"/>
                <w:color w:val="auto"/>
              </w:rPr>
            </w:pPr>
          </w:p>
        </w:tc>
        <w:tc>
          <w:tcPr>
            <w:tcW w:w="2140" w:type="dxa"/>
            <w:vAlign w:val="bottom"/>
          </w:tcPr>
          <w:p>
            <w:pPr>
              <w:ind w:left="100"/>
              <w:spacing w:after="0"/>
              <w:rPr>
                <w:sz w:val="20"/>
                <w:szCs w:val="20"/>
                <w:color w:val="auto"/>
              </w:rPr>
            </w:pPr>
            <w:r>
              <w:rPr>
                <w:rFonts w:ascii="Arial" w:cs="Arial" w:eastAsia="Arial" w:hAnsi="Arial"/>
                <w:sz w:val="15"/>
                <w:szCs w:val="15"/>
                <w:b w:val="1"/>
                <w:bCs w:val="1"/>
                <w:color w:val="007EC4"/>
              </w:rPr>
              <w:t>RECOMMEND THAT I</w:t>
            </w:r>
          </w:p>
        </w:tc>
        <w:tc>
          <w:tcPr>
            <w:tcW w:w="1640" w:type="dxa"/>
            <w:vAlign w:val="bottom"/>
            <w:vMerge w:val="restart"/>
          </w:tcPr>
          <w:p>
            <w:pPr>
              <w:ind w:left="700"/>
              <w:spacing w:after="0"/>
              <w:rPr>
                <w:sz w:val="20"/>
                <w:szCs w:val="20"/>
                <w:color w:val="auto"/>
              </w:rPr>
            </w:pPr>
            <w:r>
              <w:rPr>
                <w:rFonts w:ascii="Arial" w:cs="Arial" w:eastAsia="Arial" w:hAnsi="Arial"/>
                <w:sz w:val="23"/>
                <w:szCs w:val="23"/>
                <w:b w:val="1"/>
                <w:bCs w:val="1"/>
                <w:color w:val="EF3B35"/>
              </w:rPr>
              <w:t>“FOR”</w:t>
            </w: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140" w:type="dxa"/>
            <w:vAlign w:val="bottom"/>
            <w:vMerge w:val="restart"/>
          </w:tcPr>
          <w:p>
            <w:pPr>
              <w:ind w:left="100"/>
              <w:spacing w:after="0"/>
              <w:rPr>
                <w:sz w:val="20"/>
                <w:szCs w:val="20"/>
                <w:color w:val="auto"/>
              </w:rPr>
            </w:pPr>
            <w:r>
              <w:rPr>
                <w:rFonts w:ascii="Arial" w:cs="Arial" w:eastAsia="Arial" w:hAnsi="Arial"/>
                <w:sz w:val="15"/>
                <w:szCs w:val="15"/>
                <w:b w:val="1"/>
                <w:bCs w:val="1"/>
                <w:color w:val="007EC4"/>
              </w:rPr>
              <w:t>VOTE?</w:t>
            </w:r>
          </w:p>
        </w:tc>
        <w:tc>
          <w:tcPr>
            <w:tcW w:w="1640" w:type="dxa"/>
            <w:vAlign w:val="bottom"/>
            <w:vMerge w:val="continue"/>
          </w:tcPr>
          <w:p>
            <w:pPr>
              <w:spacing w:after="0"/>
              <w:rPr>
                <w:sz w:val="12"/>
                <w:szCs w:val="12"/>
                <w:color w:val="auto"/>
              </w:rPr>
            </w:pPr>
          </w:p>
        </w:tc>
        <w:tc>
          <w:tcPr>
            <w:tcW w:w="5220" w:type="dxa"/>
            <w:vAlign w:val="bottom"/>
            <w:vMerge w:val="restart"/>
          </w:tcPr>
          <w:p>
            <w:pPr>
              <w:ind w:left="220"/>
              <w:spacing w:after="0"/>
              <w:rPr>
                <w:sz w:val="20"/>
                <w:szCs w:val="20"/>
                <w:color w:val="auto"/>
              </w:rPr>
            </w:pPr>
            <w:r>
              <w:rPr>
                <w:rFonts w:ascii="Arial" w:cs="Arial" w:eastAsia="Arial" w:hAnsi="Arial"/>
                <w:sz w:val="15"/>
                <w:szCs w:val="15"/>
                <w:color w:val="auto"/>
                <w:w w:val="99"/>
              </w:rPr>
              <w:t>each of the three Class II director nominees named in this Proxy Statement.</w:t>
            </w: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5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154940</wp:posOffset>
            </wp:positionV>
            <wp:extent cx="15875" cy="1587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154940</wp:posOffset>
            </wp:positionV>
            <wp:extent cx="15875" cy="1587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154940</wp:posOffset>
            </wp:positionV>
            <wp:extent cx="15875" cy="1587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154940</wp:posOffset>
            </wp:positionV>
            <wp:extent cx="15875" cy="1587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154940</wp:posOffset>
            </wp:positionV>
            <wp:extent cx="15875" cy="1587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154940</wp:posOffset>
            </wp:positionV>
            <wp:extent cx="15875" cy="1587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154940</wp:posOffset>
            </wp:positionV>
            <wp:extent cx="15875" cy="1587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154940</wp:posOffset>
            </wp:positionV>
            <wp:extent cx="15875" cy="1587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154940</wp:posOffset>
            </wp:positionV>
            <wp:extent cx="15875" cy="1587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3136265</wp:posOffset>
            </wp:positionH>
            <wp:positionV relativeFrom="paragraph">
              <wp:posOffset>154940</wp:posOffset>
            </wp:positionV>
            <wp:extent cx="15875" cy="1587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154940</wp:posOffset>
            </wp:positionV>
            <wp:extent cx="15875" cy="1587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3199130</wp:posOffset>
            </wp:positionH>
            <wp:positionV relativeFrom="paragraph">
              <wp:posOffset>154940</wp:posOffset>
            </wp:positionV>
            <wp:extent cx="15875" cy="1587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154940</wp:posOffset>
            </wp:positionV>
            <wp:extent cx="15875" cy="1587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154940</wp:posOffset>
            </wp:positionV>
            <wp:extent cx="15875" cy="1587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154940</wp:posOffset>
            </wp:positionV>
            <wp:extent cx="15875" cy="1587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154940</wp:posOffset>
            </wp:positionV>
            <wp:extent cx="15875" cy="1587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154940</wp:posOffset>
            </wp:positionV>
            <wp:extent cx="15875" cy="1587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154940</wp:posOffset>
            </wp:positionV>
            <wp:extent cx="15875" cy="1587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154940</wp:posOffset>
            </wp:positionV>
            <wp:extent cx="15875" cy="1587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154940</wp:posOffset>
            </wp:positionV>
            <wp:extent cx="15875" cy="1587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154940</wp:posOffset>
            </wp:positionV>
            <wp:extent cx="15875" cy="1587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154940</wp:posOffset>
            </wp:positionV>
            <wp:extent cx="15875" cy="1587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154940</wp:posOffset>
            </wp:positionV>
            <wp:extent cx="15875" cy="1587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154940</wp:posOffset>
            </wp:positionV>
            <wp:extent cx="15875" cy="1587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154940</wp:posOffset>
            </wp:positionV>
            <wp:extent cx="15875" cy="1587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154940</wp:posOffset>
            </wp:positionV>
            <wp:extent cx="15875" cy="1587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154940</wp:posOffset>
            </wp:positionV>
            <wp:extent cx="15875" cy="1587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154940</wp:posOffset>
            </wp:positionV>
            <wp:extent cx="15875" cy="1587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3736340</wp:posOffset>
            </wp:positionH>
            <wp:positionV relativeFrom="paragraph">
              <wp:posOffset>154940</wp:posOffset>
            </wp:positionV>
            <wp:extent cx="15875" cy="1587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154940</wp:posOffset>
            </wp:positionV>
            <wp:extent cx="15875" cy="1587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154940</wp:posOffset>
            </wp:positionV>
            <wp:extent cx="15875" cy="1587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154940</wp:posOffset>
            </wp:positionV>
            <wp:extent cx="15875" cy="1587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154940</wp:posOffset>
            </wp:positionV>
            <wp:extent cx="15875" cy="1587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154940</wp:posOffset>
            </wp:positionV>
            <wp:extent cx="15875" cy="1587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154940</wp:posOffset>
            </wp:positionV>
            <wp:extent cx="15875" cy="1587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154940</wp:posOffset>
            </wp:positionV>
            <wp:extent cx="15875" cy="1587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154940</wp:posOffset>
            </wp:positionV>
            <wp:extent cx="15875" cy="1587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154940</wp:posOffset>
            </wp:positionV>
            <wp:extent cx="15875" cy="1587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154940</wp:posOffset>
            </wp:positionV>
            <wp:extent cx="15875" cy="1587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4083685</wp:posOffset>
            </wp:positionH>
            <wp:positionV relativeFrom="paragraph">
              <wp:posOffset>154940</wp:posOffset>
            </wp:positionV>
            <wp:extent cx="15875" cy="1587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154940</wp:posOffset>
            </wp:positionV>
            <wp:extent cx="15875" cy="1587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154940</wp:posOffset>
            </wp:positionV>
            <wp:extent cx="15875" cy="1587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154940</wp:posOffset>
            </wp:positionV>
            <wp:extent cx="15875" cy="1587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154940</wp:posOffset>
            </wp:positionV>
            <wp:extent cx="15875" cy="1587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154940</wp:posOffset>
            </wp:positionV>
            <wp:extent cx="15875" cy="1587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154940</wp:posOffset>
            </wp:positionV>
            <wp:extent cx="15875" cy="1587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154940</wp:posOffset>
            </wp:positionV>
            <wp:extent cx="15875" cy="1587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154940</wp:posOffset>
            </wp:positionV>
            <wp:extent cx="15875" cy="1587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4367530</wp:posOffset>
            </wp:positionH>
            <wp:positionV relativeFrom="paragraph">
              <wp:posOffset>154940</wp:posOffset>
            </wp:positionV>
            <wp:extent cx="15875" cy="1587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154940</wp:posOffset>
            </wp:positionV>
            <wp:extent cx="15875" cy="1587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154940</wp:posOffset>
            </wp:positionV>
            <wp:extent cx="15875" cy="1587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154940</wp:posOffset>
            </wp:positionV>
            <wp:extent cx="15875" cy="1587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154940</wp:posOffset>
            </wp:positionV>
            <wp:extent cx="15875" cy="1587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154940</wp:posOffset>
            </wp:positionV>
            <wp:extent cx="15875" cy="1587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154940</wp:posOffset>
            </wp:positionV>
            <wp:extent cx="15875" cy="1587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154940</wp:posOffset>
            </wp:positionV>
            <wp:extent cx="15875" cy="1587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154940</wp:posOffset>
            </wp:positionV>
            <wp:extent cx="15875" cy="1587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154940</wp:posOffset>
            </wp:positionV>
            <wp:extent cx="15875" cy="1587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154940</wp:posOffset>
            </wp:positionV>
            <wp:extent cx="15875" cy="1587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154940</wp:posOffset>
            </wp:positionV>
            <wp:extent cx="15875" cy="1587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154940</wp:posOffset>
            </wp:positionV>
            <wp:extent cx="15875" cy="1587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154940</wp:posOffset>
            </wp:positionV>
            <wp:extent cx="15875" cy="1587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154940</wp:posOffset>
            </wp:positionV>
            <wp:extent cx="15875" cy="1587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154940</wp:posOffset>
            </wp:positionV>
            <wp:extent cx="15875" cy="1587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154940</wp:posOffset>
            </wp:positionV>
            <wp:extent cx="15875" cy="1587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154940</wp:posOffset>
            </wp:positionV>
            <wp:extent cx="15875" cy="1587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154940</wp:posOffset>
            </wp:positionV>
            <wp:extent cx="15875" cy="1587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154940</wp:posOffset>
            </wp:positionV>
            <wp:extent cx="15875" cy="1587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154940</wp:posOffset>
            </wp:positionV>
            <wp:extent cx="15875" cy="1587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154940</wp:posOffset>
            </wp:positionV>
            <wp:extent cx="15875" cy="1587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154940</wp:posOffset>
            </wp:positionV>
            <wp:extent cx="15875" cy="1587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5093970</wp:posOffset>
            </wp:positionH>
            <wp:positionV relativeFrom="paragraph">
              <wp:posOffset>154940</wp:posOffset>
            </wp:positionV>
            <wp:extent cx="15875" cy="1587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154940</wp:posOffset>
            </wp:positionV>
            <wp:extent cx="15875" cy="1587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154940</wp:posOffset>
            </wp:positionV>
            <wp:extent cx="15875" cy="1587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154940</wp:posOffset>
            </wp:positionV>
            <wp:extent cx="15875" cy="1587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154940</wp:posOffset>
            </wp:positionV>
            <wp:extent cx="15875" cy="1587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154940</wp:posOffset>
            </wp:positionV>
            <wp:extent cx="15875" cy="1587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154940</wp:posOffset>
            </wp:positionV>
            <wp:extent cx="15875" cy="1587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154940</wp:posOffset>
            </wp:positionV>
            <wp:extent cx="15875" cy="1587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154940</wp:posOffset>
            </wp:positionV>
            <wp:extent cx="15875" cy="1587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154940</wp:posOffset>
            </wp:positionV>
            <wp:extent cx="15875" cy="1587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5409565</wp:posOffset>
            </wp:positionH>
            <wp:positionV relativeFrom="paragraph">
              <wp:posOffset>154940</wp:posOffset>
            </wp:positionV>
            <wp:extent cx="15875" cy="1587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5441315</wp:posOffset>
            </wp:positionH>
            <wp:positionV relativeFrom="paragraph">
              <wp:posOffset>154940</wp:posOffset>
            </wp:positionV>
            <wp:extent cx="15875" cy="1587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154940</wp:posOffset>
            </wp:positionV>
            <wp:extent cx="15875" cy="1587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154940</wp:posOffset>
            </wp:positionV>
            <wp:extent cx="15875" cy="1587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154940</wp:posOffset>
            </wp:positionV>
            <wp:extent cx="15875" cy="1587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154940</wp:posOffset>
            </wp:positionV>
            <wp:extent cx="15875" cy="1587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154940</wp:posOffset>
            </wp:positionV>
            <wp:extent cx="15875" cy="1587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154940</wp:posOffset>
            </wp:positionV>
            <wp:extent cx="15875" cy="1587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5662295</wp:posOffset>
            </wp:positionH>
            <wp:positionV relativeFrom="paragraph">
              <wp:posOffset>154940</wp:posOffset>
            </wp:positionV>
            <wp:extent cx="15875" cy="1587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5693410</wp:posOffset>
            </wp:positionH>
            <wp:positionV relativeFrom="paragraph">
              <wp:posOffset>154940</wp:posOffset>
            </wp:positionV>
            <wp:extent cx="15875" cy="1587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154940</wp:posOffset>
            </wp:positionV>
            <wp:extent cx="15875" cy="1587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154940</wp:posOffset>
            </wp:positionV>
            <wp:extent cx="15875" cy="1587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154940</wp:posOffset>
            </wp:positionV>
            <wp:extent cx="15875" cy="1587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154940</wp:posOffset>
            </wp:positionV>
            <wp:extent cx="15875" cy="1587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154940</wp:posOffset>
            </wp:positionV>
            <wp:extent cx="15875" cy="1587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154940</wp:posOffset>
            </wp:positionV>
            <wp:extent cx="15875" cy="1587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154940</wp:posOffset>
            </wp:positionV>
            <wp:extent cx="15875" cy="1587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154940</wp:posOffset>
            </wp:positionV>
            <wp:extent cx="15875" cy="1587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154940</wp:posOffset>
            </wp:positionV>
            <wp:extent cx="15875" cy="1587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154940</wp:posOffset>
            </wp:positionV>
            <wp:extent cx="15875" cy="1587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154940</wp:posOffset>
            </wp:positionV>
            <wp:extent cx="15875" cy="1587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154940</wp:posOffset>
            </wp:positionV>
            <wp:extent cx="15875" cy="1587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154940</wp:posOffset>
            </wp:positionV>
            <wp:extent cx="15875" cy="1587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154940</wp:posOffset>
            </wp:positionV>
            <wp:extent cx="15875" cy="1587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6167120</wp:posOffset>
            </wp:positionH>
            <wp:positionV relativeFrom="paragraph">
              <wp:posOffset>154940</wp:posOffset>
            </wp:positionV>
            <wp:extent cx="15875" cy="1587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154940</wp:posOffset>
            </wp:positionV>
            <wp:extent cx="15875" cy="1587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154940</wp:posOffset>
            </wp:positionV>
            <wp:extent cx="15875" cy="1587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154940</wp:posOffset>
            </wp:positionV>
            <wp:extent cx="15875" cy="1587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154940</wp:posOffset>
            </wp:positionV>
            <wp:extent cx="15875" cy="1587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154940</wp:posOffset>
            </wp:positionV>
            <wp:extent cx="15875" cy="1587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154940</wp:posOffset>
            </wp:positionV>
            <wp:extent cx="15875" cy="1587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6388100</wp:posOffset>
            </wp:positionH>
            <wp:positionV relativeFrom="paragraph">
              <wp:posOffset>154940</wp:posOffset>
            </wp:positionV>
            <wp:extent cx="15875" cy="1587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154940</wp:posOffset>
            </wp:positionV>
            <wp:extent cx="15875" cy="1587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154940</wp:posOffset>
            </wp:positionV>
            <wp:extent cx="15875" cy="1587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154940</wp:posOffset>
            </wp:positionV>
            <wp:extent cx="15875" cy="1587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154940</wp:posOffset>
            </wp:positionV>
            <wp:extent cx="15875" cy="1587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154940</wp:posOffset>
            </wp:positionV>
            <wp:extent cx="15875" cy="1587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6577330</wp:posOffset>
            </wp:positionH>
            <wp:positionV relativeFrom="paragraph">
              <wp:posOffset>154940</wp:posOffset>
            </wp:positionV>
            <wp:extent cx="15875" cy="1587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154940</wp:posOffset>
            </wp:positionV>
            <wp:extent cx="15875" cy="1587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154940</wp:posOffset>
            </wp:positionV>
            <wp:extent cx="15875" cy="1587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6672580</wp:posOffset>
            </wp:positionH>
            <wp:positionV relativeFrom="paragraph">
              <wp:posOffset>154940</wp:posOffset>
            </wp:positionV>
            <wp:extent cx="15875" cy="1587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154940</wp:posOffset>
            </wp:positionV>
            <wp:extent cx="15875" cy="1587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154940</wp:posOffset>
            </wp:positionV>
            <wp:extent cx="15875" cy="1587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6767195</wp:posOffset>
            </wp:positionH>
            <wp:positionV relativeFrom="paragraph">
              <wp:posOffset>154940</wp:posOffset>
            </wp:positionV>
            <wp:extent cx="15875" cy="1587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6798945</wp:posOffset>
            </wp:positionH>
            <wp:positionV relativeFrom="paragraph">
              <wp:posOffset>154940</wp:posOffset>
            </wp:positionV>
            <wp:extent cx="15875" cy="1587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6830060</wp:posOffset>
            </wp:positionH>
            <wp:positionV relativeFrom="paragraph">
              <wp:posOffset>154940</wp:posOffset>
            </wp:positionV>
            <wp:extent cx="15875" cy="1587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154940</wp:posOffset>
            </wp:positionV>
            <wp:extent cx="15875" cy="1587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6893560</wp:posOffset>
            </wp:positionH>
            <wp:positionV relativeFrom="paragraph">
              <wp:posOffset>154940</wp:posOffset>
            </wp:positionV>
            <wp:extent cx="15875" cy="1587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6924675</wp:posOffset>
            </wp:positionH>
            <wp:positionV relativeFrom="paragraph">
              <wp:posOffset>154940</wp:posOffset>
            </wp:positionV>
            <wp:extent cx="15875" cy="1587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6956425</wp:posOffset>
            </wp:positionH>
            <wp:positionV relativeFrom="paragraph">
              <wp:posOffset>154940</wp:posOffset>
            </wp:positionV>
            <wp:extent cx="15875" cy="1587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154940</wp:posOffset>
            </wp:positionV>
            <wp:extent cx="15875" cy="1587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154940</wp:posOffset>
            </wp:positionV>
            <wp:extent cx="15875" cy="1587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7051040</wp:posOffset>
            </wp:positionH>
            <wp:positionV relativeFrom="paragraph">
              <wp:posOffset>154940</wp:posOffset>
            </wp:positionV>
            <wp:extent cx="15875" cy="1587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7082790</wp:posOffset>
            </wp:positionH>
            <wp:positionV relativeFrom="paragraph">
              <wp:posOffset>154940</wp:posOffset>
            </wp:positionV>
            <wp:extent cx="15875" cy="1587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154940</wp:posOffset>
            </wp:positionV>
            <wp:extent cx="15875" cy="1587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154940</wp:posOffset>
            </wp:positionV>
            <wp:extent cx="15875" cy="1587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154940</wp:posOffset>
            </wp:positionV>
            <wp:extent cx="15875" cy="1587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154940</wp:posOffset>
            </wp:positionV>
            <wp:extent cx="15875" cy="1587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154940</wp:posOffset>
            </wp:positionV>
            <wp:extent cx="15875" cy="1587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154940</wp:posOffset>
            </wp:positionV>
            <wp:extent cx="15875" cy="1587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154940</wp:posOffset>
            </wp:positionV>
            <wp:extent cx="15875" cy="1587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154940</wp:posOffset>
            </wp:positionV>
            <wp:extent cx="15875" cy="1587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154940</wp:posOffset>
            </wp:positionV>
            <wp:extent cx="15875" cy="1587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154940</wp:posOffset>
            </wp:positionV>
            <wp:extent cx="15875" cy="1587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154940</wp:posOffset>
            </wp:positionV>
            <wp:extent cx="15875" cy="1587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154940</wp:posOffset>
            </wp:positionV>
            <wp:extent cx="15875" cy="1587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154940</wp:posOffset>
            </wp:positionV>
            <wp:extent cx="15875" cy="1587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154940</wp:posOffset>
            </wp:positionV>
            <wp:extent cx="15875" cy="1587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154940</wp:posOffset>
            </wp:positionV>
            <wp:extent cx="15875" cy="1587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154940</wp:posOffset>
            </wp:positionV>
            <wp:extent cx="15875" cy="1587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154940</wp:posOffset>
            </wp:positionV>
            <wp:extent cx="15875" cy="1587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154940</wp:posOffset>
            </wp:positionV>
            <wp:extent cx="15875" cy="1587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154940</wp:posOffset>
            </wp:positionV>
            <wp:extent cx="15875" cy="1587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154940</wp:posOffset>
            </wp:positionV>
            <wp:extent cx="15875" cy="1587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154940</wp:posOffset>
            </wp:positionV>
            <wp:extent cx="15875" cy="1587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154940</wp:posOffset>
            </wp:positionV>
            <wp:extent cx="15875" cy="1587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154940</wp:posOffset>
            </wp:positionV>
            <wp:extent cx="15875" cy="1587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154940</wp:posOffset>
            </wp:positionV>
            <wp:extent cx="15875" cy="1587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154940</wp:posOffset>
            </wp:positionV>
            <wp:extent cx="15875" cy="1587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154940</wp:posOffset>
            </wp:positionV>
            <wp:extent cx="15875" cy="1587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154940</wp:posOffset>
            </wp:positionV>
            <wp:extent cx="15875" cy="1587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154940</wp:posOffset>
            </wp:positionV>
            <wp:extent cx="15875" cy="1587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154940</wp:posOffset>
            </wp:positionV>
            <wp:extent cx="15875" cy="1587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154940</wp:posOffset>
            </wp:positionV>
            <wp:extent cx="15875" cy="1587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154940</wp:posOffset>
            </wp:positionV>
            <wp:extent cx="15875" cy="1587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154940</wp:posOffset>
            </wp:positionV>
            <wp:extent cx="62865" cy="1587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301" w:lineRule="exact"/>
        <w:rPr>
          <w:sz w:val="20"/>
          <w:szCs w:val="20"/>
          <w:color w:val="auto"/>
        </w:rPr>
      </w:pPr>
    </w:p>
    <w:tbl>
      <w:tblPr>
        <w:tblLayout w:type="fixed"/>
        <w:tblInd w:w="3280" w:type="dxa"/>
        <w:tblCellMar>
          <w:top w:w="0" w:type="dxa"/>
          <w:left w:w="0" w:type="dxa"/>
          <w:bottom w:w="0" w:type="dxa"/>
          <w:right w:w="0" w:type="dxa"/>
        </w:tblCellMar>
      </w:tblPr>
      <w:tr>
        <w:trPr>
          <w:trHeight w:val="207"/>
        </w:trPr>
        <w:tc>
          <w:tcPr>
            <w:tcW w:w="940" w:type="dxa"/>
            <w:vAlign w:val="bottom"/>
            <w:vMerge w:val="restart"/>
          </w:tcPr>
          <w:p>
            <w:pPr>
              <w:spacing w:after="0"/>
              <w:rPr>
                <w:sz w:val="20"/>
                <w:szCs w:val="20"/>
                <w:color w:val="auto"/>
              </w:rPr>
            </w:pPr>
            <w:r>
              <w:rPr>
                <w:rFonts w:ascii="Arial" w:cs="Arial" w:eastAsia="Arial" w:hAnsi="Arial"/>
                <w:sz w:val="23"/>
                <w:szCs w:val="23"/>
                <w:b w:val="1"/>
                <w:bCs w:val="1"/>
                <w:color w:val="EF3B35"/>
              </w:rPr>
              <w:t>“FOR”</w:t>
            </w:r>
          </w:p>
        </w:tc>
        <w:tc>
          <w:tcPr>
            <w:tcW w:w="6920" w:type="dxa"/>
            <w:vAlign w:val="bottom"/>
          </w:tcPr>
          <w:p>
            <w:pPr>
              <w:ind w:left="220"/>
              <w:spacing w:after="0"/>
              <w:rPr>
                <w:sz w:val="20"/>
                <w:szCs w:val="20"/>
                <w:color w:val="auto"/>
              </w:rPr>
            </w:pPr>
            <w:r>
              <w:rPr>
                <w:rFonts w:ascii="Arial" w:cs="Arial" w:eastAsia="Arial" w:hAnsi="Arial"/>
                <w:sz w:val="15"/>
                <w:szCs w:val="15"/>
                <w:color w:val="auto"/>
                <w:w w:val="99"/>
              </w:rPr>
              <w:t>the ratification of the appointment of Deloitte &amp; Touche LLP as the Company’s independent registered</w:t>
            </w:r>
          </w:p>
        </w:tc>
        <w:tc>
          <w:tcPr>
            <w:tcW w:w="0" w:type="dxa"/>
            <w:vAlign w:val="bottom"/>
          </w:tcPr>
          <w:p>
            <w:pPr>
              <w:spacing w:after="0"/>
              <w:rPr>
                <w:sz w:val="1"/>
                <w:szCs w:val="1"/>
                <w:color w:val="auto"/>
              </w:rPr>
            </w:pPr>
          </w:p>
        </w:tc>
      </w:tr>
      <w:tr>
        <w:trPr>
          <w:trHeight w:val="113"/>
        </w:trPr>
        <w:tc>
          <w:tcPr>
            <w:tcW w:w="940" w:type="dxa"/>
            <w:vAlign w:val="bottom"/>
            <w:vMerge w:val="continue"/>
          </w:tcPr>
          <w:p>
            <w:pPr>
              <w:spacing w:after="0"/>
              <w:rPr>
                <w:sz w:val="9"/>
                <w:szCs w:val="9"/>
                <w:color w:val="auto"/>
              </w:rPr>
            </w:pPr>
          </w:p>
        </w:tc>
        <w:tc>
          <w:tcPr>
            <w:tcW w:w="6920" w:type="dxa"/>
            <w:vAlign w:val="bottom"/>
            <w:vMerge w:val="restart"/>
          </w:tcPr>
          <w:p>
            <w:pPr>
              <w:ind w:left="220"/>
              <w:spacing w:after="0"/>
              <w:rPr>
                <w:sz w:val="20"/>
                <w:szCs w:val="20"/>
                <w:color w:val="auto"/>
              </w:rPr>
            </w:pPr>
            <w:r>
              <w:rPr>
                <w:rFonts w:ascii="Arial" w:cs="Arial" w:eastAsia="Arial" w:hAnsi="Arial"/>
                <w:sz w:val="15"/>
                <w:szCs w:val="15"/>
                <w:color w:val="auto"/>
              </w:rPr>
              <w:t>public accounting firm for fiscal 2025.</w:t>
            </w:r>
          </w:p>
        </w:tc>
        <w:tc>
          <w:tcPr>
            <w:tcW w:w="0" w:type="dxa"/>
            <w:vAlign w:val="bottom"/>
          </w:tcPr>
          <w:p>
            <w:pPr>
              <w:spacing w:after="0"/>
              <w:rPr>
                <w:sz w:val="1"/>
                <w:szCs w:val="1"/>
                <w:color w:val="auto"/>
              </w:rPr>
            </w:pPr>
          </w:p>
        </w:tc>
      </w:tr>
      <w:tr>
        <w:trPr>
          <w:trHeight w:val="86"/>
        </w:trPr>
        <w:tc>
          <w:tcPr>
            <w:tcW w:w="940" w:type="dxa"/>
            <w:vAlign w:val="bottom"/>
          </w:tcPr>
          <w:p>
            <w:pPr>
              <w:spacing w:after="0"/>
              <w:rPr>
                <w:sz w:val="7"/>
                <w:szCs w:val="7"/>
                <w:color w:val="auto"/>
              </w:rPr>
            </w:pPr>
          </w:p>
        </w:tc>
        <w:tc>
          <w:tcPr>
            <w:tcW w:w="6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135255</wp:posOffset>
            </wp:positionV>
            <wp:extent cx="15875" cy="1587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135255</wp:posOffset>
            </wp:positionV>
            <wp:extent cx="15875" cy="1587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135255</wp:posOffset>
            </wp:positionV>
            <wp:extent cx="15875" cy="1587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135255</wp:posOffset>
            </wp:positionV>
            <wp:extent cx="15875" cy="1587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135255</wp:posOffset>
            </wp:positionV>
            <wp:extent cx="15875" cy="1587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135255</wp:posOffset>
            </wp:positionV>
            <wp:extent cx="15875" cy="1587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135255</wp:posOffset>
            </wp:positionV>
            <wp:extent cx="15875" cy="1587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135255</wp:posOffset>
            </wp:positionV>
            <wp:extent cx="15875" cy="1587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135255</wp:posOffset>
            </wp:positionV>
            <wp:extent cx="15875" cy="1587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3136265</wp:posOffset>
            </wp:positionH>
            <wp:positionV relativeFrom="paragraph">
              <wp:posOffset>135255</wp:posOffset>
            </wp:positionV>
            <wp:extent cx="15875" cy="1587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135255</wp:posOffset>
            </wp:positionV>
            <wp:extent cx="15875" cy="1587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3199130</wp:posOffset>
            </wp:positionH>
            <wp:positionV relativeFrom="paragraph">
              <wp:posOffset>135255</wp:posOffset>
            </wp:positionV>
            <wp:extent cx="15875" cy="1587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135255</wp:posOffset>
            </wp:positionV>
            <wp:extent cx="15875" cy="1587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135255</wp:posOffset>
            </wp:positionV>
            <wp:extent cx="15875" cy="1587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135255</wp:posOffset>
            </wp:positionV>
            <wp:extent cx="15875" cy="1587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135255</wp:posOffset>
            </wp:positionV>
            <wp:extent cx="15875" cy="1587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135255</wp:posOffset>
            </wp:positionV>
            <wp:extent cx="15875" cy="1587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135255</wp:posOffset>
            </wp:positionV>
            <wp:extent cx="15875" cy="1587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135255</wp:posOffset>
            </wp:positionV>
            <wp:extent cx="15875" cy="1587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135255</wp:posOffset>
            </wp:positionV>
            <wp:extent cx="15875" cy="1587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135255</wp:posOffset>
            </wp:positionV>
            <wp:extent cx="15875" cy="1587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135255</wp:posOffset>
            </wp:positionV>
            <wp:extent cx="15875" cy="1587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135255</wp:posOffset>
            </wp:positionV>
            <wp:extent cx="15875" cy="1587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135255</wp:posOffset>
            </wp:positionV>
            <wp:extent cx="15875" cy="1587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135255</wp:posOffset>
            </wp:positionV>
            <wp:extent cx="15875" cy="1587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135255</wp:posOffset>
            </wp:positionV>
            <wp:extent cx="15875" cy="1587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135255</wp:posOffset>
            </wp:positionV>
            <wp:extent cx="15875" cy="1587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135255</wp:posOffset>
            </wp:positionV>
            <wp:extent cx="15875" cy="1587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3736340</wp:posOffset>
            </wp:positionH>
            <wp:positionV relativeFrom="paragraph">
              <wp:posOffset>135255</wp:posOffset>
            </wp:positionV>
            <wp:extent cx="15875" cy="1587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135255</wp:posOffset>
            </wp:positionV>
            <wp:extent cx="15875" cy="1587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135255</wp:posOffset>
            </wp:positionV>
            <wp:extent cx="15875" cy="1587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135255</wp:posOffset>
            </wp:positionV>
            <wp:extent cx="15875" cy="1587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135255</wp:posOffset>
            </wp:positionV>
            <wp:extent cx="15875" cy="1587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135255</wp:posOffset>
            </wp:positionV>
            <wp:extent cx="15875" cy="1587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135255</wp:posOffset>
            </wp:positionV>
            <wp:extent cx="15875" cy="1587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135255</wp:posOffset>
            </wp:positionV>
            <wp:extent cx="15875" cy="1587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135255</wp:posOffset>
            </wp:positionV>
            <wp:extent cx="15875" cy="1587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135255</wp:posOffset>
            </wp:positionV>
            <wp:extent cx="15875" cy="1587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135255</wp:posOffset>
            </wp:positionV>
            <wp:extent cx="15875" cy="1587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4083685</wp:posOffset>
            </wp:positionH>
            <wp:positionV relativeFrom="paragraph">
              <wp:posOffset>135255</wp:posOffset>
            </wp:positionV>
            <wp:extent cx="15875" cy="1587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135255</wp:posOffset>
            </wp:positionV>
            <wp:extent cx="15875" cy="1587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135255</wp:posOffset>
            </wp:positionV>
            <wp:extent cx="15875" cy="1587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135255</wp:posOffset>
            </wp:positionV>
            <wp:extent cx="15875" cy="1587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135255</wp:posOffset>
            </wp:positionV>
            <wp:extent cx="15875" cy="1587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135255</wp:posOffset>
            </wp:positionV>
            <wp:extent cx="15875" cy="1587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135255</wp:posOffset>
            </wp:positionV>
            <wp:extent cx="15875" cy="1587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135255</wp:posOffset>
            </wp:positionV>
            <wp:extent cx="15875" cy="1587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135255</wp:posOffset>
            </wp:positionV>
            <wp:extent cx="15875" cy="1587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4367530</wp:posOffset>
            </wp:positionH>
            <wp:positionV relativeFrom="paragraph">
              <wp:posOffset>135255</wp:posOffset>
            </wp:positionV>
            <wp:extent cx="15875" cy="1587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135255</wp:posOffset>
            </wp:positionV>
            <wp:extent cx="15875" cy="1587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135255</wp:posOffset>
            </wp:positionV>
            <wp:extent cx="15875" cy="1587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135255</wp:posOffset>
            </wp:positionV>
            <wp:extent cx="15875" cy="1587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135255</wp:posOffset>
            </wp:positionV>
            <wp:extent cx="15875" cy="1587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135255</wp:posOffset>
            </wp:positionV>
            <wp:extent cx="15875" cy="1587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135255</wp:posOffset>
            </wp:positionV>
            <wp:extent cx="15875" cy="1587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135255</wp:posOffset>
            </wp:positionV>
            <wp:extent cx="15875" cy="1587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135255</wp:posOffset>
            </wp:positionV>
            <wp:extent cx="15875" cy="1587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135255</wp:posOffset>
            </wp:positionV>
            <wp:extent cx="15875" cy="1587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135255</wp:posOffset>
            </wp:positionV>
            <wp:extent cx="15875" cy="1587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135255</wp:posOffset>
            </wp:positionV>
            <wp:extent cx="15875" cy="1587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135255</wp:posOffset>
            </wp:positionV>
            <wp:extent cx="15875" cy="1587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135255</wp:posOffset>
            </wp:positionV>
            <wp:extent cx="15875" cy="1587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135255</wp:posOffset>
            </wp:positionV>
            <wp:extent cx="15875" cy="1587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135255</wp:posOffset>
            </wp:positionV>
            <wp:extent cx="15875" cy="1587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135255</wp:posOffset>
            </wp:positionV>
            <wp:extent cx="15875" cy="1587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135255</wp:posOffset>
            </wp:positionV>
            <wp:extent cx="15875" cy="1587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135255</wp:posOffset>
            </wp:positionV>
            <wp:extent cx="15875" cy="1587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135255</wp:posOffset>
            </wp:positionV>
            <wp:extent cx="15875" cy="1587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135255</wp:posOffset>
            </wp:positionV>
            <wp:extent cx="15875" cy="1587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135255</wp:posOffset>
            </wp:positionV>
            <wp:extent cx="15875" cy="1587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135255</wp:posOffset>
            </wp:positionV>
            <wp:extent cx="15875" cy="1587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5093970</wp:posOffset>
            </wp:positionH>
            <wp:positionV relativeFrom="paragraph">
              <wp:posOffset>135255</wp:posOffset>
            </wp:positionV>
            <wp:extent cx="15875" cy="1587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135255</wp:posOffset>
            </wp:positionV>
            <wp:extent cx="15875" cy="1587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135255</wp:posOffset>
            </wp:positionV>
            <wp:extent cx="15875" cy="1587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135255</wp:posOffset>
            </wp:positionV>
            <wp:extent cx="15875" cy="1587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135255</wp:posOffset>
            </wp:positionV>
            <wp:extent cx="15875" cy="1587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135255</wp:posOffset>
            </wp:positionV>
            <wp:extent cx="15875" cy="1587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135255</wp:posOffset>
            </wp:positionV>
            <wp:extent cx="15875" cy="1587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135255</wp:posOffset>
            </wp:positionV>
            <wp:extent cx="15875" cy="1587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135255</wp:posOffset>
            </wp:positionV>
            <wp:extent cx="15875" cy="1587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135255</wp:posOffset>
            </wp:positionV>
            <wp:extent cx="15875" cy="1587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5409565</wp:posOffset>
            </wp:positionH>
            <wp:positionV relativeFrom="paragraph">
              <wp:posOffset>135255</wp:posOffset>
            </wp:positionV>
            <wp:extent cx="15875" cy="1587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5441315</wp:posOffset>
            </wp:positionH>
            <wp:positionV relativeFrom="paragraph">
              <wp:posOffset>135255</wp:posOffset>
            </wp:positionV>
            <wp:extent cx="15875" cy="1587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135255</wp:posOffset>
            </wp:positionV>
            <wp:extent cx="15875" cy="1587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135255</wp:posOffset>
            </wp:positionV>
            <wp:extent cx="15875" cy="1587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135255</wp:posOffset>
            </wp:positionV>
            <wp:extent cx="15875" cy="1587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135255</wp:posOffset>
            </wp:positionV>
            <wp:extent cx="15875" cy="1587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135255</wp:posOffset>
            </wp:positionV>
            <wp:extent cx="15875" cy="1587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135255</wp:posOffset>
            </wp:positionV>
            <wp:extent cx="15875" cy="1587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5662295</wp:posOffset>
            </wp:positionH>
            <wp:positionV relativeFrom="paragraph">
              <wp:posOffset>135255</wp:posOffset>
            </wp:positionV>
            <wp:extent cx="15875" cy="1587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5693410</wp:posOffset>
            </wp:positionH>
            <wp:positionV relativeFrom="paragraph">
              <wp:posOffset>135255</wp:posOffset>
            </wp:positionV>
            <wp:extent cx="15875" cy="1587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135255</wp:posOffset>
            </wp:positionV>
            <wp:extent cx="15875" cy="1587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135255</wp:posOffset>
            </wp:positionV>
            <wp:extent cx="15875" cy="1587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135255</wp:posOffset>
            </wp:positionV>
            <wp:extent cx="15875" cy="1587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135255</wp:posOffset>
            </wp:positionV>
            <wp:extent cx="15875" cy="1587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135255</wp:posOffset>
            </wp:positionV>
            <wp:extent cx="15875" cy="1587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135255</wp:posOffset>
            </wp:positionV>
            <wp:extent cx="15875" cy="1587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135255</wp:posOffset>
            </wp:positionV>
            <wp:extent cx="15875" cy="1587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135255</wp:posOffset>
            </wp:positionV>
            <wp:extent cx="15875" cy="1587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135255</wp:posOffset>
            </wp:positionV>
            <wp:extent cx="15875" cy="1587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135255</wp:posOffset>
            </wp:positionV>
            <wp:extent cx="15875" cy="1587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135255</wp:posOffset>
            </wp:positionV>
            <wp:extent cx="15875" cy="1587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135255</wp:posOffset>
            </wp:positionV>
            <wp:extent cx="15875" cy="1587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135255</wp:posOffset>
            </wp:positionV>
            <wp:extent cx="15875" cy="1587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135255</wp:posOffset>
            </wp:positionV>
            <wp:extent cx="15875" cy="1587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6167120</wp:posOffset>
            </wp:positionH>
            <wp:positionV relativeFrom="paragraph">
              <wp:posOffset>135255</wp:posOffset>
            </wp:positionV>
            <wp:extent cx="15875" cy="1587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135255</wp:posOffset>
            </wp:positionV>
            <wp:extent cx="15875" cy="1587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135255</wp:posOffset>
            </wp:positionV>
            <wp:extent cx="15875" cy="1587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135255</wp:posOffset>
            </wp:positionV>
            <wp:extent cx="15875" cy="1587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135255</wp:posOffset>
            </wp:positionV>
            <wp:extent cx="15875" cy="1587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135255</wp:posOffset>
            </wp:positionV>
            <wp:extent cx="15875" cy="1587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135255</wp:posOffset>
            </wp:positionV>
            <wp:extent cx="15875" cy="1587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6388100</wp:posOffset>
            </wp:positionH>
            <wp:positionV relativeFrom="paragraph">
              <wp:posOffset>135255</wp:posOffset>
            </wp:positionV>
            <wp:extent cx="15875" cy="1587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135255</wp:posOffset>
            </wp:positionV>
            <wp:extent cx="15875" cy="1587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135255</wp:posOffset>
            </wp:positionV>
            <wp:extent cx="15875" cy="1587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135255</wp:posOffset>
            </wp:positionV>
            <wp:extent cx="15875" cy="1587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135255</wp:posOffset>
            </wp:positionV>
            <wp:extent cx="15875" cy="1587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135255</wp:posOffset>
            </wp:positionV>
            <wp:extent cx="15875" cy="1587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6577330</wp:posOffset>
            </wp:positionH>
            <wp:positionV relativeFrom="paragraph">
              <wp:posOffset>135255</wp:posOffset>
            </wp:positionV>
            <wp:extent cx="15875" cy="1587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135255</wp:posOffset>
            </wp:positionV>
            <wp:extent cx="15875" cy="1587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135255</wp:posOffset>
            </wp:positionV>
            <wp:extent cx="15875" cy="1587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6672580</wp:posOffset>
            </wp:positionH>
            <wp:positionV relativeFrom="paragraph">
              <wp:posOffset>135255</wp:posOffset>
            </wp:positionV>
            <wp:extent cx="15875" cy="1587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135255</wp:posOffset>
            </wp:positionV>
            <wp:extent cx="15875" cy="1587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135255</wp:posOffset>
            </wp:positionV>
            <wp:extent cx="15875" cy="1587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6767195</wp:posOffset>
            </wp:positionH>
            <wp:positionV relativeFrom="paragraph">
              <wp:posOffset>135255</wp:posOffset>
            </wp:positionV>
            <wp:extent cx="15875" cy="1587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6798945</wp:posOffset>
            </wp:positionH>
            <wp:positionV relativeFrom="paragraph">
              <wp:posOffset>135255</wp:posOffset>
            </wp:positionV>
            <wp:extent cx="15875" cy="1587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6830060</wp:posOffset>
            </wp:positionH>
            <wp:positionV relativeFrom="paragraph">
              <wp:posOffset>135255</wp:posOffset>
            </wp:positionV>
            <wp:extent cx="15875" cy="1587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135255</wp:posOffset>
            </wp:positionV>
            <wp:extent cx="15875" cy="1587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6893560</wp:posOffset>
            </wp:positionH>
            <wp:positionV relativeFrom="paragraph">
              <wp:posOffset>135255</wp:posOffset>
            </wp:positionV>
            <wp:extent cx="15875" cy="1587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6924675</wp:posOffset>
            </wp:positionH>
            <wp:positionV relativeFrom="paragraph">
              <wp:posOffset>135255</wp:posOffset>
            </wp:positionV>
            <wp:extent cx="15875" cy="1587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6956425</wp:posOffset>
            </wp:positionH>
            <wp:positionV relativeFrom="paragraph">
              <wp:posOffset>135255</wp:posOffset>
            </wp:positionV>
            <wp:extent cx="15875" cy="1587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135255</wp:posOffset>
            </wp:positionV>
            <wp:extent cx="15875" cy="1587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135255</wp:posOffset>
            </wp:positionV>
            <wp:extent cx="15875" cy="1587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7051040</wp:posOffset>
            </wp:positionH>
            <wp:positionV relativeFrom="paragraph">
              <wp:posOffset>135255</wp:posOffset>
            </wp:positionV>
            <wp:extent cx="15875" cy="1587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7082790</wp:posOffset>
            </wp:positionH>
            <wp:positionV relativeFrom="paragraph">
              <wp:posOffset>135255</wp:posOffset>
            </wp:positionV>
            <wp:extent cx="15875" cy="1587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135255</wp:posOffset>
            </wp:positionV>
            <wp:extent cx="15875" cy="1587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135255</wp:posOffset>
            </wp:positionV>
            <wp:extent cx="15875" cy="1587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135255</wp:posOffset>
            </wp:positionV>
            <wp:extent cx="15875" cy="1587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135255</wp:posOffset>
            </wp:positionV>
            <wp:extent cx="15875" cy="1587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135255</wp:posOffset>
            </wp:positionV>
            <wp:extent cx="15875" cy="1587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135255</wp:posOffset>
            </wp:positionV>
            <wp:extent cx="15875" cy="1587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135255</wp:posOffset>
            </wp:positionV>
            <wp:extent cx="15875" cy="1587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135255</wp:posOffset>
            </wp:positionV>
            <wp:extent cx="15875" cy="1587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135255</wp:posOffset>
            </wp:positionV>
            <wp:extent cx="15875" cy="1587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135255</wp:posOffset>
            </wp:positionV>
            <wp:extent cx="15875" cy="1587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135255</wp:posOffset>
            </wp:positionV>
            <wp:extent cx="15875" cy="1587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135255</wp:posOffset>
            </wp:positionV>
            <wp:extent cx="15875" cy="1587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135255</wp:posOffset>
            </wp:positionV>
            <wp:extent cx="15875" cy="1587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135255</wp:posOffset>
            </wp:positionV>
            <wp:extent cx="15875" cy="1587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135255</wp:posOffset>
            </wp:positionV>
            <wp:extent cx="15875" cy="1587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135255</wp:posOffset>
            </wp:positionV>
            <wp:extent cx="15875" cy="1587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135255</wp:posOffset>
            </wp:positionV>
            <wp:extent cx="15875" cy="1587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135255</wp:posOffset>
            </wp:positionV>
            <wp:extent cx="15875" cy="1587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135255</wp:posOffset>
            </wp:positionV>
            <wp:extent cx="15875" cy="1587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135255</wp:posOffset>
            </wp:positionV>
            <wp:extent cx="15875" cy="1587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135255</wp:posOffset>
            </wp:positionV>
            <wp:extent cx="15875" cy="1587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135255</wp:posOffset>
            </wp:positionV>
            <wp:extent cx="15875" cy="1587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135255</wp:posOffset>
            </wp:positionV>
            <wp:extent cx="15875" cy="1587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135255</wp:posOffset>
            </wp:positionV>
            <wp:extent cx="15875" cy="1587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135255</wp:posOffset>
            </wp:positionV>
            <wp:extent cx="15875" cy="1587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135255</wp:posOffset>
            </wp:positionV>
            <wp:extent cx="15875" cy="1587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135255</wp:posOffset>
            </wp:positionV>
            <wp:extent cx="15875" cy="1587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135255</wp:posOffset>
            </wp:positionV>
            <wp:extent cx="15875" cy="1587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135255</wp:posOffset>
            </wp:positionV>
            <wp:extent cx="15875" cy="1587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135255</wp:posOffset>
            </wp:positionV>
            <wp:extent cx="15875" cy="1587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135255</wp:posOffset>
            </wp:positionV>
            <wp:extent cx="15875" cy="1587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135255</wp:posOffset>
            </wp:positionV>
            <wp:extent cx="62865" cy="1587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ectPr>
          <w:pgSz w:w="11900" w:h="16838" w:orient="portrait"/>
          <w:cols w:equalWidth="0" w:num="1">
            <w:col w:w="11220"/>
          </w:cols>
          <w:pgMar w:left="340" w:top="132" w:right="339" w:bottom="1440" w:gutter="0" w:footer="0" w:header="0"/>
        </w:sectPr>
      </w:pPr>
    </w:p>
    <w:p>
      <w:pPr>
        <w:spacing w:after="0" w:line="290" w:lineRule="exact"/>
        <w:rPr>
          <w:sz w:val="20"/>
          <w:szCs w:val="20"/>
          <w:color w:val="auto"/>
        </w:rPr>
      </w:pPr>
    </w:p>
    <w:p>
      <w:pPr>
        <w:ind w:left="3280"/>
        <w:spacing w:after="0"/>
        <w:rPr>
          <w:sz w:val="20"/>
          <w:szCs w:val="20"/>
          <w:color w:val="auto"/>
        </w:rPr>
      </w:pPr>
      <w:r>
        <w:rPr>
          <w:rFonts w:ascii="Arial" w:cs="Arial" w:eastAsia="Arial" w:hAnsi="Arial"/>
          <w:sz w:val="23"/>
          <w:szCs w:val="23"/>
          <w:b w:val="1"/>
          <w:bCs w:val="1"/>
          <w:color w:val="EF3B35"/>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225425</wp:posOffset>
            </wp:positionV>
            <wp:extent cx="15875" cy="1587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225425</wp:posOffset>
            </wp:positionV>
            <wp:extent cx="15875" cy="1587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225425</wp:posOffset>
            </wp:positionV>
            <wp:extent cx="15875" cy="1587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225425</wp:posOffset>
            </wp:positionV>
            <wp:extent cx="15875" cy="1587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225425</wp:posOffset>
            </wp:positionV>
            <wp:extent cx="15875" cy="1587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225425</wp:posOffset>
            </wp:positionV>
            <wp:extent cx="15875" cy="1587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225425</wp:posOffset>
            </wp:positionV>
            <wp:extent cx="15875" cy="1587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225425</wp:posOffset>
            </wp:positionV>
            <wp:extent cx="15875" cy="1587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225425</wp:posOffset>
            </wp:positionV>
            <wp:extent cx="15875" cy="1587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225425</wp:posOffset>
            </wp:positionV>
            <wp:extent cx="15875" cy="1587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225425</wp:posOffset>
            </wp:positionV>
            <wp:extent cx="15875" cy="1587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225425</wp:posOffset>
            </wp:positionV>
            <wp:extent cx="15875" cy="1587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225425</wp:posOffset>
            </wp:positionV>
            <wp:extent cx="15875" cy="1587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225425</wp:posOffset>
            </wp:positionV>
            <wp:extent cx="15875" cy="1587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225425</wp:posOffset>
            </wp:positionV>
            <wp:extent cx="15875" cy="1587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225425</wp:posOffset>
            </wp:positionV>
            <wp:extent cx="15875" cy="1587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225425</wp:posOffset>
            </wp:positionV>
            <wp:extent cx="15875" cy="1587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225425</wp:posOffset>
            </wp:positionV>
            <wp:extent cx="15875" cy="1587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225425</wp:posOffset>
            </wp:positionV>
            <wp:extent cx="15875" cy="1587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225425</wp:posOffset>
            </wp:positionV>
            <wp:extent cx="15875" cy="1587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225425</wp:posOffset>
            </wp:positionV>
            <wp:extent cx="15875" cy="1587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225425</wp:posOffset>
            </wp:positionV>
            <wp:extent cx="15875" cy="1587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225425</wp:posOffset>
            </wp:positionV>
            <wp:extent cx="15875" cy="1587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225425</wp:posOffset>
            </wp:positionV>
            <wp:extent cx="15875" cy="1587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225425</wp:posOffset>
            </wp:positionV>
            <wp:extent cx="15875" cy="1587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225425</wp:posOffset>
            </wp:positionV>
            <wp:extent cx="15875" cy="1587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225425</wp:posOffset>
            </wp:positionV>
            <wp:extent cx="15875" cy="1587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225425</wp:posOffset>
            </wp:positionV>
            <wp:extent cx="15875" cy="1587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Arial" w:cs="Arial" w:eastAsia="Arial" w:hAnsi="Arial"/>
          <w:sz w:val="23"/>
          <w:szCs w:val="23"/>
          <w:b w:val="1"/>
          <w:bCs w:val="1"/>
          <w:color w:val="EF3B35"/>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351790</wp:posOffset>
            </wp:positionV>
            <wp:extent cx="15875" cy="1587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351790</wp:posOffset>
            </wp:positionV>
            <wp:extent cx="15875" cy="1587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351790</wp:posOffset>
            </wp:positionV>
            <wp:extent cx="15875" cy="1587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351790</wp:posOffset>
            </wp:positionV>
            <wp:extent cx="15875" cy="1587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351790</wp:posOffset>
            </wp:positionV>
            <wp:extent cx="15875" cy="1587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351790</wp:posOffset>
            </wp:positionV>
            <wp:extent cx="15875" cy="1587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351790</wp:posOffset>
            </wp:positionV>
            <wp:extent cx="15875" cy="1587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351790</wp:posOffset>
            </wp:positionV>
            <wp:extent cx="15875" cy="1587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351790</wp:posOffset>
            </wp:positionV>
            <wp:extent cx="15875" cy="1587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351790</wp:posOffset>
            </wp:positionV>
            <wp:extent cx="15875" cy="1587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351790</wp:posOffset>
            </wp:positionV>
            <wp:extent cx="15875" cy="1587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351790</wp:posOffset>
            </wp:positionV>
            <wp:extent cx="15875" cy="1587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351790</wp:posOffset>
            </wp:positionV>
            <wp:extent cx="15875" cy="1587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351790</wp:posOffset>
            </wp:positionV>
            <wp:extent cx="15875" cy="1587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351790</wp:posOffset>
            </wp:positionV>
            <wp:extent cx="15875" cy="1587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351790</wp:posOffset>
            </wp:positionV>
            <wp:extent cx="15875" cy="1587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351790</wp:posOffset>
            </wp:positionV>
            <wp:extent cx="15875" cy="1587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351790</wp:posOffset>
            </wp:positionV>
            <wp:extent cx="15875" cy="1587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351790</wp:posOffset>
            </wp:positionV>
            <wp:extent cx="15875" cy="1587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351790</wp:posOffset>
            </wp:positionV>
            <wp:extent cx="15875" cy="1587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351790</wp:posOffset>
            </wp:positionV>
            <wp:extent cx="15875" cy="1587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351790</wp:posOffset>
            </wp:positionV>
            <wp:extent cx="15875" cy="1587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351790</wp:posOffset>
            </wp:positionV>
            <wp:extent cx="15875" cy="1587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351790</wp:posOffset>
            </wp:positionV>
            <wp:extent cx="15875" cy="1587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351790</wp:posOffset>
            </wp:positionV>
            <wp:extent cx="15875" cy="1587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351790</wp:posOffset>
            </wp:positionV>
            <wp:extent cx="15875" cy="1587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351790</wp:posOffset>
            </wp:positionV>
            <wp:extent cx="15875" cy="1587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351790</wp:posOffset>
            </wp:positionV>
            <wp:extent cx="15875" cy="1587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Arial" w:cs="Arial" w:eastAsia="Arial" w:hAnsi="Arial"/>
          <w:sz w:val="23"/>
          <w:szCs w:val="23"/>
          <w:b w:val="1"/>
          <w:bCs w:val="1"/>
          <w:color w:val="EF3B35"/>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225425</wp:posOffset>
            </wp:positionV>
            <wp:extent cx="15875" cy="1587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225425</wp:posOffset>
            </wp:positionV>
            <wp:extent cx="15875" cy="1587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225425</wp:posOffset>
            </wp:positionV>
            <wp:extent cx="15875" cy="1587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225425</wp:posOffset>
            </wp:positionV>
            <wp:extent cx="15875" cy="1587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225425</wp:posOffset>
            </wp:positionV>
            <wp:extent cx="15875" cy="1587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225425</wp:posOffset>
            </wp:positionV>
            <wp:extent cx="15875" cy="1587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225425</wp:posOffset>
            </wp:positionV>
            <wp:extent cx="15875" cy="1587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225425</wp:posOffset>
            </wp:positionV>
            <wp:extent cx="15875" cy="1587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225425</wp:posOffset>
            </wp:positionV>
            <wp:extent cx="15875" cy="1587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225425</wp:posOffset>
            </wp:positionV>
            <wp:extent cx="15875" cy="1587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225425</wp:posOffset>
            </wp:positionV>
            <wp:extent cx="15875" cy="1587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225425</wp:posOffset>
            </wp:positionV>
            <wp:extent cx="15875" cy="1587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225425</wp:posOffset>
            </wp:positionV>
            <wp:extent cx="15875" cy="1587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225425</wp:posOffset>
            </wp:positionV>
            <wp:extent cx="15875" cy="1587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225425</wp:posOffset>
            </wp:positionV>
            <wp:extent cx="15875" cy="1587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225425</wp:posOffset>
            </wp:positionV>
            <wp:extent cx="15875" cy="1587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225425</wp:posOffset>
            </wp:positionV>
            <wp:extent cx="15875" cy="1587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225425</wp:posOffset>
            </wp:positionV>
            <wp:extent cx="15875" cy="1587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225425</wp:posOffset>
            </wp:positionV>
            <wp:extent cx="15875" cy="1587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225425</wp:posOffset>
            </wp:positionV>
            <wp:extent cx="15875" cy="1587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225425</wp:posOffset>
            </wp:positionV>
            <wp:extent cx="15875" cy="1587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225425</wp:posOffset>
            </wp:positionV>
            <wp:extent cx="15875" cy="1587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225425</wp:posOffset>
            </wp:positionV>
            <wp:extent cx="15875" cy="1587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225425</wp:posOffset>
            </wp:positionV>
            <wp:extent cx="15875" cy="1587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225425</wp:posOffset>
            </wp:positionV>
            <wp:extent cx="15875" cy="1587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225425</wp:posOffset>
            </wp:positionV>
            <wp:extent cx="15875" cy="1587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225425</wp:posOffset>
            </wp:positionV>
            <wp:extent cx="15875" cy="1587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225425</wp:posOffset>
            </wp:positionV>
            <wp:extent cx="15875" cy="1587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Arial" w:cs="Arial" w:eastAsia="Arial" w:hAnsi="Arial"/>
          <w:sz w:val="23"/>
          <w:szCs w:val="23"/>
          <w:b w:val="1"/>
          <w:bCs w:val="1"/>
          <w:color w:val="EF3B35"/>
        </w:rPr>
        <w:t>“FOR”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the approval, on a non-binding advisory basis, of the fiscal 2024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103505</wp:posOffset>
            </wp:positionV>
            <wp:extent cx="15875" cy="1587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103505</wp:posOffset>
            </wp:positionV>
            <wp:extent cx="15875" cy="1587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103505</wp:posOffset>
            </wp:positionV>
            <wp:extent cx="15875" cy="1587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103505</wp:posOffset>
            </wp:positionV>
            <wp:extent cx="15875" cy="1587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103505</wp:posOffset>
            </wp:positionV>
            <wp:extent cx="15875" cy="1587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103505</wp:posOffset>
            </wp:positionV>
            <wp:extent cx="15875" cy="1587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103505</wp:posOffset>
            </wp:positionV>
            <wp:extent cx="15875" cy="1587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103505</wp:posOffset>
            </wp:positionV>
            <wp:extent cx="15875" cy="1587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103505</wp:posOffset>
            </wp:positionV>
            <wp:extent cx="15875" cy="1587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103505</wp:posOffset>
            </wp:positionV>
            <wp:extent cx="15875" cy="1587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103505</wp:posOffset>
            </wp:positionV>
            <wp:extent cx="15875" cy="1587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103505</wp:posOffset>
            </wp:positionV>
            <wp:extent cx="15875" cy="1587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103505</wp:posOffset>
            </wp:positionV>
            <wp:extent cx="15875" cy="1587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103505</wp:posOffset>
            </wp:positionV>
            <wp:extent cx="15875" cy="1587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103505</wp:posOffset>
            </wp:positionV>
            <wp:extent cx="15875" cy="1587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103505</wp:posOffset>
            </wp:positionV>
            <wp:extent cx="15875" cy="1587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103505</wp:posOffset>
            </wp:positionV>
            <wp:extent cx="15875" cy="1587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103505</wp:posOffset>
            </wp:positionV>
            <wp:extent cx="15875" cy="1587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103505</wp:posOffset>
            </wp:positionV>
            <wp:extent cx="15875" cy="1587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103505</wp:posOffset>
            </wp:positionV>
            <wp:extent cx="15875" cy="1587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103505</wp:posOffset>
            </wp:positionV>
            <wp:extent cx="15875" cy="1587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103505</wp:posOffset>
            </wp:positionV>
            <wp:extent cx="15875" cy="1587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103505</wp:posOffset>
            </wp:positionV>
            <wp:extent cx="15875" cy="1587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103505</wp:posOffset>
            </wp:positionV>
            <wp:extent cx="15875" cy="1587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103505</wp:posOffset>
            </wp:positionV>
            <wp:extent cx="15875" cy="1587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103505</wp:posOffset>
            </wp:positionV>
            <wp:extent cx="15875" cy="1587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103505</wp:posOffset>
            </wp:positionV>
            <wp:extent cx="15875" cy="1587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103505</wp:posOffset>
            </wp:positionV>
            <wp:extent cx="15875" cy="1587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103505</wp:posOffset>
            </wp:positionV>
            <wp:extent cx="15875" cy="1587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103505</wp:posOffset>
            </wp:positionV>
            <wp:extent cx="15875" cy="1587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103505</wp:posOffset>
            </wp:positionV>
            <wp:extent cx="15875" cy="1587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103505</wp:posOffset>
            </wp:positionV>
            <wp:extent cx="15875" cy="1587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103505</wp:posOffset>
            </wp:positionV>
            <wp:extent cx="15875" cy="1587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103505</wp:posOffset>
            </wp:positionV>
            <wp:extent cx="15875" cy="1587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103505</wp:posOffset>
            </wp:positionV>
            <wp:extent cx="15875" cy="1587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103505</wp:posOffset>
            </wp:positionV>
            <wp:extent cx="15875" cy="1587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103505</wp:posOffset>
            </wp:positionV>
            <wp:extent cx="15875" cy="1587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103505</wp:posOffset>
            </wp:positionV>
            <wp:extent cx="15875" cy="1587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103505</wp:posOffset>
            </wp:positionV>
            <wp:extent cx="15875" cy="1587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103505</wp:posOffset>
            </wp:positionV>
            <wp:extent cx="15875" cy="1587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103505</wp:posOffset>
            </wp:positionV>
            <wp:extent cx="15875" cy="1587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1327150</wp:posOffset>
            </wp:positionH>
            <wp:positionV relativeFrom="paragraph">
              <wp:posOffset>103505</wp:posOffset>
            </wp:positionV>
            <wp:extent cx="15875" cy="1587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103505</wp:posOffset>
            </wp:positionV>
            <wp:extent cx="15875" cy="1587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103505</wp:posOffset>
            </wp:positionV>
            <wp:extent cx="15875" cy="1587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103505</wp:posOffset>
            </wp:positionV>
            <wp:extent cx="15875" cy="1587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103505</wp:posOffset>
            </wp:positionV>
            <wp:extent cx="15875" cy="1587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103505</wp:posOffset>
            </wp:positionV>
            <wp:extent cx="15875" cy="1587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103505</wp:posOffset>
            </wp:positionV>
            <wp:extent cx="15875" cy="1587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103505</wp:posOffset>
            </wp:positionV>
            <wp:extent cx="15875" cy="1587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103505</wp:posOffset>
            </wp:positionV>
            <wp:extent cx="15875" cy="1587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103505</wp:posOffset>
            </wp:positionV>
            <wp:extent cx="15875" cy="1587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103505</wp:posOffset>
            </wp:positionV>
            <wp:extent cx="15875" cy="1587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103505</wp:posOffset>
            </wp:positionV>
            <wp:extent cx="15875" cy="1587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103505</wp:posOffset>
            </wp:positionV>
            <wp:extent cx="15875" cy="1587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103505</wp:posOffset>
            </wp:positionV>
            <wp:extent cx="15875" cy="1587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103505</wp:posOffset>
            </wp:positionV>
            <wp:extent cx="15875" cy="1587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103505</wp:posOffset>
            </wp:positionV>
            <wp:extent cx="15875" cy="1587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103505</wp:posOffset>
            </wp:positionV>
            <wp:extent cx="15875" cy="1587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103505</wp:posOffset>
            </wp:positionV>
            <wp:extent cx="15875" cy="1587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103505</wp:posOffset>
            </wp:positionV>
            <wp:extent cx="15875" cy="1587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103505</wp:posOffset>
            </wp:positionV>
            <wp:extent cx="15875" cy="1587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103505</wp:posOffset>
            </wp:positionV>
            <wp:extent cx="15875" cy="1587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103505</wp:posOffset>
            </wp:positionV>
            <wp:extent cx="15875" cy="1587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103505</wp:posOffset>
            </wp:positionV>
            <wp:extent cx="15875" cy="1587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103505</wp:posOffset>
            </wp:positionV>
            <wp:extent cx="15875" cy="1587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103505</wp:posOffset>
            </wp:positionV>
            <wp:extent cx="15875" cy="1587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103505</wp:posOffset>
            </wp:positionV>
            <wp:extent cx="15875" cy="1587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103505</wp:posOffset>
            </wp:positionV>
            <wp:extent cx="15875" cy="1587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103505</wp:posOffset>
            </wp:positionV>
            <wp:extent cx="15875" cy="1587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103505</wp:posOffset>
            </wp:positionV>
            <wp:extent cx="15875" cy="1587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103505</wp:posOffset>
            </wp:positionV>
            <wp:extent cx="15875" cy="1587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103505</wp:posOffset>
            </wp:positionV>
            <wp:extent cx="15875" cy="1587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103505</wp:posOffset>
            </wp:positionV>
            <wp:extent cx="15875" cy="1587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103505</wp:posOffset>
            </wp:positionV>
            <wp:extent cx="15875" cy="1587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103505</wp:posOffset>
            </wp:positionV>
            <wp:extent cx="15875" cy="1587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103505</wp:posOffset>
            </wp:positionV>
            <wp:extent cx="15875" cy="1587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103505</wp:posOffset>
            </wp:positionV>
            <wp:extent cx="15875" cy="1587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103505</wp:posOffset>
            </wp:positionV>
            <wp:extent cx="15875" cy="1587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103505</wp:posOffset>
            </wp:positionV>
            <wp:extent cx="15875" cy="1587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103505</wp:posOffset>
            </wp:positionV>
            <wp:extent cx="15875" cy="1587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103505</wp:posOffset>
            </wp:positionV>
            <wp:extent cx="15875" cy="1587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103505</wp:posOffset>
            </wp:positionV>
            <wp:extent cx="15875" cy="1587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103505</wp:posOffset>
            </wp:positionV>
            <wp:extent cx="15875" cy="1587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103505</wp:posOffset>
            </wp:positionV>
            <wp:extent cx="15875" cy="1587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103505</wp:posOffset>
            </wp:positionV>
            <wp:extent cx="15875" cy="1587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103505</wp:posOffset>
            </wp:positionV>
            <wp:extent cx="15875" cy="1587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103505</wp:posOffset>
            </wp:positionV>
            <wp:extent cx="15875" cy="1587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103505</wp:posOffset>
            </wp:positionV>
            <wp:extent cx="15875" cy="1587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103505</wp:posOffset>
            </wp:positionV>
            <wp:extent cx="15875" cy="1587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103505</wp:posOffset>
            </wp:positionV>
            <wp:extent cx="15875" cy="1587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103505</wp:posOffset>
            </wp:positionV>
            <wp:extent cx="15875" cy="1587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103505</wp:posOffset>
            </wp:positionV>
            <wp:extent cx="15875" cy="1587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103505</wp:posOffset>
            </wp:positionV>
            <wp:extent cx="15875" cy="1587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103505</wp:posOffset>
            </wp:positionV>
            <wp:extent cx="15875" cy="1587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103505</wp:posOffset>
            </wp:positionV>
            <wp:extent cx="15875" cy="1587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103505</wp:posOffset>
            </wp:positionV>
            <wp:extent cx="15875" cy="1587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103505</wp:posOffset>
            </wp:positionV>
            <wp:extent cx="15875" cy="1587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103505</wp:posOffset>
            </wp:positionV>
            <wp:extent cx="15875" cy="1587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103505</wp:posOffset>
            </wp:positionV>
            <wp:extent cx="15875" cy="1587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103505</wp:posOffset>
            </wp:positionV>
            <wp:extent cx="15875" cy="1587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103505</wp:posOffset>
            </wp:positionV>
            <wp:extent cx="15875" cy="1587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103505</wp:posOffset>
            </wp:positionV>
            <wp:extent cx="15875" cy="1587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103505</wp:posOffset>
            </wp:positionV>
            <wp:extent cx="15875" cy="1587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103505</wp:posOffset>
            </wp:positionV>
            <wp:extent cx="15875" cy="1587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103505</wp:posOffset>
            </wp:positionV>
            <wp:extent cx="15875" cy="1587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103505</wp:posOffset>
            </wp:positionV>
            <wp:extent cx="15875" cy="1587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3379470</wp:posOffset>
            </wp:positionH>
            <wp:positionV relativeFrom="paragraph">
              <wp:posOffset>103505</wp:posOffset>
            </wp:positionV>
            <wp:extent cx="15875" cy="1587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103505</wp:posOffset>
            </wp:positionV>
            <wp:extent cx="15875" cy="1587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103505</wp:posOffset>
            </wp:positionV>
            <wp:extent cx="15875" cy="1587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103505</wp:posOffset>
            </wp:positionV>
            <wp:extent cx="15875" cy="1587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103505</wp:posOffset>
            </wp:positionV>
            <wp:extent cx="15875" cy="1587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103505</wp:posOffset>
            </wp:positionV>
            <wp:extent cx="15875" cy="1587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103505</wp:posOffset>
            </wp:positionV>
            <wp:extent cx="15875" cy="1587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103505</wp:posOffset>
            </wp:positionV>
            <wp:extent cx="15875" cy="1587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103505</wp:posOffset>
            </wp:positionV>
            <wp:extent cx="15875" cy="1587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103505</wp:posOffset>
            </wp:positionV>
            <wp:extent cx="15875" cy="1587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103505</wp:posOffset>
            </wp:positionV>
            <wp:extent cx="15875" cy="1587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103505</wp:posOffset>
            </wp:positionV>
            <wp:extent cx="15875" cy="1587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103505</wp:posOffset>
            </wp:positionV>
            <wp:extent cx="15875" cy="1587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103505</wp:posOffset>
            </wp:positionV>
            <wp:extent cx="15875" cy="1587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103505</wp:posOffset>
            </wp:positionV>
            <wp:extent cx="15875" cy="1587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103505</wp:posOffset>
            </wp:positionV>
            <wp:extent cx="15875" cy="1587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103505</wp:posOffset>
            </wp:positionV>
            <wp:extent cx="15875" cy="1587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103505</wp:posOffset>
            </wp:positionV>
            <wp:extent cx="15875" cy="1587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103505</wp:posOffset>
            </wp:positionV>
            <wp:extent cx="15875" cy="1587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103505</wp:posOffset>
            </wp:positionV>
            <wp:extent cx="15875" cy="1587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4010660</wp:posOffset>
            </wp:positionH>
            <wp:positionV relativeFrom="paragraph">
              <wp:posOffset>103505</wp:posOffset>
            </wp:positionV>
            <wp:extent cx="15875" cy="1587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103505</wp:posOffset>
            </wp:positionV>
            <wp:extent cx="15875" cy="1587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103505</wp:posOffset>
            </wp:positionV>
            <wp:extent cx="15875" cy="1587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103505</wp:posOffset>
            </wp:positionV>
            <wp:extent cx="15875" cy="1587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103505</wp:posOffset>
            </wp:positionV>
            <wp:extent cx="15875" cy="1587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103505</wp:posOffset>
            </wp:positionV>
            <wp:extent cx="15875" cy="1587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103505</wp:posOffset>
            </wp:positionV>
            <wp:extent cx="15875" cy="1587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103505</wp:posOffset>
            </wp:positionV>
            <wp:extent cx="15875" cy="1587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103505</wp:posOffset>
            </wp:positionV>
            <wp:extent cx="15875" cy="1587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103505</wp:posOffset>
            </wp:positionV>
            <wp:extent cx="15875" cy="1587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103505</wp:posOffset>
            </wp:positionV>
            <wp:extent cx="15875" cy="1587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103505</wp:posOffset>
            </wp:positionV>
            <wp:extent cx="15875" cy="1587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103505</wp:posOffset>
            </wp:positionV>
            <wp:extent cx="62865" cy="1587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30" w:lineRule="exact"/>
        <w:rPr>
          <w:sz w:val="20"/>
          <w:szCs w:val="20"/>
          <w:color w:val="auto"/>
        </w:rPr>
      </w:pPr>
    </w:p>
    <w:p>
      <w:pPr>
        <w:ind w:right="220"/>
        <w:spacing w:after="0" w:line="293" w:lineRule="auto"/>
        <w:rPr>
          <w:sz w:val="20"/>
          <w:szCs w:val="20"/>
          <w:color w:val="auto"/>
        </w:rPr>
      </w:pPr>
      <w:r>
        <w:rPr>
          <w:rFonts w:ascii="Arial" w:cs="Arial" w:eastAsia="Arial" w:hAnsi="Arial"/>
          <w:sz w:val="15"/>
          <w:szCs w:val="15"/>
          <w:color w:val="auto"/>
        </w:rPr>
        <w:t>the approval of an amendment of the Certificate of Incorporation to remove the supermajority voting requirements for stockholders to amend the Bylaws and certain provisions of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111760</wp:posOffset>
            </wp:positionV>
            <wp:extent cx="15875" cy="1587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111760</wp:posOffset>
            </wp:positionV>
            <wp:extent cx="15875" cy="1587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111760</wp:posOffset>
            </wp:positionV>
            <wp:extent cx="15875" cy="1587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111760</wp:posOffset>
            </wp:positionV>
            <wp:extent cx="15875" cy="1587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111760</wp:posOffset>
            </wp:positionV>
            <wp:extent cx="15875" cy="1587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111760</wp:posOffset>
            </wp:positionV>
            <wp:extent cx="15875" cy="1587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111760</wp:posOffset>
            </wp:positionV>
            <wp:extent cx="15875" cy="1587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111760</wp:posOffset>
            </wp:positionV>
            <wp:extent cx="15875" cy="1587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111760</wp:posOffset>
            </wp:positionV>
            <wp:extent cx="15875" cy="1587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111760</wp:posOffset>
            </wp:positionV>
            <wp:extent cx="15875" cy="1587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111760</wp:posOffset>
            </wp:positionV>
            <wp:extent cx="15875" cy="1587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111760</wp:posOffset>
            </wp:positionV>
            <wp:extent cx="15875" cy="1587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111760</wp:posOffset>
            </wp:positionV>
            <wp:extent cx="15875" cy="1587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111760</wp:posOffset>
            </wp:positionV>
            <wp:extent cx="15875" cy="1587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111760</wp:posOffset>
            </wp:positionV>
            <wp:extent cx="15875" cy="1587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111760</wp:posOffset>
            </wp:positionV>
            <wp:extent cx="15875" cy="1587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111760</wp:posOffset>
            </wp:positionV>
            <wp:extent cx="15875" cy="1587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111760</wp:posOffset>
            </wp:positionV>
            <wp:extent cx="15875" cy="1587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111760</wp:posOffset>
            </wp:positionV>
            <wp:extent cx="15875" cy="1587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111760</wp:posOffset>
            </wp:positionV>
            <wp:extent cx="15875" cy="1587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111760</wp:posOffset>
            </wp:positionV>
            <wp:extent cx="15875" cy="1587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111760</wp:posOffset>
            </wp:positionV>
            <wp:extent cx="15875" cy="1587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111760</wp:posOffset>
            </wp:positionV>
            <wp:extent cx="15875" cy="1587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111760</wp:posOffset>
            </wp:positionV>
            <wp:extent cx="15875" cy="1587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111760</wp:posOffset>
            </wp:positionV>
            <wp:extent cx="15875" cy="1587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111760</wp:posOffset>
            </wp:positionV>
            <wp:extent cx="15875" cy="1587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111760</wp:posOffset>
            </wp:positionV>
            <wp:extent cx="15875" cy="1587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111760</wp:posOffset>
            </wp:positionV>
            <wp:extent cx="15875" cy="1587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111760</wp:posOffset>
            </wp:positionV>
            <wp:extent cx="15875" cy="1587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111760</wp:posOffset>
            </wp:positionV>
            <wp:extent cx="15875" cy="1587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111760</wp:posOffset>
            </wp:positionV>
            <wp:extent cx="15875" cy="1587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111760</wp:posOffset>
            </wp:positionV>
            <wp:extent cx="15875" cy="1587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111760</wp:posOffset>
            </wp:positionV>
            <wp:extent cx="15875" cy="1587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111760</wp:posOffset>
            </wp:positionV>
            <wp:extent cx="15875" cy="1587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111760</wp:posOffset>
            </wp:positionV>
            <wp:extent cx="15875" cy="1587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111760</wp:posOffset>
            </wp:positionV>
            <wp:extent cx="15875" cy="1587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111760</wp:posOffset>
            </wp:positionV>
            <wp:extent cx="15875" cy="1587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111760</wp:posOffset>
            </wp:positionV>
            <wp:extent cx="15875" cy="1587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111760</wp:posOffset>
            </wp:positionV>
            <wp:extent cx="15875" cy="1587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111760</wp:posOffset>
            </wp:positionV>
            <wp:extent cx="15875" cy="1587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111760</wp:posOffset>
            </wp:positionV>
            <wp:extent cx="15875" cy="1587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1327150</wp:posOffset>
            </wp:positionH>
            <wp:positionV relativeFrom="paragraph">
              <wp:posOffset>111760</wp:posOffset>
            </wp:positionV>
            <wp:extent cx="15875" cy="1587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111760</wp:posOffset>
            </wp:positionV>
            <wp:extent cx="15875" cy="1587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111760</wp:posOffset>
            </wp:positionV>
            <wp:extent cx="15875" cy="1587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111760</wp:posOffset>
            </wp:positionV>
            <wp:extent cx="15875" cy="1587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111760</wp:posOffset>
            </wp:positionV>
            <wp:extent cx="15875" cy="1587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111760</wp:posOffset>
            </wp:positionV>
            <wp:extent cx="15875" cy="1587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111760</wp:posOffset>
            </wp:positionV>
            <wp:extent cx="15875" cy="1587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111760</wp:posOffset>
            </wp:positionV>
            <wp:extent cx="15875" cy="1587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111760</wp:posOffset>
            </wp:positionV>
            <wp:extent cx="15875" cy="1587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111760</wp:posOffset>
            </wp:positionV>
            <wp:extent cx="15875" cy="1587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111760</wp:posOffset>
            </wp:positionV>
            <wp:extent cx="15875" cy="1587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111760</wp:posOffset>
            </wp:positionV>
            <wp:extent cx="15875" cy="1587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111760</wp:posOffset>
            </wp:positionV>
            <wp:extent cx="15875" cy="1587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111760</wp:posOffset>
            </wp:positionV>
            <wp:extent cx="15875" cy="1587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111760</wp:posOffset>
            </wp:positionV>
            <wp:extent cx="15875" cy="1587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111760</wp:posOffset>
            </wp:positionV>
            <wp:extent cx="15875" cy="1587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111760</wp:posOffset>
            </wp:positionV>
            <wp:extent cx="15875" cy="1587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111760</wp:posOffset>
            </wp:positionV>
            <wp:extent cx="15875" cy="1587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111760</wp:posOffset>
            </wp:positionV>
            <wp:extent cx="15875" cy="1587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111760</wp:posOffset>
            </wp:positionV>
            <wp:extent cx="15875" cy="1587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111760</wp:posOffset>
            </wp:positionV>
            <wp:extent cx="15875" cy="1587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111760</wp:posOffset>
            </wp:positionV>
            <wp:extent cx="15875" cy="1587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111760</wp:posOffset>
            </wp:positionV>
            <wp:extent cx="15875" cy="1587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111760</wp:posOffset>
            </wp:positionV>
            <wp:extent cx="15875" cy="1587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111760</wp:posOffset>
            </wp:positionV>
            <wp:extent cx="15875" cy="1587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111760</wp:posOffset>
            </wp:positionV>
            <wp:extent cx="15875" cy="1587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111760</wp:posOffset>
            </wp:positionV>
            <wp:extent cx="15875" cy="1587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111760</wp:posOffset>
            </wp:positionV>
            <wp:extent cx="15875" cy="1587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111760</wp:posOffset>
            </wp:positionV>
            <wp:extent cx="15875" cy="1587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111760</wp:posOffset>
            </wp:positionV>
            <wp:extent cx="15875" cy="1587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111760</wp:posOffset>
            </wp:positionV>
            <wp:extent cx="15875" cy="1587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111760</wp:posOffset>
            </wp:positionV>
            <wp:extent cx="15875" cy="1587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111760</wp:posOffset>
            </wp:positionV>
            <wp:extent cx="15875" cy="1587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111760</wp:posOffset>
            </wp:positionV>
            <wp:extent cx="15875" cy="1587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111760</wp:posOffset>
            </wp:positionV>
            <wp:extent cx="15875" cy="1587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111760</wp:posOffset>
            </wp:positionV>
            <wp:extent cx="15875" cy="1587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111760</wp:posOffset>
            </wp:positionV>
            <wp:extent cx="15875" cy="1587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111760</wp:posOffset>
            </wp:positionV>
            <wp:extent cx="15875" cy="1587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111760</wp:posOffset>
            </wp:positionV>
            <wp:extent cx="15875" cy="1587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111760</wp:posOffset>
            </wp:positionV>
            <wp:extent cx="15875" cy="1587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111760</wp:posOffset>
            </wp:positionV>
            <wp:extent cx="15875" cy="1587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111760</wp:posOffset>
            </wp:positionV>
            <wp:extent cx="15875" cy="1587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111760</wp:posOffset>
            </wp:positionV>
            <wp:extent cx="15875" cy="1587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111760</wp:posOffset>
            </wp:positionV>
            <wp:extent cx="15875" cy="1587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111760</wp:posOffset>
            </wp:positionV>
            <wp:extent cx="15875" cy="1587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111760</wp:posOffset>
            </wp:positionV>
            <wp:extent cx="15875" cy="1587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111760</wp:posOffset>
            </wp:positionV>
            <wp:extent cx="15875" cy="1587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111760</wp:posOffset>
            </wp:positionV>
            <wp:extent cx="15875" cy="1587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111760</wp:posOffset>
            </wp:positionV>
            <wp:extent cx="15875" cy="1587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111760</wp:posOffset>
            </wp:positionV>
            <wp:extent cx="15875" cy="1587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111760</wp:posOffset>
            </wp:positionV>
            <wp:extent cx="15875" cy="1587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111760</wp:posOffset>
            </wp:positionV>
            <wp:extent cx="15875" cy="1587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111760</wp:posOffset>
            </wp:positionV>
            <wp:extent cx="15875" cy="1587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111760</wp:posOffset>
            </wp:positionV>
            <wp:extent cx="15875" cy="1587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111760</wp:posOffset>
            </wp:positionV>
            <wp:extent cx="15875" cy="1587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111760</wp:posOffset>
            </wp:positionV>
            <wp:extent cx="15875" cy="1587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111760</wp:posOffset>
            </wp:positionV>
            <wp:extent cx="15875" cy="1587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111760</wp:posOffset>
            </wp:positionV>
            <wp:extent cx="15875" cy="1587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111760</wp:posOffset>
            </wp:positionV>
            <wp:extent cx="15875" cy="1587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111760</wp:posOffset>
            </wp:positionV>
            <wp:extent cx="15875" cy="1587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111760</wp:posOffset>
            </wp:positionV>
            <wp:extent cx="15875" cy="1587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111760</wp:posOffset>
            </wp:positionV>
            <wp:extent cx="15875" cy="1587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111760</wp:posOffset>
            </wp:positionV>
            <wp:extent cx="15875" cy="1587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111760</wp:posOffset>
            </wp:positionV>
            <wp:extent cx="15875" cy="1587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111760</wp:posOffset>
            </wp:positionV>
            <wp:extent cx="15875" cy="1587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3379470</wp:posOffset>
            </wp:positionH>
            <wp:positionV relativeFrom="paragraph">
              <wp:posOffset>111760</wp:posOffset>
            </wp:positionV>
            <wp:extent cx="15875" cy="1587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111760</wp:posOffset>
            </wp:positionV>
            <wp:extent cx="15875" cy="1587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111760</wp:posOffset>
            </wp:positionV>
            <wp:extent cx="15875" cy="1587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111760</wp:posOffset>
            </wp:positionV>
            <wp:extent cx="15875" cy="1587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111760</wp:posOffset>
            </wp:positionV>
            <wp:extent cx="15875" cy="1587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111760</wp:posOffset>
            </wp:positionV>
            <wp:extent cx="15875" cy="1587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111760</wp:posOffset>
            </wp:positionV>
            <wp:extent cx="15875" cy="1587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111760</wp:posOffset>
            </wp:positionV>
            <wp:extent cx="15875" cy="1587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111760</wp:posOffset>
            </wp:positionV>
            <wp:extent cx="15875" cy="1587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111760</wp:posOffset>
            </wp:positionV>
            <wp:extent cx="15875" cy="1587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111760</wp:posOffset>
            </wp:positionV>
            <wp:extent cx="15875" cy="1587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111760</wp:posOffset>
            </wp:positionV>
            <wp:extent cx="15875" cy="1587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111760</wp:posOffset>
            </wp:positionV>
            <wp:extent cx="15875" cy="1587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111760</wp:posOffset>
            </wp:positionV>
            <wp:extent cx="15875" cy="1587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111760</wp:posOffset>
            </wp:positionV>
            <wp:extent cx="15875" cy="1587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111760</wp:posOffset>
            </wp:positionV>
            <wp:extent cx="15875" cy="1587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111760</wp:posOffset>
            </wp:positionV>
            <wp:extent cx="15875" cy="1587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111760</wp:posOffset>
            </wp:positionV>
            <wp:extent cx="15875" cy="1587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111760</wp:posOffset>
            </wp:positionV>
            <wp:extent cx="15875" cy="1587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111760</wp:posOffset>
            </wp:positionV>
            <wp:extent cx="15875" cy="1587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4010660</wp:posOffset>
            </wp:positionH>
            <wp:positionV relativeFrom="paragraph">
              <wp:posOffset>111760</wp:posOffset>
            </wp:positionV>
            <wp:extent cx="15875" cy="1587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111760</wp:posOffset>
            </wp:positionV>
            <wp:extent cx="15875" cy="1587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111760</wp:posOffset>
            </wp:positionV>
            <wp:extent cx="15875" cy="1587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111760</wp:posOffset>
            </wp:positionV>
            <wp:extent cx="15875" cy="1587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111760</wp:posOffset>
            </wp:positionV>
            <wp:extent cx="15875" cy="1587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111760</wp:posOffset>
            </wp:positionV>
            <wp:extent cx="15875" cy="1587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111760</wp:posOffset>
            </wp:positionV>
            <wp:extent cx="15875" cy="1587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111760</wp:posOffset>
            </wp:positionV>
            <wp:extent cx="15875" cy="1587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111760</wp:posOffset>
            </wp:positionV>
            <wp:extent cx="15875" cy="1587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111760</wp:posOffset>
            </wp:positionV>
            <wp:extent cx="15875" cy="1587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111760</wp:posOffset>
            </wp:positionV>
            <wp:extent cx="15875" cy="1587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111760</wp:posOffset>
            </wp:positionV>
            <wp:extent cx="15875" cy="1587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111760</wp:posOffset>
            </wp:positionV>
            <wp:extent cx="62865" cy="1587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43"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the approval of an amendment of the Certificate of Incorporation to declassify the Board and phase-in annual director elections by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103505</wp:posOffset>
            </wp:positionV>
            <wp:extent cx="15875" cy="1587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103505</wp:posOffset>
            </wp:positionV>
            <wp:extent cx="15875" cy="1587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103505</wp:posOffset>
            </wp:positionV>
            <wp:extent cx="15875" cy="1587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103505</wp:posOffset>
            </wp:positionV>
            <wp:extent cx="15875" cy="1587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103505</wp:posOffset>
            </wp:positionV>
            <wp:extent cx="15875" cy="1587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103505</wp:posOffset>
            </wp:positionV>
            <wp:extent cx="15875" cy="1587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103505</wp:posOffset>
            </wp:positionV>
            <wp:extent cx="15875" cy="1587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103505</wp:posOffset>
            </wp:positionV>
            <wp:extent cx="15875" cy="1587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103505</wp:posOffset>
            </wp:positionV>
            <wp:extent cx="15875" cy="1587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103505</wp:posOffset>
            </wp:positionV>
            <wp:extent cx="15875" cy="1587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103505</wp:posOffset>
            </wp:positionV>
            <wp:extent cx="15875" cy="1587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103505</wp:posOffset>
            </wp:positionV>
            <wp:extent cx="15875" cy="1587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103505</wp:posOffset>
            </wp:positionV>
            <wp:extent cx="15875" cy="1587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103505</wp:posOffset>
            </wp:positionV>
            <wp:extent cx="15875" cy="1587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103505</wp:posOffset>
            </wp:positionV>
            <wp:extent cx="15875" cy="1587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103505</wp:posOffset>
            </wp:positionV>
            <wp:extent cx="15875" cy="1587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103505</wp:posOffset>
            </wp:positionV>
            <wp:extent cx="15875" cy="1587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103505</wp:posOffset>
            </wp:positionV>
            <wp:extent cx="15875" cy="1587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103505</wp:posOffset>
            </wp:positionV>
            <wp:extent cx="15875" cy="1587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103505</wp:posOffset>
            </wp:positionV>
            <wp:extent cx="15875" cy="1587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103505</wp:posOffset>
            </wp:positionV>
            <wp:extent cx="15875" cy="1587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103505</wp:posOffset>
            </wp:positionV>
            <wp:extent cx="15875" cy="1587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103505</wp:posOffset>
            </wp:positionV>
            <wp:extent cx="15875" cy="1587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103505</wp:posOffset>
            </wp:positionV>
            <wp:extent cx="15875" cy="1587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103505</wp:posOffset>
            </wp:positionV>
            <wp:extent cx="15875" cy="1587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103505</wp:posOffset>
            </wp:positionV>
            <wp:extent cx="15875" cy="1587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103505</wp:posOffset>
            </wp:positionV>
            <wp:extent cx="15875" cy="1587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103505</wp:posOffset>
            </wp:positionV>
            <wp:extent cx="15875" cy="1587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103505</wp:posOffset>
            </wp:positionV>
            <wp:extent cx="15875" cy="1587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103505</wp:posOffset>
            </wp:positionV>
            <wp:extent cx="15875" cy="1587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103505</wp:posOffset>
            </wp:positionV>
            <wp:extent cx="15875" cy="1587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103505</wp:posOffset>
            </wp:positionV>
            <wp:extent cx="15875" cy="1587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103505</wp:posOffset>
            </wp:positionV>
            <wp:extent cx="15875" cy="1587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103505</wp:posOffset>
            </wp:positionV>
            <wp:extent cx="15875" cy="1587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103505</wp:posOffset>
            </wp:positionV>
            <wp:extent cx="15875" cy="1587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103505</wp:posOffset>
            </wp:positionV>
            <wp:extent cx="15875" cy="1587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103505</wp:posOffset>
            </wp:positionV>
            <wp:extent cx="15875" cy="1587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103505</wp:posOffset>
            </wp:positionV>
            <wp:extent cx="15875" cy="1587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103505</wp:posOffset>
            </wp:positionV>
            <wp:extent cx="15875" cy="1587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103505</wp:posOffset>
            </wp:positionV>
            <wp:extent cx="15875" cy="1587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103505</wp:posOffset>
            </wp:positionV>
            <wp:extent cx="15875" cy="1587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1327150</wp:posOffset>
            </wp:positionH>
            <wp:positionV relativeFrom="paragraph">
              <wp:posOffset>103505</wp:posOffset>
            </wp:positionV>
            <wp:extent cx="15875" cy="1587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103505</wp:posOffset>
            </wp:positionV>
            <wp:extent cx="15875" cy="1587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103505</wp:posOffset>
            </wp:positionV>
            <wp:extent cx="15875" cy="1587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103505</wp:posOffset>
            </wp:positionV>
            <wp:extent cx="15875" cy="1587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103505</wp:posOffset>
            </wp:positionV>
            <wp:extent cx="15875" cy="1587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103505</wp:posOffset>
            </wp:positionV>
            <wp:extent cx="15875" cy="1587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103505</wp:posOffset>
            </wp:positionV>
            <wp:extent cx="15875" cy="1587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103505</wp:posOffset>
            </wp:positionV>
            <wp:extent cx="15875" cy="1587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103505</wp:posOffset>
            </wp:positionV>
            <wp:extent cx="15875" cy="1587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103505</wp:posOffset>
            </wp:positionV>
            <wp:extent cx="15875" cy="1587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103505</wp:posOffset>
            </wp:positionV>
            <wp:extent cx="15875" cy="1587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103505</wp:posOffset>
            </wp:positionV>
            <wp:extent cx="15875" cy="1587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103505</wp:posOffset>
            </wp:positionV>
            <wp:extent cx="15875" cy="1587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103505</wp:posOffset>
            </wp:positionV>
            <wp:extent cx="15875" cy="1587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103505</wp:posOffset>
            </wp:positionV>
            <wp:extent cx="15875" cy="1587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103505</wp:posOffset>
            </wp:positionV>
            <wp:extent cx="15875" cy="1587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103505</wp:posOffset>
            </wp:positionV>
            <wp:extent cx="15875" cy="1587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103505</wp:posOffset>
            </wp:positionV>
            <wp:extent cx="15875" cy="1587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103505</wp:posOffset>
            </wp:positionV>
            <wp:extent cx="15875" cy="1587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103505</wp:posOffset>
            </wp:positionV>
            <wp:extent cx="15875" cy="1587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103505</wp:posOffset>
            </wp:positionV>
            <wp:extent cx="15875" cy="1587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103505</wp:posOffset>
            </wp:positionV>
            <wp:extent cx="15875" cy="1587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103505</wp:posOffset>
            </wp:positionV>
            <wp:extent cx="15875" cy="1587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103505</wp:posOffset>
            </wp:positionV>
            <wp:extent cx="15875" cy="1587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103505</wp:posOffset>
            </wp:positionV>
            <wp:extent cx="15875" cy="1587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103505</wp:posOffset>
            </wp:positionV>
            <wp:extent cx="15875" cy="1587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103505</wp:posOffset>
            </wp:positionV>
            <wp:extent cx="15875" cy="1587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103505</wp:posOffset>
            </wp:positionV>
            <wp:extent cx="15875" cy="1587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103505</wp:posOffset>
            </wp:positionV>
            <wp:extent cx="15875" cy="1587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103505</wp:posOffset>
            </wp:positionV>
            <wp:extent cx="15875" cy="1587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103505</wp:posOffset>
            </wp:positionV>
            <wp:extent cx="15875" cy="1587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103505</wp:posOffset>
            </wp:positionV>
            <wp:extent cx="15875" cy="1587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103505</wp:posOffset>
            </wp:positionV>
            <wp:extent cx="15875" cy="1587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103505</wp:posOffset>
            </wp:positionV>
            <wp:extent cx="15875" cy="1587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103505</wp:posOffset>
            </wp:positionV>
            <wp:extent cx="15875" cy="1587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103505</wp:posOffset>
            </wp:positionV>
            <wp:extent cx="15875" cy="1587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103505</wp:posOffset>
            </wp:positionV>
            <wp:extent cx="15875" cy="1587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103505</wp:posOffset>
            </wp:positionV>
            <wp:extent cx="15875" cy="1587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103505</wp:posOffset>
            </wp:positionV>
            <wp:extent cx="15875" cy="1587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103505</wp:posOffset>
            </wp:positionV>
            <wp:extent cx="15875" cy="1587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103505</wp:posOffset>
            </wp:positionV>
            <wp:extent cx="15875" cy="1587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103505</wp:posOffset>
            </wp:positionV>
            <wp:extent cx="15875" cy="1587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103505</wp:posOffset>
            </wp:positionV>
            <wp:extent cx="15875" cy="1587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103505</wp:posOffset>
            </wp:positionV>
            <wp:extent cx="15875" cy="1587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103505</wp:posOffset>
            </wp:positionV>
            <wp:extent cx="15875" cy="1587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103505</wp:posOffset>
            </wp:positionV>
            <wp:extent cx="15875" cy="1587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103505</wp:posOffset>
            </wp:positionV>
            <wp:extent cx="15875" cy="1587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103505</wp:posOffset>
            </wp:positionV>
            <wp:extent cx="15875" cy="1587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103505</wp:posOffset>
            </wp:positionV>
            <wp:extent cx="15875" cy="1587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103505</wp:posOffset>
            </wp:positionV>
            <wp:extent cx="15875" cy="1587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103505</wp:posOffset>
            </wp:positionV>
            <wp:extent cx="15875" cy="1587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103505</wp:posOffset>
            </wp:positionV>
            <wp:extent cx="15875" cy="1587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103505</wp:posOffset>
            </wp:positionV>
            <wp:extent cx="15875" cy="1587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103505</wp:posOffset>
            </wp:positionV>
            <wp:extent cx="15875" cy="1587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103505</wp:posOffset>
            </wp:positionV>
            <wp:extent cx="15875" cy="1587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103505</wp:posOffset>
            </wp:positionV>
            <wp:extent cx="15875" cy="1587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103505</wp:posOffset>
            </wp:positionV>
            <wp:extent cx="15875" cy="1587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103505</wp:posOffset>
            </wp:positionV>
            <wp:extent cx="15875" cy="1587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103505</wp:posOffset>
            </wp:positionV>
            <wp:extent cx="15875" cy="1587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103505</wp:posOffset>
            </wp:positionV>
            <wp:extent cx="15875" cy="1587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103505</wp:posOffset>
            </wp:positionV>
            <wp:extent cx="15875" cy="1587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103505</wp:posOffset>
            </wp:positionV>
            <wp:extent cx="15875" cy="1587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103505</wp:posOffset>
            </wp:positionV>
            <wp:extent cx="15875" cy="1587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103505</wp:posOffset>
            </wp:positionV>
            <wp:extent cx="15875" cy="1587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103505</wp:posOffset>
            </wp:positionV>
            <wp:extent cx="15875" cy="1587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3379470</wp:posOffset>
            </wp:positionH>
            <wp:positionV relativeFrom="paragraph">
              <wp:posOffset>103505</wp:posOffset>
            </wp:positionV>
            <wp:extent cx="15875" cy="1587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103505</wp:posOffset>
            </wp:positionV>
            <wp:extent cx="15875" cy="1587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103505</wp:posOffset>
            </wp:positionV>
            <wp:extent cx="15875" cy="1587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103505</wp:posOffset>
            </wp:positionV>
            <wp:extent cx="15875" cy="1587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103505</wp:posOffset>
            </wp:positionV>
            <wp:extent cx="15875" cy="1587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103505</wp:posOffset>
            </wp:positionV>
            <wp:extent cx="15875" cy="1587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103505</wp:posOffset>
            </wp:positionV>
            <wp:extent cx="15875" cy="1587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103505</wp:posOffset>
            </wp:positionV>
            <wp:extent cx="15875" cy="1587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103505</wp:posOffset>
            </wp:positionV>
            <wp:extent cx="15875" cy="1587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103505</wp:posOffset>
            </wp:positionV>
            <wp:extent cx="15875" cy="1587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103505</wp:posOffset>
            </wp:positionV>
            <wp:extent cx="15875" cy="1587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103505</wp:posOffset>
            </wp:positionV>
            <wp:extent cx="15875" cy="1587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103505</wp:posOffset>
            </wp:positionV>
            <wp:extent cx="15875" cy="1587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103505</wp:posOffset>
            </wp:positionV>
            <wp:extent cx="15875" cy="1587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103505</wp:posOffset>
            </wp:positionV>
            <wp:extent cx="15875" cy="1587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103505</wp:posOffset>
            </wp:positionV>
            <wp:extent cx="15875" cy="1587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103505</wp:posOffset>
            </wp:positionV>
            <wp:extent cx="15875" cy="1587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103505</wp:posOffset>
            </wp:positionV>
            <wp:extent cx="15875" cy="1587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103505</wp:posOffset>
            </wp:positionV>
            <wp:extent cx="15875" cy="1587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103505</wp:posOffset>
            </wp:positionV>
            <wp:extent cx="15875" cy="1587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4010660</wp:posOffset>
            </wp:positionH>
            <wp:positionV relativeFrom="paragraph">
              <wp:posOffset>103505</wp:posOffset>
            </wp:positionV>
            <wp:extent cx="15875" cy="1587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103505</wp:posOffset>
            </wp:positionV>
            <wp:extent cx="15875" cy="1587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103505</wp:posOffset>
            </wp:positionV>
            <wp:extent cx="15875" cy="1587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103505</wp:posOffset>
            </wp:positionV>
            <wp:extent cx="15875" cy="1587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103505</wp:posOffset>
            </wp:positionV>
            <wp:extent cx="15875" cy="1587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103505</wp:posOffset>
            </wp:positionV>
            <wp:extent cx="15875" cy="1587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103505</wp:posOffset>
            </wp:positionV>
            <wp:extent cx="15875" cy="1587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103505</wp:posOffset>
            </wp:positionV>
            <wp:extent cx="15875" cy="1587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103505</wp:posOffset>
            </wp:positionV>
            <wp:extent cx="15875" cy="1587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103505</wp:posOffset>
            </wp:positionV>
            <wp:extent cx="15875" cy="1587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103505</wp:posOffset>
            </wp:positionV>
            <wp:extent cx="15875" cy="1587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103505</wp:posOffset>
            </wp:positionV>
            <wp:extent cx="15875" cy="1587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103505</wp:posOffset>
            </wp:positionV>
            <wp:extent cx="62865" cy="1587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30"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the approval of an amendment of the Certificate of Incorporation to limit the liability of certain officers of the Company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1132840</wp:posOffset>
            </wp:positionV>
            <wp:extent cx="7168515" cy="4127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837565</wp:posOffset>
            </wp:positionV>
            <wp:extent cx="789305" cy="18923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4000" w:space="440"/>
            <w:col w:w="6780"/>
          </w:cols>
          <w:pgMar w:left="340" w:top="13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3"/>
          <w:szCs w:val="13"/>
          <w:b w:val="1"/>
          <w:bCs w:val="1"/>
          <w:color w:val="007EC4"/>
        </w:rPr>
        <w:t xml:space="preserve">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7143115" cy="1587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 w:hanging="539"/>
        <w:spacing w:after="0" w:line="187" w:lineRule="auto"/>
        <w:tabs>
          <w:tab w:leader="none" w:pos="540" w:val="left"/>
        </w:tabs>
        <w:rPr>
          <w:sz w:val="20"/>
          <w:szCs w:val="20"/>
          <w:color w:val="auto"/>
        </w:rPr>
      </w:pPr>
      <w:r>
        <w:rPr>
          <w:rFonts w:ascii="Arial" w:cs="Arial" w:eastAsia="Arial" w:hAnsi="Arial"/>
          <w:sz w:val="28"/>
          <w:szCs w:val="28"/>
          <w:b w:val="1"/>
          <w:bCs w:val="1"/>
          <w:color w:val="EF3B35"/>
        </w:rPr>
        <w:t>Q:</w:t>
      </w:r>
      <w:r>
        <w:rPr>
          <w:sz w:val="20"/>
          <w:szCs w:val="20"/>
          <w:color w:val="auto"/>
        </w:rPr>
        <w:tab/>
      </w:r>
      <w:r>
        <w:rPr>
          <w:rFonts w:ascii="Arial" w:cs="Arial" w:eastAsia="Arial" w:hAnsi="Arial"/>
          <w:sz w:val="14"/>
          <w:szCs w:val="14"/>
          <w:b w:val="1"/>
          <w:bCs w:val="1"/>
          <w:color w:val="007EC4"/>
        </w:rPr>
        <w:t>WHO WILL COUNT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274955</wp:posOffset>
            </wp:positionV>
            <wp:extent cx="1815465" cy="1587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815465" cy="1587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560" w:right="240" w:hanging="539"/>
        <w:spacing w:after="0" w:line="219" w:lineRule="auto"/>
        <w:tabs>
          <w:tab w:leader="none" w:pos="540" w:val="left"/>
        </w:tabs>
        <w:rPr>
          <w:sz w:val="20"/>
          <w:szCs w:val="20"/>
          <w:color w:val="auto"/>
        </w:rPr>
      </w:pPr>
      <w:r>
        <w:rPr>
          <w:rFonts w:ascii="Arial" w:cs="Arial" w:eastAsia="Arial" w:hAnsi="Arial"/>
          <w:sz w:val="28"/>
          <w:szCs w:val="28"/>
          <w:b w:val="1"/>
          <w:bCs w:val="1"/>
          <w:color w:val="EF3B35"/>
        </w:rPr>
        <w:t>Q:</w:t>
      </w:r>
      <w:r>
        <w:rPr>
          <w:sz w:val="20"/>
          <w:szCs w:val="20"/>
          <w:color w:val="auto"/>
        </w:rPr>
        <w:tab/>
      </w:r>
      <w:r>
        <w:rPr>
          <w:rFonts w:ascii="Arial" w:cs="Arial" w:eastAsia="Arial" w:hAnsi="Arial"/>
          <w:sz w:val="14"/>
          <w:szCs w:val="14"/>
          <w:b w:val="1"/>
          <w:bCs w:val="1"/>
          <w:color w:val="007EC4"/>
        </w:rPr>
        <w:t>HOW DO I VOTE MY SHARES WITHOUT ATTENDING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representative of Broadridge Financial Solutions, our transfer agent, will tabulate the votes and act as inspector of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355600</wp:posOffset>
            </wp:positionV>
            <wp:extent cx="5327650" cy="1587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532765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If you are a stockholder of record as of the close of business on the Record Date, you may vote by authorizing a proxy to vote on your behalf at the Annual Meeting, by using one of the following methods:</w:t>
      </w:r>
    </w:p>
    <w:p>
      <w:pPr>
        <w:spacing w:after="0" w:line="325"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By Internet</w:t>
      </w:r>
    </w:p>
    <w:p>
      <w:pPr>
        <w:spacing w:after="0" w:line="28" w:lineRule="exact"/>
        <w:rPr>
          <w:sz w:val="20"/>
          <w:szCs w:val="20"/>
          <w:color w:val="auto"/>
        </w:rPr>
      </w:pPr>
    </w:p>
    <w:p>
      <w:pPr>
        <w:sectPr>
          <w:pgSz w:w="11900" w:h="16838" w:orient="portrait"/>
          <w:cols w:equalWidth="0" w:num="2">
            <w:col w:w="2240" w:space="660"/>
            <w:col w:w="8300"/>
          </w:cols>
          <w:pgMar w:left="320" w:top="157" w:right="379" w:bottom="1440" w:gutter="0" w:footer="0" w:header="0"/>
          <w:type w:val="continuous"/>
        </w:sectPr>
      </w:pPr>
    </w:p>
    <w:p>
      <w:pPr>
        <w:ind w:left="4580" w:right="300"/>
        <w:spacing w:after="0" w:line="250" w:lineRule="auto"/>
        <w:rPr>
          <w:sz w:val="20"/>
          <w:szCs w:val="20"/>
          <w:color w:val="auto"/>
        </w:rPr>
      </w:pPr>
      <w:r>
        <w:rPr>
          <w:rFonts w:ascii="Arial" w:cs="Arial" w:eastAsia="Arial" w:hAnsi="Arial"/>
          <w:sz w:val="15"/>
          <w:szCs w:val="15"/>
          <w:color w:val="auto"/>
        </w:rPr>
        <w:t>If you have Internet access, you may submit your proxy by going to www.proxyvote.com and by following the instructions on how to complete an electronic proxy card. You will need the 16-digit control number included on your proxy card in order to vote by Internet. You may also scan the QR code on your proxy card to vote. If you vote via the Internet, you do not need to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99060</wp:posOffset>
            </wp:positionV>
            <wp:extent cx="5311775" cy="1587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53117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-547370</wp:posOffset>
            </wp:positionV>
            <wp:extent cx="299720" cy="29972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398"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By Telephone</w:t>
      </w:r>
    </w:p>
    <w:p>
      <w:pPr>
        <w:spacing w:after="0" w:line="28" w:lineRule="exact"/>
        <w:rPr>
          <w:sz w:val="20"/>
          <w:szCs w:val="20"/>
          <w:color w:val="auto"/>
        </w:rPr>
      </w:pPr>
    </w:p>
    <w:p>
      <w:pPr>
        <w:ind w:left="4580"/>
        <w:spacing w:after="0" w:line="251" w:lineRule="auto"/>
        <w:rPr>
          <w:sz w:val="20"/>
          <w:szCs w:val="20"/>
          <w:color w:val="auto"/>
        </w:rPr>
      </w:pPr>
      <w:r>
        <w:rPr>
          <w:rFonts w:ascii="Arial" w:cs="Arial" w:eastAsia="Arial" w:hAnsi="Arial"/>
          <w:sz w:val="15"/>
          <w:szCs w:val="15"/>
          <w:color w:val="auto"/>
        </w:rPr>
        <w:t>You can vote your shares from a touch-tone telephone by calling the number provided on the voting website (www.proxyvote.com) and on the proxy card. The telephone voting procedures are designed to authenticate your identity and to allow you to vote your shares and confirm that your voting instructions have been properly recorded. You will need the 16-digit control number included on your proxy card in order to vote by telephone. If you vote via telephone, you do not need to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148590</wp:posOffset>
            </wp:positionV>
            <wp:extent cx="5311775" cy="1587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53117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-584835</wp:posOffset>
            </wp:positionV>
            <wp:extent cx="299720" cy="29972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By Mail</w:t>
      </w:r>
    </w:p>
    <w:p>
      <w:pPr>
        <w:spacing w:after="0" w:line="28" w:lineRule="exact"/>
        <w:rPr>
          <w:sz w:val="20"/>
          <w:szCs w:val="20"/>
          <w:color w:val="auto"/>
        </w:rPr>
      </w:pPr>
    </w:p>
    <w:p>
      <w:pPr>
        <w:ind w:left="4580" w:right="20"/>
        <w:spacing w:after="0" w:line="250" w:lineRule="auto"/>
        <w:rPr>
          <w:sz w:val="20"/>
          <w:szCs w:val="20"/>
          <w:color w:val="auto"/>
        </w:rPr>
      </w:pPr>
      <w:r>
        <w:rPr>
          <w:rFonts w:ascii="Arial" w:cs="Arial" w:eastAsia="Arial" w:hAnsi="Arial"/>
          <w:sz w:val="15"/>
          <w:szCs w:val="15"/>
          <w:color w:val="auto"/>
        </w:rPr>
        <w:t>You may vote by mail by marking your selections on the proxy card, signing and dating the enclosed proxy card where indicated and by mailing 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-531495</wp:posOffset>
            </wp:positionV>
            <wp:extent cx="299720" cy="29972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236" w:lineRule="exact"/>
        <w:rPr>
          <w:sz w:val="20"/>
          <w:szCs w:val="20"/>
          <w:color w:val="auto"/>
        </w:rPr>
      </w:pPr>
    </w:p>
    <w:p>
      <w:pPr>
        <w:ind w:left="2900"/>
        <w:spacing w:after="0" w:line="285" w:lineRule="auto"/>
        <w:rPr>
          <w:sz w:val="20"/>
          <w:szCs w:val="20"/>
          <w:color w:val="auto"/>
        </w:rPr>
      </w:pPr>
      <w:r>
        <w:rPr>
          <w:rFonts w:ascii="Arial" w:cs="Arial" w:eastAsia="Arial" w:hAnsi="Arial"/>
          <w:sz w:val="15"/>
          <w:szCs w:val="15"/>
          <w:color w:val="auto"/>
        </w:rPr>
        <w:t>Internet and telephone voting will close at 10:59 p.m. Central Time, on June 4, 2025, for the voting of shares held by stockholders of record as of the Record Date. All Proxy cards submitted by mail with respect to shares held of record must be received no later than June 4, 2025. 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1073150</wp:posOffset>
            </wp:positionV>
            <wp:extent cx="7168515" cy="4127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786130</wp:posOffset>
            </wp:positionV>
            <wp:extent cx="789305" cy="18923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type w:val="continuous"/>
        </w:sectPr>
      </w:pPr>
    </w:p>
    <w:bookmarkStart w:id="12" w:name="page13"/>
    <w:bookmarkEnd w:id="12"/>
    <w:p>
      <w:pPr>
        <w:ind w:left="706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873125</wp:posOffset>
            </wp:positionV>
            <wp:extent cx="7143115" cy="1587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680"/>
          </w:cols>
          <w:pgMar w:left="88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hanging="539"/>
        <w:spacing w:after="0" w:line="209" w:lineRule="auto"/>
        <w:rPr>
          <w:sz w:val="20"/>
          <w:szCs w:val="20"/>
          <w:color w:val="auto"/>
        </w:rPr>
      </w:pPr>
      <w:r>
        <w:rPr>
          <w:rFonts w:ascii="Arial" w:cs="Arial" w:eastAsia="Arial" w:hAnsi="Arial"/>
          <w:sz w:val="28"/>
          <w:szCs w:val="28"/>
          <w:b w:val="1"/>
          <w:bCs w:val="1"/>
          <w:color w:val="EF3B35"/>
        </w:rPr>
        <w:t>Q:</w:t>
      </w:r>
      <w:r>
        <w:rPr>
          <w:sz w:val="20"/>
          <w:szCs w:val="20"/>
          <w:color w:val="auto"/>
        </w:rPr>
        <w:t xml:space="preserve"> </w:t>
      </w:r>
      <w:r>
        <w:rPr>
          <w:rFonts w:ascii="Arial" w:cs="Arial" w:eastAsia="Arial" w:hAnsi="Arial"/>
          <w:sz w:val="14"/>
          <w:szCs w:val="14"/>
          <w:b w:val="1"/>
          <w:bCs w:val="1"/>
          <w:color w:val="007EC4"/>
        </w:rPr>
        <w:t>HOW DO I VOTE MY SHARES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1081405</wp:posOffset>
            </wp:positionV>
            <wp:extent cx="1570990" cy="1587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57099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hanging="539"/>
        <w:spacing w:after="0" w:line="219" w:lineRule="auto"/>
        <w:rPr>
          <w:sz w:val="20"/>
          <w:szCs w:val="20"/>
          <w:color w:val="auto"/>
        </w:rPr>
      </w:pPr>
      <w:r>
        <w:rPr>
          <w:rFonts w:ascii="Arial" w:cs="Arial" w:eastAsia="Arial" w:hAnsi="Arial"/>
          <w:sz w:val="28"/>
          <w:szCs w:val="28"/>
          <w:b w:val="1"/>
          <w:bCs w:val="1"/>
          <w:color w:val="EF3B35"/>
        </w:rPr>
        <w:t>Q:</w:t>
      </w:r>
      <w:r>
        <w:rPr>
          <w:sz w:val="20"/>
          <w:szCs w:val="20"/>
          <w:color w:val="auto"/>
        </w:rPr>
        <w:t xml:space="preserve"> </w:t>
      </w:r>
      <w:r>
        <w:rPr>
          <w:rFonts w:ascii="Arial" w:cs="Arial" w:eastAsia="Arial" w:hAnsi="Arial"/>
          <w:sz w:val="14"/>
          <w:szCs w:val="14"/>
          <w:b w:val="1"/>
          <w:bCs w:val="1"/>
          <w:color w:val="007EC4"/>
        </w:rPr>
        <w:t>MAY I ATTEND THE ANNUAL MEETING IN PERSON AND ARE THERE ANY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797560</wp:posOffset>
            </wp:positionV>
            <wp:extent cx="1570990" cy="1587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57099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If you are a stockholder of record as of the close of business on the Record Date and prefer to vote your shares in person at the Annual Meeting, you must present proof of identification and proof of ownership. If you hold your shares in street name, you may only vote shares at the Annual Meeting if you bring a signed proxy from the record holder (e.g., broker, bank or other nominee) giving you the right to vote the shares, as well as proof of identification and proof of ownership.</w:t>
      </w:r>
    </w:p>
    <w:p>
      <w:pPr>
        <w:spacing w:after="0" w:line="114" w:lineRule="exact"/>
        <w:rPr>
          <w:sz w:val="20"/>
          <w:szCs w:val="20"/>
          <w:color w:val="auto"/>
        </w:rPr>
      </w:pPr>
    </w:p>
    <w:p>
      <w:pPr>
        <w:ind w:right="300"/>
        <w:spacing w:after="0" w:line="310" w:lineRule="auto"/>
        <w:rPr>
          <w:sz w:val="20"/>
          <w:szCs w:val="20"/>
          <w:color w:val="auto"/>
        </w:rPr>
      </w:pPr>
      <w:r>
        <w:rPr>
          <w:rFonts w:ascii="Arial" w:cs="Arial" w:eastAsia="Arial" w:hAnsi="Arial"/>
          <w:sz w:val="15"/>
          <w:szCs w:val="15"/>
          <w:color w:val="auto"/>
        </w:rPr>
        <w:t>Even if you plan to attend the Annual Meeting, we encourage you to vote in advance by Internet, telephone or mail so that your vote will be counted even if you later decide not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530225</wp:posOffset>
            </wp:positionV>
            <wp:extent cx="5564505" cy="1587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556450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In order to be admitted to the meeting, you will need to present (1) a form of personal identification, and (2) either your proxy card or proof of your ownership of Academy stock as of the Record Date. If your shares are held beneficially in the name of a bank, broker or other holder of record and you wish to be admitted to attend the Annual Meeting, you must present proof of your ownership of Academy stock, such as a bank or brokerage account statement. No cameras, recording equipment, electronic devices, large bags, briefcases or packages will be permitted in the Annual Meeting. For directions to the meeting, please email: investors@academy.com.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432435</wp:posOffset>
            </wp:positionV>
            <wp:extent cx="5564505" cy="1587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556450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460"/>
            <w:col w:w="8320"/>
          </w:cols>
          <w:pgMar w:left="880" w:top="132" w:right="3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hanging="539"/>
        <w:spacing w:after="0" w:line="205" w:lineRule="auto"/>
        <w:rPr>
          <w:sz w:val="20"/>
          <w:szCs w:val="20"/>
          <w:color w:val="auto"/>
        </w:rPr>
      </w:pPr>
      <w:r>
        <w:rPr>
          <w:rFonts w:ascii="Arial" w:cs="Arial" w:eastAsia="Arial" w:hAnsi="Arial"/>
          <w:sz w:val="30"/>
          <w:szCs w:val="30"/>
          <w:b w:val="1"/>
          <w:bCs w:val="1"/>
          <w:color w:val="EF3B35"/>
        </w:rPr>
        <w:t>Q:</w:t>
      </w:r>
      <w:r>
        <w:rPr>
          <w:sz w:val="20"/>
          <w:szCs w:val="20"/>
          <w:color w:val="auto"/>
        </w:rPr>
        <w:t xml:space="preserve"> </w:t>
      </w:r>
      <w:r>
        <w:rPr>
          <w:rFonts w:ascii="Arial" w:cs="Arial" w:eastAsia="Arial" w:hAnsi="Arial"/>
          <w:sz w:val="15"/>
          <w:szCs w:val="15"/>
          <w:b w:val="1"/>
          <w:bCs w:val="1"/>
          <w:color w:val="007EC4"/>
        </w:rPr>
        <w:t>WHAT DOES IT MEAN IF I RECEIVE MORE THAN ONE PROXY CARD ON OR ABOUT THE SAME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464820</wp:posOffset>
            </wp:positionV>
            <wp:extent cx="1847215" cy="1587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84721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593090</wp:posOffset>
            </wp:positionV>
            <wp:extent cx="5288280" cy="1587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5288280" cy="15875"/>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1960" w:space="400"/>
            <w:col w:w="8320"/>
          </w:cols>
          <w:pgMar w:left="880" w:top="132" w:right="3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both"/>
        <w:ind w:hanging="539"/>
        <w:spacing w:after="0" w:line="187" w:lineRule="auto"/>
        <w:rPr>
          <w:sz w:val="20"/>
          <w:szCs w:val="20"/>
          <w:color w:val="auto"/>
        </w:rPr>
      </w:pPr>
      <w:r>
        <w:rPr>
          <w:rFonts w:ascii="Arial" w:cs="Arial" w:eastAsia="Arial" w:hAnsi="Arial"/>
          <w:sz w:val="28"/>
          <w:szCs w:val="28"/>
          <w:b w:val="1"/>
          <w:bCs w:val="1"/>
          <w:color w:val="EF3B35"/>
        </w:rPr>
        <w:t>Q:</w:t>
      </w:r>
      <w:r>
        <w:rPr>
          <w:sz w:val="20"/>
          <w:szCs w:val="20"/>
          <w:color w:val="auto"/>
        </w:rPr>
        <w:t xml:space="preserve"> </w:t>
      </w:r>
      <w:r>
        <w:rPr>
          <w:rFonts w:ascii="Arial" w:cs="Arial" w:eastAsia="Arial" w:hAnsi="Arial"/>
          <w:sz w:val="14"/>
          <w:szCs w:val="14"/>
          <w:b w:val="1"/>
          <w:bCs w:val="1"/>
          <w:color w:val="007EC4"/>
        </w:rPr>
        <w:t>MAY I CHANGE MY VOTE OR REVOKE MY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Yes. Whether you have voted by Internet, telephone or mail, if you are a stockholder of record, you may change your vote and revoke your proxy:</w:t>
      </w:r>
    </w:p>
    <w:p>
      <w:pPr>
        <w:spacing w:after="0" w:line="39"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-61595</wp:posOffset>
            </wp:positionV>
            <wp:extent cx="631190" cy="29972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631190" cy="299720"/>
                    </a:xfrm>
                    <a:prstGeom prst="rect">
                      <a:avLst/>
                    </a:prstGeom>
                    <a:noFill/>
                  </pic:spPr>
                </pic:pic>
              </a:graphicData>
            </a:graphic>
          </wp:anchor>
        </w:drawing>
      </w:r>
    </w:p>
    <w:p>
      <w:pPr>
        <w:spacing w:after="0" w:line="8" w:lineRule="exact"/>
        <w:rPr>
          <w:sz w:val="20"/>
          <w:szCs w:val="20"/>
          <w:color w:val="auto"/>
        </w:rPr>
      </w:pPr>
    </w:p>
    <w:p>
      <w:pPr>
        <w:ind w:left="2080"/>
        <w:spacing w:after="0" w:line="256" w:lineRule="auto"/>
        <w:rPr>
          <w:sz w:val="20"/>
          <w:szCs w:val="20"/>
          <w:color w:val="auto"/>
        </w:rPr>
      </w:pPr>
      <w:r>
        <w:rPr>
          <w:rFonts w:ascii="Arial" w:cs="Arial" w:eastAsia="Arial" w:hAnsi="Arial"/>
          <w:sz w:val="15"/>
          <w:szCs w:val="15"/>
          <w:color w:val="auto"/>
        </w:rPr>
        <w:t>Voting by Internet or telephone at a later time than your previous vote and before the closing of those voting facilities at 10:59 p.m. Central Time, on June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5311775" cy="1587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5311775" cy="158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-93345</wp:posOffset>
            </wp:positionV>
            <wp:extent cx="299720" cy="29972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8" w:lineRule="exact"/>
        <w:rPr>
          <w:sz w:val="20"/>
          <w:szCs w:val="20"/>
          <w:color w:val="auto"/>
        </w:rPr>
      </w:pPr>
    </w:p>
    <w:p>
      <w:pPr>
        <w:ind w:left="2080" w:right="40"/>
        <w:spacing w:after="0" w:line="256" w:lineRule="auto"/>
        <w:rPr>
          <w:sz w:val="20"/>
          <w:szCs w:val="20"/>
          <w:color w:val="auto"/>
        </w:rPr>
      </w:pPr>
      <w:r>
        <w:rPr>
          <w:rFonts w:ascii="Arial" w:cs="Arial" w:eastAsia="Arial" w:hAnsi="Arial"/>
          <w:sz w:val="15"/>
          <w:szCs w:val="15"/>
          <w:color w:val="auto"/>
        </w:rPr>
        <w:t>Sending a written statement to that effect to the Corporate Secretary, provided such statement is received by the Corporate Secretary no later than June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144145</wp:posOffset>
            </wp:positionV>
            <wp:extent cx="5311775" cy="1587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5311775" cy="15875"/>
                    </a:xfrm>
                    <a:prstGeom prst="rect">
                      <a:avLst/>
                    </a:prstGeom>
                    <a:noFill/>
                  </pic:spPr>
                </pic:pic>
              </a:graphicData>
            </a:graphic>
          </wp:anchor>
        </w:drawing>
      </w:r>
    </w:p>
    <w:p>
      <w:pPr>
        <w:spacing w:after="0" w:line="356"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-93345</wp:posOffset>
            </wp:positionV>
            <wp:extent cx="299720" cy="29972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5"/>
          <w:szCs w:val="15"/>
          <w:color w:val="auto"/>
        </w:rPr>
        <w:t>Submitting a properly signed proxy card, which has a later date than your previous vote, at the</w:t>
      </w:r>
    </w:p>
    <w:p>
      <w:pPr>
        <w:spacing w:after="0" w:line="2" w:lineRule="exact"/>
        <w:rPr>
          <w:sz w:val="20"/>
          <w:szCs w:val="20"/>
          <w:color w:val="auto"/>
        </w:rPr>
      </w:pPr>
    </w:p>
    <w:p>
      <w:pPr>
        <w:ind w:left="2080"/>
        <w:spacing w:after="0"/>
        <w:rPr>
          <w:sz w:val="20"/>
          <w:szCs w:val="20"/>
          <w:color w:val="auto"/>
        </w:rPr>
      </w:pPr>
      <w:r>
        <w:rPr>
          <w:rFonts w:ascii="Arial" w:cs="Arial" w:eastAsia="Arial" w:hAnsi="Arial"/>
          <w:sz w:val="15"/>
          <w:szCs w:val="15"/>
          <w:color w:val="auto"/>
        </w:rPr>
        <w:t>Annual Meeting on June 5, 2025.</w:t>
      </w:r>
    </w:p>
    <w:p>
      <w:pPr>
        <w:spacing w:after="0" w:line="112" w:lineRule="exact"/>
        <w:rPr>
          <w:sz w:val="20"/>
          <w:szCs w:val="20"/>
          <w:color w:val="auto"/>
        </w:rPr>
      </w:pPr>
    </w:p>
    <w:p>
      <w:pPr>
        <w:ind w:right="300"/>
        <w:spacing w:after="0" w:line="310" w:lineRule="auto"/>
        <w:rPr>
          <w:sz w:val="20"/>
          <w:szCs w:val="20"/>
          <w:color w:val="auto"/>
        </w:rPr>
      </w:pPr>
      <w:r>
        <w:rPr>
          <w:rFonts w:ascii="Arial" w:cs="Arial" w:eastAsia="Arial" w:hAnsi="Arial"/>
          <w:sz w:val="15"/>
          <w:szCs w:val="15"/>
          <w:color w:val="auto"/>
        </w:rPr>
        <w:t>If you hold shares in street name, please refer to information from your bank, broker or other nominee on how to revoke or submit new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-1854200</wp:posOffset>
            </wp:positionH>
            <wp:positionV relativeFrom="paragraph">
              <wp:posOffset>1069975</wp:posOffset>
            </wp:positionV>
            <wp:extent cx="7168515" cy="4127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774700</wp:posOffset>
            </wp:positionV>
            <wp:extent cx="789305" cy="18923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1820" w:space="520"/>
            <w:col w:w="8340"/>
          </w:cols>
          <w:pgMar w:left="880" w:top="13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3"/>
          <w:szCs w:val="13"/>
          <w:b w:val="1"/>
          <w:bCs w:val="1"/>
          <w:color w:val="007EC4"/>
        </w:rPr>
        <w:t xml:space="preserve">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7143115" cy="1587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15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 w:right="180" w:hanging="539"/>
        <w:spacing w:after="0" w:line="196" w:lineRule="auto"/>
        <w:tabs>
          <w:tab w:leader="none" w:pos="540" w:val="left"/>
        </w:tabs>
        <w:rPr>
          <w:sz w:val="20"/>
          <w:szCs w:val="20"/>
          <w:color w:val="auto"/>
        </w:rPr>
      </w:pPr>
      <w:r>
        <w:rPr>
          <w:rFonts w:ascii="Arial" w:cs="Arial" w:eastAsia="Arial" w:hAnsi="Arial"/>
          <w:sz w:val="30"/>
          <w:szCs w:val="30"/>
          <w:b w:val="1"/>
          <w:bCs w:val="1"/>
          <w:color w:val="EF3B35"/>
        </w:rPr>
        <w:t>Q:</w:t>
      </w:r>
      <w:r>
        <w:rPr>
          <w:sz w:val="20"/>
          <w:szCs w:val="20"/>
          <w:color w:val="auto"/>
        </w:rPr>
        <w:tab/>
      </w:r>
      <w:r>
        <w:rPr>
          <w:rFonts w:ascii="Arial" w:cs="Arial" w:eastAsia="Arial" w:hAnsi="Arial"/>
          <w:sz w:val="15"/>
          <w:szCs w:val="15"/>
          <w:b w:val="1"/>
          <w:bCs w:val="1"/>
          <w:color w:val="007EC4"/>
        </w:rPr>
        <w:t>WHO WILL PAY FOR THE COST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795655</wp:posOffset>
            </wp:positionV>
            <wp:extent cx="1854835" cy="1587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85483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30"/>
          <w:szCs w:val="30"/>
          <w:b w:val="1"/>
          <w:bCs w:val="1"/>
          <w:color w:val="EF3B35"/>
        </w:rPr>
        <w:t xml:space="preserve">Q:  </w:t>
      </w:r>
      <w:r>
        <w:rPr>
          <w:rFonts w:ascii="Arial" w:cs="Arial" w:eastAsia="Arial" w:hAnsi="Arial"/>
          <w:sz w:val="14"/>
          <w:szCs w:val="14"/>
          <w:b w:val="1"/>
          <w:bCs w:val="1"/>
          <w:color w:val="007EC4"/>
        </w:rPr>
        <w:t>HOW CAN I VIEW COPIES</w:t>
      </w:r>
    </w:p>
    <w:p>
      <w:pPr>
        <w:ind w:left="560"/>
        <w:spacing w:after="0"/>
        <w:rPr>
          <w:sz w:val="20"/>
          <w:szCs w:val="20"/>
          <w:color w:val="auto"/>
        </w:rPr>
      </w:pPr>
      <w:r>
        <w:rPr>
          <w:rFonts w:ascii="Arial" w:cs="Arial" w:eastAsia="Arial" w:hAnsi="Arial"/>
          <w:sz w:val="15"/>
          <w:szCs w:val="15"/>
          <w:b w:val="1"/>
          <w:bCs w:val="1"/>
          <w:color w:val="007EC4"/>
        </w:rPr>
        <w:t>OF THE COMPANY’S</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CORPORATE</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GOVERNANCE</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DOCUMENTS AND FILINGS</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007EC4"/>
        </w:rPr>
        <w:t>WITH THE SEC, INCLUDING</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THIS PROXY STATEMENT</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AND THE ANNUAL</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544195</wp:posOffset>
            </wp:positionV>
            <wp:extent cx="1854835" cy="1587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85483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0" w:right="80" w:hanging="539"/>
        <w:spacing w:after="0" w:line="193" w:lineRule="auto"/>
        <w:tabs>
          <w:tab w:leader="none" w:pos="540" w:val="left"/>
        </w:tabs>
        <w:rPr>
          <w:sz w:val="20"/>
          <w:szCs w:val="20"/>
          <w:color w:val="auto"/>
        </w:rPr>
      </w:pPr>
      <w:r>
        <w:rPr>
          <w:rFonts w:ascii="Arial" w:cs="Arial" w:eastAsia="Arial" w:hAnsi="Arial"/>
          <w:sz w:val="28"/>
          <w:szCs w:val="28"/>
          <w:b w:val="1"/>
          <w:bCs w:val="1"/>
          <w:color w:val="EF3B35"/>
        </w:rPr>
        <w:t>Q:</w:t>
      </w:r>
      <w:r>
        <w:rPr>
          <w:sz w:val="20"/>
          <w:szCs w:val="20"/>
          <w:color w:val="auto"/>
        </w:rPr>
        <w:tab/>
      </w:r>
      <w:r>
        <w:rPr>
          <w:rFonts w:ascii="Arial" w:cs="Arial" w:eastAsia="Arial" w:hAnsi="Arial"/>
          <w:sz w:val="14"/>
          <w:szCs w:val="14"/>
          <w:b w:val="1"/>
          <w:bCs w:val="1"/>
          <w:color w:val="007EC4"/>
        </w:rPr>
        <w:t>WHAT IS THE COMPANY’S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1111885</wp:posOffset>
            </wp:positionV>
            <wp:extent cx="789305" cy="18923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We will pay the costs of soliciting proxies. We have retained Innisfree M&amp;A Incorporated to assist in soliciting proxies for a fee of approximately $10,000, plus reimbursement of out-of-pocket expenses incident to preparing and mailing our proxy materials. Proxies may be solicited on the Company’s behalf by our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321945</wp:posOffset>
            </wp:positionV>
            <wp:extent cx="5280660" cy="1587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528066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Our investor relations website contains the Company’s Certificate of Incorporation, Bylaws, Corporate Governance Guidelines, Board committee charters, Ethics and Code of Conduct Policy, Anti-Corruption and Anti-Bribery Policy, Whistleblower Policy, Vendor Code of Conduct, Conflict Minerals Policy, and SEC filings, including this Proxy Statement and the Annual Report. To view these documents, go to our investor relations website at investors.academy.com, and select “Documents &amp; Charters” from the “Corporate Governance” drop-down menu, or select “SEC Filings” from the “Financials &amp; Filings” drop-down menu.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788035</wp:posOffset>
            </wp:positionV>
            <wp:extent cx="5280660" cy="1587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528066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We operate on a retail fiscal calendar pursuant to which our fiscal year consists of 52 or 53 weeks, ending on the Saturday closest to January 31 (which such Saturday may occur on a date following January 31) each year. See Basis of Presentation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1196340</wp:posOffset>
            </wp:positionV>
            <wp:extent cx="7168515" cy="4127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2540" w:space="380"/>
            <w:col w:w="8260"/>
          </w:cols>
          <w:pgMar w:left="320" w:top="157" w:right="39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One</w:t>
      </w:r>
    </w:p>
    <w:p>
      <w:pPr>
        <w:spacing w:after="0" w:line="99"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Election of Directors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of Directors</w:t>
      </w:r>
    </w:p>
    <w:p>
      <w:pPr>
        <w:spacing w:after="0" w:line="132"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The Board of Directors directs and oversees our business and affairs, as provided by Delaware law, and conducts its business through meetings of the Board and its three standing committees: the Audit Committee, the Compensation Committee, and the Nominating and Governance Committee (the “Governance Committee”).</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Board is currently comprised of eleven directors, nine of whom are independent. On February 26, 2024, Sharen Turney, an independent Class II Director, resigned from the Board as of that date, and immediately thereafter the size of the Board was reduced from ten directors to nine directors. On March 18, 2024, the size of the Board was increased from nine directors to ten directors, and Mrs. Monique Picou was added to the Board as an independent Class II Director, effective as of that date. In connection with a planned transition process, on March 19, 2024, the Company and Mr. Ken Hicks, a Class III Director and the then Executive Chairman of the Board, mutually agreed that Mr. Hicks’s employment agreement governing his role as Executive Chairman of the Board would not be extended beyond its initial one-year term that began on June 1, 2023. Accordingly, Mr. Hicks transitioned from Executive Chairman of the Board to non-employee Chairman of the Board, effective on June 1, 2024. For more details, see the “Leadership Structure of the Board” below. Additionally, on June 6, 2024, the size of the Board was increased from ten directors to eleven directors, and Mr. Scott Boatwright was added to the Board as an independent Class III Director, effective as of that date.</w:t>
      </w:r>
    </w:p>
    <w:p>
      <w:pPr>
        <w:spacing w:after="0" w:line="156"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Currently, the Company’s Certificate of Incorporation provides for a classified Board divided into three classes. One class of directors stands for election at each of our annual meetings of stockholders. Directors are elected by our stockholders to serve for three-year terms that expire on the date of an annual meeting of stockholders. Wendy Beck, Theresa Palermo, and Monique Picou constitute a class with a term that expires at the Annual Meeting on June 5, 2025 (the “Class II Directors”), subject to the election and qualification of their successors; Scott Boatwright, Ken Hicks, Beryl Raff, and Jeff Tweedy constitute a class with a term that expires at the Annual Meeting of Stockholders in 2026 (the “Class III Directors”), subject to the election and qualification of their successors; and Steve Lawrence, Brian Marley, Tom Nealon, and Chris Turner constitute a class with a term that expires at the Annual Meeting of Stockholders in 2027, subject to the election and qualification of their successors.</w:t>
      </w:r>
    </w:p>
    <w:p>
      <w:pPr>
        <w:spacing w:after="0" w:line="153"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Upon the recommendation of the Governance Committee, the Board has considered and nominated Wendy Beck, Theresa Palermo, and Monique Picou as Class II Director nominees for a three-year term expiring at the Annual Meeting of Stockholders in 2028. Each of these nominees has indicated that she will be willing and able to serve as a director if elected. Action will be taken at the Annual Meeting for the election of these three Class II Director nominees. Unless otherwise instructed, the persons named in the proxy card (the “proxy holders”) included with this Proxy Statement intend to vote the proxies held by them “FOR” the election of each of Wendy Beck, Theresa Palermo, and Monique Picou. If any of these nominees ceases to be a candidate for election by the time of the Annual Meeting (a contingency which the Board does not expect to occur), the Board may propose another person or persons in place of any such nominee(s), and the individuals designated as your proxies will vote to appoint that proposed person or persons. Alternatively, in such event, the Board may decide to reduce the number of directors constituting the full Board.</w:t>
      </w:r>
    </w:p>
    <w:p>
      <w:pPr>
        <w:spacing w:after="0" w:line="158"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At this Annual Meeting, we are also seeking stockholder approval to declassify the Board and phase-in annual election of all of our directors, such that if Proposal Five is approved by our stockholders, we will begin phasing in annual elections starting with the Annual Meeting of Stockholders in 2026, and all of our directors will stand for annual elections starting with the Annual Meeting of Stockholders in 2028. See “Proposal Five - Amendment to the Company’s Amended and Restated Certificate of Incorporation to Declassify the Board and Phase-in Annual Director Elections by 2028” below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920115</wp:posOffset>
            </wp:positionV>
            <wp:extent cx="7168515" cy="4127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632460</wp:posOffset>
            </wp:positionV>
            <wp:extent cx="789305" cy="18923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007EC4"/>
        </w:rPr>
        <w:t xml:space="preserve">10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Composition</w:t>
      </w:r>
    </w:p>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Since the Company’s initial public offering (“IPO”) in October 2020, it has been the Board’s objective to retain seasoned directors and executives with proven track records of leadership and success in retail and other consumer-oriented businesses that are relevant in light of the Company’s business, strategy, and structure. We believe the current composition of the Board enhances the Company with a varied mix of experiences, perspectives, and backgrounds. The Board and the Governance Committee regularly evaluates the Board’s composition to ensure it continues to advance our business strategies and serve the interests of our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Board Composition Matrix</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(Effective as of April 21,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5060" w:type="dxa"/>
            <w:vAlign w:val="bottom"/>
            <w:tcBorders>
              <w:right w:val="single" w:sz="8" w:color="929292"/>
            </w:tcBorders>
            <w:shd w:val="clear" w:color="auto" w:fill="E1D7AC"/>
          </w:tcPr>
          <w:p>
            <w:pPr>
              <w:spacing w:after="0"/>
              <w:rPr>
                <w:sz w:val="24"/>
                <w:szCs w:val="24"/>
                <w:color w:val="auto"/>
              </w:rPr>
            </w:pP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7"/>
              </w:rPr>
              <w:t>Beck</w:t>
            </w:r>
          </w:p>
        </w:tc>
        <w:tc>
          <w:tcPr>
            <w:tcW w:w="70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Boatwright</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Hicks</w:t>
            </w:r>
          </w:p>
        </w:tc>
        <w:tc>
          <w:tcPr>
            <w:tcW w:w="62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Lawrence</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Marley</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Nealon</w:t>
            </w:r>
          </w:p>
        </w:tc>
        <w:tc>
          <w:tcPr>
            <w:tcW w:w="56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Palermo</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Picou</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Raff</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Turner</w:t>
            </w:r>
          </w:p>
        </w:tc>
        <w:tc>
          <w:tcPr>
            <w:tcW w:w="520" w:type="dxa"/>
            <w:vAlign w:val="bottom"/>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Tweedy</w:t>
            </w:r>
          </w:p>
        </w:tc>
      </w:tr>
      <w:tr>
        <w:trPr>
          <w:trHeight w:val="204"/>
        </w:trPr>
        <w:tc>
          <w:tcPr>
            <w:tcW w:w="5060" w:type="dxa"/>
            <w:vAlign w:val="bottom"/>
            <w:tcBorders>
              <w:bottom w:val="single" w:sz="8" w:color="007EC4"/>
              <w:right w:val="single" w:sz="8" w:color="007EC4"/>
            </w:tcBorders>
            <w:shd w:val="clear" w:color="auto" w:fill="007EC4"/>
          </w:tcPr>
          <w:p>
            <w:pPr>
              <w:ind w:left="100"/>
              <w:spacing w:after="0"/>
              <w:rPr>
                <w:sz w:val="20"/>
                <w:szCs w:val="20"/>
                <w:color w:val="auto"/>
              </w:rPr>
            </w:pPr>
            <w:r>
              <w:rPr>
                <w:rFonts w:ascii="Arial" w:cs="Arial" w:eastAsia="Arial" w:hAnsi="Arial"/>
                <w:sz w:val="13"/>
                <w:szCs w:val="13"/>
                <w:b w:val="1"/>
                <w:bCs w:val="1"/>
                <w:color w:val="FFFFFF"/>
              </w:rPr>
              <w:t>Total Number of Directors</w:t>
            </w: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70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62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jc w:val="right"/>
              <w:ind w:right="262"/>
              <w:spacing w:after="0"/>
              <w:rPr>
                <w:sz w:val="20"/>
                <w:szCs w:val="20"/>
                <w:color w:val="auto"/>
              </w:rPr>
            </w:pPr>
            <w:r>
              <w:rPr>
                <w:rFonts w:ascii="Arial" w:cs="Arial" w:eastAsia="Arial" w:hAnsi="Arial"/>
                <w:sz w:val="13"/>
                <w:szCs w:val="13"/>
                <w:b w:val="1"/>
                <w:bCs w:val="1"/>
                <w:color w:val="FFFFFF"/>
              </w:rPr>
              <w:t>11</w:t>
            </w:r>
          </w:p>
        </w:tc>
        <w:tc>
          <w:tcPr>
            <w:tcW w:w="56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20" w:type="dxa"/>
            <w:vAlign w:val="bottom"/>
            <w:tcBorders>
              <w:bottom w:val="single" w:sz="8" w:color="007EC4"/>
            </w:tcBorders>
            <w:shd w:val="clear" w:color="auto" w:fill="007EC4"/>
          </w:tcPr>
          <w:p>
            <w:pPr>
              <w:spacing w:after="0"/>
              <w:rPr>
                <w:sz w:val="17"/>
                <w:szCs w:val="17"/>
                <w:color w:val="auto"/>
              </w:rPr>
            </w:pPr>
          </w:p>
        </w:tc>
      </w:tr>
      <w:tr>
        <w:trPr>
          <w:trHeight w:val="50"/>
        </w:trPr>
        <w:tc>
          <w:tcPr>
            <w:tcW w:w="5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4"/>
        </w:trPr>
        <w:tc>
          <w:tcPr>
            <w:tcW w:w="5060" w:type="dxa"/>
            <w:vAlign w:val="bottom"/>
            <w:tcBorders>
              <w:bottom w:val="single" w:sz="8" w:color="007EC4"/>
              <w:right w:val="single" w:sz="8" w:color="007EC4"/>
            </w:tcBorders>
            <w:shd w:val="clear" w:color="auto" w:fill="007EC4"/>
          </w:tcPr>
          <w:p>
            <w:pPr>
              <w:ind w:left="100"/>
              <w:spacing w:after="0"/>
              <w:rPr>
                <w:sz w:val="20"/>
                <w:szCs w:val="20"/>
                <w:color w:val="auto"/>
              </w:rPr>
            </w:pPr>
            <w:r>
              <w:rPr>
                <w:rFonts w:ascii="Arial" w:cs="Arial" w:eastAsia="Arial" w:hAnsi="Arial"/>
                <w:sz w:val="13"/>
                <w:szCs w:val="13"/>
                <w:b w:val="1"/>
                <w:bCs w:val="1"/>
                <w:color w:val="FFFFFF"/>
              </w:rPr>
              <w:t>Independence/Tenure/Age/Class/Term</w:t>
            </w: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70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62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6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20" w:type="dxa"/>
            <w:vAlign w:val="bottom"/>
            <w:tcBorders>
              <w:bottom w:val="single" w:sz="8" w:color="007EC4"/>
            </w:tcBorders>
            <w:shd w:val="clear" w:color="auto" w:fill="007EC4"/>
          </w:tcPr>
          <w:p>
            <w:pPr>
              <w:spacing w:after="0"/>
              <w:rPr>
                <w:sz w:val="17"/>
                <w:szCs w:val="17"/>
                <w:color w:val="auto"/>
              </w:rPr>
            </w:pPr>
          </w:p>
        </w:tc>
      </w:tr>
      <w:tr>
        <w:trPr>
          <w:trHeight w:val="140"/>
        </w:trPr>
        <w:tc>
          <w:tcPr>
            <w:tcW w:w="5060" w:type="dxa"/>
            <w:vAlign w:val="bottom"/>
          </w:tcPr>
          <w:p>
            <w:pPr>
              <w:ind w:left="100"/>
              <w:spacing w:after="0" w:line="124" w:lineRule="exact"/>
              <w:rPr>
                <w:sz w:val="20"/>
                <w:szCs w:val="20"/>
                <w:color w:val="auto"/>
              </w:rPr>
            </w:pPr>
            <w:r>
              <w:rPr>
                <w:rFonts w:ascii="Arial" w:cs="Arial" w:eastAsia="Arial" w:hAnsi="Arial"/>
                <w:sz w:val="13"/>
                <w:szCs w:val="13"/>
                <w:color w:val="auto"/>
              </w:rPr>
              <w:t>Independent</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700" w:type="dxa"/>
            <w:vAlign w:val="bottom"/>
          </w:tcPr>
          <w:p>
            <w:pPr>
              <w:jc w:val="center"/>
              <w:spacing w:after="0"/>
              <w:rPr>
                <w:sz w:val="20"/>
                <w:szCs w:val="20"/>
                <w:color w:val="auto"/>
              </w:rPr>
            </w:pPr>
            <w:r>
              <w:rPr>
                <w:rFonts w:ascii="Webdings" w:cs="Webdings" w:eastAsia="Webdings" w:hAnsi="Webdings"/>
                <w:sz w:val="8"/>
                <w:szCs w:val="8"/>
                <w:b w:val="1"/>
                <w:bCs w:val="1"/>
                <w:color w:val="auto"/>
              </w:rPr>
              <w:t>n</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6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2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r>
      <w:tr>
        <w:trPr>
          <w:trHeight w:val="83"/>
        </w:trPr>
        <w:tc>
          <w:tcPr>
            <w:tcW w:w="506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70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62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56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520" w:type="dxa"/>
            <w:vAlign w:val="bottom"/>
            <w:tcBorders>
              <w:bottom w:val="single" w:sz="8" w:color="ADB1C7"/>
            </w:tcBorders>
          </w:tcPr>
          <w:p>
            <w:pPr>
              <w:spacing w:after="0"/>
              <w:rPr>
                <w:sz w:val="7"/>
                <w:szCs w:val="7"/>
                <w:color w:val="auto"/>
              </w:rPr>
            </w:pPr>
          </w:p>
        </w:tc>
      </w:tr>
      <w:tr>
        <w:trPr>
          <w:trHeight w:val="184"/>
        </w:trPr>
        <w:tc>
          <w:tcPr>
            <w:tcW w:w="5060" w:type="dxa"/>
            <w:vAlign w:val="bottom"/>
          </w:tcPr>
          <w:p>
            <w:pPr>
              <w:ind w:left="100"/>
              <w:spacing w:after="0"/>
              <w:rPr>
                <w:sz w:val="20"/>
                <w:szCs w:val="20"/>
                <w:color w:val="auto"/>
              </w:rPr>
            </w:pPr>
            <w:r>
              <w:rPr>
                <w:rFonts w:ascii="Arial" w:cs="Arial" w:eastAsia="Arial" w:hAnsi="Arial"/>
                <w:sz w:val="13"/>
                <w:szCs w:val="13"/>
                <w:color w:val="auto"/>
              </w:rPr>
              <w:t>Tenure (years) - Initial Public Offering: October 2020</w:t>
            </w:r>
          </w:p>
        </w:tc>
        <w:tc>
          <w:tcPr>
            <w:tcW w:w="540" w:type="dxa"/>
            <w:vAlign w:val="bottom"/>
          </w:tcPr>
          <w:p>
            <w:pPr>
              <w:jc w:val="center"/>
              <w:spacing w:after="0"/>
              <w:rPr>
                <w:sz w:val="20"/>
                <w:szCs w:val="20"/>
                <w:color w:val="auto"/>
              </w:rPr>
            </w:pPr>
            <w:r>
              <w:rPr>
                <w:rFonts w:ascii="Arial" w:cs="Arial" w:eastAsia="Arial" w:hAnsi="Arial"/>
                <w:sz w:val="13"/>
                <w:szCs w:val="13"/>
                <w:color w:val="auto"/>
              </w:rPr>
              <w:t>4</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540" w:type="dxa"/>
            <w:vAlign w:val="bottom"/>
          </w:tcPr>
          <w:p>
            <w:pPr>
              <w:jc w:val="center"/>
              <w:ind w:right="1"/>
              <w:spacing w:after="0"/>
              <w:rPr>
                <w:sz w:val="20"/>
                <w:szCs w:val="20"/>
                <w:color w:val="auto"/>
              </w:rPr>
            </w:pPr>
            <w:r>
              <w:rPr>
                <w:rFonts w:ascii="Arial" w:cs="Arial" w:eastAsia="Arial" w:hAnsi="Arial"/>
                <w:sz w:val="13"/>
                <w:szCs w:val="13"/>
                <w:color w:val="auto"/>
              </w:rPr>
              <w:t>4</w:t>
            </w:r>
          </w:p>
        </w:tc>
        <w:tc>
          <w:tcPr>
            <w:tcW w:w="620" w:type="dxa"/>
            <w:vAlign w:val="bottom"/>
          </w:tcPr>
          <w:p>
            <w:pPr>
              <w:jc w:val="center"/>
              <w:ind w:right="1"/>
              <w:spacing w:after="0"/>
              <w:rPr>
                <w:sz w:val="20"/>
                <w:szCs w:val="20"/>
                <w:color w:val="auto"/>
              </w:rPr>
            </w:pPr>
            <w:r>
              <w:rPr>
                <w:rFonts w:ascii="Arial" w:cs="Arial" w:eastAsia="Arial" w:hAnsi="Arial"/>
                <w:sz w:val="13"/>
                <w:szCs w:val="13"/>
                <w:color w:val="auto"/>
              </w:rPr>
              <w:t>1</w:t>
            </w:r>
          </w:p>
        </w:tc>
        <w:tc>
          <w:tcPr>
            <w:tcW w:w="540" w:type="dxa"/>
            <w:vAlign w:val="bottom"/>
          </w:tcPr>
          <w:p>
            <w:pPr>
              <w:jc w:val="center"/>
              <w:ind w:right="4"/>
              <w:spacing w:after="0"/>
              <w:rPr>
                <w:sz w:val="20"/>
                <w:szCs w:val="20"/>
                <w:color w:val="auto"/>
              </w:rPr>
            </w:pPr>
            <w:r>
              <w:rPr>
                <w:rFonts w:ascii="Arial" w:cs="Arial" w:eastAsia="Arial" w:hAnsi="Arial"/>
                <w:sz w:val="13"/>
                <w:szCs w:val="13"/>
                <w:color w:val="auto"/>
              </w:rPr>
              <w:t>4</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4</w:t>
            </w:r>
          </w:p>
        </w:tc>
        <w:tc>
          <w:tcPr>
            <w:tcW w:w="560" w:type="dxa"/>
            <w:vAlign w:val="bottom"/>
          </w:tcPr>
          <w:p>
            <w:pPr>
              <w:jc w:val="center"/>
              <w:spacing w:after="0"/>
              <w:rPr>
                <w:sz w:val="20"/>
                <w:szCs w:val="20"/>
                <w:color w:val="auto"/>
              </w:rPr>
            </w:pPr>
            <w:r>
              <w:rPr>
                <w:rFonts w:ascii="Arial" w:cs="Arial" w:eastAsia="Arial" w:hAnsi="Arial"/>
                <w:sz w:val="13"/>
                <w:szCs w:val="13"/>
                <w:color w:val="auto"/>
              </w:rPr>
              <w:t>2</w:t>
            </w:r>
          </w:p>
        </w:tc>
        <w:tc>
          <w:tcPr>
            <w:tcW w:w="540" w:type="dxa"/>
            <w:vAlign w:val="bottom"/>
          </w:tcPr>
          <w:p>
            <w:pPr>
              <w:jc w:val="center"/>
              <w:ind w:right="4"/>
              <w:spacing w:after="0"/>
              <w:rPr>
                <w:sz w:val="20"/>
                <w:szCs w:val="20"/>
                <w:color w:val="auto"/>
              </w:rPr>
            </w:pPr>
            <w:r>
              <w:rPr>
                <w:rFonts w:ascii="Arial" w:cs="Arial" w:eastAsia="Arial" w:hAnsi="Arial"/>
                <w:sz w:val="13"/>
                <w:szCs w:val="13"/>
                <w:color w:val="auto"/>
              </w:rPr>
              <w:t>1</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3</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3</w:t>
            </w:r>
          </w:p>
        </w:tc>
        <w:tc>
          <w:tcPr>
            <w:tcW w:w="520" w:type="dxa"/>
            <w:vAlign w:val="bottom"/>
          </w:tcPr>
          <w:p>
            <w:pPr>
              <w:jc w:val="center"/>
              <w:spacing w:after="0"/>
              <w:rPr>
                <w:sz w:val="20"/>
                <w:szCs w:val="20"/>
                <w:color w:val="auto"/>
              </w:rPr>
            </w:pPr>
            <w:r>
              <w:rPr>
                <w:rFonts w:ascii="Arial" w:cs="Arial" w:eastAsia="Arial" w:hAnsi="Arial"/>
                <w:sz w:val="13"/>
                <w:szCs w:val="13"/>
                <w:color w:val="auto"/>
              </w:rPr>
              <w:t>4</w:t>
            </w:r>
          </w:p>
        </w:tc>
      </w:tr>
      <w:tr>
        <w:trPr>
          <w:trHeight w:val="33"/>
        </w:trPr>
        <w:tc>
          <w:tcPr>
            <w:tcW w:w="50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70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62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20" w:type="dxa"/>
            <w:vAlign w:val="bottom"/>
            <w:tcBorders>
              <w:bottom w:val="single" w:sz="8" w:color="ADB1C7"/>
            </w:tcBorders>
          </w:tcPr>
          <w:p>
            <w:pPr>
              <w:spacing w:after="0"/>
              <w:rPr>
                <w:sz w:val="2"/>
                <w:szCs w:val="2"/>
                <w:color w:val="auto"/>
              </w:rPr>
            </w:pPr>
          </w:p>
        </w:tc>
      </w:tr>
      <w:tr>
        <w:trPr>
          <w:trHeight w:val="184"/>
        </w:trPr>
        <w:tc>
          <w:tcPr>
            <w:tcW w:w="5060" w:type="dxa"/>
            <w:vAlign w:val="bottom"/>
          </w:tcPr>
          <w:p>
            <w:pPr>
              <w:ind w:left="100"/>
              <w:spacing w:after="0"/>
              <w:rPr>
                <w:sz w:val="20"/>
                <w:szCs w:val="20"/>
                <w:color w:val="auto"/>
              </w:rPr>
            </w:pPr>
            <w:r>
              <w:rPr>
                <w:rFonts w:ascii="Arial" w:cs="Arial" w:eastAsia="Arial" w:hAnsi="Arial"/>
                <w:sz w:val="13"/>
                <w:szCs w:val="13"/>
                <w:color w:val="auto"/>
              </w:rPr>
              <w:t>Age (years)</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60</w:t>
            </w:r>
          </w:p>
        </w:tc>
        <w:tc>
          <w:tcPr>
            <w:tcW w:w="700" w:type="dxa"/>
            <w:vAlign w:val="bottom"/>
          </w:tcPr>
          <w:p>
            <w:pPr>
              <w:jc w:val="center"/>
              <w:spacing w:after="0"/>
              <w:rPr>
                <w:sz w:val="20"/>
                <w:szCs w:val="20"/>
                <w:color w:val="auto"/>
              </w:rPr>
            </w:pPr>
            <w:r>
              <w:rPr>
                <w:rFonts w:ascii="Arial" w:cs="Arial" w:eastAsia="Arial" w:hAnsi="Arial"/>
                <w:sz w:val="13"/>
                <w:szCs w:val="13"/>
                <w:color w:val="auto"/>
                <w:w w:val="96"/>
              </w:rPr>
              <w:t>52</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72</w:t>
            </w:r>
          </w:p>
        </w:tc>
        <w:tc>
          <w:tcPr>
            <w:tcW w:w="620" w:type="dxa"/>
            <w:vAlign w:val="bottom"/>
          </w:tcPr>
          <w:p>
            <w:pPr>
              <w:jc w:val="center"/>
              <w:ind w:right="1"/>
              <w:spacing w:after="0"/>
              <w:rPr>
                <w:sz w:val="20"/>
                <w:szCs w:val="20"/>
                <w:color w:val="auto"/>
              </w:rPr>
            </w:pPr>
            <w:r>
              <w:rPr>
                <w:rFonts w:ascii="Arial" w:cs="Arial" w:eastAsia="Arial" w:hAnsi="Arial"/>
                <w:sz w:val="13"/>
                <w:szCs w:val="13"/>
                <w:color w:val="auto"/>
              </w:rPr>
              <w:t>57</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67</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64</w:t>
            </w:r>
          </w:p>
        </w:tc>
        <w:tc>
          <w:tcPr>
            <w:tcW w:w="560" w:type="dxa"/>
            <w:vAlign w:val="bottom"/>
          </w:tcPr>
          <w:p>
            <w:pPr>
              <w:jc w:val="center"/>
              <w:spacing w:after="0"/>
              <w:rPr>
                <w:sz w:val="20"/>
                <w:szCs w:val="20"/>
                <w:color w:val="auto"/>
              </w:rPr>
            </w:pPr>
            <w:r>
              <w:rPr>
                <w:rFonts w:ascii="Arial" w:cs="Arial" w:eastAsia="Arial" w:hAnsi="Arial"/>
                <w:sz w:val="13"/>
                <w:szCs w:val="13"/>
                <w:color w:val="auto"/>
              </w:rPr>
              <w:t>49</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58</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74</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50</w:t>
            </w:r>
          </w:p>
        </w:tc>
        <w:tc>
          <w:tcPr>
            <w:tcW w:w="520" w:type="dxa"/>
            <w:vAlign w:val="bottom"/>
          </w:tcPr>
          <w:p>
            <w:pPr>
              <w:jc w:val="center"/>
              <w:spacing w:after="0"/>
              <w:rPr>
                <w:sz w:val="20"/>
                <w:szCs w:val="20"/>
                <w:color w:val="auto"/>
              </w:rPr>
            </w:pPr>
            <w:r>
              <w:rPr>
                <w:rFonts w:ascii="Arial" w:cs="Arial" w:eastAsia="Arial" w:hAnsi="Arial"/>
                <w:sz w:val="13"/>
                <w:szCs w:val="13"/>
                <w:color w:val="auto"/>
                <w:w w:val="96"/>
              </w:rPr>
              <w:t>62</w:t>
            </w:r>
          </w:p>
        </w:tc>
      </w:tr>
      <w:tr>
        <w:trPr>
          <w:trHeight w:val="33"/>
        </w:trPr>
        <w:tc>
          <w:tcPr>
            <w:tcW w:w="50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70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62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20" w:type="dxa"/>
            <w:vAlign w:val="bottom"/>
            <w:tcBorders>
              <w:bottom w:val="single" w:sz="8" w:color="ADB1C7"/>
            </w:tcBorders>
          </w:tcPr>
          <w:p>
            <w:pPr>
              <w:spacing w:after="0"/>
              <w:rPr>
                <w:sz w:val="2"/>
                <w:szCs w:val="2"/>
                <w:color w:val="auto"/>
              </w:rPr>
            </w:pPr>
          </w:p>
        </w:tc>
      </w:tr>
      <w:tr>
        <w:trPr>
          <w:trHeight w:val="184"/>
        </w:trPr>
        <w:tc>
          <w:tcPr>
            <w:tcW w:w="5060" w:type="dxa"/>
            <w:vAlign w:val="bottom"/>
          </w:tcPr>
          <w:p>
            <w:pPr>
              <w:ind w:left="100"/>
              <w:spacing w:after="0"/>
              <w:rPr>
                <w:sz w:val="20"/>
                <w:szCs w:val="20"/>
                <w:color w:val="auto"/>
              </w:rPr>
            </w:pPr>
            <w:r>
              <w:rPr>
                <w:rFonts w:ascii="Arial" w:cs="Arial" w:eastAsia="Arial" w:hAnsi="Arial"/>
                <w:sz w:val="13"/>
                <w:szCs w:val="13"/>
                <w:color w:val="auto"/>
              </w:rPr>
              <w:t>Class</w:t>
            </w:r>
          </w:p>
        </w:tc>
        <w:tc>
          <w:tcPr>
            <w:tcW w:w="540" w:type="dxa"/>
            <w:vAlign w:val="bottom"/>
          </w:tcPr>
          <w:p>
            <w:pPr>
              <w:jc w:val="center"/>
              <w:spacing w:after="0"/>
              <w:rPr>
                <w:sz w:val="20"/>
                <w:szCs w:val="20"/>
                <w:color w:val="auto"/>
              </w:rPr>
            </w:pPr>
            <w:r>
              <w:rPr>
                <w:rFonts w:ascii="Arial" w:cs="Arial" w:eastAsia="Arial" w:hAnsi="Arial"/>
                <w:sz w:val="13"/>
                <w:szCs w:val="13"/>
                <w:color w:val="auto"/>
              </w:rPr>
              <w:t>II</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III</w:t>
            </w:r>
          </w:p>
        </w:tc>
        <w:tc>
          <w:tcPr>
            <w:tcW w:w="540" w:type="dxa"/>
            <w:vAlign w:val="bottom"/>
          </w:tcPr>
          <w:p>
            <w:pPr>
              <w:jc w:val="center"/>
              <w:ind w:right="1"/>
              <w:spacing w:after="0"/>
              <w:rPr>
                <w:sz w:val="20"/>
                <w:szCs w:val="20"/>
                <w:color w:val="auto"/>
              </w:rPr>
            </w:pPr>
            <w:r>
              <w:rPr>
                <w:rFonts w:ascii="Arial" w:cs="Arial" w:eastAsia="Arial" w:hAnsi="Arial"/>
                <w:sz w:val="13"/>
                <w:szCs w:val="13"/>
                <w:color w:val="auto"/>
              </w:rPr>
              <w:t>III</w:t>
            </w:r>
          </w:p>
        </w:tc>
        <w:tc>
          <w:tcPr>
            <w:tcW w:w="620" w:type="dxa"/>
            <w:vAlign w:val="bottom"/>
          </w:tcPr>
          <w:p>
            <w:pPr>
              <w:jc w:val="center"/>
              <w:ind w:right="1"/>
              <w:spacing w:after="0"/>
              <w:rPr>
                <w:sz w:val="20"/>
                <w:szCs w:val="20"/>
                <w:color w:val="auto"/>
              </w:rPr>
            </w:pPr>
            <w:r>
              <w:rPr>
                <w:rFonts w:ascii="Arial" w:cs="Arial" w:eastAsia="Arial" w:hAnsi="Arial"/>
                <w:sz w:val="13"/>
                <w:szCs w:val="13"/>
                <w:color w:val="auto"/>
              </w:rPr>
              <w:t>I</w:t>
            </w:r>
          </w:p>
        </w:tc>
        <w:tc>
          <w:tcPr>
            <w:tcW w:w="540" w:type="dxa"/>
            <w:vAlign w:val="bottom"/>
          </w:tcPr>
          <w:p>
            <w:pPr>
              <w:jc w:val="center"/>
              <w:ind w:right="4"/>
              <w:spacing w:after="0"/>
              <w:rPr>
                <w:sz w:val="20"/>
                <w:szCs w:val="20"/>
                <w:color w:val="auto"/>
              </w:rPr>
            </w:pPr>
            <w:r>
              <w:rPr>
                <w:rFonts w:ascii="Arial" w:cs="Arial" w:eastAsia="Arial" w:hAnsi="Arial"/>
                <w:sz w:val="13"/>
                <w:szCs w:val="13"/>
                <w:color w:val="auto"/>
              </w:rPr>
              <w:t>I</w:t>
            </w:r>
          </w:p>
        </w:tc>
        <w:tc>
          <w:tcPr>
            <w:tcW w:w="540" w:type="dxa"/>
            <w:vAlign w:val="bottom"/>
          </w:tcPr>
          <w:p>
            <w:pPr>
              <w:jc w:val="center"/>
              <w:spacing w:after="0"/>
              <w:rPr>
                <w:sz w:val="20"/>
                <w:szCs w:val="20"/>
                <w:color w:val="auto"/>
              </w:rPr>
            </w:pPr>
            <w:r>
              <w:rPr>
                <w:rFonts w:ascii="Arial" w:cs="Arial" w:eastAsia="Arial" w:hAnsi="Arial"/>
                <w:sz w:val="13"/>
                <w:szCs w:val="13"/>
                <w:color w:val="auto"/>
              </w:rPr>
              <w:t>I</w:t>
            </w:r>
          </w:p>
        </w:tc>
        <w:tc>
          <w:tcPr>
            <w:tcW w:w="560" w:type="dxa"/>
            <w:vAlign w:val="bottom"/>
          </w:tcPr>
          <w:p>
            <w:pPr>
              <w:jc w:val="center"/>
              <w:spacing w:after="0"/>
              <w:rPr>
                <w:sz w:val="20"/>
                <w:szCs w:val="20"/>
                <w:color w:val="auto"/>
              </w:rPr>
            </w:pPr>
            <w:r>
              <w:rPr>
                <w:rFonts w:ascii="Arial" w:cs="Arial" w:eastAsia="Arial" w:hAnsi="Arial"/>
                <w:sz w:val="13"/>
                <w:szCs w:val="13"/>
                <w:color w:val="auto"/>
              </w:rPr>
              <w:t>II</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II</w:t>
            </w:r>
          </w:p>
        </w:tc>
        <w:tc>
          <w:tcPr>
            <w:tcW w:w="540" w:type="dxa"/>
            <w:vAlign w:val="bottom"/>
          </w:tcPr>
          <w:p>
            <w:pPr>
              <w:jc w:val="center"/>
              <w:spacing w:after="0"/>
              <w:rPr>
                <w:sz w:val="20"/>
                <w:szCs w:val="20"/>
                <w:color w:val="auto"/>
              </w:rPr>
            </w:pPr>
            <w:r>
              <w:rPr>
                <w:rFonts w:ascii="Arial" w:cs="Arial" w:eastAsia="Arial" w:hAnsi="Arial"/>
                <w:sz w:val="13"/>
                <w:szCs w:val="13"/>
                <w:color w:val="auto"/>
                <w:w w:val="91"/>
              </w:rPr>
              <w:t>III</w:t>
            </w:r>
          </w:p>
        </w:tc>
        <w:tc>
          <w:tcPr>
            <w:tcW w:w="540" w:type="dxa"/>
            <w:vAlign w:val="bottom"/>
          </w:tcPr>
          <w:p>
            <w:pPr>
              <w:jc w:val="center"/>
              <w:ind w:right="4"/>
              <w:spacing w:after="0"/>
              <w:rPr>
                <w:sz w:val="20"/>
                <w:szCs w:val="20"/>
                <w:color w:val="auto"/>
              </w:rPr>
            </w:pPr>
            <w:r>
              <w:rPr>
                <w:rFonts w:ascii="Arial" w:cs="Arial" w:eastAsia="Arial" w:hAnsi="Arial"/>
                <w:sz w:val="13"/>
                <w:szCs w:val="13"/>
                <w:color w:val="auto"/>
              </w:rPr>
              <w:t>I</w:t>
            </w:r>
          </w:p>
        </w:tc>
        <w:tc>
          <w:tcPr>
            <w:tcW w:w="520" w:type="dxa"/>
            <w:vAlign w:val="bottom"/>
          </w:tcPr>
          <w:p>
            <w:pPr>
              <w:jc w:val="center"/>
              <w:spacing w:after="0"/>
              <w:rPr>
                <w:sz w:val="20"/>
                <w:szCs w:val="20"/>
                <w:color w:val="auto"/>
              </w:rPr>
            </w:pPr>
            <w:r>
              <w:rPr>
                <w:rFonts w:ascii="Arial" w:cs="Arial" w:eastAsia="Arial" w:hAnsi="Arial"/>
                <w:sz w:val="13"/>
                <w:szCs w:val="13"/>
                <w:color w:val="auto"/>
              </w:rPr>
              <w:t>III</w:t>
            </w:r>
          </w:p>
        </w:tc>
      </w:tr>
      <w:tr>
        <w:trPr>
          <w:trHeight w:val="33"/>
        </w:trPr>
        <w:tc>
          <w:tcPr>
            <w:tcW w:w="50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70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62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20" w:type="dxa"/>
            <w:vAlign w:val="bottom"/>
            <w:tcBorders>
              <w:bottom w:val="single" w:sz="8" w:color="ADB1C7"/>
            </w:tcBorders>
          </w:tcPr>
          <w:p>
            <w:pPr>
              <w:spacing w:after="0"/>
              <w:rPr>
                <w:sz w:val="2"/>
                <w:szCs w:val="2"/>
                <w:color w:val="auto"/>
              </w:rPr>
            </w:pPr>
          </w:p>
        </w:tc>
      </w:tr>
      <w:tr>
        <w:trPr>
          <w:trHeight w:val="184"/>
        </w:trPr>
        <w:tc>
          <w:tcPr>
            <w:tcW w:w="5060" w:type="dxa"/>
            <w:vAlign w:val="bottom"/>
          </w:tcPr>
          <w:p>
            <w:pPr>
              <w:ind w:left="100"/>
              <w:spacing w:after="0"/>
              <w:rPr>
                <w:sz w:val="20"/>
                <w:szCs w:val="20"/>
                <w:color w:val="auto"/>
              </w:rPr>
            </w:pPr>
            <w:r>
              <w:rPr>
                <w:rFonts w:ascii="Arial" w:cs="Arial" w:eastAsia="Arial" w:hAnsi="Arial"/>
                <w:sz w:val="13"/>
                <w:szCs w:val="13"/>
                <w:color w:val="auto"/>
              </w:rPr>
              <w:t>Term Expires</w:t>
            </w:r>
          </w:p>
        </w:tc>
        <w:tc>
          <w:tcPr>
            <w:tcW w:w="540" w:type="dxa"/>
            <w:vAlign w:val="bottom"/>
          </w:tcPr>
          <w:p>
            <w:pPr>
              <w:jc w:val="center"/>
              <w:spacing w:after="0"/>
              <w:rPr>
                <w:sz w:val="20"/>
                <w:szCs w:val="20"/>
                <w:color w:val="auto"/>
              </w:rPr>
            </w:pPr>
            <w:r>
              <w:rPr>
                <w:rFonts w:ascii="Arial" w:cs="Arial" w:eastAsia="Arial" w:hAnsi="Arial"/>
                <w:sz w:val="13"/>
                <w:szCs w:val="13"/>
                <w:color w:val="auto"/>
              </w:rPr>
              <w:t>2025</w:t>
            </w:r>
          </w:p>
        </w:tc>
        <w:tc>
          <w:tcPr>
            <w:tcW w:w="700" w:type="dxa"/>
            <w:vAlign w:val="bottom"/>
          </w:tcPr>
          <w:p>
            <w:pPr>
              <w:jc w:val="center"/>
              <w:spacing w:after="0"/>
              <w:rPr>
                <w:sz w:val="20"/>
                <w:szCs w:val="20"/>
                <w:color w:val="auto"/>
              </w:rPr>
            </w:pPr>
            <w:r>
              <w:rPr>
                <w:rFonts w:ascii="Arial" w:cs="Arial" w:eastAsia="Arial" w:hAnsi="Arial"/>
                <w:sz w:val="13"/>
                <w:szCs w:val="13"/>
                <w:color w:val="auto"/>
              </w:rPr>
              <w:t>2026</w:t>
            </w:r>
          </w:p>
        </w:tc>
        <w:tc>
          <w:tcPr>
            <w:tcW w:w="540" w:type="dxa"/>
            <w:vAlign w:val="bottom"/>
          </w:tcPr>
          <w:p>
            <w:pPr>
              <w:jc w:val="center"/>
              <w:spacing w:after="0"/>
              <w:rPr>
                <w:sz w:val="20"/>
                <w:szCs w:val="20"/>
                <w:color w:val="auto"/>
              </w:rPr>
            </w:pPr>
            <w:r>
              <w:rPr>
                <w:rFonts w:ascii="Arial" w:cs="Arial" w:eastAsia="Arial" w:hAnsi="Arial"/>
                <w:sz w:val="13"/>
                <w:szCs w:val="13"/>
                <w:color w:val="auto"/>
              </w:rPr>
              <w:t>2026</w:t>
            </w:r>
          </w:p>
        </w:tc>
        <w:tc>
          <w:tcPr>
            <w:tcW w:w="620" w:type="dxa"/>
            <w:vAlign w:val="bottom"/>
          </w:tcPr>
          <w:p>
            <w:pPr>
              <w:jc w:val="center"/>
              <w:ind w:right="1"/>
              <w:spacing w:after="0"/>
              <w:rPr>
                <w:sz w:val="20"/>
                <w:szCs w:val="20"/>
                <w:color w:val="auto"/>
              </w:rPr>
            </w:pPr>
            <w:r>
              <w:rPr>
                <w:rFonts w:ascii="Arial" w:cs="Arial" w:eastAsia="Arial" w:hAnsi="Arial"/>
                <w:sz w:val="13"/>
                <w:szCs w:val="13"/>
                <w:color w:val="auto"/>
                <w:w w:val="96"/>
              </w:rPr>
              <w:t>2027</w:t>
            </w:r>
          </w:p>
        </w:tc>
        <w:tc>
          <w:tcPr>
            <w:tcW w:w="540" w:type="dxa"/>
            <w:vAlign w:val="bottom"/>
          </w:tcPr>
          <w:p>
            <w:pPr>
              <w:jc w:val="center"/>
              <w:spacing w:after="0"/>
              <w:rPr>
                <w:sz w:val="20"/>
                <w:szCs w:val="20"/>
                <w:color w:val="auto"/>
              </w:rPr>
            </w:pPr>
            <w:r>
              <w:rPr>
                <w:rFonts w:ascii="Arial" w:cs="Arial" w:eastAsia="Arial" w:hAnsi="Arial"/>
                <w:sz w:val="13"/>
                <w:szCs w:val="13"/>
                <w:color w:val="auto"/>
              </w:rPr>
              <w:t>2027</w:t>
            </w:r>
          </w:p>
        </w:tc>
        <w:tc>
          <w:tcPr>
            <w:tcW w:w="540" w:type="dxa"/>
            <w:vAlign w:val="bottom"/>
          </w:tcPr>
          <w:p>
            <w:pPr>
              <w:jc w:val="center"/>
              <w:spacing w:after="0"/>
              <w:rPr>
                <w:sz w:val="20"/>
                <w:szCs w:val="20"/>
                <w:color w:val="auto"/>
              </w:rPr>
            </w:pPr>
            <w:r>
              <w:rPr>
                <w:rFonts w:ascii="Arial" w:cs="Arial" w:eastAsia="Arial" w:hAnsi="Arial"/>
                <w:sz w:val="13"/>
                <w:szCs w:val="13"/>
                <w:color w:val="auto"/>
              </w:rPr>
              <w:t>2027</w:t>
            </w: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540" w:type="dxa"/>
            <w:vAlign w:val="bottom"/>
          </w:tcPr>
          <w:p>
            <w:pPr>
              <w:jc w:val="center"/>
              <w:spacing w:after="0"/>
              <w:rPr>
                <w:sz w:val="20"/>
                <w:szCs w:val="20"/>
                <w:color w:val="auto"/>
              </w:rPr>
            </w:pPr>
            <w:r>
              <w:rPr>
                <w:rFonts w:ascii="Arial" w:cs="Arial" w:eastAsia="Arial" w:hAnsi="Arial"/>
                <w:sz w:val="13"/>
                <w:szCs w:val="13"/>
                <w:color w:val="auto"/>
              </w:rPr>
              <w:t>2025</w:t>
            </w:r>
          </w:p>
        </w:tc>
        <w:tc>
          <w:tcPr>
            <w:tcW w:w="540" w:type="dxa"/>
            <w:vAlign w:val="bottom"/>
          </w:tcPr>
          <w:p>
            <w:pPr>
              <w:jc w:val="center"/>
              <w:spacing w:after="0"/>
              <w:rPr>
                <w:sz w:val="20"/>
                <w:szCs w:val="20"/>
                <w:color w:val="auto"/>
              </w:rPr>
            </w:pPr>
            <w:r>
              <w:rPr>
                <w:rFonts w:ascii="Arial" w:cs="Arial" w:eastAsia="Arial" w:hAnsi="Arial"/>
                <w:sz w:val="13"/>
                <w:szCs w:val="13"/>
                <w:color w:val="auto"/>
              </w:rPr>
              <w:t>2026</w:t>
            </w:r>
          </w:p>
        </w:tc>
        <w:tc>
          <w:tcPr>
            <w:tcW w:w="540" w:type="dxa"/>
            <w:vAlign w:val="bottom"/>
          </w:tcPr>
          <w:p>
            <w:pPr>
              <w:jc w:val="center"/>
              <w:spacing w:after="0"/>
              <w:rPr>
                <w:sz w:val="20"/>
                <w:szCs w:val="20"/>
                <w:color w:val="auto"/>
              </w:rPr>
            </w:pPr>
            <w:r>
              <w:rPr>
                <w:rFonts w:ascii="Arial" w:cs="Arial" w:eastAsia="Arial" w:hAnsi="Arial"/>
                <w:sz w:val="13"/>
                <w:szCs w:val="13"/>
                <w:color w:val="auto"/>
              </w:rPr>
              <w:t>2027</w:t>
            </w:r>
          </w:p>
        </w:tc>
        <w:tc>
          <w:tcPr>
            <w:tcW w:w="520" w:type="dxa"/>
            <w:vAlign w:val="bottom"/>
          </w:tcPr>
          <w:p>
            <w:pPr>
              <w:jc w:val="center"/>
              <w:spacing w:after="0"/>
              <w:rPr>
                <w:sz w:val="20"/>
                <w:szCs w:val="20"/>
                <w:color w:val="auto"/>
              </w:rPr>
            </w:pPr>
            <w:r>
              <w:rPr>
                <w:rFonts w:ascii="Arial" w:cs="Arial" w:eastAsia="Arial" w:hAnsi="Arial"/>
                <w:sz w:val="13"/>
                <w:szCs w:val="13"/>
                <w:color w:val="auto"/>
              </w:rPr>
              <w:t>2026</w:t>
            </w:r>
          </w:p>
        </w:tc>
      </w:tr>
      <w:tr>
        <w:trPr>
          <w:trHeight w:val="33"/>
        </w:trPr>
        <w:tc>
          <w:tcPr>
            <w:tcW w:w="5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4"/>
        </w:trPr>
        <w:tc>
          <w:tcPr>
            <w:tcW w:w="5060" w:type="dxa"/>
            <w:vAlign w:val="bottom"/>
            <w:tcBorders>
              <w:bottom w:val="single" w:sz="8" w:color="E1D7AC"/>
              <w:right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Gender</w:t>
            </w: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70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62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6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20" w:type="dxa"/>
            <w:vAlign w:val="bottom"/>
            <w:tcBorders>
              <w:bottom w:val="single" w:sz="8" w:color="E1D7AC"/>
            </w:tcBorders>
            <w:shd w:val="clear" w:color="auto" w:fill="E1D7AC"/>
          </w:tcPr>
          <w:p>
            <w:pPr>
              <w:spacing w:after="0"/>
              <w:rPr>
                <w:sz w:val="17"/>
                <w:szCs w:val="17"/>
                <w:color w:val="auto"/>
              </w:rPr>
            </w:pPr>
          </w:p>
        </w:tc>
      </w:tr>
      <w:tr>
        <w:trPr>
          <w:trHeight w:val="140"/>
        </w:trPr>
        <w:tc>
          <w:tcPr>
            <w:tcW w:w="5060" w:type="dxa"/>
            <w:vAlign w:val="bottom"/>
          </w:tcPr>
          <w:p>
            <w:pPr>
              <w:ind w:left="100"/>
              <w:spacing w:after="0" w:line="124" w:lineRule="exact"/>
              <w:rPr>
                <w:sz w:val="20"/>
                <w:szCs w:val="20"/>
                <w:color w:val="auto"/>
              </w:rPr>
            </w:pPr>
            <w:r>
              <w:rPr>
                <w:rFonts w:ascii="Arial" w:cs="Arial" w:eastAsia="Arial" w:hAnsi="Arial"/>
                <w:sz w:val="13"/>
                <w:szCs w:val="13"/>
                <w:color w:val="auto"/>
              </w:rPr>
              <w:t>Female</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83"/>
        </w:trPr>
        <w:tc>
          <w:tcPr>
            <w:tcW w:w="5060" w:type="dxa"/>
            <w:vAlign w:val="bottom"/>
            <w:tcBorders>
              <w:bottom w:val="single" w:sz="8" w:color="AEB1C5"/>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70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62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6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20" w:type="dxa"/>
            <w:vAlign w:val="bottom"/>
            <w:tcBorders>
              <w:bottom w:val="single" w:sz="8" w:color="B6B6B6"/>
            </w:tcBorders>
          </w:tcPr>
          <w:p>
            <w:pPr>
              <w:spacing w:after="0"/>
              <w:rPr>
                <w:sz w:val="7"/>
                <w:szCs w:val="7"/>
                <w:color w:val="auto"/>
              </w:rPr>
            </w:pPr>
          </w:p>
        </w:tc>
      </w:tr>
      <w:tr>
        <w:trPr>
          <w:trHeight w:val="133"/>
        </w:trPr>
        <w:tc>
          <w:tcPr>
            <w:tcW w:w="5060" w:type="dxa"/>
            <w:vAlign w:val="bottom"/>
          </w:tcPr>
          <w:p>
            <w:pPr>
              <w:ind w:left="100"/>
              <w:spacing w:after="0" w:line="124" w:lineRule="exact"/>
              <w:rPr>
                <w:sz w:val="20"/>
                <w:szCs w:val="20"/>
                <w:color w:val="auto"/>
              </w:rPr>
            </w:pPr>
            <w:r>
              <w:rPr>
                <w:rFonts w:ascii="Arial" w:cs="Arial" w:eastAsia="Arial" w:hAnsi="Arial"/>
                <w:sz w:val="13"/>
                <w:szCs w:val="13"/>
                <w:color w:val="auto"/>
              </w:rPr>
              <w:t>Male</w:t>
            </w:r>
          </w:p>
        </w:tc>
        <w:tc>
          <w:tcPr>
            <w:tcW w:w="5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Webdings" w:cs="Webdings" w:eastAsia="Webdings" w:hAnsi="Webdings"/>
                <w:sz w:val="8"/>
                <w:szCs w:val="8"/>
                <w:b w:val="1"/>
                <w:bCs w:val="1"/>
                <w:color w:val="auto"/>
              </w:rPr>
              <w:t>n</w:t>
            </w:r>
          </w:p>
        </w:tc>
        <w:tc>
          <w:tcPr>
            <w:tcW w:w="540" w:type="dxa"/>
            <w:vAlign w:val="bottom"/>
          </w:tcPr>
          <w:p>
            <w:pPr>
              <w:jc w:val="center"/>
              <w:ind w:right="1"/>
              <w:spacing w:after="0"/>
              <w:rPr>
                <w:sz w:val="20"/>
                <w:szCs w:val="20"/>
                <w:color w:val="auto"/>
              </w:rPr>
            </w:pPr>
            <w:r>
              <w:rPr>
                <w:rFonts w:ascii="Webdings" w:cs="Webdings" w:eastAsia="Webdings" w:hAnsi="Webdings"/>
                <w:sz w:val="8"/>
                <w:szCs w:val="8"/>
                <w:b w:val="1"/>
                <w:bCs w:val="1"/>
                <w:color w:val="auto"/>
                <w:w w:val="99"/>
              </w:rPr>
              <w:t>n</w:t>
            </w:r>
          </w:p>
        </w:tc>
        <w:tc>
          <w:tcPr>
            <w:tcW w:w="620" w:type="dxa"/>
            <w:vAlign w:val="bottom"/>
          </w:tcPr>
          <w:p>
            <w:pPr>
              <w:jc w:val="center"/>
              <w:ind w:right="1"/>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2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r>
      <w:tr>
        <w:trPr>
          <w:trHeight w:val="83"/>
        </w:trPr>
        <w:tc>
          <w:tcPr>
            <w:tcW w:w="5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204"/>
        </w:trPr>
        <w:tc>
          <w:tcPr>
            <w:tcW w:w="5060" w:type="dxa"/>
            <w:vAlign w:val="bottom"/>
            <w:tcBorders>
              <w:bottom w:val="single" w:sz="8" w:color="E1D7AC"/>
              <w:right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Demographic Background</w:t>
            </w: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70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62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6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20" w:type="dxa"/>
            <w:vAlign w:val="bottom"/>
            <w:tcBorders>
              <w:bottom w:val="single" w:sz="8" w:color="E1D7AC"/>
            </w:tcBorders>
            <w:shd w:val="clear" w:color="auto" w:fill="E1D7AC"/>
          </w:tcPr>
          <w:p>
            <w:pPr>
              <w:spacing w:after="0"/>
              <w:rPr>
                <w:sz w:val="17"/>
                <w:szCs w:val="17"/>
                <w:color w:val="auto"/>
              </w:rPr>
            </w:pPr>
          </w:p>
        </w:tc>
      </w:tr>
      <w:tr>
        <w:trPr>
          <w:trHeight w:val="140"/>
        </w:trPr>
        <w:tc>
          <w:tcPr>
            <w:tcW w:w="5060" w:type="dxa"/>
            <w:vAlign w:val="bottom"/>
          </w:tcPr>
          <w:p>
            <w:pPr>
              <w:ind w:left="100"/>
              <w:spacing w:after="0" w:line="124" w:lineRule="exact"/>
              <w:rPr>
                <w:sz w:val="20"/>
                <w:szCs w:val="20"/>
                <w:color w:val="auto"/>
              </w:rPr>
            </w:pPr>
            <w:r>
              <w:rPr>
                <w:rFonts w:ascii="Arial" w:cs="Arial" w:eastAsia="Arial" w:hAnsi="Arial"/>
                <w:sz w:val="13"/>
                <w:szCs w:val="13"/>
                <w:color w:val="auto"/>
              </w:rPr>
              <w:t>Black or African American</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r>
      <w:tr>
        <w:trPr>
          <w:trHeight w:val="83"/>
        </w:trPr>
        <w:tc>
          <w:tcPr>
            <w:tcW w:w="5060" w:type="dxa"/>
            <w:vAlign w:val="bottom"/>
            <w:tcBorders>
              <w:bottom w:val="single" w:sz="8" w:color="AEB1C5"/>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70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62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6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20" w:type="dxa"/>
            <w:vAlign w:val="bottom"/>
            <w:tcBorders>
              <w:bottom w:val="single" w:sz="8" w:color="B6B6B6"/>
            </w:tcBorders>
          </w:tcPr>
          <w:p>
            <w:pPr>
              <w:spacing w:after="0"/>
              <w:rPr>
                <w:sz w:val="7"/>
                <w:szCs w:val="7"/>
                <w:color w:val="auto"/>
              </w:rPr>
            </w:pPr>
          </w:p>
        </w:tc>
      </w:tr>
      <w:tr>
        <w:trPr>
          <w:trHeight w:val="133"/>
        </w:trPr>
        <w:tc>
          <w:tcPr>
            <w:tcW w:w="5060" w:type="dxa"/>
            <w:vAlign w:val="bottom"/>
          </w:tcPr>
          <w:p>
            <w:pPr>
              <w:ind w:left="100"/>
              <w:spacing w:after="0" w:line="124" w:lineRule="exact"/>
              <w:rPr>
                <w:sz w:val="20"/>
                <w:szCs w:val="20"/>
                <w:color w:val="auto"/>
              </w:rPr>
            </w:pPr>
            <w:r>
              <w:rPr>
                <w:rFonts w:ascii="Arial" w:cs="Arial" w:eastAsia="Arial" w:hAnsi="Arial"/>
                <w:sz w:val="13"/>
                <w:szCs w:val="13"/>
                <w:color w:val="auto"/>
              </w:rPr>
              <w:t>White</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700" w:type="dxa"/>
            <w:vAlign w:val="bottom"/>
          </w:tcPr>
          <w:p>
            <w:pPr>
              <w:jc w:val="center"/>
              <w:spacing w:after="0"/>
              <w:rPr>
                <w:sz w:val="20"/>
                <w:szCs w:val="20"/>
                <w:color w:val="auto"/>
              </w:rPr>
            </w:pPr>
            <w:r>
              <w:rPr>
                <w:rFonts w:ascii="Webdings" w:cs="Webdings" w:eastAsia="Webdings" w:hAnsi="Webdings"/>
                <w:sz w:val="8"/>
                <w:szCs w:val="8"/>
                <w:b w:val="1"/>
                <w:bCs w:val="1"/>
                <w:color w:val="auto"/>
              </w:rPr>
              <w:t>n</w:t>
            </w:r>
          </w:p>
        </w:tc>
        <w:tc>
          <w:tcPr>
            <w:tcW w:w="540" w:type="dxa"/>
            <w:vAlign w:val="bottom"/>
          </w:tcPr>
          <w:p>
            <w:pPr>
              <w:jc w:val="center"/>
              <w:ind w:right="1"/>
              <w:spacing w:after="0"/>
              <w:rPr>
                <w:sz w:val="20"/>
                <w:szCs w:val="20"/>
                <w:color w:val="auto"/>
              </w:rPr>
            </w:pPr>
            <w:r>
              <w:rPr>
                <w:rFonts w:ascii="Webdings" w:cs="Webdings" w:eastAsia="Webdings" w:hAnsi="Webdings"/>
                <w:sz w:val="8"/>
                <w:szCs w:val="8"/>
                <w:b w:val="1"/>
                <w:bCs w:val="1"/>
                <w:color w:val="auto"/>
                <w:w w:val="99"/>
              </w:rPr>
              <w:t>n</w:t>
            </w:r>
          </w:p>
        </w:tc>
        <w:tc>
          <w:tcPr>
            <w:tcW w:w="620" w:type="dxa"/>
            <w:vAlign w:val="bottom"/>
          </w:tcPr>
          <w:p>
            <w:pPr>
              <w:jc w:val="center"/>
              <w:ind w:right="1"/>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6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spacing w:after="0"/>
              <w:rPr>
                <w:sz w:val="11"/>
                <w:szCs w:val="11"/>
                <w:color w:val="auto"/>
              </w:rPr>
            </w:pP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143115" cy="762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-1534795</wp:posOffset>
            </wp:positionV>
            <wp:extent cx="80010" cy="8001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-1534795</wp:posOffset>
            </wp:positionV>
            <wp:extent cx="80010" cy="8001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-1534795</wp:posOffset>
            </wp:positionV>
            <wp:extent cx="80010" cy="8001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-1534795</wp:posOffset>
            </wp:positionV>
            <wp:extent cx="80010" cy="8001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-1534795</wp:posOffset>
            </wp:positionV>
            <wp:extent cx="80010" cy="8001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-1534795</wp:posOffset>
            </wp:positionV>
            <wp:extent cx="80010" cy="8001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-1534795</wp:posOffset>
            </wp:positionV>
            <wp:extent cx="80010" cy="8001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-1534795</wp:posOffset>
            </wp:positionV>
            <wp:extent cx="80010" cy="8001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6930390</wp:posOffset>
            </wp:positionH>
            <wp:positionV relativeFrom="paragraph">
              <wp:posOffset>-1534795</wp:posOffset>
            </wp:positionV>
            <wp:extent cx="80010" cy="8001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-650240</wp:posOffset>
            </wp:positionV>
            <wp:extent cx="80010" cy="8001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-650240</wp:posOffset>
            </wp:positionV>
            <wp:extent cx="80010" cy="8001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-650240</wp:posOffset>
            </wp:positionV>
            <wp:extent cx="80010" cy="8001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-650240</wp:posOffset>
            </wp:positionV>
            <wp:extent cx="80010" cy="8001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-500380</wp:posOffset>
            </wp:positionV>
            <wp:extent cx="80010" cy="8001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-500380</wp:posOffset>
            </wp:positionV>
            <wp:extent cx="80010" cy="8001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-500380</wp:posOffset>
            </wp:positionV>
            <wp:extent cx="80010" cy="8001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-500380</wp:posOffset>
            </wp:positionV>
            <wp:extent cx="80010" cy="8001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-500380</wp:posOffset>
            </wp:positionV>
            <wp:extent cx="80010" cy="8001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-500380</wp:posOffset>
            </wp:positionV>
            <wp:extent cx="80010" cy="8001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6930390</wp:posOffset>
            </wp:positionH>
            <wp:positionV relativeFrom="paragraph">
              <wp:posOffset>-500380</wp:posOffset>
            </wp:positionV>
            <wp:extent cx="80010" cy="8001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-216535</wp:posOffset>
            </wp:positionV>
            <wp:extent cx="80010" cy="8001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6930390</wp:posOffset>
            </wp:positionH>
            <wp:positionV relativeFrom="paragraph">
              <wp:posOffset>-216535</wp:posOffset>
            </wp:positionV>
            <wp:extent cx="80010" cy="8001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-66675</wp:posOffset>
            </wp:positionV>
            <wp:extent cx="80010" cy="8001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-66675</wp:posOffset>
            </wp:positionV>
            <wp:extent cx="80010" cy="8001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-66675</wp:posOffset>
            </wp:positionV>
            <wp:extent cx="80010" cy="8001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-66675</wp:posOffset>
            </wp:positionV>
            <wp:extent cx="80010" cy="8001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-66675</wp:posOffset>
            </wp:positionV>
            <wp:extent cx="80010" cy="8001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-66675</wp:posOffset>
            </wp:positionV>
            <wp:extent cx="80010" cy="8001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-66675</wp:posOffset>
            </wp:positionV>
            <wp:extent cx="80010" cy="8001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-66675</wp:posOffset>
            </wp:positionV>
            <wp:extent cx="80010" cy="8001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-66675</wp:posOffset>
            </wp:positionV>
            <wp:extent cx="80010" cy="8001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0010" cy="8001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40" w:type="dxa"/>
            <w:vAlign w:val="bottom"/>
          </w:tcPr>
          <w:p>
            <w:pPr>
              <w:ind w:left="100"/>
              <w:spacing w:after="0"/>
              <w:rPr>
                <w:sz w:val="20"/>
                <w:szCs w:val="20"/>
                <w:color w:val="auto"/>
              </w:rPr>
            </w:pPr>
            <w:r>
              <w:rPr>
                <w:rFonts w:ascii="Arial" w:cs="Arial" w:eastAsia="Arial" w:hAnsi="Arial"/>
                <w:sz w:val="13"/>
                <w:szCs w:val="13"/>
                <w:color w:val="auto"/>
              </w:rPr>
              <w:t>Native American</w:t>
            </w:r>
          </w:p>
        </w:tc>
        <w:tc>
          <w:tcPr>
            <w:tcW w:w="6200" w:type="dxa"/>
            <w:vAlign w:val="bottom"/>
          </w:tcPr>
          <w:p>
            <w:pPr>
              <w:ind w:left="1460"/>
              <w:spacing w:after="0"/>
              <w:rPr>
                <w:sz w:val="20"/>
                <w:szCs w:val="20"/>
                <w:color w:val="auto"/>
              </w:rPr>
            </w:pPr>
            <w:r>
              <w:rPr>
                <w:rFonts w:ascii="Webdings" w:cs="Webdings" w:eastAsia="Webdings" w:hAnsi="Webdings"/>
                <w:sz w:val="8"/>
                <w:szCs w:val="8"/>
                <w:b w:val="1"/>
                <w:bCs w:val="1"/>
                <w:color w:val="auto"/>
              </w:rPr>
              <w:t>n</w:t>
            </w:r>
          </w:p>
        </w:tc>
      </w:tr>
      <w:tr>
        <w:trPr>
          <w:trHeight w:val="83"/>
        </w:trPr>
        <w:tc>
          <w:tcPr>
            <w:tcW w:w="5040" w:type="dxa"/>
            <w:vAlign w:val="bottom"/>
            <w:tcBorders>
              <w:bottom w:val="single" w:sz="8" w:color="AEB1C5"/>
            </w:tcBorders>
          </w:tcPr>
          <w:p>
            <w:pPr>
              <w:spacing w:after="0"/>
              <w:rPr>
                <w:sz w:val="7"/>
                <w:szCs w:val="7"/>
                <w:color w:val="auto"/>
              </w:rPr>
            </w:pPr>
          </w:p>
        </w:tc>
        <w:tc>
          <w:tcPr>
            <w:tcW w:w="6200" w:type="dxa"/>
            <w:vAlign w:val="bottom"/>
            <w:tcBorders>
              <w:bottom w:val="single" w:sz="8" w:color="B6B6B6"/>
            </w:tcBorders>
          </w:tcPr>
          <w:p>
            <w:pPr>
              <w:spacing w:after="0"/>
              <w:rPr>
                <w:sz w:val="7"/>
                <w:szCs w:val="7"/>
                <w:color w:val="auto"/>
              </w:rPr>
            </w:pPr>
          </w:p>
        </w:tc>
      </w:tr>
      <w:tr>
        <w:trPr>
          <w:trHeight w:val="133"/>
        </w:trPr>
        <w:tc>
          <w:tcPr>
            <w:tcW w:w="5040" w:type="dxa"/>
            <w:vAlign w:val="bottom"/>
          </w:tcPr>
          <w:p>
            <w:pPr>
              <w:ind w:left="100"/>
              <w:spacing w:after="0" w:line="124" w:lineRule="exact"/>
              <w:rPr>
                <w:sz w:val="20"/>
                <w:szCs w:val="20"/>
                <w:color w:val="auto"/>
              </w:rPr>
            </w:pPr>
            <w:r>
              <w:rPr>
                <w:rFonts w:ascii="Arial" w:cs="Arial" w:eastAsia="Arial" w:hAnsi="Arial"/>
                <w:sz w:val="13"/>
                <w:szCs w:val="13"/>
                <w:color w:val="auto"/>
              </w:rPr>
              <w:t>Veteran</w:t>
            </w:r>
          </w:p>
        </w:tc>
        <w:tc>
          <w:tcPr>
            <w:tcW w:w="6200" w:type="dxa"/>
            <w:vAlign w:val="bottom"/>
          </w:tcPr>
          <w:p>
            <w:pPr>
              <w:ind w:left="1460"/>
              <w:spacing w:after="0"/>
              <w:rPr>
                <w:sz w:val="20"/>
                <w:szCs w:val="20"/>
                <w:color w:val="auto"/>
              </w:rPr>
            </w:pPr>
            <w:r>
              <w:rPr>
                <w:rFonts w:ascii="Webdings" w:cs="Webdings" w:eastAsia="Webdings" w:hAnsi="Webdings"/>
                <w:sz w:val="8"/>
                <w:szCs w:val="8"/>
                <w:b w:val="1"/>
                <w:bCs w:val="1"/>
                <w:color w:val="auto"/>
              </w:rPr>
              <w:t>n</w:t>
            </w:r>
          </w:p>
        </w:tc>
      </w:tr>
      <w:tr>
        <w:trPr>
          <w:trHeight w:val="83"/>
        </w:trPr>
        <w:tc>
          <w:tcPr>
            <w:tcW w:w="5040" w:type="dxa"/>
            <w:vAlign w:val="bottom"/>
            <w:tcBorders>
              <w:bottom w:val="single" w:sz="8" w:color="AEB1C5"/>
            </w:tcBorders>
          </w:tcPr>
          <w:p>
            <w:pPr>
              <w:spacing w:after="0"/>
              <w:rPr>
                <w:sz w:val="7"/>
                <w:szCs w:val="7"/>
                <w:color w:val="auto"/>
              </w:rPr>
            </w:pPr>
          </w:p>
        </w:tc>
        <w:tc>
          <w:tcPr>
            <w:tcW w:w="6200" w:type="dxa"/>
            <w:vAlign w:val="bottom"/>
            <w:tcBorders>
              <w:bottom w:val="single" w:sz="8" w:color="B6B6B6"/>
            </w:tcBorders>
          </w:tcPr>
          <w:p>
            <w:pPr>
              <w:spacing w:after="0"/>
              <w:rPr>
                <w:sz w:val="7"/>
                <w:szCs w:val="7"/>
                <w:color w:val="auto"/>
              </w:rPr>
            </w:pPr>
          </w:p>
        </w:tc>
      </w:tr>
      <w:tr>
        <w:trPr>
          <w:trHeight w:val="2769"/>
        </w:trPr>
        <w:tc>
          <w:tcPr>
            <w:tcW w:w="504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-2052955</wp:posOffset>
            </wp:positionV>
            <wp:extent cx="80010" cy="8001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-1903095</wp:posOffset>
            </wp:positionV>
            <wp:extent cx="80010" cy="8001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789305" cy="18923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6" w:name="page17"/>
    <w:bookmarkEnd w:id="16"/>
    <w:p>
      <w:pPr>
        <w:ind w:left="754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Board Skills Matrix</w:t>
      </w:r>
    </w:p>
    <w:p>
      <w:pPr>
        <w:spacing w:after="0" w:line="70" w:lineRule="exact"/>
        <w:rPr>
          <w:sz w:val="20"/>
          <w:szCs w:val="20"/>
          <w:color w:val="auto"/>
        </w:rPr>
      </w:pPr>
    </w:p>
    <w:p>
      <w:pPr>
        <w:ind w:right="400"/>
        <w:spacing w:after="0" w:line="310" w:lineRule="auto"/>
        <w:rPr>
          <w:sz w:val="20"/>
          <w:szCs w:val="20"/>
          <w:color w:val="auto"/>
        </w:rPr>
      </w:pPr>
      <w:r>
        <w:rPr>
          <w:rFonts w:ascii="Arial" w:cs="Arial" w:eastAsia="Arial" w:hAnsi="Arial"/>
          <w:sz w:val="15"/>
          <w:szCs w:val="15"/>
          <w:color w:val="auto"/>
        </w:rPr>
        <w:t>The following chart (as of April 21, 2025) summarizes the key qualifications and specific experience, attributes, and skills of our directors and nominees. A director or nominee may possess additional experience, attributes, skills, and qualifications, even if not expressly indicated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Legend:</w:t>
            </w:r>
          </w:p>
        </w:tc>
        <w:tc>
          <w:tcPr>
            <w:tcW w:w="2220" w:type="dxa"/>
            <w:vAlign w:val="bottom"/>
          </w:tcPr>
          <w:p>
            <w:pPr>
              <w:ind w:left="100"/>
              <w:spacing w:after="0"/>
              <w:rPr>
                <w:sz w:val="20"/>
                <w:szCs w:val="20"/>
                <w:color w:val="auto"/>
              </w:rPr>
            </w:pPr>
            <w:r>
              <w:rPr>
                <w:rFonts w:ascii="Wingdings" w:cs="Wingdings" w:eastAsia="Wingdings" w:hAnsi="Wingdings"/>
                <w:sz w:val="23"/>
                <w:szCs w:val="23"/>
                <w:b w:val="1"/>
                <w:bCs w:val="1"/>
                <w:color w:val="EF3B35"/>
              </w:rPr>
              <w:t xml:space="preserve">« </w:t>
            </w:r>
            <w:r>
              <w:rPr>
                <w:rFonts w:ascii="Arial" w:cs="Arial" w:eastAsia="Arial" w:hAnsi="Arial"/>
                <w:sz w:val="13"/>
                <w:szCs w:val="13"/>
                <w:color w:val="000000"/>
              </w:rPr>
              <w:t>Director’s Top 5 Key Skill</w:t>
            </w:r>
          </w:p>
        </w:tc>
        <w:tc>
          <w:tcPr>
            <w:tcW w:w="1640" w:type="dxa"/>
            <w:vAlign w:val="bottom"/>
          </w:tcPr>
          <w:p>
            <w:pPr>
              <w:ind w:left="40"/>
              <w:spacing w:after="0"/>
              <w:rPr>
                <w:sz w:val="20"/>
                <w:szCs w:val="20"/>
                <w:color w:val="auto"/>
              </w:rPr>
            </w:pPr>
            <w:r>
              <w:rPr>
                <w:rFonts w:ascii="Wingdings" w:cs="Wingdings" w:eastAsia="Wingdings" w:hAnsi="Wingdings"/>
                <w:sz w:val="20"/>
                <w:szCs w:val="20"/>
                <w:b w:val="1"/>
                <w:bCs w:val="1"/>
                <w:color w:val="1B4093"/>
              </w:rPr>
              <w:t xml:space="preserve">l </w:t>
            </w:r>
            <w:r>
              <w:rPr>
                <w:rFonts w:ascii="Arial" w:cs="Arial" w:eastAsia="Arial" w:hAnsi="Arial"/>
                <w:sz w:val="13"/>
                <w:szCs w:val="13"/>
                <w:color w:val="000000"/>
              </w:rPr>
              <w:t>Director’s Key Skill</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0" w:type="dxa"/>
            <w:vAlign w:val="bottom"/>
            <w:shd w:val="clear" w:color="auto" w:fill="E1D7AC"/>
          </w:tcPr>
          <w:p>
            <w:pPr>
              <w:spacing w:after="0"/>
              <w:rPr>
                <w:sz w:val="21"/>
                <w:szCs w:val="21"/>
                <w:color w:val="auto"/>
              </w:rPr>
            </w:pPr>
          </w:p>
        </w:tc>
        <w:tc>
          <w:tcPr>
            <w:tcW w:w="700" w:type="dxa"/>
            <w:vAlign w:val="bottom"/>
            <w:shd w:val="clear" w:color="auto" w:fill="E1D7AC"/>
          </w:tcPr>
          <w:p>
            <w:pPr>
              <w:spacing w:after="0"/>
              <w:rPr>
                <w:sz w:val="20"/>
                <w:szCs w:val="20"/>
                <w:color w:val="auto"/>
              </w:rPr>
            </w:pPr>
            <w:r>
              <w:rPr>
                <w:rFonts w:ascii="Arial" w:cs="Arial" w:eastAsia="Arial" w:hAnsi="Arial"/>
                <w:sz w:val="12"/>
                <w:szCs w:val="12"/>
                <w:b w:val="1"/>
                <w:bCs w:val="1"/>
                <w:color w:val="auto"/>
              </w:rPr>
              <w:t>Skill</w:t>
            </w:r>
          </w:p>
        </w:tc>
        <w:tc>
          <w:tcPr>
            <w:tcW w:w="2220" w:type="dxa"/>
            <w:vAlign w:val="bottom"/>
            <w:shd w:val="clear" w:color="auto" w:fill="E1D7AC"/>
          </w:tcPr>
          <w:p>
            <w:pPr>
              <w:spacing w:after="0"/>
              <w:rPr>
                <w:sz w:val="21"/>
                <w:szCs w:val="21"/>
                <w:color w:val="auto"/>
              </w:rPr>
            </w:pPr>
          </w:p>
        </w:tc>
        <w:tc>
          <w:tcPr>
            <w:tcW w:w="1640" w:type="dxa"/>
            <w:vAlign w:val="bottom"/>
            <w:shd w:val="clear" w:color="auto" w:fill="E1D7AC"/>
          </w:tcPr>
          <w:p>
            <w:pPr>
              <w:spacing w:after="0"/>
              <w:rPr>
                <w:sz w:val="21"/>
                <w:szCs w:val="21"/>
                <w:color w:val="auto"/>
              </w:rPr>
            </w:pPr>
          </w:p>
        </w:tc>
        <w:tc>
          <w:tcPr>
            <w:tcW w:w="780" w:type="dxa"/>
            <w:vAlign w:val="bottom"/>
            <w:tcBorders>
              <w:right w:val="single" w:sz="8" w:color="929292"/>
            </w:tcBorders>
            <w:shd w:val="clear" w:color="auto" w:fill="E1D7AC"/>
          </w:tcPr>
          <w:p>
            <w:pPr>
              <w:spacing w:after="0"/>
              <w:rPr>
                <w:sz w:val="21"/>
                <w:szCs w:val="21"/>
                <w:color w:val="auto"/>
              </w:rPr>
            </w:pPr>
          </w:p>
        </w:tc>
        <w:tc>
          <w:tcPr>
            <w:tcW w:w="48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Beck</w:t>
            </w:r>
          </w:p>
        </w:tc>
        <w:tc>
          <w:tcPr>
            <w:tcW w:w="70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Boatwright</w:t>
            </w:r>
          </w:p>
        </w:tc>
        <w:tc>
          <w:tcPr>
            <w:tcW w:w="48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Hicks</w:t>
            </w:r>
          </w:p>
        </w:tc>
        <w:tc>
          <w:tcPr>
            <w:tcW w:w="6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Lawrence</w:t>
            </w:r>
          </w:p>
        </w:tc>
        <w:tc>
          <w:tcPr>
            <w:tcW w:w="48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Marley</w:t>
            </w:r>
          </w:p>
        </w:tc>
        <w:tc>
          <w:tcPr>
            <w:tcW w:w="50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Nealon</w:t>
            </w:r>
          </w:p>
        </w:tc>
        <w:tc>
          <w:tcPr>
            <w:tcW w:w="56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Palermo</w:t>
            </w:r>
          </w:p>
        </w:tc>
        <w:tc>
          <w:tcPr>
            <w:tcW w:w="48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Picou</w:t>
            </w:r>
          </w:p>
        </w:tc>
        <w:tc>
          <w:tcPr>
            <w:tcW w:w="50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Raff</w:t>
            </w:r>
          </w:p>
        </w:tc>
        <w:tc>
          <w:tcPr>
            <w:tcW w:w="50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Turner</w:t>
            </w:r>
          </w:p>
        </w:tc>
        <w:tc>
          <w:tcPr>
            <w:tcW w:w="48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Tweedy</w:t>
            </w:r>
          </w:p>
        </w:tc>
        <w:tc>
          <w:tcPr>
            <w:tcW w:w="0" w:type="dxa"/>
            <w:vAlign w:val="bottom"/>
          </w:tcPr>
          <w:p>
            <w:pPr>
              <w:spacing w:after="0"/>
              <w:rPr>
                <w:sz w:val="1"/>
                <w:szCs w:val="1"/>
                <w:color w:val="auto"/>
              </w:rPr>
            </w:pPr>
          </w:p>
        </w:tc>
      </w:tr>
      <w:tr>
        <w:trPr>
          <w:trHeight w:val="66"/>
        </w:trPr>
        <w:tc>
          <w:tcPr>
            <w:tcW w:w="120" w:type="dxa"/>
            <w:vAlign w:val="bottom"/>
            <w:shd w:val="clear" w:color="auto" w:fill="E1D7AC"/>
          </w:tcPr>
          <w:p>
            <w:pPr>
              <w:spacing w:after="0"/>
              <w:rPr>
                <w:sz w:val="5"/>
                <w:szCs w:val="5"/>
                <w:color w:val="auto"/>
              </w:rPr>
            </w:pPr>
          </w:p>
        </w:tc>
        <w:tc>
          <w:tcPr>
            <w:tcW w:w="2920" w:type="dxa"/>
            <w:vAlign w:val="bottom"/>
            <w:gridSpan w:val="2"/>
            <w:shd w:val="clear" w:color="auto" w:fill="E1D7AC"/>
          </w:tcPr>
          <w:p>
            <w:pPr>
              <w:spacing w:after="0"/>
              <w:rPr>
                <w:sz w:val="5"/>
                <w:szCs w:val="5"/>
                <w:color w:val="auto"/>
              </w:rPr>
            </w:pPr>
          </w:p>
        </w:tc>
        <w:tc>
          <w:tcPr>
            <w:tcW w:w="1640" w:type="dxa"/>
            <w:vAlign w:val="bottom"/>
            <w:shd w:val="clear" w:color="auto" w:fill="E1D7AC"/>
          </w:tcPr>
          <w:p>
            <w:pPr>
              <w:spacing w:after="0"/>
              <w:rPr>
                <w:sz w:val="5"/>
                <w:szCs w:val="5"/>
                <w:color w:val="auto"/>
              </w:rPr>
            </w:pPr>
          </w:p>
        </w:tc>
        <w:tc>
          <w:tcPr>
            <w:tcW w:w="780" w:type="dxa"/>
            <w:vAlign w:val="bottom"/>
            <w:tcBorders>
              <w:right w:val="single" w:sz="8" w:color="929292"/>
            </w:tcBorders>
            <w:shd w:val="clear" w:color="auto" w:fill="E1D7AC"/>
          </w:tcPr>
          <w:p>
            <w:pPr>
              <w:spacing w:after="0"/>
              <w:rPr>
                <w:sz w:val="5"/>
                <w:szCs w:val="5"/>
                <w:color w:val="auto"/>
              </w:rPr>
            </w:pPr>
          </w:p>
        </w:tc>
        <w:tc>
          <w:tcPr>
            <w:tcW w:w="480" w:type="dxa"/>
            <w:vAlign w:val="bottom"/>
            <w:tcBorders>
              <w:right w:val="single" w:sz="8" w:color="929292"/>
            </w:tcBorders>
            <w:shd w:val="clear" w:color="auto" w:fill="E1D7AC"/>
          </w:tcPr>
          <w:p>
            <w:pPr>
              <w:spacing w:after="0"/>
              <w:rPr>
                <w:sz w:val="5"/>
                <w:szCs w:val="5"/>
                <w:color w:val="auto"/>
              </w:rPr>
            </w:pPr>
          </w:p>
        </w:tc>
        <w:tc>
          <w:tcPr>
            <w:tcW w:w="700" w:type="dxa"/>
            <w:vAlign w:val="bottom"/>
            <w:tcBorders>
              <w:right w:val="single" w:sz="8" w:color="929292"/>
            </w:tcBorders>
            <w:shd w:val="clear" w:color="auto" w:fill="E1D7AC"/>
          </w:tcPr>
          <w:p>
            <w:pPr>
              <w:spacing w:after="0"/>
              <w:rPr>
                <w:sz w:val="5"/>
                <w:szCs w:val="5"/>
                <w:color w:val="auto"/>
              </w:rPr>
            </w:pPr>
          </w:p>
        </w:tc>
        <w:tc>
          <w:tcPr>
            <w:tcW w:w="480" w:type="dxa"/>
            <w:vAlign w:val="bottom"/>
            <w:tcBorders>
              <w:right w:val="single" w:sz="8" w:color="929292"/>
            </w:tcBorders>
            <w:shd w:val="clear" w:color="auto" w:fill="E1D7AC"/>
          </w:tcPr>
          <w:p>
            <w:pPr>
              <w:spacing w:after="0"/>
              <w:rPr>
                <w:sz w:val="5"/>
                <w:szCs w:val="5"/>
                <w:color w:val="auto"/>
              </w:rPr>
            </w:pPr>
          </w:p>
        </w:tc>
        <w:tc>
          <w:tcPr>
            <w:tcW w:w="640" w:type="dxa"/>
            <w:vAlign w:val="bottom"/>
            <w:tcBorders>
              <w:right w:val="single" w:sz="8" w:color="929292"/>
            </w:tcBorders>
            <w:shd w:val="clear" w:color="auto" w:fill="E1D7AC"/>
          </w:tcPr>
          <w:p>
            <w:pPr>
              <w:spacing w:after="0"/>
              <w:rPr>
                <w:sz w:val="5"/>
                <w:szCs w:val="5"/>
                <w:color w:val="auto"/>
              </w:rPr>
            </w:pPr>
          </w:p>
        </w:tc>
        <w:tc>
          <w:tcPr>
            <w:tcW w:w="480" w:type="dxa"/>
            <w:vAlign w:val="bottom"/>
            <w:tcBorders>
              <w:right w:val="single" w:sz="8" w:color="929292"/>
            </w:tcBorders>
            <w:shd w:val="clear" w:color="auto" w:fill="E1D7AC"/>
          </w:tcPr>
          <w:p>
            <w:pPr>
              <w:spacing w:after="0"/>
              <w:rPr>
                <w:sz w:val="5"/>
                <w:szCs w:val="5"/>
                <w:color w:val="auto"/>
              </w:rPr>
            </w:pPr>
          </w:p>
        </w:tc>
        <w:tc>
          <w:tcPr>
            <w:tcW w:w="500" w:type="dxa"/>
            <w:vAlign w:val="bottom"/>
            <w:tcBorders>
              <w:right w:val="single" w:sz="8" w:color="929292"/>
            </w:tcBorders>
            <w:shd w:val="clear" w:color="auto" w:fill="E1D7AC"/>
          </w:tcPr>
          <w:p>
            <w:pPr>
              <w:spacing w:after="0"/>
              <w:rPr>
                <w:sz w:val="5"/>
                <w:szCs w:val="5"/>
                <w:color w:val="auto"/>
              </w:rPr>
            </w:pPr>
          </w:p>
        </w:tc>
        <w:tc>
          <w:tcPr>
            <w:tcW w:w="560" w:type="dxa"/>
            <w:vAlign w:val="bottom"/>
            <w:tcBorders>
              <w:right w:val="single" w:sz="8" w:color="929292"/>
            </w:tcBorders>
            <w:shd w:val="clear" w:color="auto" w:fill="E1D7AC"/>
          </w:tcPr>
          <w:p>
            <w:pPr>
              <w:spacing w:after="0"/>
              <w:rPr>
                <w:sz w:val="5"/>
                <w:szCs w:val="5"/>
                <w:color w:val="auto"/>
              </w:rPr>
            </w:pPr>
          </w:p>
        </w:tc>
        <w:tc>
          <w:tcPr>
            <w:tcW w:w="480" w:type="dxa"/>
            <w:vAlign w:val="bottom"/>
            <w:tcBorders>
              <w:right w:val="single" w:sz="8" w:color="929292"/>
            </w:tcBorders>
            <w:shd w:val="clear" w:color="auto" w:fill="E1D7AC"/>
          </w:tcPr>
          <w:p>
            <w:pPr>
              <w:spacing w:after="0"/>
              <w:rPr>
                <w:sz w:val="5"/>
                <w:szCs w:val="5"/>
                <w:color w:val="auto"/>
              </w:rPr>
            </w:pPr>
          </w:p>
        </w:tc>
        <w:tc>
          <w:tcPr>
            <w:tcW w:w="500" w:type="dxa"/>
            <w:vAlign w:val="bottom"/>
            <w:tcBorders>
              <w:right w:val="single" w:sz="8" w:color="929292"/>
            </w:tcBorders>
            <w:shd w:val="clear" w:color="auto" w:fill="E1D7AC"/>
          </w:tcPr>
          <w:p>
            <w:pPr>
              <w:spacing w:after="0"/>
              <w:rPr>
                <w:sz w:val="5"/>
                <w:szCs w:val="5"/>
                <w:color w:val="auto"/>
              </w:rPr>
            </w:pPr>
          </w:p>
        </w:tc>
        <w:tc>
          <w:tcPr>
            <w:tcW w:w="500" w:type="dxa"/>
            <w:vAlign w:val="bottom"/>
            <w:tcBorders>
              <w:right w:val="single" w:sz="8" w:color="929292"/>
            </w:tcBorders>
            <w:shd w:val="clear" w:color="auto" w:fill="E1D7AC"/>
          </w:tcPr>
          <w:p>
            <w:pPr>
              <w:spacing w:after="0"/>
              <w:rPr>
                <w:sz w:val="5"/>
                <w:szCs w:val="5"/>
                <w:color w:val="auto"/>
              </w:rPr>
            </w:pPr>
          </w:p>
        </w:tc>
        <w:tc>
          <w:tcPr>
            <w:tcW w:w="480" w:type="dxa"/>
            <w:vAlign w:val="bottom"/>
            <w:tcBorders>
              <w:right w:val="single" w:sz="8" w:color="929292"/>
            </w:tcBorders>
            <w:shd w:val="clear" w:color="auto" w:fill="E1D7AC"/>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2"/>
                <w:szCs w:val="12"/>
                <w:b w:val="1"/>
                <w:bCs w:val="1"/>
                <w:color w:val="007EC4"/>
              </w:rPr>
              <w:t>Accounting/Finance</w:t>
            </w:r>
          </w:p>
        </w:tc>
        <w:tc>
          <w:tcPr>
            <w:tcW w:w="1640" w:type="dxa"/>
            <w:vAlign w:val="bottom"/>
          </w:tcPr>
          <w:p>
            <w:pPr>
              <w:spacing w:after="0"/>
              <w:rPr>
                <w:sz w:val="17"/>
                <w:szCs w:val="17"/>
                <w:color w:val="auto"/>
              </w:rPr>
            </w:pPr>
          </w:p>
        </w:tc>
        <w:tc>
          <w:tcPr>
            <w:tcW w:w="780" w:type="dxa"/>
            <w:vAlign w:val="bottom"/>
            <w:tcBorders>
              <w:right w:val="single" w:sz="8" w:color="929292"/>
            </w:tcBorders>
          </w:tcPr>
          <w:p>
            <w:pPr>
              <w:spacing w:after="0"/>
              <w:rPr>
                <w:sz w:val="17"/>
                <w:szCs w:val="17"/>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700" w:type="dxa"/>
            <w:vAlign w:val="bottom"/>
            <w:tcBorders>
              <w:right w:val="single" w:sz="8" w:color="929292"/>
            </w:tcBorders>
            <w:shd w:val="clear" w:color="auto" w:fill="DBDBDB"/>
          </w:tcPr>
          <w:p>
            <w:pPr>
              <w:spacing w:after="0"/>
              <w:rPr>
                <w:sz w:val="17"/>
                <w:szCs w:val="17"/>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60" w:type="dxa"/>
            <w:vAlign w:val="bottom"/>
            <w:tcBorders>
              <w:right w:val="single" w:sz="8" w:color="929292"/>
            </w:tcBorders>
            <w:shd w:val="clear" w:color="auto" w:fill="DBDBDB"/>
          </w:tcPr>
          <w:p>
            <w:pPr>
              <w:spacing w:after="0"/>
              <w:rPr>
                <w:sz w:val="17"/>
                <w:szCs w:val="17"/>
                <w:color w:val="auto"/>
              </w:rPr>
            </w:pPr>
          </w:p>
        </w:tc>
        <w:tc>
          <w:tcPr>
            <w:tcW w:w="480" w:type="dxa"/>
            <w:vAlign w:val="bottom"/>
            <w:tcBorders>
              <w:right w:val="single" w:sz="8" w:color="929292"/>
            </w:tcBorders>
            <w:shd w:val="clear" w:color="auto" w:fill="DBDBDB"/>
          </w:tcPr>
          <w:p>
            <w:pPr>
              <w:spacing w:after="0"/>
              <w:rPr>
                <w:sz w:val="17"/>
                <w:szCs w:val="17"/>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480" w:type="dxa"/>
            <w:vAlign w:val="bottom"/>
            <w:tcBorders>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Expertise in accounting and financial reporting, with a strong understanding of</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64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internal controls and experience overseeing financial reporting processes.</w:t>
            </w: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 w:type="dxa"/>
            <w:vAlign w:val="bottom"/>
            <w:tcBorders>
              <w:top w:val="single" w:sz="8" w:color="929292"/>
            </w:tcBorders>
          </w:tcPr>
          <w:p>
            <w:pPr>
              <w:spacing w:after="0"/>
              <w:rPr>
                <w:sz w:val="16"/>
                <w:szCs w:val="16"/>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Corporate Governance</w:t>
            </w:r>
          </w:p>
        </w:tc>
        <w:tc>
          <w:tcPr>
            <w:tcW w:w="1640" w:type="dxa"/>
            <w:vAlign w:val="bottom"/>
            <w:tcBorders>
              <w:top w:val="single" w:sz="8" w:color="929292"/>
            </w:tcBorders>
          </w:tcPr>
          <w:p>
            <w:pPr>
              <w:spacing w:after="0"/>
              <w:rPr>
                <w:sz w:val="16"/>
                <w:szCs w:val="16"/>
                <w:color w:val="auto"/>
              </w:rPr>
            </w:pPr>
          </w:p>
        </w:tc>
        <w:tc>
          <w:tcPr>
            <w:tcW w:w="780" w:type="dxa"/>
            <w:vAlign w:val="bottom"/>
            <w:tcBorders>
              <w:top w:val="single" w:sz="8" w:color="929292"/>
              <w:right w:val="single" w:sz="8" w:color="929292"/>
            </w:tcBorders>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7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64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6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in corporate governance, focused on guiding strategic direction,</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ensuring management accountability, and safeguarding shareholder value.</w:t>
            </w: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Customer Loyalty</w:t>
            </w:r>
          </w:p>
        </w:tc>
        <w:tc>
          <w:tcPr>
            <w:tcW w:w="1640" w:type="dxa"/>
            <w:vAlign w:val="bottom"/>
            <w:tcBorders>
              <w:top w:val="single" w:sz="8" w:color="929292"/>
            </w:tcBorders>
          </w:tcPr>
          <w:p>
            <w:pPr>
              <w:spacing w:after="0"/>
              <w:rPr>
                <w:sz w:val="15"/>
                <w:szCs w:val="15"/>
                <w:color w:val="auto"/>
              </w:rPr>
            </w:pPr>
          </w:p>
        </w:tc>
        <w:tc>
          <w:tcPr>
            <w:tcW w:w="780" w:type="dxa"/>
            <w:vAlign w:val="bottom"/>
            <w:tcBorders>
              <w:top w:val="single" w:sz="8" w:color="929292"/>
              <w:right w:val="single" w:sz="8" w:color="929292"/>
            </w:tcBorders>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strategically prioritizing and executing customer loyalty initiatives,</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2"/>
                <w:szCs w:val="12"/>
                <w:color w:val="auto"/>
              </w:rPr>
              <w:t>maximizing retention and advocacy through a deeply customer-centric approach</w:t>
            </w:r>
          </w:p>
        </w:tc>
        <w:tc>
          <w:tcPr>
            <w:tcW w:w="780" w:type="dxa"/>
            <w:vAlign w:val="bottom"/>
            <w:tcBorders>
              <w:right w:val="single" w:sz="8" w:color="929292"/>
            </w:tcBorders>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7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64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6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4560" w:type="dxa"/>
            <w:vAlign w:val="bottom"/>
            <w:gridSpan w:val="3"/>
            <w:vMerge w:val="continue"/>
          </w:tcPr>
          <w:p>
            <w:pPr>
              <w:spacing w:after="0"/>
              <w:rPr>
                <w:sz w:val="4"/>
                <w:szCs w:val="4"/>
                <w:color w:val="auto"/>
              </w:rPr>
            </w:pPr>
          </w:p>
        </w:tc>
        <w:tc>
          <w:tcPr>
            <w:tcW w:w="780" w:type="dxa"/>
            <w:vAlign w:val="bottom"/>
            <w:tcBorders>
              <w:right w:val="single" w:sz="8" w:color="929292"/>
            </w:tcBorders>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to decision-making.</w:t>
            </w:r>
          </w:p>
        </w:tc>
        <w:tc>
          <w:tcPr>
            <w:tcW w:w="1640" w:type="dxa"/>
            <w:vAlign w:val="bottom"/>
          </w:tcPr>
          <w:p>
            <w:pPr>
              <w:spacing w:after="0"/>
              <w:rPr>
                <w:sz w:val="16"/>
                <w:szCs w:val="16"/>
                <w:color w:val="auto"/>
              </w:rPr>
            </w:pPr>
          </w:p>
        </w:tc>
        <w:tc>
          <w:tcPr>
            <w:tcW w:w="780" w:type="dxa"/>
            <w:vAlign w:val="bottom"/>
            <w:tcBorders>
              <w:right w:val="single" w:sz="8" w:color="929292"/>
            </w:tcBorders>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 w:type="dxa"/>
            <w:vAlign w:val="bottom"/>
            <w:tcBorders>
              <w:top w:val="single" w:sz="8" w:color="929292"/>
            </w:tcBorders>
          </w:tcPr>
          <w:p>
            <w:pPr>
              <w:spacing w:after="0"/>
              <w:rPr>
                <w:sz w:val="16"/>
                <w:szCs w:val="16"/>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Cybersecurity &amp; Data Privacy</w:t>
            </w:r>
          </w:p>
        </w:tc>
        <w:tc>
          <w:tcPr>
            <w:tcW w:w="1640" w:type="dxa"/>
            <w:vAlign w:val="bottom"/>
            <w:tcBorders>
              <w:top w:val="single" w:sz="8" w:color="929292"/>
            </w:tcBorders>
          </w:tcPr>
          <w:p>
            <w:pPr>
              <w:spacing w:after="0"/>
              <w:rPr>
                <w:sz w:val="16"/>
                <w:szCs w:val="16"/>
                <w:color w:val="auto"/>
              </w:rPr>
            </w:pPr>
          </w:p>
        </w:tc>
        <w:tc>
          <w:tcPr>
            <w:tcW w:w="780" w:type="dxa"/>
            <w:vAlign w:val="bottom"/>
            <w:tcBorders>
              <w:top w:val="single" w:sz="8" w:color="929292"/>
              <w:right w:val="single" w:sz="8" w:color="929292"/>
            </w:tcBorders>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7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64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6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overseeing and mitigating cybersecurity and data privacy risks,</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with a strong background in cyber risk management.</w:t>
            </w:r>
          </w:p>
        </w:tc>
        <w:tc>
          <w:tcPr>
            <w:tcW w:w="1640" w:type="dxa"/>
            <w:vAlign w:val="bottom"/>
          </w:tcPr>
          <w:p>
            <w:pPr>
              <w:spacing w:after="0"/>
              <w:rPr>
                <w:sz w:val="17"/>
                <w:szCs w:val="17"/>
                <w:color w:val="auto"/>
              </w:rPr>
            </w:pP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 w:type="dxa"/>
            <w:vAlign w:val="bottom"/>
            <w:tcBorders>
              <w:top w:val="single" w:sz="8" w:color="929292"/>
            </w:tcBorders>
          </w:tcPr>
          <w:p>
            <w:pPr>
              <w:spacing w:after="0"/>
              <w:rPr>
                <w:sz w:val="16"/>
                <w:szCs w:val="16"/>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Digital/eCommerce</w:t>
            </w:r>
          </w:p>
        </w:tc>
        <w:tc>
          <w:tcPr>
            <w:tcW w:w="1640" w:type="dxa"/>
            <w:vAlign w:val="bottom"/>
            <w:tcBorders>
              <w:top w:val="single" w:sz="8" w:color="929292"/>
            </w:tcBorders>
          </w:tcPr>
          <w:p>
            <w:pPr>
              <w:spacing w:after="0"/>
              <w:rPr>
                <w:sz w:val="16"/>
                <w:szCs w:val="16"/>
                <w:color w:val="auto"/>
              </w:rPr>
            </w:pPr>
          </w:p>
        </w:tc>
        <w:tc>
          <w:tcPr>
            <w:tcW w:w="780" w:type="dxa"/>
            <w:vAlign w:val="bottom"/>
            <w:tcBorders>
              <w:top w:val="single" w:sz="8" w:color="929292"/>
              <w:right w:val="single" w:sz="8" w:color="929292"/>
            </w:tcBorders>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7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64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6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managing eCommerce operations, including online sales,</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70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64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6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payment processing, and data management.</w:t>
            </w:r>
          </w:p>
        </w:tc>
        <w:tc>
          <w:tcPr>
            <w:tcW w:w="1640" w:type="dxa"/>
            <w:vAlign w:val="bottom"/>
          </w:tcPr>
          <w:p>
            <w:pPr>
              <w:spacing w:after="0"/>
              <w:rPr>
                <w:sz w:val="17"/>
                <w:szCs w:val="17"/>
                <w:color w:val="auto"/>
              </w:rPr>
            </w:pP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Human Resources/Talent</w:t>
            </w:r>
          </w:p>
        </w:tc>
        <w:tc>
          <w:tcPr>
            <w:tcW w:w="1640" w:type="dxa"/>
            <w:vAlign w:val="bottom"/>
            <w:tcBorders>
              <w:top w:val="single" w:sz="8" w:color="929292"/>
            </w:tcBorders>
          </w:tcPr>
          <w:p>
            <w:pPr>
              <w:spacing w:after="0"/>
              <w:rPr>
                <w:sz w:val="15"/>
                <w:szCs w:val="15"/>
                <w:color w:val="auto"/>
              </w:rPr>
            </w:pPr>
          </w:p>
        </w:tc>
        <w:tc>
          <w:tcPr>
            <w:tcW w:w="780" w:type="dxa"/>
            <w:vAlign w:val="bottom"/>
            <w:tcBorders>
              <w:top w:val="single" w:sz="8" w:color="929292"/>
              <w:right w:val="single" w:sz="8" w:color="929292"/>
            </w:tcBorders>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human resources strategy, compensation, talent development,</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2"/>
                <w:szCs w:val="12"/>
                <w:color w:val="auto"/>
              </w:rPr>
              <w:t>and performance management, focused on identifying recruiting, developing,</w:t>
            </w:r>
          </w:p>
        </w:tc>
        <w:tc>
          <w:tcPr>
            <w:tcW w:w="780" w:type="dxa"/>
            <w:vAlign w:val="bottom"/>
            <w:tcBorders>
              <w:right w:val="single" w:sz="8" w:color="929292"/>
            </w:tcBorders>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7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64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6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4560" w:type="dxa"/>
            <w:vAlign w:val="bottom"/>
            <w:gridSpan w:val="3"/>
            <w:vMerge w:val="continue"/>
          </w:tcPr>
          <w:p>
            <w:pPr>
              <w:spacing w:after="0"/>
              <w:rPr>
                <w:sz w:val="4"/>
                <w:szCs w:val="4"/>
                <w:color w:val="auto"/>
              </w:rPr>
            </w:pPr>
          </w:p>
        </w:tc>
        <w:tc>
          <w:tcPr>
            <w:tcW w:w="780" w:type="dxa"/>
            <w:vAlign w:val="bottom"/>
            <w:tcBorders>
              <w:right w:val="single" w:sz="8" w:color="929292"/>
            </w:tcBorders>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incentivizing and retaining talent.</w:t>
            </w:r>
          </w:p>
        </w:tc>
        <w:tc>
          <w:tcPr>
            <w:tcW w:w="1640" w:type="dxa"/>
            <w:vAlign w:val="bottom"/>
          </w:tcPr>
          <w:p>
            <w:pPr>
              <w:spacing w:after="0"/>
              <w:rPr>
                <w:sz w:val="16"/>
                <w:szCs w:val="16"/>
                <w:color w:val="auto"/>
              </w:rPr>
            </w:pPr>
          </w:p>
        </w:tc>
        <w:tc>
          <w:tcPr>
            <w:tcW w:w="780" w:type="dxa"/>
            <w:vAlign w:val="bottom"/>
            <w:tcBorders>
              <w:right w:val="single" w:sz="8" w:color="929292"/>
            </w:tcBorders>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700" w:type="dxa"/>
            <w:vAlign w:val="bottom"/>
            <w:tcBorders>
              <w:top w:val="single" w:sz="8" w:color="929292"/>
            </w:tcBorders>
          </w:tcPr>
          <w:p>
            <w:pPr>
              <w:spacing w:after="0"/>
              <w:rPr>
                <w:sz w:val="20"/>
                <w:szCs w:val="20"/>
                <w:color w:val="auto"/>
              </w:rPr>
            </w:pPr>
            <w:r>
              <w:rPr>
                <w:rFonts w:ascii="Arial" w:cs="Arial" w:eastAsia="Arial" w:hAnsi="Arial"/>
                <w:sz w:val="12"/>
                <w:szCs w:val="12"/>
                <w:b w:val="1"/>
                <w:bCs w:val="1"/>
                <w:color w:val="007EC4"/>
              </w:rPr>
              <w:t>Marketing</w:t>
            </w:r>
          </w:p>
        </w:tc>
        <w:tc>
          <w:tcPr>
            <w:tcW w:w="2220" w:type="dxa"/>
            <w:vAlign w:val="bottom"/>
            <w:tcBorders>
              <w:top w:val="single" w:sz="8" w:color="929292"/>
            </w:tcBorders>
          </w:tcPr>
          <w:p>
            <w:pPr>
              <w:spacing w:after="0"/>
              <w:rPr>
                <w:sz w:val="15"/>
                <w:szCs w:val="15"/>
                <w:color w:val="auto"/>
              </w:rPr>
            </w:pPr>
          </w:p>
        </w:tc>
        <w:tc>
          <w:tcPr>
            <w:tcW w:w="1640" w:type="dxa"/>
            <w:vAlign w:val="bottom"/>
            <w:tcBorders>
              <w:top w:val="single" w:sz="8" w:color="929292"/>
            </w:tcBorders>
          </w:tcPr>
          <w:p>
            <w:pPr>
              <w:spacing w:after="0"/>
              <w:rPr>
                <w:sz w:val="15"/>
                <w:szCs w:val="15"/>
                <w:color w:val="auto"/>
              </w:rPr>
            </w:pPr>
          </w:p>
        </w:tc>
        <w:tc>
          <w:tcPr>
            <w:tcW w:w="780" w:type="dxa"/>
            <w:vAlign w:val="bottom"/>
            <w:tcBorders>
              <w:top w:val="single" w:sz="8" w:color="929292"/>
              <w:right w:val="single" w:sz="8" w:color="929292"/>
            </w:tcBorders>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driving sales in existing markets while simultaneously opening up new</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6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2"/>
                <w:szCs w:val="12"/>
                <w:color w:val="auto"/>
              </w:rPr>
              <w:t>market segments, utilizing marketing and business development skills to drive</w:t>
            </w:r>
          </w:p>
        </w:tc>
        <w:tc>
          <w:tcPr>
            <w:tcW w:w="780" w:type="dxa"/>
            <w:vAlign w:val="bottom"/>
            <w:tcBorders>
              <w:right w:val="single" w:sz="8" w:color="929292"/>
            </w:tcBorders>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7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64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6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4560" w:type="dxa"/>
            <w:vAlign w:val="bottom"/>
            <w:gridSpan w:val="3"/>
            <w:vMerge w:val="continue"/>
          </w:tcPr>
          <w:p>
            <w:pPr>
              <w:spacing w:after="0"/>
              <w:rPr>
                <w:sz w:val="4"/>
                <w:szCs w:val="4"/>
                <w:color w:val="auto"/>
              </w:rPr>
            </w:pPr>
          </w:p>
        </w:tc>
        <w:tc>
          <w:tcPr>
            <w:tcW w:w="780" w:type="dxa"/>
            <w:vAlign w:val="bottom"/>
            <w:tcBorders>
              <w:right w:val="single" w:sz="8" w:color="929292"/>
            </w:tcBorders>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2"/>
                <w:szCs w:val="12"/>
                <w:color w:val="auto"/>
              </w:rPr>
              <w:t>growth.</w:t>
            </w: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Borders>
              <w:right w:val="single" w:sz="8" w:color="929292"/>
            </w:tcBorders>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Merchandising</w:t>
            </w:r>
          </w:p>
        </w:tc>
        <w:tc>
          <w:tcPr>
            <w:tcW w:w="1640" w:type="dxa"/>
            <w:vAlign w:val="bottom"/>
            <w:tcBorders>
              <w:top w:val="single" w:sz="8" w:color="929292"/>
            </w:tcBorders>
          </w:tcPr>
          <w:p>
            <w:pPr>
              <w:spacing w:after="0"/>
              <w:rPr>
                <w:sz w:val="15"/>
                <w:szCs w:val="15"/>
                <w:color w:val="auto"/>
              </w:rPr>
            </w:pPr>
          </w:p>
        </w:tc>
        <w:tc>
          <w:tcPr>
            <w:tcW w:w="780" w:type="dxa"/>
            <w:vAlign w:val="bottom"/>
            <w:tcBorders>
              <w:top w:val="single" w:sz="8" w:color="929292"/>
              <w:right w:val="single" w:sz="8" w:color="929292"/>
            </w:tcBorders>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retail merchandising strategy, developing sales plans by tracking</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2"/>
                <w:szCs w:val="12"/>
                <w:color w:val="auto"/>
              </w:rPr>
              <w:t>market trends to optimize product offerings and sales potential based on market</w:t>
            </w:r>
          </w:p>
        </w:tc>
        <w:tc>
          <w:tcPr>
            <w:tcW w:w="780" w:type="dxa"/>
            <w:vAlign w:val="bottom"/>
            <w:tcBorders>
              <w:right w:val="single" w:sz="8" w:color="929292"/>
            </w:tcBorders>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7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64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6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4560" w:type="dxa"/>
            <w:vAlign w:val="bottom"/>
            <w:gridSpan w:val="3"/>
            <w:vMerge w:val="continue"/>
          </w:tcPr>
          <w:p>
            <w:pPr>
              <w:spacing w:after="0"/>
              <w:rPr>
                <w:sz w:val="4"/>
                <w:szCs w:val="4"/>
                <w:color w:val="auto"/>
              </w:rPr>
            </w:pPr>
          </w:p>
        </w:tc>
        <w:tc>
          <w:tcPr>
            <w:tcW w:w="780" w:type="dxa"/>
            <w:vAlign w:val="bottom"/>
            <w:tcBorders>
              <w:right w:val="single" w:sz="8" w:color="929292"/>
            </w:tcBorders>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2"/>
                <w:szCs w:val="12"/>
                <w:color w:val="auto"/>
              </w:rPr>
              <w:t>conditions.</w:t>
            </w: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Borders>
              <w:right w:val="single" w:sz="8" w:color="929292"/>
            </w:tcBorders>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Process Improvement</w:t>
            </w:r>
          </w:p>
        </w:tc>
        <w:tc>
          <w:tcPr>
            <w:tcW w:w="1640" w:type="dxa"/>
            <w:vAlign w:val="bottom"/>
            <w:tcBorders>
              <w:top w:val="single" w:sz="8" w:color="929292"/>
            </w:tcBorders>
          </w:tcPr>
          <w:p>
            <w:pPr>
              <w:spacing w:after="0"/>
              <w:rPr>
                <w:sz w:val="15"/>
                <w:szCs w:val="15"/>
                <w:color w:val="auto"/>
              </w:rPr>
            </w:pPr>
          </w:p>
        </w:tc>
        <w:tc>
          <w:tcPr>
            <w:tcW w:w="780" w:type="dxa"/>
            <w:vAlign w:val="bottom"/>
            <w:tcBorders>
              <w:top w:val="single" w:sz="8" w:color="929292"/>
              <w:right w:val="single" w:sz="8" w:color="929292"/>
            </w:tcBorders>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operational optimization, achieved by streamlining processes,</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2"/>
                <w:szCs w:val="12"/>
                <w:color w:val="auto"/>
              </w:rPr>
              <w:t>identifying and resolving inefficiencies, and driving continuous improvement</w:t>
            </w:r>
          </w:p>
        </w:tc>
        <w:tc>
          <w:tcPr>
            <w:tcW w:w="780" w:type="dxa"/>
            <w:vAlign w:val="bottom"/>
            <w:tcBorders>
              <w:right w:val="single" w:sz="8" w:color="929292"/>
            </w:tcBorders>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7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64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6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4560" w:type="dxa"/>
            <w:vAlign w:val="bottom"/>
            <w:gridSpan w:val="3"/>
            <w:vMerge w:val="continue"/>
          </w:tcPr>
          <w:p>
            <w:pPr>
              <w:spacing w:after="0"/>
              <w:rPr>
                <w:sz w:val="4"/>
                <w:szCs w:val="4"/>
                <w:color w:val="auto"/>
              </w:rPr>
            </w:pPr>
          </w:p>
        </w:tc>
        <w:tc>
          <w:tcPr>
            <w:tcW w:w="780" w:type="dxa"/>
            <w:vAlign w:val="bottom"/>
            <w:tcBorders>
              <w:right w:val="single" w:sz="8" w:color="929292"/>
            </w:tcBorders>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2"/>
                <w:szCs w:val="12"/>
                <w:color w:val="auto"/>
              </w:rPr>
              <w:t>initiatives.</w:t>
            </w: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Borders>
              <w:right w:val="single" w:sz="8" w:color="929292"/>
            </w:tcBorders>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 w:type="dxa"/>
            <w:vAlign w:val="bottom"/>
            <w:tcBorders>
              <w:top w:val="single" w:sz="8" w:color="929292"/>
            </w:tcBorders>
          </w:tcPr>
          <w:p>
            <w:pPr>
              <w:spacing w:after="0"/>
              <w:rPr>
                <w:sz w:val="16"/>
                <w:szCs w:val="16"/>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Real Estate &amp; Construction</w:t>
            </w:r>
          </w:p>
        </w:tc>
        <w:tc>
          <w:tcPr>
            <w:tcW w:w="1640" w:type="dxa"/>
            <w:vAlign w:val="bottom"/>
            <w:tcBorders>
              <w:top w:val="single" w:sz="8" w:color="929292"/>
            </w:tcBorders>
          </w:tcPr>
          <w:p>
            <w:pPr>
              <w:spacing w:after="0"/>
              <w:rPr>
                <w:sz w:val="16"/>
                <w:szCs w:val="16"/>
                <w:color w:val="auto"/>
              </w:rPr>
            </w:pPr>
          </w:p>
        </w:tc>
        <w:tc>
          <w:tcPr>
            <w:tcW w:w="780" w:type="dxa"/>
            <w:vAlign w:val="bottom"/>
            <w:tcBorders>
              <w:top w:val="single" w:sz="8" w:color="929292"/>
              <w:right w:val="single" w:sz="8" w:color="929292"/>
            </w:tcBorders>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7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64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6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across the real estate sourcing, development, and construction</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64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spectrum, from site acquisition to property delivery.</w:t>
            </w:r>
          </w:p>
        </w:tc>
        <w:tc>
          <w:tcPr>
            <w:tcW w:w="1640" w:type="dxa"/>
            <w:vAlign w:val="bottom"/>
          </w:tcPr>
          <w:p>
            <w:pPr>
              <w:spacing w:after="0"/>
              <w:rPr>
                <w:sz w:val="17"/>
                <w:szCs w:val="17"/>
                <w:color w:val="auto"/>
              </w:rPr>
            </w:pP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 w:type="dxa"/>
            <w:vAlign w:val="bottom"/>
            <w:tcBorders>
              <w:top w:val="single" w:sz="8" w:color="929292"/>
            </w:tcBorders>
          </w:tcPr>
          <w:p>
            <w:pPr>
              <w:spacing w:after="0"/>
              <w:rPr>
                <w:sz w:val="16"/>
                <w:szCs w:val="16"/>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Risk Management</w:t>
            </w:r>
          </w:p>
        </w:tc>
        <w:tc>
          <w:tcPr>
            <w:tcW w:w="1640" w:type="dxa"/>
            <w:vAlign w:val="bottom"/>
            <w:tcBorders>
              <w:top w:val="single" w:sz="8" w:color="929292"/>
            </w:tcBorders>
          </w:tcPr>
          <w:p>
            <w:pPr>
              <w:spacing w:after="0"/>
              <w:rPr>
                <w:sz w:val="16"/>
                <w:szCs w:val="16"/>
                <w:color w:val="auto"/>
              </w:rPr>
            </w:pPr>
          </w:p>
        </w:tc>
        <w:tc>
          <w:tcPr>
            <w:tcW w:w="780" w:type="dxa"/>
            <w:vAlign w:val="bottom"/>
            <w:tcBorders>
              <w:top w:val="single" w:sz="8" w:color="929292"/>
              <w:right w:val="single" w:sz="8" w:color="929292"/>
            </w:tcBorders>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7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64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6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leading corporate risk management frameworks to drive</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operational, financial, and strategic risk mitigation across business environments.</w:t>
            </w: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377"/>
        </w:trPr>
        <w:tc>
          <w:tcPr>
            <w:tcW w:w="120" w:type="dxa"/>
            <w:vAlign w:val="bottom"/>
            <w:tcBorders>
              <w:top w:val="single" w:sz="8" w:color="929292"/>
              <w:bottom w:val="single" w:sz="8" w:color="9A9A9A"/>
            </w:tcBorders>
          </w:tcPr>
          <w:p>
            <w:pPr>
              <w:spacing w:after="0"/>
              <w:rPr>
                <w:sz w:val="24"/>
                <w:szCs w:val="24"/>
                <w:color w:val="auto"/>
              </w:rPr>
            </w:pPr>
          </w:p>
        </w:tc>
        <w:tc>
          <w:tcPr>
            <w:tcW w:w="700" w:type="dxa"/>
            <w:vAlign w:val="bottom"/>
            <w:tcBorders>
              <w:top w:val="single" w:sz="8" w:color="929292"/>
              <w:bottom w:val="single" w:sz="8" w:color="9A9A9A"/>
            </w:tcBorders>
          </w:tcPr>
          <w:p>
            <w:pPr>
              <w:spacing w:after="0"/>
              <w:rPr>
                <w:sz w:val="24"/>
                <w:szCs w:val="24"/>
                <w:color w:val="auto"/>
              </w:rPr>
            </w:pPr>
          </w:p>
        </w:tc>
        <w:tc>
          <w:tcPr>
            <w:tcW w:w="2220" w:type="dxa"/>
            <w:vAlign w:val="bottom"/>
            <w:tcBorders>
              <w:top w:val="single" w:sz="8" w:color="929292"/>
              <w:bottom w:val="single" w:sz="8" w:color="9A9A9A"/>
            </w:tcBorders>
          </w:tcPr>
          <w:p>
            <w:pPr>
              <w:spacing w:after="0"/>
              <w:rPr>
                <w:sz w:val="24"/>
                <w:szCs w:val="24"/>
                <w:color w:val="auto"/>
              </w:rPr>
            </w:pPr>
          </w:p>
        </w:tc>
        <w:tc>
          <w:tcPr>
            <w:tcW w:w="1640" w:type="dxa"/>
            <w:vAlign w:val="bottom"/>
            <w:tcBorders>
              <w:top w:val="single" w:sz="8" w:color="929292"/>
              <w:bottom w:val="single" w:sz="8" w:color="9A9A9A"/>
            </w:tcBorders>
          </w:tcPr>
          <w:p>
            <w:pPr>
              <w:spacing w:after="0"/>
              <w:rPr>
                <w:sz w:val="24"/>
                <w:szCs w:val="24"/>
                <w:color w:val="auto"/>
              </w:rPr>
            </w:pPr>
          </w:p>
        </w:tc>
        <w:tc>
          <w:tcPr>
            <w:tcW w:w="78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70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64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56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-5319395</wp:posOffset>
            </wp:positionV>
            <wp:extent cx="299720" cy="29972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-4956175</wp:posOffset>
            </wp:positionV>
            <wp:extent cx="299720" cy="29972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-4553585</wp:posOffset>
            </wp:positionV>
            <wp:extent cx="299720" cy="29972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-4143375</wp:posOffset>
            </wp:positionV>
            <wp:extent cx="299720" cy="29972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-3780155</wp:posOffset>
            </wp:positionV>
            <wp:extent cx="299720" cy="29972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-3377565</wp:posOffset>
            </wp:positionV>
            <wp:extent cx="299720" cy="29972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-3259455</wp:posOffset>
            </wp:positionV>
            <wp:extent cx="71120" cy="7112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5351145</wp:posOffset>
            </wp:positionH>
            <wp:positionV relativeFrom="paragraph">
              <wp:posOffset>-3259455</wp:posOffset>
            </wp:positionV>
            <wp:extent cx="71120" cy="7112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-3259455</wp:posOffset>
            </wp:positionV>
            <wp:extent cx="71120" cy="7112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-3259455</wp:posOffset>
            </wp:positionV>
            <wp:extent cx="71120" cy="7112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-3259455</wp:posOffset>
            </wp:positionV>
            <wp:extent cx="71120" cy="7112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-2927985</wp:posOffset>
            </wp:positionV>
            <wp:extent cx="299720" cy="29972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-2477770</wp:posOffset>
            </wp:positionV>
            <wp:extent cx="299720" cy="29972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-2027555</wp:posOffset>
            </wp:positionV>
            <wp:extent cx="299720" cy="29972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-1617345</wp:posOffset>
            </wp:positionV>
            <wp:extent cx="299720" cy="29972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-1254125</wp:posOffset>
            </wp:positionV>
            <wp:extent cx="299720" cy="29972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-323215</wp:posOffset>
            </wp:positionV>
            <wp:extent cx="789305" cy="18923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color w:val="007EC4"/>
        </w:rPr>
        <w:t xml:space="preserve">12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Borders>
              <w:top w:val="single" w:sz="8" w:color="E1D7AC"/>
              <w:bottom w:val="single" w:sz="8" w:color="929292"/>
            </w:tcBorders>
            <w:shd w:val="clear" w:color="auto" w:fill="E1D7AC"/>
          </w:tcPr>
          <w:p>
            <w:pPr>
              <w:spacing w:after="0"/>
              <w:rPr>
                <w:sz w:val="22"/>
                <w:szCs w:val="22"/>
                <w:color w:val="auto"/>
              </w:rPr>
            </w:pPr>
          </w:p>
        </w:tc>
        <w:tc>
          <w:tcPr>
            <w:tcW w:w="5340" w:type="dxa"/>
            <w:vAlign w:val="bottom"/>
            <w:tcBorders>
              <w:top w:val="single" w:sz="8" w:color="E1D7AC"/>
              <w:bottom w:val="single" w:sz="8" w:color="929292"/>
              <w:right w:val="single" w:sz="8" w:color="929292"/>
            </w:tcBorders>
            <w:shd w:val="clear" w:color="auto" w:fill="E1D7AC"/>
          </w:tcPr>
          <w:p>
            <w:pPr>
              <w:spacing w:after="0"/>
              <w:rPr>
                <w:sz w:val="20"/>
                <w:szCs w:val="20"/>
                <w:color w:val="auto"/>
              </w:rPr>
            </w:pPr>
            <w:r>
              <w:rPr>
                <w:rFonts w:ascii="Arial" w:cs="Arial" w:eastAsia="Arial" w:hAnsi="Arial"/>
                <w:sz w:val="12"/>
                <w:szCs w:val="12"/>
                <w:b w:val="1"/>
                <w:bCs w:val="1"/>
                <w:color w:val="auto"/>
              </w:rPr>
              <w:t>Skill</w:t>
            </w:r>
          </w:p>
        </w:tc>
        <w:tc>
          <w:tcPr>
            <w:tcW w:w="48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Beck</w:t>
            </w:r>
          </w:p>
        </w:tc>
        <w:tc>
          <w:tcPr>
            <w:tcW w:w="70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Boatwright</w:t>
            </w:r>
          </w:p>
        </w:tc>
        <w:tc>
          <w:tcPr>
            <w:tcW w:w="48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Hicks</w:t>
            </w:r>
          </w:p>
        </w:tc>
        <w:tc>
          <w:tcPr>
            <w:tcW w:w="64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Lawrence</w:t>
            </w:r>
          </w:p>
        </w:tc>
        <w:tc>
          <w:tcPr>
            <w:tcW w:w="48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Marley</w:t>
            </w:r>
          </w:p>
        </w:tc>
        <w:tc>
          <w:tcPr>
            <w:tcW w:w="50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Nealon</w:t>
            </w:r>
          </w:p>
        </w:tc>
        <w:tc>
          <w:tcPr>
            <w:tcW w:w="56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Palermo</w:t>
            </w:r>
          </w:p>
        </w:tc>
        <w:tc>
          <w:tcPr>
            <w:tcW w:w="48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Picou</w:t>
            </w:r>
          </w:p>
        </w:tc>
        <w:tc>
          <w:tcPr>
            <w:tcW w:w="50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Raff</w:t>
            </w:r>
          </w:p>
        </w:tc>
        <w:tc>
          <w:tcPr>
            <w:tcW w:w="50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Turner</w:t>
            </w:r>
          </w:p>
        </w:tc>
        <w:tc>
          <w:tcPr>
            <w:tcW w:w="48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Tweedy</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b w:val="1"/>
                <w:bCs w:val="1"/>
                <w:color w:val="007EC4"/>
              </w:rPr>
              <w:t>Sourcing/Manufacturing</w:t>
            </w:r>
          </w:p>
        </w:tc>
        <w:tc>
          <w:tcPr>
            <w:tcW w:w="480" w:type="dxa"/>
            <w:vAlign w:val="bottom"/>
            <w:tcBorders>
              <w:right w:val="single" w:sz="8" w:color="929292"/>
            </w:tcBorders>
            <w:shd w:val="clear" w:color="auto" w:fill="DBDBDB"/>
          </w:tcPr>
          <w:p>
            <w:pPr>
              <w:spacing w:after="0"/>
              <w:rPr>
                <w:sz w:val="17"/>
                <w:szCs w:val="17"/>
                <w:color w:val="auto"/>
              </w:rPr>
            </w:pPr>
          </w:p>
        </w:tc>
        <w:tc>
          <w:tcPr>
            <w:tcW w:w="700" w:type="dxa"/>
            <w:vAlign w:val="bottom"/>
            <w:tcBorders>
              <w:right w:val="single" w:sz="8" w:color="929292"/>
            </w:tcBorders>
            <w:shd w:val="clear" w:color="auto" w:fill="DBDBDB"/>
          </w:tcPr>
          <w:p>
            <w:pPr>
              <w:spacing w:after="0"/>
              <w:rPr>
                <w:sz w:val="17"/>
                <w:szCs w:val="17"/>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7"/>
                <w:szCs w:val="17"/>
                <w:color w:val="auto"/>
              </w:rPr>
            </w:pPr>
          </w:p>
        </w:tc>
        <w:tc>
          <w:tcPr>
            <w:tcW w:w="500" w:type="dxa"/>
            <w:vAlign w:val="bottom"/>
            <w:tcBorders>
              <w:right w:val="single" w:sz="8" w:color="929292"/>
            </w:tcBorders>
            <w:shd w:val="clear" w:color="auto" w:fill="DBDBDB"/>
          </w:tcPr>
          <w:p>
            <w:pPr>
              <w:spacing w:after="0"/>
              <w:rPr>
                <w:sz w:val="17"/>
                <w:szCs w:val="17"/>
                <w:color w:val="auto"/>
              </w:rPr>
            </w:pPr>
          </w:p>
        </w:tc>
        <w:tc>
          <w:tcPr>
            <w:tcW w:w="560" w:type="dxa"/>
            <w:vAlign w:val="bottom"/>
            <w:tcBorders>
              <w:right w:val="single" w:sz="8" w:color="929292"/>
            </w:tcBorders>
            <w:shd w:val="clear" w:color="auto" w:fill="DBDBDB"/>
          </w:tcPr>
          <w:p>
            <w:pPr>
              <w:spacing w:after="0"/>
              <w:rPr>
                <w:sz w:val="17"/>
                <w:szCs w:val="17"/>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00" w:type="dxa"/>
            <w:vAlign w:val="bottom"/>
            <w:tcBorders>
              <w:right w:val="single" w:sz="8" w:color="929292"/>
            </w:tcBorders>
            <w:shd w:val="clear" w:color="auto" w:fill="DBDBDB"/>
          </w:tcPr>
          <w:p>
            <w:pPr>
              <w:spacing w:after="0"/>
              <w:rPr>
                <w:sz w:val="17"/>
                <w:szCs w:val="17"/>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Experience with retail sourcing and manufacturing, including identifying and</w:t>
            </w: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64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acquiring products from product manufacturers or suppliers to sell in retail stores.</w:t>
            </w: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0" w:type="dxa"/>
            <w:vAlign w:val="bottom"/>
            <w:tcBorders>
              <w:top w:val="single" w:sz="8" w:color="929292"/>
            </w:tcBorders>
          </w:tcPr>
          <w:p>
            <w:pPr>
              <w:spacing w:after="0"/>
              <w:rPr>
                <w:sz w:val="14"/>
                <w:szCs w:val="14"/>
                <w:color w:val="auto"/>
              </w:rPr>
            </w:pPr>
          </w:p>
        </w:tc>
        <w:tc>
          <w:tcPr>
            <w:tcW w:w="5340" w:type="dxa"/>
            <w:vAlign w:val="bottom"/>
            <w:tcBorders>
              <w:top w:val="single" w:sz="8" w:color="929292"/>
              <w:right w:val="single" w:sz="8" w:color="929292"/>
            </w:tcBorders>
          </w:tcPr>
          <w:p>
            <w:pPr>
              <w:spacing w:after="0"/>
              <w:rPr>
                <w:sz w:val="20"/>
                <w:szCs w:val="20"/>
                <w:color w:val="auto"/>
              </w:rPr>
            </w:pPr>
            <w:r>
              <w:rPr>
                <w:rFonts w:ascii="Arial" w:cs="Arial" w:eastAsia="Arial" w:hAnsi="Arial"/>
                <w:sz w:val="12"/>
                <w:szCs w:val="12"/>
                <w:b w:val="1"/>
                <w:bCs w:val="1"/>
                <w:color w:val="007EC4"/>
              </w:rPr>
              <w:t>Store Operations</w:t>
            </w:r>
          </w:p>
        </w:tc>
        <w:tc>
          <w:tcPr>
            <w:tcW w:w="480" w:type="dxa"/>
            <w:vAlign w:val="bottom"/>
            <w:tcBorders>
              <w:top w:val="single" w:sz="8" w:color="929292"/>
              <w:right w:val="single" w:sz="8" w:color="929292"/>
            </w:tcBorders>
            <w:shd w:val="clear" w:color="auto" w:fill="DBDBDB"/>
          </w:tcPr>
          <w:p>
            <w:pPr>
              <w:spacing w:after="0"/>
              <w:rPr>
                <w:sz w:val="14"/>
                <w:szCs w:val="14"/>
                <w:color w:val="auto"/>
              </w:rPr>
            </w:pPr>
          </w:p>
        </w:tc>
        <w:tc>
          <w:tcPr>
            <w:tcW w:w="700" w:type="dxa"/>
            <w:vAlign w:val="bottom"/>
            <w:tcBorders>
              <w:top w:val="single" w:sz="8" w:color="929292"/>
              <w:right w:val="single" w:sz="8" w:color="929292"/>
            </w:tcBorders>
            <w:shd w:val="clear" w:color="auto" w:fill="DBDBDB"/>
          </w:tcPr>
          <w:p>
            <w:pPr>
              <w:spacing w:after="0"/>
              <w:rPr>
                <w:sz w:val="14"/>
                <w:szCs w:val="14"/>
                <w:color w:val="auto"/>
              </w:rPr>
            </w:pPr>
          </w:p>
        </w:tc>
        <w:tc>
          <w:tcPr>
            <w:tcW w:w="480" w:type="dxa"/>
            <w:vAlign w:val="bottom"/>
            <w:tcBorders>
              <w:top w:val="single" w:sz="8" w:color="929292"/>
              <w:right w:val="single" w:sz="8" w:color="929292"/>
            </w:tcBorders>
            <w:shd w:val="clear" w:color="auto" w:fill="DBDBDB"/>
          </w:tcPr>
          <w:p>
            <w:pPr>
              <w:spacing w:after="0"/>
              <w:rPr>
                <w:sz w:val="14"/>
                <w:szCs w:val="14"/>
                <w:color w:val="auto"/>
              </w:rPr>
            </w:pPr>
          </w:p>
        </w:tc>
        <w:tc>
          <w:tcPr>
            <w:tcW w:w="640" w:type="dxa"/>
            <w:vAlign w:val="bottom"/>
            <w:tcBorders>
              <w:top w:val="single" w:sz="8" w:color="929292"/>
              <w:right w:val="single" w:sz="8" w:color="929292"/>
            </w:tcBorders>
            <w:shd w:val="clear" w:color="auto" w:fill="DBDBDB"/>
          </w:tcPr>
          <w:p>
            <w:pPr>
              <w:spacing w:after="0"/>
              <w:rPr>
                <w:sz w:val="14"/>
                <w:szCs w:val="14"/>
                <w:color w:val="auto"/>
              </w:rPr>
            </w:pPr>
          </w:p>
        </w:tc>
        <w:tc>
          <w:tcPr>
            <w:tcW w:w="480" w:type="dxa"/>
            <w:vAlign w:val="bottom"/>
            <w:tcBorders>
              <w:top w:val="single" w:sz="8" w:color="929292"/>
              <w:right w:val="single" w:sz="8" w:color="929292"/>
            </w:tcBorders>
            <w:shd w:val="clear" w:color="auto" w:fill="DBDBDB"/>
          </w:tcPr>
          <w:p>
            <w:pPr>
              <w:spacing w:after="0"/>
              <w:rPr>
                <w:sz w:val="14"/>
                <w:szCs w:val="14"/>
                <w:color w:val="auto"/>
              </w:rPr>
            </w:pPr>
          </w:p>
        </w:tc>
        <w:tc>
          <w:tcPr>
            <w:tcW w:w="500" w:type="dxa"/>
            <w:vAlign w:val="bottom"/>
            <w:tcBorders>
              <w:top w:val="single" w:sz="8" w:color="929292"/>
              <w:right w:val="single" w:sz="8" w:color="929292"/>
            </w:tcBorders>
            <w:shd w:val="clear" w:color="auto" w:fill="DBDBDB"/>
          </w:tcPr>
          <w:p>
            <w:pPr>
              <w:spacing w:after="0"/>
              <w:rPr>
                <w:sz w:val="14"/>
                <w:szCs w:val="14"/>
                <w:color w:val="auto"/>
              </w:rPr>
            </w:pPr>
          </w:p>
        </w:tc>
        <w:tc>
          <w:tcPr>
            <w:tcW w:w="560" w:type="dxa"/>
            <w:vAlign w:val="bottom"/>
            <w:tcBorders>
              <w:top w:val="single" w:sz="8" w:color="929292"/>
              <w:right w:val="single" w:sz="8" w:color="929292"/>
            </w:tcBorders>
            <w:shd w:val="clear" w:color="auto" w:fill="DBDBDB"/>
          </w:tcPr>
          <w:p>
            <w:pPr>
              <w:spacing w:after="0"/>
              <w:rPr>
                <w:sz w:val="14"/>
                <w:szCs w:val="14"/>
                <w:color w:val="auto"/>
              </w:rPr>
            </w:pPr>
          </w:p>
        </w:tc>
        <w:tc>
          <w:tcPr>
            <w:tcW w:w="480" w:type="dxa"/>
            <w:vAlign w:val="bottom"/>
            <w:tcBorders>
              <w:top w:val="single" w:sz="8" w:color="929292"/>
              <w:right w:val="single" w:sz="8" w:color="929292"/>
            </w:tcBorders>
            <w:shd w:val="clear" w:color="auto" w:fill="DBDBDB"/>
          </w:tcPr>
          <w:p>
            <w:pPr>
              <w:spacing w:after="0"/>
              <w:rPr>
                <w:sz w:val="14"/>
                <w:szCs w:val="14"/>
                <w:color w:val="auto"/>
              </w:rPr>
            </w:pPr>
          </w:p>
        </w:tc>
        <w:tc>
          <w:tcPr>
            <w:tcW w:w="500" w:type="dxa"/>
            <w:vAlign w:val="bottom"/>
            <w:tcBorders>
              <w:top w:val="single" w:sz="8" w:color="929292"/>
              <w:right w:val="single" w:sz="8" w:color="929292"/>
            </w:tcBorders>
            <w:shd w:val="clear" w:color="auto" w:fill="DBDBDB"/>
          </w:tcPr>
          <w:p>
            <w:pPr>
              <w:spacing w:after="0"/>
              <w:rPr>
                <w:sz w:val="14"/>
                <w:szCs w:val="14"/>
                <w:color w:val="auto"/>
              </w:rPr>
            </w:pPr>
          </w:p>
        </w:tc>
        <w:tc>
          <w:tcPr>
            <w:tcW w:w="500" w:type="dxa"/>
            <w:vAlign w:val="bottom"/>
            <w:tcBorders>
              <w:top w:val="single" w:sz="8" w:color="929292"/>
              <w:right w:val="single" w:sz="8" w:color="929292"/>
            </w:tcBorders>
            <w:shd w:val="clear" w:color="auto" w:fill="DBDBDB"/>
          </w:tcPr>
          <w:p>
            <w:pPr>
              <w:spacing w:after="0"/>
              <w:rPr>
                <w:sz w:val="14"/>
                <w:szCs w:val="14"/>
                <w:color w:val="auto"/>
              </w:rPr>
            </w:pPr>
          </w:p>
        </w:tc>
        <w:tc>
          <w:tcPr>
            <w:tcW w:w="480" w:type="dxa"/>
            <w:vAlign w:val="bottom"/>
            <w:tcBorders>
              <w:top w:val="single" w:sz="8" w:color="929292"/>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3"/>
                <w:szCs w:val="13"/>
                <w:color w:val="auto"/>
              </w:rPr>
              <w:t>Experience with optimizing operations within large-scale specialty retail store</w:t>
            </w:r>
          </w:p>
        </w:tc>
        <w:tc>
          <w:tcPr>
            <w:tcW w:w="480" w:type="dxa"/>
            <w:vAlign w:val="bottom"/>
            <w:tcBorders>
              <w:right w:val="single" w:sz="8" w:color="929292"/>
            </w:tcBorders>
            <w:shd w:val="clear" w:color="auto" w:fill="DBDBDB"/>
          </w:tcPr>
          <w:p>
            <w:pPr>
              <w:spacing w:after="0"/>
              <w:rPr>
                <w:sz w:val="15"/>
                <w:szCs w:val="15"/>
                <w:color w:val="auto"/>
              </w:rPr>
            </w:pP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640" w:type="dxa"/>
            <w:vAlign w:val="bottom"/>
            <w:tcBorders>
              <w:right w:val="single" w:sz="8" w:color="929292"/>
            </w:tcBorders>
            <w:shd w:val="clear" w:color="auto" w:fill="DBDBDB"/>
          </w:tcPr>
          <w:p>
            <w:pPr>
              <w:spacing w:after="0"/>
              <w:rPr>
                <w:sz w:val="15"/>
                <w:szCs w:val="15"/>
                <w:color w:val="auto"/>
              </w:rPr>
            </w:pPr>
          </w:p>
        </w:tc>
        <w:tc>
          <w:tcPr>
            <w:tcW w:w="480" w:type="dxa"/>
            <w:vAlign w:val="bottom"/>
            <w:tcBorders>
              <w:right w:val="single" w:sz="8" w:color="929292"/>
            </w:tcBorders>
            <w:shd w:val="clear" w:color="auto" w:fill="DBDBDB"/>
          </w:tcPr>
          <w:p>
            <w:pPr>
              <w:spacing w:after="0"/>
              <w:rPr>
                <w:sz w:val="15"/>
                <w:szCs w:val="15"/>
                <w:color w:val="auto"/>
              </w:rPr>
            </w:pPr>
          </w:p>
        </w:tc>
        <w:tc>
          <w:tcPr>
            <w:tcW w:w="500" w:type="dxa"/>
            <w:vAlign w:val="bottom"/>
            <w:tcBorders>
              <w:right w:val="single" w:sz="8" w:color="929292"/>
            </w:tcBorders>
            <w:shd w:val="clear" w:color="auto" w:fill="DBDBDB"/>
          </w:tcPr>
          <w:p>
            <w:pPr>
              <w:spacing w:after="0"/>
              <w:rPr>
                <w:sz w:val="15"/>
                <w:szCs w:val="15"/>
                <w:color w:val="auto"/>
              </w:rPr>
            </w:pPr>
          </w:p>
        </w:tc>
        <w:tc>
          <w:tcPr>
            <w:tcW w:w="560" w:type="dxa"/>
            <w:vAlign w:val="bottom"/>
            <w:tcBorders>
              <w:right w:val="single" w:sz="8" w:color="929292"/>
            </w:tcBorders>
            <w:shd w:val="clear" w:color="auto" w:fill="DBDBDB"/>
          </w:tcPr>
          <w:p>
            <w:pPr>
              <w:spacing w:after="0"/>
              <w:rPr>
                <w:sz w:val="15"/>
                <w:szCs w:val="15"/>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5340" w:type="dxa"/>
            <w:vAlign w:val="bottom"/>
            <w:tcBorders>
              <w:right w:val="single" w:sz="8" w:color="929292"/>
            </w:tcBorders>
            <w:vMerge w:val="restart"/>
          </w:tcPr>
          <w:p>
            <w:pPr>
              <w:spacing w:after="0"/>
              <w:rPr>
                <w:sz w:val="20"/>
                <w:szCs w:val="20"/>
                <w:color w:val="auto"/>
              </w:rPr>
            </w:pPr>
            <w:r>
              <w:rPr>
                <w:rFonts w:ascii="Arial" w:cs="Arial" w:eastAsia="Arial" w:hAnsi="Arial"/>
                <w:sz w:val="13"/>
                <w:szCs w:val="13"/>
                <w:color w:val="auto"/>
              </w:rPr>
              <w:t>environments, with a deep understanding of in-store dynamics and customer</w:t>
            </w:r>
          </w:p>
        </w:tc>
        <w:tc>
          <w:tcPr>
            <w:tcW w:w="480" w:type="dxa"/>
            <w:vAlign w:val="bottom"/>
            <w:tcBorders>
              <w:right w:val="single" w:sz="8" w:color="929292"/>
            </w:tcBorders>
            <w:shd w:val="clear" w:color="auto" w:fill="DBDBDB"/>
          </w:tcPr>
          <w:p>
            <w:pPr>
              <w:spacing w:after="0"/>
              <w:rPr>
                <w:sz w:val="11"/>
                <w:szCs w:val="11"/>
                <w:color w:val="auto"/>
              </w:rPr>
            </w:pPr>
          </w:p>
        </w:tc>
        <w:tc>
          <w:tcPr>
            <w:tcW w:w="700" w:type="dxa"/>
            <w:vAlign w:val="bottom"/>
            <w:tcBorders>
              <w:right w:val="single" w:sz="8" w:color="929292"/>
            </w:tcBorders>
            <w:vMerge w:val="continue"/>
            <w:shd w:val="clear" w:color="auto" w:fill="DBDBDB"/>
          </w:tcPr>
          <w:p>
            <w:pPr>
              <w:spacing w:after="0"/>
              <w:rPr>
                <w:sz w:val="11"/>
                <w:szCs w:val="11"/>
                <w:color w:val="auto"/>
              </w:rPr>
            </w:pPr>
          </w:p>
        </w:tc>
        <w:tc>
          <w:tcPr>
            <w:tcW w:w="480" w:type="dxa"/>
            <w:vAlign w:val="bottom"/>
            <w:tcBorders>
              <w:right w:val="single" w:sz="8" w:color="929292"/>
            </w:tcBorders>
            <w:vMerge w:val="continue"/>
            <w:shd w:val="clear" w:color="auto" w:fill="DBDBDB"/>
          </w:tcPr>
          <w:p>
            <w:pPr>
              <w:spacing w:after="0"/>
              <w:rPr>
                <w:sz w:val="11"/>
                <w:szCs w:val="11"/>
                <w:color w:val="auto"/>
              </w:rPr>
            </w:pPr>
          </w:p>
        </w:tc>
        <w:tc>
          <w:tcPr>
            <w:tcW w:w="640" w:type="dxa"/>
            <w:vAlign w:val="bottom"/>
            <w:tcBorders>
              <w:right w:val="single" w:sz="8" w:color="929292"/>
            </w:tcBorders>
            <w:shd w:val="clear" w:color="auto" w:fill="DBDBDB"/>
          </w:tcPr>
          <w:p>
            <w:pPr>
              <w:spacing w:after="0"/>
              <w:rPr>
                <w:sz w:val="11"/>
                <w:szCs w:val="11"/>
                <w:color w:val="auto"/>
              </w:rPr>
            </w:pPr>
          </w:p>
        </w:tc>
        <w:tc>
          <w:tcPr>
            <w:tcW w:w="480" w:type="dxa"/>
            <w:vAlign w:val="bottom"/>
            <w:tcBorders>
              <w:right w:val="single" w:sz="8" w:color="929292"/>
            </w:tcBorders>
            <w:shd w:val="clear" w:color="auto" w:fill="DBDBDB"/>
          </w:tcPr>
          <w:p>
            <w:pPr>
              <w:spacing w:after="0"/>
              <w:rPr>
                <w:sz w:val="11"/>
                <w:szCs w:val="11"/>
                <w:color w:val="auto"/>
              </w:rPr>
            </w:pPr>
          </w:p>
        </w:tc>
        <w:tc>
          <w:tcPr>
            <w:tcW w:w="500" w:type="dxa"/>
            <w:vAlign w:val="bottom"/>
            <w:tcBorders>
              <w:right w:val="single" w:sz="8" w:color="929292"/>
            </w:tcBorders>
            <w:shd w:val="clear" w:color="auto" w:fill="DBDBDB"/>
          </w:tcPr>
          <w:p>
            <w:pPr>
              <w:spacing w:after="0"/>
              <w:rPr>
                <w:sz w:val="11"/>
                <w:szCs w:val="11"/>
                <w:color w:val="auto"/>
              </w:rPr>
            </w:pPr>
          </w:p>
        </w:tc>
        <w:tc>
          <w:tcPr>
            <w:tcW w:w="560" w:type="dxa"/>
            <w:vAlign w:val="bottom"/>
            <w:tcBorders>
              <w:right w:val="single" w:sz="8" w:color="929292"/>
            </w:tcBorders>
            <w:shd w:val="clear" w:color="auto" w:fill="DBDBDB"/>
          </w:tcPr>
          <w:p>
            <w:pPr>
              <w:spacing w:after="0"/>
              <w:rPr>
                <w:sz w:val="11"/>
                <w:szCs w:val="11"/>
                <w:color w:val="auto"/>
              </w:rPr>
            </w:pPr>
          </w:p>
        </w:tc>
        <w:tc>
          <w:tcPr>
            <w:tcW w:w="480" w:type="dxa"/>
            <w:vAlign w:val="bottom"/>
            <w:tcBorders>
              <w:right w:val="single" w:sz="8" w:color="929292"/>
            </w:tcBorders>
            <w:vMerge w:val="continue"/>
            <w:shd w:val="clear" w:color="auto" w:fill="DBDBDB"/>
          </w:tcPr>
          <w:p>
            <w:pPr>
              <w:spacing w:after="0"/>
              <w:rPr>
                <w:sz w:val="11"/>
                <w:szCs w:val="11"/>
                <w:color w:val="auto"/>
              </w:rPr>
            </w:pPr>
          </w:p>
        </w:tc>
        <w:tc>
          <w:tcPr>
            <w:tcW w:w="500" w:type="dxa"/>
            <w:vAlign w:val="bottom"/>
            <w:tcBorders>
              <w:right w:val="single" w:sz="8" w:color="929292"/>
            </w:tcBorders>
            <w:vMerge w:val="continue"/>
            <w:shd w:val="clear" w:color="auto" w:fill="DBDBDB"/>
          </w:tcPr>
          <w:p>
            <w:pPr>
              <w:spacing w:after="0"/>
              <w:rPr>
                <w:sz w:val="11"/>
                <w:szCs w:val="11"/>
                <w:color w:val="auto"/>
              </w:rPr>
            </w:pPr>
          </w:p>
        </w:tc>
        <w:tc>
          <w:tcPr>
            <w:tcW w:w="500" w:type="dxa"/>
            <w:vAlign w:val="bottom"/>
            <w:tcBorders>
              <w:right w:val="single" w:sz="8" w:color="929292"/>
            </w:tcBorders>
            <w:vMerge w:val="continue"/>
            <w:shd w:val="clear" w:color="auto" w:fill="DBDBDB"/>
          </w:tcPr>
          <w:p>
            <w:pPr>
              <w:spacing w:after="0"/>
              <w:rPr>
                <w:sz w:val="11"/>
                <w:szCs w:val="11"/>
                <w:color w:val="auto"/>
              </w:rPr>
            </w:pPr>
          </w:p>
        </w:tc>
        <w:tc>
          <w:tcPr>
            <w:tcW w:w="480" w:type="dxa"/>
            <w:vAlign w:val="bottom"/>
            <w:tcBorders>
              <w:right w:val="single" w:sz="8" w:color="929292"/>
            </w:tcBorders>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20" w:type="dxa"/>
            <w:vAlign w:val="bottom"/>
          </w:tcPr>
          <w:p>
            <w:pPr>
              <w:spacing w:after="0"/>
              <w:rPr>
                <w:sz w:val="3"/>
                <w:szCs w:val="3"/>
                <w:color w:val="auto"/>
              </w:rPr>
            </w:pPr>
          </w:p>
        </w:tc>
        <w:tc>
          <w:tcPr>
            <w:tcW w:w="5340" w:type="dxa"/>
            <w:vAlign w:val="bottom"/>
            <w:tcBorders>
              <w:right w:val="single" w:sz="8" w:color="929292"/>
            </w:tcBorders>
            <w:vMerge w:val="continue"/>
          </w:tcPr>
          <w:p>
            <w:pPr>
              <w:spacing w:after="0"/>
              <w:rPr>
                <w:sz w:val="3"/>
                <w:szCs w:val="3"/>
                <w:color w:val="auto"/>
              </w:rPr>
            </w:pPr>
          </w:p>
        </w:tc>
        <w:tc>
          <w:tcPr>
            <w:tcW w:w="480" w:type="dxa"/>
            <w:vAlign w:val="bottom"/>
            <w:tcBorders>
              <w:right w:val="single" w:sz="8" w:color="929292"/>
            </w:tcBorders>
            <w:shd w:val="clear" w:color="auto" w:fill="DBDBDB"/>
          </w:tcPr>
          <w:p>
            <w:pPr>
              <w:spacing w:after="0"/>
              <w:rPr>
                <w:sz w:val="3"/>
                <w:szCs w:val="3"/>
                <w:color w:val="auto"/>
              </w:rPr>
            </w:pPr>
          </w:p>
        </w:tc>
        <w:tc>
          <w:tcPr>
            <w:tcW w:w="700" w:type="dxa"/>
            <w:vAlign w:val="bottom"/>
            <w:tcBorders>
              <w:right w:val="single" w:sz="8" w:color="929292"/>
            </w:tcBorders>
            <w:shd w:val="clear" w:color="auto" w:fill="DBDBDB"/>
          </w:tcPr>
          <w:p>
            <w:pPr>
              <w:spacing w:after="0"/>
              <w:rPr>
                <w:sz w:val="3"/>
                <w:szCs w:val="3"/>
                <w:color w:val="auto"/>
              </w:rPr>
            </w:pPr>
          </w:p>
        </w:tc>
        <w:tc>
          <w:tcPr>
            <w:tcW w:w="480" w:type="dxa"/>
            <w:vAlign w:val="bottom"/>
            <w:tcBorders>
              <w:right w:val="single" w:sz="8" w:color="929292"/>
            </w:tcBorders>
            <w:shd w:val="clear" w:color="auto" w:fill="DBDBDB"/>
          </w:tcPr>
          <w:p>
            <w:pPr>
              <w:spacing w:after="0"/>
              <w:rPr>
                <w:sz w:val="3"/>
                <w:szCs w:val="3"/>
                <w:color w:val="auto"/>
              </w:rPr>
            </w:pPr>
          </w:p>
        </w:tc>
        <w:tc>
          <w:tcPr>
            <w:tcW w:w="640" w:type="dxa"/>
            <w:vAlign w:val="bottom"/>
            <w:tcBorders>
              <w:right w:val="single" w:sz="8" w:color="929292"/>
            </w:tcBorders>
            <w:shd w:val="clear" w:color="auto" w:fill="DBDBDB"/>
          </w:tcPr>
          <w:p>
            <w:pPr>
              <w:spacing w:after="0"/>
              <w:rPr>
                <w:sz w:val="3"/>
                <w:szCs w:val="3"/>
                <w:color w:val="auto"/>
              </w:rPr>
            </w:pPr>
          </w:p>
        </w:tc>
        <w:tc>
          <w:tcPr>
            <w:tcW w:w="480" w:type="dxa"/>
            <w:vAlign w:val="bottom"/>
            <w:tcBorders>
              <w:right w:val="single" w:sz="8" w:color="929292"/>
            </w:tcBorders>
            <w:shd w:val="clear" w:color="auto" w:fill="DBDBDB"/>
          </w:tcPr>
          <w:p>
            <w:pPr>
              <w:spacing w:after="0"/>
              <w:rPr>
                <w:sz w:val="3"/>
                <w:szCs w:val="3"/>
                <w:color w:val="auto"/>
              </w:rPr>
            </w:pPr>
          </w:p>
        </w:tc>
        <w:tc>
          <w:tcPr>
            <w:tcW w:w="500" w:type="dxa"/>
            <w:vAlign w:val="bottom"/>
            <w:tcBorders>
              <w:right w:val="single" w:sz="8" w:color="929292"/>
            </w:tcBorders>
            <w:shd w:val="clear" w:color="auto" w:fill="DBDBDB"/>
          </w:tcPr>
          <w:p>
            <w:pPr>
              <w:spacing w:after="0"/>
              <w:rPr>
                <w:sz w:val="3"/>
                <w:szCs w:val="3"/>
                <w:color w:val="auto"/>
              </w:rPr>
            </w:pPr>
          </w:p>
        </w:tc>
        <w:tc>
          <w:tcPr>
            <w:tcW w:w="560" w:type="dxa"/>
            <w:vAlign w:val="bottom"/>
            <w:tcBorders>
              <w:right w:val="single" w:sz="8" w:color="929292"/>
            </w:tcBorders>
            <w:shd w:val="clear" w:color="auto" w:fill="DBDBDB"/>
          </w:tcPr>
          <w:p>
            <w:pPr>
              <w:spacing w:after="0"/>
              <w:rPr>
                <w:sz w:val="3"/>
                <w:szCs w:val="3"/>
                <w:color w:val="auto"/>
              </w:rPr>
            </w:pPr>
          </w:p>
        </w:tc>
        <w:tc>
          <w:tcPr>
            <w:tcW w:w="480" w:type="dxa"/>
            <w:vAlign w:val="bottom"/>
            <w:tcBorders>
              <w:right w:val="single" w:sz="8" w:color="929292"/>
            </w:tcBorders>
            <w:shd w:val="clear" w:color="auto" w:fill="DBDBDB"/>
          </w:tcPr>
          <w:p>
            <w:pPr>
              <w:spacing w:after="0"/>
              <w:rPr>
                <w:sz w:val="3"/>
                <w:szCs w:val="3"/>
                <w:color w:val="auto"/>
              </w:rPr>
            </w:pPr>
          </w:p>
        </w:tc>
        <w:tc>
          <w:tcPr>
            <w:tcW w:w="500" w:type="dxa"/>
            <w:vAlign w:val="bottom"/>
            <w:tcBorders>
              <w:right w:val="single" w:sz="8" w:color="929292"/>
            </w:tcBorders>
            <w:shd w:val="clear" w:color="auto" w:fill="DBDBDB"/>
          </w:tcPr>
          <w:p>
            <w:pPr>
              <w:spacing w:after="0"/>
              <w:rPr>
                <w:sz w:val="3"/>
                <w:szCs w:val="3"/>
                <w:color w:val="auto"/>
              </w:rPr>
            </w:pPr>
          </w:p>
        </w:tc>
        <w:tc>
          <w:tcPr>
            <w:tcW w:w="500" w:type="dxa"/>
            <w:vAlign w:val="bottom"/>
            <w:tcBorders>
              <w:right w:val="single" w:sz="8" w:color="929292"/>
            </w:tcBorders>
            <w:shd w:val="clear" w:color="auto" w:fill="DBDBDB"/>
          </w:tcPr>
          <w:p>
            <w:pPr>
              <w:spacing w:after="0"/>
              <w:rPr>
                <w:sz w:val="3"/>
                <w:szCs w:val="3"/>
                <w:color w:val="auto"/>
              </w:rPr>
            </w:pPr>
          </w:p>
        </w:tc>
        <w:tc>
          <w:tcPr>
            <w:tcW w:w="480" w:type="dxa"/>
            <w:vAlign w:val="bottom"/>
            <w:tcBorders>
              <w:right w:val="single" w:sz="8" w:color="929292"/>
            </w:tcBorders>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3"/>
                <w:szCs w:val="13"/>
                <w:color w:val="auto"/>
              </w:rPr>
              <w:t>experience factors.</w:t>
            </w: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5340" w:type="dxa"/>
            <w:vAlign w:val="bottom"/>
            <w:tcBorders>
              <w:top w:val="single" w:sz="8" w:color="929292"/>
              <w:right w:val="single" w:sz="8" w:color="929292"/>
            </w:tcBorders>
          </w:tcPr>
          <w:p>
            <w:pPr>
              <w:spacing w:after="0"/>
              <w:rPr>
                <w:sz w:val="20"/>
                <w:szCs w:val="20"/>
                <w:color w:val="auto"/>
              </w:rPr>
            </w:pPr>
            <w:r>
              <w:rPr>
                <w:rFonts w:ascii="Arial" w:cs="Arial" w:eastAsia="Arial" w:hAnsi="Arial"/>
                <w:sz w:val="12"/>
                <w:szCs w:val="12"/>
                <w:b w:val="1"/>
                <w:bCs w:val="1"/>
                <w:color w:val="007EC4"/>
              </w:rPr>
              <w:t>Strategic Planning</w:t>
            </w: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Experience developing and executing long-term strategic plans to achieve</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right"/>
              <w:ind w:right="71"/>
              <w:spacing w:after="0"/>
              <w:rPr>
                <w:sz w:val="20"/>
                <w:szCs w:val="20"/>
                <w:color w:val="auto"/>
              </w:rPr>
            </w:pPr>
            <w:r>
              <w:rPr>
                <w:rFonts w:ascii="Wingdings" w:cs="Wingdings" w:eastAsia="Wingdings" w:hAnsi="Wingdings"/>
                <w:sz w:val="23"/>
                <w:szCs w:val="23"/>
                <w:b w:val="1"/>
                <w:bCs w:val="1"/>
                <w:color w:val="auto"/>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6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5340" w:type="dxa"/>
            <w:vAlign w:val="bottom"/>
            <w:tcBorders>
              <w:right w:val="single" w:sz="8" w:color="929292"/>
            </w:tcBorders>
            <w:vMerge w:val="restart"/>
          </w:tcPr>
          <w:p>
            <w:pPr>
              <w:spacing w:after="0"/>
              <w:rPr>
                <w:sz w:val="20"/>
                <w:szCs w:val="20"/>
                <w:color w:val="auto"/>
              </w:rPr>
            </w:pPr>
            <w:r>
              <w:rPr>
                <w:rFonts w:ascii="Arial" w:cs="Arial" w:eastAsia="Arial" w:hAnsi="Arial"/>
                <w:sz w:val="12"/>
                <w:szCs w:val="12"/>
                <w:color w:val="auto"/>
              </w:rPr>
              <w:t>sustainable growth, by identifying key strategic priorities, setting goals, and</w:t>
            </w: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7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64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6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5340" w:type="dxa"/>
            <w:vAlign w:val="bottom"/>
            <w:tcBorders>
              <w:right w:val="single" w:sz="8" w:color="929292"/>
            </w:tcBorders>
            <w:vMerge w:val="continue"/>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monitoring progress.</w:t>
            </w: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5340" w:type="dxa"/>
            <w:vAlign w:val="bottom"/>
            <w:tcBorders>
              <w:top w:val="single" w:sz="8" w:color="929292"/>
              <w:right w:val="single" w:sz="8" w:color="929292"/>
            </w:tcBorders>
          </w:tcPr>
          <w:p>
            <w:pPr>
              <w:spacing w:after="0"/>
              <w:rPr>
                <w:sz w:val="20"/>
                <w:szCs w:val="20"/>
                <w:color w:val="auto"/>
              </w:rPr>
            </w:pPr>
            <w:r>
              <w:rPr>
                <w:rFonts w:ascii="Arial" w:cs="Arial" w:eastAsia="Arial" w:hAnsi="Arial"/>
                <w:sz w:val="12"/>
                <w:szCs w:val="12"/>
                <w:b w:val="1"/>
                <w:bCs w:val="1"/>
                <w:color w:val="007EC4"/>
              </w:rPr>
              <w:t>Supply Chain/Logistics</w:t>
            </w: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Experience managing the flow of goods from sourcing to final delivery, including</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5340" w:type="dxa"/>
            <w:vAlign w:val="bottom"/>
            <w:tcBorders>
              <w:right w:val="single" w:sz="8" w:color="929292"/>
            </w:tcBorders>
            <w:vMerge w:val="restart"/>
          </w:tcPr>
          <w:p>
            <w:pPr>
              <w:spacing w:after="0"/>
              <w:rPr>
                <w:sz w:val="20"/>
                <w:szCs w:val="20"/>
                <w:color w:val="auto"/>
              </w:rPr>
            </w:pPr>
            <w:r>
              <w:rPr>
                <w:rFonts w:ascii="Arial" w:cs="Arial" w:eastAsia="Arial" w:hAnsi="Arial"/>
                <w:sz w:val="12"/>
                <w:szCs w:val="12"/>
                <w:color w:val="auto"/>
              </w:rPr>
              <w:t>inventory control, procurement, warehousing, transportation, and distribution</w:t>
            </w: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7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64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6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5340" w:type="dxa"/>
            <w:vAlign w:val="bottom"/>
            <w:tcBorders>
              <w:right w:val="single" w:sz="8" w:color="929292"/>
            </w:tcBorders>
            <w:vMerge w:val="continue"/>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planning.</w:t>
            </w: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 w:type="dxa"/>
            <w:vAlign w:val="bottom"/>
            <w:tcBorders>
              <w:top w:val="single" w:sz="8" w:color="929292"/>
            </w:tcBorders>
          </w:tcPr>
          <w:p>
            <w:pPr>
              <w:spacing w:after="0"/>
              <w:rPr>
                <w:sz w:val="16"/>
                <w:szCs w:val="16"/>
                <w:color w:val="auto"/>
              </w:rPr>
            </w:pPr>
          </w:p>
        </w:tc>
        <w:tc>
          <w:tcPr>
            <w:tcW w:w="5340" w:type="dxa"/>
            <w:vAlign w:val="bottom"/>
            <w:tcBorders>
              <w:top w:val="single" w:sz="8" w:color="929292"/>
              <w:right w:val="single" w:sz="8" w:color="929292"/>
            </w:tcBorders>
          </w:tcPr>
          <w:p>
            <w:pPr>
              <w:spacing w:after="0"/>
              <w:rPr>
                <w:sz w:val="20"/>
                <w:szCs w:val="20"/>
                <w:color w:val="auto"/>
              </w:rPr>
            </w:pPr>
            <w:r>
              <w:rPr>
                <w:rFonts w:ascii="Arial" w:cs="Arial" w:eastAsia="Arial" w:hAnsi="Arial"/>
                <w:sz w:val="13"/>
                <w:szCs w:val="13"/>
                <w:b w:val="1"/>
                <w:bCs w:val="1"/>
                <w:color w:val="007EC4"/>
              </w:rPr>
              <w:t>Technology</w:t>
            </w: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7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64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6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Experience managing technology infrastructure, systems, and/or teams,</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6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5340" w:type="dxa"/>
            <w:vAlign w:val="bottom"/>
            <w:tcBorders>
              <w:right w:val="single" w:sz="8" w:color="929292"/>
            </w:tcBorders>
            <w:vMerge w:val="restart"/>
          </w:tcPr>
          <w:p>
            <w:pPr>
              <w:spacing w:after="0"/>
              <w:rPr>
                <w:sz w:val="20"/>
                <w:szCs w:val="20"/>
                <w:color w:val="auto"/>
              </w:rPr>
            </w:pPr>
            <w:r>
              <w:rPr>
                <w:rFonts w:ascii="Arial" w:cs="Arial" w:eastAsia="Arial" w:hAnsi="Arial"/>
                <w:sz w:val="12"/>
                <w:szCs w:val="12"/>
                <w:color w:val="auto"/>
              </w:rPr>
              <w:t>developing technology strategies, and aligning technology initiatives to support</w:t>
            </w: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7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64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6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5340" w:type="dxa"/>
            <w:vAlign w:val="bottom"/>
            <w:tcBorders>
              <w:right w:val="single" w:sz="8" w:color="929292"/>
            </w:tcBorders>
            <w:vMerge w:val="continue"/>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overall business goals.</w:t>
            </w: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4"/>
        </w:trPr>
        <w:tc>
          <w:tcPr>
            <w:tcW w:w="120" w:type="dxa"/>
            <w:vAlign w:val="bottom"/>
            <w:tcBorders>
              <w:top w:val="single" w:sz="8" w:color="929292"/>
              <w:bottom w:val="single" w:sz="8" w:color="9A9A9A"/>
            </w:tcBorders>
          </w:tcPr>
          <w:p>
            <w:pPr>
              <w:spacing w:after="0"/>
              <w:rPr>
                <w:sz w:val="24"/>
                <w:szCs w:val="24"/>
                <w:color w:val="auto"/>
              </w:rPr>
            </w:pPr>
          </w:p>
        </w:tc>
        <w:tc>
          <w:tcPr>
            <w:tcW w:w="534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70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64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56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-3369945</wp:posOffset>
            </wp:positionV>
            <wp:extent cx="299720" cy="29972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-2951480</wp:posOffset>
            </wp:positionV>
            <wp:extent cx="299720" cy="29972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-2493645</wp:posOffset>
            </wp:positionV>
            <wp:extent cx="299720" cy="29972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-2043430</wp:posOffset>
            </wp:positionV>
            <wp:extent cx="299720" cy="29972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-1585595</wp:posOffset>
            </wp:positionV>
            <wp:extent cx="299720" cy="29972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789305" cy="18923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18" w:name="page19"/>
    <w:bookmarkEnd w:id="1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Nominees for Election to the Board of Directors</w:t>
      </w:r>
    </w:p>
    <w:p>
      <w:pPr>
        <w:spacing w:after="0" w:line="144" w:lineRule="exact"/>
        <w:rPr>
          <w:sz w:val="20"/>
          <w:szCs w:val="20"/>
          <w:color w:val="auto"/>
        </w:rPr>
      </w:pPr>
    </w:p>
    <w:p>
      <w:pPr>
        <w:ind w:right="580"/>
        <w:spacing w:after="0" w:line="296" w:lineRule="auto"/>
        <w:rPr>
          <w:sz w:val="20"/>
          <w:szCs w:val="20"/>
          <w:color w:val="auto"/>
        </w:rPr>
      </w:pPr>
      <w:r>
        <w:rPr>
          <w:rFonts w:ascii="Arial" w:cs="Arial" w:eastAsia="Arial" w:hAnsi="Arial"/>
          <w:sz w:val="15"/>
          <w:szCs w:val="15"/>
          <w:color w:val="auto"/>
        </w:rPr>
        <w:t>Set forth below is information regarding each Class II Director nominee. Beneficial ownership of equity securities of the Class II Director nominees is shown under “Ownership of Securities” below</w:t>
      </w:r>
      <w:r>
        <w:rPr>
          <w:rFonts w:ascii="Arial" w:cs="Arial" w:eastAsia="Arial" w:hAnsi="Arial"/>
          <w:sz w:val="16"/>
          <w:szCs w:val="16"/>
          <w:color w:val="auto"/>
        </w:rPr>
        <w:t>.</w:t>
      </w:r>
      <w:r>
        <w:rPr>
          <w:rFonts w:ascii="Arial" w:cs="Arial" w:eastAsia="Arial" w:hAnsi="Arial"/>
          <w:sz w:val="15"/>
          <w:szCs w:val="15"/>
          <w:color w:val="auto"/>
        </w:rPr>
        <w:t xml:space="preserve"> Ms. Beck, Mrs. Picou and Ms. Palermo were recommended to the Board by a third-party search firm.</w:t>
      </w:r>
    </w:p>
    <w:p>
      <w:pPr>
        <w:sectPr>
          <w:pgSz w:w="11900" w:h="16838" w:orient="portrait"/>
          <w:cols w:equalWidth="0" w:num="1">
            <w:col w:w="11240"/>
          </w:cols>
          <w:pgMar w:left="320" w:top="132" w:right="3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Class 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139065</wp:posOffset>
            </wp:positionV>
            <wp:extent cx="1104900" cy="110490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104900"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28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119380</wp:posOffset>
            </wp:positionV>
            <wp:extent cx="1286510" cy="762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978535</wp:posOffset>
            </wp:positionH>
            <wp:positionV relativeFrom="paragraph">
              <wp:posOffset>206375</wp:posOffset>
            </wp:positionV>
            <wp:extent cx="189230" cy="18923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Accounting/Finance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139065</wp:posOffset>
            </wp:positionV>
            <wp:extent cx="189230" cy="18923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03"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146685</wp:posOffset>
            </wp:positionV>
            <wp:extent cx="189230" cy="18161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03"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146685</wp:posOffset>
            </wp:positionV>
            <wp:extent cx="189230" cy="18161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03"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146685</wp:posOffset>
            </wp:positionV>
            <wp:extent cx="189230" cy="18923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Supply Chain/Logistics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Wendy A. Beck</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25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December 2020</w:t>
            </w:r>
          </w:p>
        </w:tc>
        <w:tc>
          <w:tcPr>
            <w:tcW w:w="2040" w:type="dxa"/>
            <w:vAlign w:val="bottom"/>
            <w:tcBorders>
              <w:right w:val="single" w:sz="8" w:color="B6B6B6"/>
            </w:tcBorders>
          </w:tcPr>
          <w:p>
            <w:pPr>
              <w:ind w:left="48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w:t>
            </w:r>
          </w:p>
        </w:tc>
        <w:tc>
          <w:tcPr>
            <w:tcW w:w="1040" w:type="dxa"/>
            <w:vAlign w:val="bottom"/>
          </w:tcPr>
          <w:p>
            <w:pPr>
              <w:ind w:left="50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60</w:t>
            </w:r>
          </w:p>
        </w:tc>
      </w:tr>
      <w:tr>
        <w:trPr>
          <w:trHeight w:val="26"/>
        </w:trPr>
        <w:tc>
          <w:tcPr>
            <w:tcW w:w="25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40" w:type="dxa"/>
            <w:vAlign w:val="bottom"/>
          </w:tcPr>
          <w:p>
            <w:pPr>
              <w:spacing w:after="0"/>
              <w:rPr>
                <w:sz w:val="2"/>
                <w:szCs w:val="2"/>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68" w:lineRule="exact"/>
        <w:rPr>
          <w:sz w:val="20"/>
          <w:szCs w:val="20"/>
          <w:color w:val="auto"/>
        </w:rPr>
      </w:pPr>
    </w:p>
    <w:p>
      <w:pPr>
        <w:ind w:left="200" w:hanging="198"/>
        <w:spacing w:after="0"/>
        <w:tabs>
          <w:tab w:leader="none" w:pos="2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Nominating &amp; Governance (Chair) since May 2021</w:t>
      </w:r>
    </w:p>
    <w:p>
      <w:pPr>
        <w:spacing w:after="0" w:line="61" w:lineRule="exact"/>
        <w:rPr>
          <w:rFonts w:ascii="Arial" w:cs="Arial" w:eastAsia="Arial" w:hAnsi="Arial"/>
          <w:sz w:val="13"/>
          <w:szCs w:val="13"/>
          <w:color w:val="auto"/>
        </w:rPr>
      </w:pPr>
    </w:p>
    <w:p>
      <w:pPr>
        <w:ind w:left="200" w:hanging="198"/>
        <w:spacing w:after="0"/>
        <w:tabs>
          <w:tab w:leader="none" w:pos="2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Audit since December 2020</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68" w:lineRule="exact"/>
        <w:rPr>
          <w:sz w:val="20"/>
          <w:szCs w:val="20"/>
          <w:color w:val="auto"/>
        </w:rPr>
      </w:pPr>
    </w:p>
    <w:p>
      <w:pPr>
        <w:ind w:left="220" w:hanging="218"/>
        <w:spacing w:after="0"/>
        <w:tabs>
          <w:tab w:leader="none" w:pos="22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Traeger</w:t>
      </w:r>
      <w:r>
        <w:rPr>
          <w:rFonts w:ascii="Arial" w:cs="Arial" w:eastAsia="Arial" w:hAnsi="Arial"/>
          <w:sz w:val="13"/>
          <w:szCs w:val="13"/>
          <w:color w:val="auto"/>
        </w:rPr>
        <w:t>: July 2021 - present (Audit Committee - Chair &amp; Nominating &amp; Governance Committee)</w:t>
      </w:r>
    </w:p>
    <w:p>
      <w:pPr>
        <w:spacing w:after="0" w:line="49" w:lineRule="exact"/>
        <w:rPr>
          <w:rFonts w:ascii="Arial" w:cs="Arial" w:eastAsia="Arial" w:hAnsi="Arial"/>
          <w:sz w:val="13"/>
          <w:szCs w:val="13"/>
          <w:color w:val="auto"/>
        </w:rPr>
      </w:pPr>
    </w:p>
    <w:p>
      <w:pPr>
        <w:ind w:left="220" w:hanging="218"/>
        <w:spacing w:after="0"/>
        <w:tabs>
          <w:tab w:leader="none" w:pos="22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Hawaiian Holdings</w:t>
      </w:r>
      <w:r>
        <w:rPr>
          <w:rFonts w:ascii="Arial" w:cs="Arial" w:eastAsia="Arial" w:hAnsi="Arial"/>
          <w:sz w:val="13"/>
          <w:szCs w:val="13"/>
          <w:color w:val="auto"/>
        </w:rPr>
        <w:t>: July 2022 - September 2024 (Audit Committee)</w:t>
      </w:r>
    </w:p>
    <w:p>
      <w:pPr>
        <w:spacing w:after="0" w:line="36" w:lineRule="exact"/>
        <w:rPr>
          <w:rFonts w:ascii="Arial" w:cs="Arial" w:eastAsia="Arial" w:hAnsi="Arial"/>
          <w:sz w:val="13"/>
          <w:szCs w:val="13"/>
          <w:color w:val="auto"/>
        </w:rPr>
      </w:pPr>
    </w:p>
    <w:p>
      <w:pPr>
        <w:ind w:left="220" w:hanging="218"/>
        <w:spacing w:after="0"/>
        <w:tabs>
          <w:tab w:leader="none" w:pos="22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At Home</w:t>
      </w:r>
      <w:r>
        <w:rPr>
          <w:rFonts w:ascii="Arial" w:cs="Arial" w:eastAsia="Arial" w:hAnsi="Arial"/>
          <w:sz w:val="13"/>
          <w:szCs w:val="13"/>
          <w:color w:val="auto"/>
        </w:rPr>
        <w:t>: September 2014 - July 2021 (Audit Committee - Chair)</w:t>
      </w:r>
    </w:p>
    <w:p>
      <w:pPr>
        <w:spacing w:after="0" w:line="49" w:lineRule="exact"/>
        <w:rPr>
          <w:rFonts w:ascii="Arial" w:cs="Arial" w:eastAsia="Arial" w:hAnsi="Arial"/>
          <w:sz w:val="13"/>
          <w:szCs w:val="13"/>
          <w:color w:val="auto"/>
        </w:rPr>
      </w:pPr>
    </w:p>
    <w:p>
      <w:pPr>
        <w:ind w:left="220" w:hanging="218"/>
        <w:spacing w:after="0"/>
        <w:tabs>
          <w:tab w:leader="none" w:pos="22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Bloomin’ Brands</w:t>
      </w:r>
      <w:r>
        <w:rPr>
          <w:rFonts w:ascii="Arial" w:cs="Arial" w:eastAsia="Arial" w:hAnsi="Arial"/>
          <w:sz w:val="13"/>
          <w:szCs w:val="13"/>
          <w:color w:val="auto"/>
        </w:rPr>
        <w:t>: February 2018 - April 2022 (Compensation Committee)</w:t>
      </w:r>
    </w:p>
    <w:p>
      <w:pPr>
        <w:spacing w:after="0" w:line="36" w:lineRule="exact"/>
        <w:rPr>
          <w:rFonts w:ascii="Arial" w:cs="Arial" w:eastAsia="Arial" w:hAnsi="Arial"/>
          <w:sz w:val="13"/>
          <w:szCs w:val="13"/>
          <w:color w:val="auto"/>
        </w:rPr>
      </w:pPr>
    </w:p>
    <w:p>
      <w:pPr>
        <w:ind w:left="220" w:hanging="218"/>
        <w:spacing w:after="0"/>
        <w:tabs>
          <w:tab w:leader="none" w:pos="22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SpartanNash</w:t>
      </w:r>
      <w:r>
        <w:rPr>
          <w:rFonts w:ascii="Arial" w:cs="Arial" w:eastAsia="Arial" w:hAnsi="Arial"/>
          <w:sz w:val="13"/>
          <w:szCs w:val="13"/>
          <w:color w:val="auto"/>
        </w:rPr>
        <w:t>: September 2010 - December 2013 (Audit Committee)</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81" w:lineRule="exact"/>
        <w:rPr>
          <w:sz w:val="20"/>
          <w:szCs w:val="20"/>
          <w:color w:val="auto"/>
        </w:rPr>
      </w:pPr>
    </w:p>
    <w:p>
      <w:pPr>
        <w:ind w:left="200" w:hanging="198"/>
        <w:spacing w:after="0"/>
        <w:tabs>
          <w:tab w:leader="none" w:pos="200"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Norwegian Cruise</w:t>
      </w:r>
      <w:r>
        <w:rPr>
          <w:rFonts w:ascii="Arial" w:cs="Arial" w:eastAsia="Arial" w:hAnsi="Arial"/>
          <w:sz w:val="13"/>
          <w:szCs w:val="13"/>
          <w:color w:val="auto"/>
        </w:rPr>
        <w:t>: Executive Vice President and Chief Financial Officer (2010 to 2018)</w:t>
      </w:r>
    </w:p>
    <w:p>
      <w:pPr>
        <w:spacing w:after="0" w:line="36" w:lineRule="exact"/>
        <w:rPr>
          <w:rFonts w:ascii="Arial" w:cs="Arial" w:eastAsia="Arial" w:hAnsi="Arial"/>
          <w:sz w:val="13"/>
          <w:szCs w:val="13"/>
          <w:color w:val="auto"/>
        </w:rPr>
      </w:pPr>
    </w:p>
    <w:p>
      <w:pPr>
        <w:ind w:left="200" w:hanging="198"/>
        <w:spacing w:after="0"/>
        <w:tabs>
          <w:tab w:leader="none" w:pos="200"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Domino’s Pizza</w:t>
      </w:r>
      <w:r>
        <w:rPr>
          <w:rFonts w:ascii="Arial" w:cs="Arial" w:eastAsia="Arial" w:hAnsi="Arial"/>
          <w:sz w:val="13"/>
          <w:szCs w:val="13"/>
          <w:color w:val="auto"/>
        </w:rPr>
        <w:t>: Executive Vice President and Chief Financial Officer (2008 to 2010)</w:t>
      </w:r>
    </w:p>
    <w:p>
      <w:pPr>
        <w:spacing w:after="0" w:line="36" w:lineRule="exact"/>
        <w:rPr>
          <w:rFonts w:ascii="Arial" w:cs="Arial" w:eastAsia="Arial" w:hAnsi="Arial"/>
          <w:sz w:val="13"/>
          <w:szCs w:val="13"/>
          <w:color w:val="auto"/>
        </w:rPr>
      </w:pPr>
    </w:p>
    <w:p>
      <w:pPr>
        <w:ind w:left="220" w:right="1540" w:hanging="218"/>
        <w:spacing w:after="0" w:line="289" w:lineRule="auto"/>
        <w:tabs>
          <w:tab w:leader="none" w:pos="192"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Whataburger Restaurants</w:t>
      </w:r>
      <w:r>
        <w:rPr>
          <w:rFonts w:ascii="Arial" w:cs="Arial" w:eastAsia="Arial" w:hAnsi="Arial"/>
          <w:sz w:val="13"/>
          <w:szCs w:val="13"/>
          <w:color w:val="auto"/>
        </w:rPr>
        <w:t>: Senior Vice President, Chief Financial Officer and Treasurer (2004 to</w:t>
      </w:r>
      <w:r>
        <w:rPr>
          <w:rFonts w:ascii="Arial" w:cs="Arial" w:eastAsia="Arial" w:hAnsi="Arial"/>
          <w:sz w:val="13"/>
          <w:szCs w:val="13"/>
          <w:b w:val="1"/>
          <w:bCs w:val="1"/>
          <w:color w:val="auto"/>
        </w:rPr>
        <w:t xml:space="preserve"> </w:t>
      </w:r>
      <w:r>
        <w:rPr>
          <w:rFonts w:ascii="Arial" w:cs="Arial" w:eastAsia="Arial" w:hAnsi="Arial"/>
          <w:sz w:val="13"/>
          <w:szCs w:val="13"/>
          <w:color w:val="auto"/>
        </w:rPr>
        <w:t>2008); Vice President and Chief Accounting Officer (2001 to 2004)</w:t>
      </w:r>
    </w:p>
    <w:p>
      <w:pPr>
        <w:ind w:left="220" w:right="1620" w:hanging="218"/>
        <w:spacing w:after="0" w:line="279" w:lineRule="auto"/>
        <w:tabs>
          <w:tab w:leader="none" w:pos="192"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Checkers Drive-In Restaurants</w:t>
      </w:r>
      <w:r>
        <w:rPr>
          <w:rFonts w:ascii="Arial" w:cs="Arial" w:eastAsia="Arial" w:hAnsi="Arial"/>
          <w:sz w:val="13"/>
          <w:szCs w:val="13"/>
          <w:color w:val="auto"/>
        </w:rPr>
        <w:t>: Vice President, Chief Financial Officer, and Treasurer (2000 to</w:t>
      </w:r>
      <w:r>
        <w:rPr>
          <w:rFonts w:ascii="Arial" w:cs="Arial" w:eastAsia="Arial" w:hAnsi="Arial"/>
          <w:sz w:val="13"/>
          <w:szCs w:val="13"/>
          <w:b w:val="1"/>
          <w:bCs w:val="1"/>
          <w:color w:val="auto"/>
        </w:rPr>
        <w:t xml:space="preserve"> </w:t>
      </w:r>
      <w:r>
        <w:rPr>
          <w:rFonts w:ascii="Arial" w:cs="Arial" w:eastAsia="Arial" w:hAnsi="Arial"/>
          <w:sz w:val="13"/>
          <w:szCs w:val="13"/>
          <w:color w:val="auto"/>
        </w:rPr>
        <w:t>2001); various other roles (1993 to 2000)</w:t>
      </w:r>
    </w:p>
    <w:p>
      <w:pPr>
        <w:ind w:left="200" w:hanging="198"/>
        <w:spacing w:after="0"/>
        <w:tabs>
          <w:tab w:leader="none" w:pos="200"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Bachelor of Science in Accounting</w:t>
      </w:r>
      <w:r>
        <w:rPr>
          <w:rFonts w:ascii="Arial" w:cs="Arial" w:eastAsia="Arial" w:hAnsi="Arial"/>
          <w:sz w:val="13"/>
          <w:szCs w:val="13"/>
          <w:color w:val="auto"/>
        </w:rPr>
        <w:t>: University of South Florida</w:t>
      </w:r>
    </w:p>
    <w:p>
      <w:pPr>
        <w:spacing w:after="0" w:line="36" w:lineRule="exact"/>
        <w:rPr>
          <w:rFonts w:ascii="Arial" w:cs="Arial" w:eastAsia="Arial" w:hAnsi="Arial"/>
          <w:sz w:val="13"/>
          <w:szCs w:val="13"/>
          <w:color w:val="auto"/>
        </w:rPr>
      </w:pPr>
    </w:p>
    <w:p>
      <w:pPr>
        <w:ind w:left="200" w:hanging="198"/>
        <w:spacing w:after="0"/>
        <w:tabs>
          <w:tab w:leader="none" w:pos="20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Certified Public Accountant</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sectPr>
          <w:pgSz w:w="11900" w:h="16838" w:orient="portrait"/>
          <w:cols w:equalWidth="0" w:num="2">
            <w:col w:w="3380" w:space="400"/>
            <w:col w:w="7460"/>
          </w:cols>
          <w:pgMar w:left="320" w:top="132" w:right="339" w:bottom="1440" w:gutter="0" w:footer="0" w:header="0"/>
          <w:type w:val="continuous"/>
        </w:sectPr>
      </w:pPr>
    </w:p>
    <w:p>
      <w:pPr>
        <w:ind w:left="3780" w:right="1540"/>
        <w:spacing w:after="0" w:line="263" w:lineRule="auto"/>
        <w:rPr>
          <w:sz w:val="20"/>
          <w:szCs w:val="20"/>
          <w:color w:val="auto"/>
        </w:rPr>
      </w:pPr>
      <w:r>
        <w:rPr>
          <w:rFonts w:ascii="Arial" w:cs="Arial" w:eastAsia="Arial" w:hAnsi="Arial"/>
          <w:sz w:val="13"/>
          <w:szCs w:val="13"/>
          <w:color w:val="auto"/>
        </w:rPr>
        <w:t>Ms. Beck has over 25 years of leadership experience in both public and privately held companies in the hospitality and travel and leisure industries, including extensive executive leadership, management and financial experience, which the Board values as we drive growth through new store openings, omnichannel expansion, increasing the productivity of existing stores and distribution centers, optimizing our corporate governance, and managing our capital allocation. Ms. Beck serves as Chair of the Board’s Nominating &amp; Governance Committee and as a member of the Board’s Audit Committee.</w:t>
      </w:r>
    </w:p>
    <w:p>
      <w:pPr>
        <w:spacing w:after="0" w:line="260" w:lineRule="exact"/>
        <w:rPr>
          <w:sz w:val="20"/>
          <w:szCs w:val="20"/>
          <w:color w:val="auto"/>
        </w:rPr>
      </w:pPr>
    </w:p>
    <w:p>
      <w:pPr>
        <w:ind w:left="3780" w:right="1620"/>
        <w:spacing w:after="0" w:line="275" w:lineRule="auto"/>
        <w:rPr>
          <w:sz w:val="20"/>
          <w:szCs w:val="20"/>
          <w:color w:val="auto"/>
        </w:rPr>
      </w:pPr>
      <w:r>
        <w:rPr>
          <w:rFonts w:ascii="Arial" w:cs="Arial" w:eastAsia="Arial" w:hAnsi="Arial"/>
          <w:sz w:val="13"/>
          <w:szCs w:val="13"/>
          <w:b w:val="1"/>
          <w:bCs w:val="1"/>
          <w:color w:val="auto"/>
        </w:rPr>
        <w:t>The Board selected Ms. Beck to serve as a director based on her board, executive leadership and management experience related to the retail industry, which includes extensive accounting and financial skills, corporate governance, risk management, strategic planning, supply chain/logistics, talent management, technology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1183005</wp:posOffset>
            </wp:positionV>
            <wp:extent cx="7168515" cy="4127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895985</wp:posOffset>
            </wp:positionV>
            <wp:extent cx="789305" cy="18923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3"/>
          <w:szCs w:val="13"/>
          <w:b w:val="1"/>
          <w:bCs w:val="1"/>
          <w:color w:val="007EC4"/>
        </w:rPr>
        <w:t xml:space="preserve">14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ectPr>
          <w:pgSz w:w="11900" w:h="16838" w:orient="portrait"/>
          <w:cols w:equalWidth="0" w:num="1">
            <w:col w:w="10139"/>
          </w:cols>
          <w:pgMar w:left="320" w:top="1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134620</wp:posOffset>
            </wp:positionV>
            <wp:extent cx="1286510" cy="762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-1412240</wp:posOffset>
            </wp:positionV>
            <wp:extent cx="1104900" cy="110490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104900" cy="1104900"/>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220980</wp:posOffset>
            </wp:positionV>
            <wp:extent cx="189230" cy="18161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ind w:right="520"/>
        <w:spacing w:after="0"/>
        <w:rPr>
          <w:sz w:val="20"/>
          <w:szCs w:val="20"/>
          <w:color w:val="auto"/>
        </w:rPr>
      </w:pPr>
      <w:r>
        <w:rPr>
          <w:rFonts w:ascii="Arial" w:cs="Arial" w:eastAsia="Arial" w:hAnsi="Arial"/>
          <w:sz w:val="13"/>
          <w:szCs w:val="13"/>
          <w:b w:val="1"/>
          <w:bCs w:val="1"/>
          <w:color w:val="007EC4"/>
        </w:rPr>
        <w:t>Marketing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Theresa Palermo</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23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July 2022</w:t>
            </w:r>
          </w:p>
        </w:tc>
        <w:tc>
          <w:tcPr>
            <w:tcW w:w="2040" w:type="dxa"/>
            <w:vAlign w:val="bottom"/>
            <w:tcBorders>
              <w:right w:val="single" w:sz="8" w:color="B6B6B6"/>
            </w:tcBorders>
          </w:tcPr>
          <w:p>
            <w:pPr>
              <w:ind w:left="48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49</w:t>
            </w:r>
          </w:p>
        </w:tc>
      </w:tr>
      <w:tr>
        <w:trPr>
          <w:trHeight w:val="26"/>
        </w:trPr>
        <w:tc>
          <w:tcPr>
            <w:tcW w:w="23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56" w:lineRule="exact"/>
        <w:rPr>
          <w:sz w:val="20"/>
          <w:szCs w:val="20"/>
          <w:color w:val="auto"/>
        </w:rPr>
      </w:pPr>
    </w:p>
    <w:p>
      <w:pPr>
        <w:ind w:left="200" w:hanging="196"/>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Nominating &amp; Governance since July 2022</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68" w:lineRule="exact"/>
        <w:rPr>
          <w:sz w:val="20"/>
          <w:szCs w:val="20"/>
          <w:color w:val="auto"/>
        </w:rPr>
      </w:pPr>
    </w:p>
    <w:p>
      <w:pPr>
        <w:ind w:left="220" w:hanging="216"/>
        <w:spacing w:after="0"/>
        <w:tabs>
          <w:tab w:leader="none" w:pos="220" w:val="left"/>
        </w:tabs>
        <w:numPr>
          <w:ilvl w:val="0"/>
          <w:numId w:val="15"/>
        </w:numPr>
        <w:rPr>
          <w:rFonts w:ascii="Arial" w:cs="Arial" w:eastAsia="Arial" w:hAnsi="Arial"/>
          <w:sz w:val="13"/>
          <w:szCs w:val="13"/>
          <w:color w:val="auto"/>
        </w:rPr>
      </w:pPr>
      <w:r>
        <w:rPr>
          <w:rFonts w:ascii="Arial" w:cs="Arial" w:eastAsia="Arial" w:hAnsi="Arial"/>
          <w:sz w:val="13"/>
          <w:szCs w:val="13"/>
          <w:b w:val="1"/>
          <w:bCs w:val="1"/>
          <w:color w:val="auto"/>
        </w:rPr>
        <w:t>Magnolia</w:t>
      </w:r>
      <w:r>
        <w:rPr>
          <w:rFonts w:ascii="Arial" w:cs="Arial" w:eastAsia="Arial" w:hAnsi="Arial"/>
          <w:sz w:val="13"/>
          <w:szCs w:val="13"/>
          <w:color w:val="auto"/>
        </w:rPr>
        <w:t>: Chief Marketing Officer since July 2024</w:t>
      </w:r>
    </w:p>
    <w:p>
      <w:pPr>
        <w:spacing w:after="0" w:line="36" w:lineRule="exact"/>
        <w:rPr>
          <w:rFonts w:ascii="Arial" w:cs="Arial" w:eastAsia="Arial" w:hAnsi="Arial"/>
          <w:sz w:val="13"/>
          <w:szCs w:val="13"/>
          <w:color w:val="auto"/>
        </w:rPr>
      </w:pPr>
    </w:p>
    <w:p>
      <w:pPr>
        <w:ind w:left="220" w:right="499" w:hanging="216"/>
        <w:spacing w:after="0" w:line="279" w:lineRule="auto"/>
        <w:tabs>
          <w:tab w:leader="none" w:pos="216" w:val="left"/>
        </w:tabs>
        <w:numPr>
          <w:ilvl w:val="0"/>
          <w:numId w:val="15"/>
        </w:numPr>
        <w:rPr>
          <w:rFonts w:ascii="Arial" w:cs="Arial" w:eastAsia="Arial" w:hAnsi="Arial"/>
          <w:sz w:val="13"/>
          <w:szCs w:val="13"/>
          <w:color w:val="auto"/>
        </w:rPr>
      </w:pPr>
      <w:r>
        <w:rPr>
          <w:rFonts w:ascii="Arial" w:cs="Arial" w:eastAsia="Arial" w:hAnsi="Arial"/>
          <w:sz w:val="13"/>
          <w:szCs w:val="13"/>
          <w:b w:val="1"/>
          <w:bCs w:val="1"/>
          <w:color w:val="auto"/>
        </w:rPr>
        <w:t>Signet Jewelers</w:t>
      </w:r>
      <w:r>
        <w:rPr>
          <w:rFonts w:ascii="Arial" w:cs="Arial" w:eastAsia="Arial" w:hAnsi="Arial"/>
          <w:sz w:val="13"/>
          <w:szCs w:val="13"/>
          <w:color w:val="auto"/>
        </w:rPr>
        <w:t>: Senior Vice President, Connected Commerce and Marketing (October 2019 to</w:t>
      </w:r>
      <w:r>
        <w:rPr>
          <w:rFonts w:ascii="Arial" w:cs="Arial" w:eastAsia="Arial" w:hAnsi="Arial"/>
          <w:sz w:val="13"/>
          <w:szCs w:val="13"/>
          <w:b w:val="1"/>
          <w:bCs w:val="1"/>
          <w:color w:val="auto"/>
        </w:rPr>
        <w:t xml:space="preserve"> </w:t>
      </w:r>
      <w:r>
        <w:rPr>
          <w:rFonts w:ascii="Arial" w:cs="Arial" w:eastAsia="Arial" w:hAnsi="Arial"/>
          <w:sz w:val="13"/>
          <w:szCs w:val="13"/>
          <w:color w:val="auto"/>
        </w:rPr>
        <w:t>July 2024)</w:t>
      </w:r>
    </w:p>
    <w:p>
      <w:pPr>
        <w:ind w:left="220" w:hanging="216"/>
        <w:spacing w:after="0"/>
        <w:tabs>
          <w:tab w:leader="none" w:pos="220" w:val="left"/>
        </w:tabs>
        <w:numPr>
          <w:ilvl w:val="0"/>
          <w:numId w:val="15"/>
        </w:numPr>
        <w:rPr>
          <w:rFonts w:ascii="Arial" w:cs="Arial" w:eastAsia="Arial" w:hAnsi="Arial"/>
          <w:sz w:val="13"/>
          <w:szCs w:val="13"/>
          <w:color w:val="auto"/>
        </w:rPr>
      </w:pPr>
      <w:r>
        <w:rPr>
          <w:rFonts w:ascii="Arial" w:cs="Arial" w:eastAsia="Arial" w:hAnsi="Arial"/>
          <w:sz w:val="13"/>
          <w:szCs w:val="13"/>
          <w:b w:val="1"/>
          <w:bCs w:val="1"/>
          <w:color w:val="auto"/>
        </w:rPr>
        <w:t>Neiman Marcus</w:t>
      </w:r>
      <w:r>
        <w:rPr>
          <w:rFonts w:ascii="Arial" w:cs="Arial" w:eastAsia="Arial" w:hAnsi="Arial"/>
          <w:sz w:val="13"/>
          <w:szCs w:val="13"/>
          <w:color w:val="auto"/>
        </w:rPr>
        <w:t>: Senior Vice President, Marketing (September 2017 to October 2019)</w:t>
      </w:r>
    </w:p>
    <w:p>
      <w:pPr>
        <w:spacing w:after="0" w:line="49" w:lineRule="exact"/>
        <w:rPr>
          <w:rFonts w:ascii="Arial" w:cs="Arial" w:eastAsia="Arial" w:hAnsi="Arial"/>
          <w:sz w:val="13"/>
          <w:szCs w:val="13"/>
          <w:color w:val="auto"/>
        </w:rPr>
      </w:pPr>
    </w:p>
    <w:p>
      <w:pPr>
        <w:ind w:left="220" w:hanging="216"/>
        <w:spacing w:after="0"/>
        <w:tabs>
          <w:tab w:leader="none" w:pos="220" w:val="left"/>
        </w:tabs>
        <w:numPr>
          <w:ilvl w:val="0"/>
          <w:numId w:val="15"/>
        </w:numPr>
        <w:rPr>
          <w:rFonts w:ascii="Arial" w:cs="Arial" w:eastAsia="Arial" w:hAnsi="Arial"/>
          <w:sz w:val="13"/>
          <w:szCs w:val="13"/>
          <w:color w:val="auto"/>
        </w:rPr>
      </w:pPr>
      <w:r>
        <w:rPr>
          <w:rFonts w:ascii="Arial" w:cs="Arial" w:eastAsia="Arial" w:hAnsi="Arial"/>
          <w:sz w:val="13"/>
          <w:szCs w:val="13"/>
          <w:b w:val="1"/>
          <w:bCs w:val="1"/>
          <w:color w:val="auto"/>
        </w:rPr>
        <w:t>Vera Bradley</w:t>
      </w:r>
      <w:r>
        <w:rPr>
          <w:rFonts w:ascii="Arial" w:cs="Arial" w:eastAsia="Arial" w:hAnsi="Arial"/>
          <w:sz w:val="13"/>
          <w:szCs w:val="13"/>
          <w:color w:val="auto"/>
        </w:rPr>
        <w:t>: Executive Vice President and Chief Marketing Officer (June 2015 to August 2017)</w:t>
      </w:r>
    </w:p>
    <w:p>
      <w:pPr>
        <w:spacing w:after="0" w:line="36" w:lineRule="exact"/>
        <w:rPr>
          <w:rFonts w:ascii="Arial" w:cs="Arial" w:eastAsia="Arial" w:hAnsi="Arial"/>
          <w:sz w:val="13"/>
          <w:szCs w:val="13"/>
          <w:color w:val="auto"/>
        </w:rPr>
      </w:pPr>
    </w:p>
    <w:p>
      <w:pPr>
        <w:ind w:left="220" w:right="599" w:hanging="216"/>
        <w:spacing w:after="0" w:line="279" w:lineRule="auto"/>
        <w:tabs>
          <w:tab w:leader="none" w:pos="216" w:val="left"/>
        </w:tabs>
        <w:numPr>
          <w:ilvl w:val="0"/>
          <w:numId w:val="15"/>
        </w:numPr>
        <w:rPr>
          <w:rFonts w:ascii="Arial" w:cs="Arial" w:eastAsia="Arial" w:hAnsi="Arial"/>
          <w:sz w:val="13"/>
          <w:szCs w:val="13"/>
          <w:color w:val="auto"/>
        </w:rPr>
      </w:pPr>
      <w:r>
        <w:rPr>
          <w:rFonts w:ascii="Arial" w:cs="Arial" w:eastAsia="Arial" w:hAnsi="Arial"/>
          <w:sz w:val="13"/>
          <w:szCs w:val="13"/>
          <w:b w:val="1"/>
          <w:bCs w:val="1"/>
          <w:color w:val="auto"/>
        </w:rPr>
        <w:t>Fossil Group</w:t>
      </w:r>
      <w:r>
        <w:rPr>
          <w:rFonts w:ascii="Arial" w:cs="Arial" w:eastAsia="Arial" w:hAnsi="Arial"/>
          <w:sz w:val="13"/>
          <w:szCs w:val="13"/>
          <w:color w:val="auto"/>
        </w:rPr>
        <w:t>,</w:t>
      </w:r>
      <w:r>
        <w:rPr>
          <w:rFonts w:ascii="Arial" w:cs="Arial" w:eastAsia="Arial" w:hAnsi="Arial"/>
          <w:sz w:val="13"/>
          <w:szCs w:val="13"/>
          <w:b w:val="1"/>
          <w:bCs w:val="1"/>
          <w:color w:val="auto"/>
        </w:rPr>
        <w:t xml:space="preserve"> Collective Brands</w:t>
      </w:r>
      <w:r>
        <w:rPr>
          <w:rFonts w:ascii="Arial" w:cs="Arial" w:eastAsia="Arial" w:hAnsi="Arial"/>
          <w:sz w:val="13"/>
          <w:szCs w:val="13"/>
          <w:color w:val="auto"/>
        </w:rPr>
        <w:t>,</w:t>
      </w:r>
      <w:r>
        <w:rPr>
          <w:rFonts w:ascii="Arial" w:cs="Arial" w:eastAsia="Arial" w:hAnsi="Arial"/>
          <w:sz w:val="13"/>
          <w:szCs w:val="13"/>
          <w:b w:val="1"/>
          <w:bCs w:val="1"/>
          <w:color w:val="auto"/>
        </w:rPr>
        <w:t xml:space="preserve"> The Timberland Company</w:t>
      </w:r>
      <w:r>
        <w:rPr>
          <w:rFonts w:ascii="Arial" w:cs="Arial" w:eastAsia="Arial" w:hAnsi="Arial"/>
          <w:sz w:val="13"/>
          <w:szCs w:val="13"/>
          <w:color w:val="auto"/>
        </w:rPr>
        <w:t>,</w:t>
      </w:r>
      <w:r>
        <w:rPr>
          <w:rFonts w:ascii="Arial" w:cs="Arial" w:eastAsia="Arial" w:hAnsi="Arial"/>
          <w:sz w:val="13"/>
          <w:szCs w:val="13"/>
          <w:b w:val="1"/>
          <w:bCs w:val="1"/>
          <w:color w:val="auto"/>
        </w:rPr>
        <w:t xml:space="preserve"> Polaroid</w:t>
      </w:r>
      <w:r>
        <w:rPr>
          <w:rFonts w:ascii="Arial" w:cs="Arial" w:eastAsia="Arial" w:hAnsi="Arial"/>
          <w:sz w:val="13"/>
          <w:szCs w:val="13"/>
          <w:color w:val="auto"/>
        </w:rPr>
        <w:t>, and</w:t>
      </w:r>
      <w:r>
        <w:rPr>
          <w:rFonts w:ascii="Arial" w:cs="Arial" w:eastAsia="Arial" w:hAnsi="Arial"/>
          <w:sz w:val="13"/>
          <w:szCs w:val="13"/>
          <w:b w:val="1"/>
          <w:bCs w:val="1"/>
          <w:color w:val="auto"/>
        </w:rPr>
        <w:t xml:space="preserve"> United Communications Group</w:t>
      </w:r>
      <w:r>
        <w:rPr>
          <w:rFonts w:ascii="Arial" w:cs="Arial" w:eastAsia="Arial" w:hAnsi="Arial"/>
          <w:sz w:val="13"/>
          <w:szCs w:val="13"/>
          <w:color w:val="auto"/>
        </w:rPr>
        <w:t>: Senior positions and roles (January 1997 to June 2015, collectively)</w:t>
      </w:r>
    </w:p>
    <w:p>
      <w:pPr>
        <w:spacing w:after="0" w:line="1" w:lineRule="exact"/>
        <w:rPr>
          <w:sz w:val="20"/>
          <w:szCs w:val="20"/>
          <w:color w:val="auto"/>
        </w:rPr>
      </w:pPr>
    </w:p>
    <w:p>
      <w:pPr>
        <w:sectPr>
          <w:pgSz w:w="11900" w:h="16838" w:orient="portrait"/>
          <w:cols w:equalWidth="0" w:num="2">
            <w:col w:w="3040" w:space="720"/>
            <w:col w:w="6379"/>
          </w:cols>
          <w:pgMar w:left="320" w:top="157" w:right="1440" w:bottom="1440" w:gutter="0" w:footer="0" w:header="0"/>
          <w:type w:val="continuous"/>
        </w:sectPr>
      </w:pPr>
    </w:p>
    <w:p>
      <w:pPr>
        <w:ind w:left="3960" w:hanging="196"/>
        <w:spacing w:after="0"/>
        <w:tabs>
          <w:tab w:leader="none" w:pos="3960"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Bachelor of Science in Marketing</w:t>
      </w:r>
      <w:r>
        <w:rPr>
          <w:rFonts w:ascii="Arial" w:cs="Arial" w:eastAsia="Arial" w:hAnsi="Arial"/>
          <w:sz w:val="13"/>
          <w:szCs w:val="13"/>
          <w:color w:val="auto"/>
        </w:rPr>
        <w:t>: Auburn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-57785</wp:posOffset>
            </wp:positionV>
            <wp:extent cx="189230" cy="18923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1" w:lineRule="exact"/>
        <w:rPr>
          <w:sz w:val="20"/>
          <w:szCs w:val="20"/>
          <w:color w:val="auto"/>
        </w:rPr>
      </w:pPr>
    </w:p>
    <w:p>
      <w:pPr>
        <w:ind w:left="1900"/>
        <w:spacing w:after="0"/>
        <w:tabs>
          <w:tab w:leader="none" w:pos="3740" w:val="left"/>
          <w:tab w:leader="none" w:pos="3960" w:val="left"/>
        </w:tabs>
        <w:rPr>
          <w:sz w:val="20"/>
          <w:szCs w:val="20"/>
          <w:color w:val="auto"/>
        </w:rPr>
      </w:pPr>
      <w:r>
        <w:rPr>
          <w:rFonts w:ascii="Arial" w:cs="Arial" w:eastAsia="Arial" w:hAnsi="Arial"/>
          <w:sz w:val="26"/>
          <w:szCs w:val="26"/>
          <w:b w:val="1"/>
          <w:bCs w:val="1"/>
          <w:color w:val="007EC4"/>
          <w:vertAlign w:val="superscript"/>
        </w:rPr>
        <w:t>Customer Loyalty</w:t>
      </w:r>
      <w:r>
        <w:rPr>
          <w:sz w:val="20"/>
          <w:szCs w:val="20"/>
          <w:color w:val="auto"/>
        </w:rPr>
        <w:tab/>
      </w:r>
      <w:r>
        <w:rPr>
          <w:rFonts w:ascii="Arial" w:cs="Arial" w:eastAsia="Arial" w:hAnsi="Arial"/>
          <w:sz w:val="13"/>
          <w:szCs w:val="13"/>
          <w:b w:val="1"/>
          <w:bCs w:val="1"/>
          <w:color w:val="auto"/>
        </w:rPr>
        <w:t>•</w:t>
        <w:tab/>
        <w:t>Master of Business Administration</w:t>
      </w:r>
      <w:r>
        <w:rPr>
          <w:rFonts w:ascii="Arial" w:cs="Arial" w:eastAsia="Arial" w:hAnsi="Arial"/>
          <w:sz w:val="13"/>
          <w:szCs w:val="13"/>
          <w:color w:val="auto"/>
        </w:rPr>
        <w:t>: Simmons University</w:t>
      </w:r>
    </w:p>
    <w:p>
      <w:pPr>
        <w:sectPr>
          <w:pgSz w:w="11900" w:h="16838" w:orient="portrait"/>
          <w:cols w:equalWidth="0" w:num="1">
            <w:col w:w="10139"/>
          </w:cols>
          <w:pgMar w:left="320" w:top="157" w:right="1440" w:bottom="1440" w:gutter="0" w:footer="0" w:header="0"/>
          <w:type w:val="continuous"/>
        </w:sectPr>
      </w:pPr>
    </w:p>
    <w:p>
      <w:pPr>
        <w:spacing w:after="0" w:line="177"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Digital/eCommerce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-160655</wp:posOffset>
            </wp:positionV>
            <wp:extent cx="189230" cy="18923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89230" cy="189230"/>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146685</wp:posOffset>
            </wp:positionV>
            <wp:extent cx="189230" cy="18161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03"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146685</wp:posOffset>
            </wp:positionV>
            <wp:extent cx="189230" cy="18923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15"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991235</wp:posOffset>
            </wp:positionV>
            <wp:extent cx="789305" cy="18923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42" w:lineRule="exact"/>
        <w:rPr>
          <w:sz w:val="20"/>
          <w:szCs w:val="20"/>
          <w:color w:val="auto"/>
        </w:rPr>
      </w:pPr>
    </w:p>
    <w:p>
      <w:pPr>
        <w:ind w:right="539"/>
        <w:spacing w:after="0" w:line="263" w:lineRule="auto"/>
        <w:rPr>
          <w:sz w:val="20"/>
          <w:szCs w:val="20"/>
          <w:color w:val="auto"/>
        </w:rPr>
      </w:pPr>
      <w:r>
        <w:rPr>
          <w:rFonts w:ascii="Arial" w:cs="Arial" w:eastAsia="Arial" w:hAnsi="Arial"/>
          <w:sz w:val="13"/>
          <w:szCs w:val="13"/>
          <w:color w:val="auto"/>
        </w:rPr>
        <w:t>Ms. Palermo has over 20 years of marketing experience with retail companies in addition to retail digital and eCommerce experience a background focused on the omnichannel customer experience across all touch points, and a track record of driving sales and traffic for both vertical and national brands, which the Board values as we further enhance our targeted marketing efforts, grow our eCommerce business, and expand our store base. Ms. Palermo serves as a member of the Board’s Nominating &amp; Governance Committee.</w:t>
      </w:r>
    </w:p>
    <w:p>
      <w:pPr>
        <w:spacing w:after="0" w:line="111" w:lineRule="exact"/>
        <w:rPr>
          <w:sz w:val="20"/>
          <w:szCs w:val="20"/>
          <w:color w:val="auto"/>
        </w:rPr>
      </w:pPr>
    </w:p>
    <w:p>
      <w:pPr>
        <w:ind w:right="899"/>
        <w:spacing w:after="0" w:line="273" w:lineRule="auto"/>
        <w:rPr>
          <w:sz w:val="20"/>
          <w:szCs w:val="20"/>
          <w:color w:val="auto"/>
        </w:rPr>
      </w:pPr>
      <w:r>
        <w:rPr>
          <w:rFonts w:ascii="Arial" w:cs="Arial" w:eastAsia="Arial" w:hAnsi="Arial"/>
          <w:sz w:val="13"/>
          <w:szCs w:val="13"/>
          <w:b w:val="1"/>
          <w:bCs w:val="1"/>
          <w:color w:val="auto"/>
        </w:rPr>
        <w:t>The Board selected Ms. Palermo because of her executive leadership and management experience related to the retail industry, which includes marketing, customer loyalty, digital/eCommerce, strategic planning, technology, and human resources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946785</wp:posOffset>
            </wp:positionV>
            <wp:extent cx="7168515" cy="4127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3100" w:space="660"/>
            <w:col w:w="6379"/>
          </w:cols>
          <w:pgMar w:left="320" w:top="157" w:right="1440" w:bottom="1440" w:gutter="0" w:footer="0" w:header="0"/>
          <w:type w:val="continuous"/>
        </w:sectPr>
      </w:pPr>
    </w:p>
    <w:bookmarkStart w:id="20" w:name="page21"/>
    <w:bookmarkEnd w:id="20"/>
    <w:p>
      <w:pPr>
        <w:ind w:left="642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15</w:t>
      </w:r>
    </w:p>
    <w:p>
      <w:pPr>
        <w:sectPr>
          <w:pgSz w:w="11900" w:h="16838" w:orient="portrait"/>
          <w:cols w:equalWidth="0" w:num="1">
            <w:col w:w="10120"/>
          </w:cols>
          <w:pgMar w:left="144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111125</wp:posOffset>
            </wp:positionV>
            <wp:extent cx="1302385" cy="762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302385" cy="762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-1395730</wp:posOffset>
            </wp:positionV>
            <wp:extent cx="1104900" cy="110490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104900" cy="1104900"/>
                    </a:xfrm>
                    <a:prstGeom prst="rect">
                      <a:avLst/>
                    </a:prstGeom>
                    <a:noFill/>
                  </pic:spPr>
                </pic:pic>
              </a:graphicData>
            </a:graphic>
          </wp:anchor>
        </w:drawing>
      </w:r>
    </w:p>
    <w:p>
      <w:pPr>
        <w:spacing w:after="0" w:line="280" w:lineRule="exact"/>
        <w:rPr>
          <w:sz w:val="20"/>
          <w:szCs w:val="20"/>
          <w:color w:val="auto"/>
        </w:rPr>
      </w:pPr>
    </w:p>
    <w:p>
      <w:pPr>
        <w:ind w:left="400"/>
        <w:spacing w:after="0" w:line="515" w:lineRule="auto"/>
        <w:rPr>
          <w:sz w:val="20"/>
          <w:szCs w:val="20"/>
          <w:color w:val="auto"/>
        </w:rPr>
      </w:pPr>
      <w:r>
        <w:rPr>
          <w:sz w:val="1"/>
          <w:szCs w:val="1"/>
          <w:color w:val="auto"/>
        </w:rPr>
        <w:drawing>
          <wp:inline distT="0" distB="0" distL="0" distR="0">
            <wp:extent cx="189230" cy="189230"/>
            <wp:effectExtent l="0" t="0" r="0" b="0"/>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89230" cy="189230"/>
                    </a:xfrm>
                    <a:prstGeom prst="rect">
                      <a:avLst/>
                    </a:prstGeom>
                    <a:noFill/>
                    <a:ln>
                      <a:noFill/>
                    </a:ln>
                  </pic:spPr>
                </pic:pic>
              </a:graphicData>
            </a:graphic>
          </wp:inline>
        </w:drawing>
      </w:r>
      <w:r>
        <w:rPr>
          <w:rFonts w:ascii="Arial" w:cs="Arial" w:eastAsia="Arial" w:hAnsi="Arial"/>
          <w:sz w:val="13"/>
          <w:szCs w:val="13"/>
          <w:b w:val="1"/>
          <w:bCs w:val="1"/>
          <w:color w:val="007EC4"/>
        </w:rPr>
        <w:t xml:space="preserve"> Supply Chain/Logistics </w:t>
      </w:r>
      <w:r>
        <w:rPr>
          <w:sz w:val="1"/>
          <w:szCs w:val="1"/>
          <w:color w:val="auto"/>
        </w:rPr>
        <w:drawing>
          <wp:inline distT="0" distB="0" distL="0" distR="0">
            <wp:extent cx="189230" cy="189230"/>
            <wp:effectExtent l="0" t="0" r="0" b="0"/>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89230" cy="189230"/>
                    </a:xfrm>
                    <a:prstGeom prst="rect">
                      <a:avLst/>
                    </a:prstGeom>
                    <a:noFill/>
                    <a:ln>
                      <a:noFill/>
                    </a:ln>
                  </pic:spPr>
                </pic:pic>
              </a:graphicData>
            </a:graphic>
          </wp:inline>
        </w:drawing>
      </w:r>
      <w:r>
        <w:rPr>
          <w:rFonts w:ascii="Arial" w:cs="Arial" w:eastAsia="Arial" w:hAnsi="Arial"/>
          <w:sz w:val="13"/>
          <w:szCs w:val="13"/>
          <w:b w:val="1"/>
          <w:bCs w:val="1"/>
          <w:color w:val="007EC4"/>
        </w:rPr>
        <w:t xml:space="preserve"> Sourcing/Manufacturing </w:t>
      </w:r>
      <w:r>
        <w:rPr>
          <w:sz w:val="1"/>
          <w:szCs w:val="1"/>
          <w:color w:val="auto"/>
        </w:rPr>
        <w:drawing>
          <wp:inline distT="0" distB="0" distL="0" distR="0">
            <wp:extent cx="189230" cy="189230"/>
            <wp:effectExtent l="0" t="0" r="0" b="0"/>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89230" cy="189230"/>
                    </a:xfrm>
                    <a:prstGeom prst="rect">
                      <a:avLst/>
                    </a:prstGeom>
                    <a:noFill/>
                    <a:ln>
                      <a:noFill/>
                    </a:ln>
                  </pic:spPr>
                </pic:pic>
              </a:graphicData>
            </a:graphic>
          </wp:inline>
        </w:drawing>
      </w:r>
      <w:r>
        <w:rPr>
          <w:rFonts w:ascii="Arial" w:cs="Arial" w:eastAsia="Arial" w:hAnsi="Arial"/>
          <w:sz w:val="13"/>
          <w:szCs w:val="13"/>
          <w:b w:val="1"/>
          <w:bCs w:val="1"/>
          <w:color w:val="007EC4"/>
        </w:rPr>
        <w:t xml:space="preserve"> Process Improvement </w:t>
      </w:r>
      <w:r>
        <w:rPr>
          <w:sz w:val="1"/>
          <w:szCs w:val="1"/>
          <w:color w:val="auto"/>
        </w:rPr>
        <w:drawing>
          <wp:inline distT="0" distB="0" distL="0" distR="0">
            <wp:extent cx="189230" cy="181610"/>
            <wp:effectExtent l="0" t="0" r="0" b="0"/>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89230" cy="181610"/>
                    </a:xfrm>
                    <a:prstGeom prst="rect">
                      <a:avLst/>
                    </a:prstGeom>
                    <a:noFill/>
                    <a:ln>
                      <a:noFill/>
                    </a:ln>
                  </pic:spPr>
                </pic:pic>
              </a:graphicData>
            </a:graphic>
          </wp:inline>
        </w:drawing>
      </w:r>
      <w:r>
        <w:rPr>
          <w:rFonts w:ascii="Arial" w:cs="Arial" w:eastAsia="Arial" w:hAnsi="Arial"/>
          <w:sz w:val="13"/>
          <w:szCs w:val="13"/>
          <w:b w:val="1"/>
          <w:bCs w:val="1"/>
          <w:color w:val="007EC4"/>
        </w:rPr>
        <w:t xml:space="preserve"> Strategic Planning </w:t>
      </w:r>
      <w:r>
        <w:rPr>
          <w:sz w:val="1"/>
          <w:szCs w:val="1"/>
          <w:color w:val="auto"/>
        </w:rPr>
        <w:drawing>
          <wp:inline distT="0" distB="0" distL="0" distR="0">
            <wp:extent cx="189230" cy="181610"/>
            <wp:effectExtent l="0" t="0" r="0" b="0"/>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89230" cy="181610"/>
                    </a:xfrm>
                    <a:prstGeom prst="rect">
                      <a:avLst/>
                    </a:prstGeom>
                    <a:noFill/>
                    <a:ln>
                      <a:noFill/>
                    </a:ln>
                  </pic:spPr>
                </pic:pic>
              </a:graphicData>
            </a:graphic>
          </wp:inline>
        </w:drawing>
      </w:r>
      <w:r>
        <w:rPr>
          <w:rFonts w:ascii="Arial" w:cs="Arial" w:eastAsia="Arial" w:hAnsi="Arial"/>
          <w:sz w:val="13"/>
          <w:szCs w:val="13"/>
          <w:b w:val="1"/>
          <w:bCs w:val="1"/>
          <w:color w:val="007EC4"/>
        </w:rPr>
        <w:t xml:space="preserve"> Store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1296035</wp:posOffset>
            </wp:positionV>
            <wp:extent cx="1318260" cy="1587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318260" cy="1587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704215</wp:posOffset>
            </wp:positionV>
            <wp:extent cx="15875" cy="1587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704215</wp:posOffset>
            </wp:positionV>
            <wp:extent cx="1286510" cy="1587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86510" cy="1587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846455</wp:posOffset>
            </wp:positionV>
            <wp:extent cx="260350" cy="26035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260350" cy="260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EE2724"/>
        </w:rPr>
        <w:t>Monique Picou</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23"/>
        </w:trPr>
        <w:tc>
          <w:tcPr>
            <w:tcW w:w="242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March 2024</w:t>
            </w:r>
          </w:p>
        </w:tc>
        <w:tc>
          <w:tcPr>
            <w:tcW w:w="2040" w:type="dxa"/>
            <w:vAlign w:val="bottom"/>
            <w:tcBorders>
              <w:right w:val="single" w:sz="8" w:color="B6B6B6"/>
            </w:tcBorders>
          </w:tcPr>
          <w:p>
            <w:pPr>
              <w:ind w:left="48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58</w:t>
            </w:r>
          </w:p>
        </w:tc>
      </w:tr>
      <w:tr>
        <w:trPr>
          <w:trHeight w:val="26"/>
        </w:trPr>
        <w:tc>
          <w:tcPr>
            <w:tcW w:w="242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007EC4"/>
        </w:rPr>
        <w:t>Experience and Qualifications</w:t>
      </w:r>
    </w:p>
    <w:p>
      <w:pPr>
        <w:spacing w:after="0" w:line="81" w:lineRule="exact"/>
        <w:rPr>
          <w:sz w:val="20"/>
          <w:szCs w:val="20"/>
          <w:color w:val="auto"/>
        </w:rPr>
      </w:pPr>
    </w:p>
    <w:p>
      <w:pPr>
        <w:ind w:left="280" w:right="1540" w:hanging="232"/>
        <w:spacing w:after="0" w:line="269" w:lineRule="auto"/>
        <w:tabs>
          <w:tab w:leader="none" w:pos="252" w:val="left"/>
        </w:tabs>
        <w:numPr>
          <w:ilvl w:val="0"/>
          <w:numId w:val="17"/>
        </w:numPr>
        <w:rPr>
          <w:rFonts w:ascii="Arial" w:cs="Arial" w:eastAsia="Arial" w:hAnsi="Arial"/>
          <w:sz w:val="13"/>
          <w:szCs w:val="13"/>
          <w:color w:val="auto"/>
        </w:rPr>
      </w:pPr>
      <w:r>
        <w:rPr>
          <w:rFonts w:ascii="Arial" w:cs="Arial" w:eastAsia="Arial" w:hAnsi="Arial"/>
          <w:sz w:val="13"/>
          <w:szCs w:val="13"/>
          <w:b w:val="1"/>
          <w:bCs w:val="1"/>
          <w:color w:val="auto"/>
        </w:rPr>
        <w:t>Alphabet</w:t>
      </w:r>
      <w:r>
        <w:rPr>
          <w:rFonts w:ascii="Arial" w:cs="Arial" w:eastAsia="Arial" w:hAnsi="Arial"/>
          <w:sz w:val="13"/>
          <w:szCs w:val="13"/>
          <w:color w:val="auto"/>
        </w:rPr>
        <w:t>: Global Executive - Vice President, Google Cloud Supply Chain and Operations since</w:t>
      </w:r>
      <w:r>
        <w:rPr>
          <w:rFonts w:ascii="Arial" w:cs="Arial" w:eastAsia="Arial" w:hAnsi="Arial"/>
          <w:sz w:val="13"/>
          <w:szCs w:val="13"/>
          <w:b w:val="1"/>
          <w:bCs w:val="1"/>
          <w:color w:val="auto"/>
        </w:rPr>
        <w:t xml:space="preserve"> </w:t>
      </w:r>
      <w:r>
        <w:rPr>
          <w:rFonts w:ascii="Arial" w:cs="Arial" w:eastAsia="Arial" w:hAnsi="Arial"/>
          <w:sz w:val="13"/>
          <w:szCs w:val="13"/>
          <w:color w:val="auto"/>
        </w:rPr>
        <w:t>March 2023; Vice President, Google Product, Technology Strategy and Global Server Operations (February 2021 to April 2023)</w:t>
      </w:r>
    </w:p>
    <w:p>
      <w:pPr>
        <w:spacing w:after="0" w:line="6" w:lineRule="exact"/>
        <w:rPr>
          <w:rFonts w:ascii="Arial" w:cs="Arial" w:eastAsia="Arial" w:hAnsi="Arial"/>
          <w:sz w:val="13"/>
          <w:szCs w:val="13"/>
          <w:color w:val="auto"/>
        </w:rPr>
      </w:pPr>
    </w:p>
    <w:p>
      <w:pPr>
        <w:ind w:left="280" w:right="1600" w:hanging="232"/>
        <w:spacing w:after="0" w:line="269" w:lineRule="auto"/>
        <w:tabs>
          <w:tab w:leader="none" w:pos="276" w:val="left"/>
        </w:tabs>
        <w:numPr>
          <w:ilvl w:val="0"/>
          <w:numId w:val="17"/>
        </w:numPr>
        <w:rPr>
          <w:rFonts w:ascii="Arial" w:cs="Arial" w:eastAsia="Arial" w:hAnsi="Arial"/>
          <w:sz w:val="13"/>
          <w:szCs w:val="13"/>
          <w:color w:val="auto"/>
        </w:rPr>
      </w:pPr>
      <w:r>
        <w:rPr>
          <w:rFonts w:ascii="Arial" w:cs="Arial" w:eastAsia="Arial" w:hAnsi="Arial"/>
          <w:sz w:val="13"/>
          <w:szCs w:val="13"/>
          <w:b w:val="1"/>
          <w:bCs w:val="1"/>
          <w:color w:val="auto"/>
        </w:rPr>
        <w:t>Sam’s Club</w:t>
      </w:r>
      <w:r>
        <w:rPr>
          <w:rFonts w:ascii="Arial" w:cs="Arial" w:eastAsia="Arial" w:hAnsi="Arial"/>
          <w:sz w:val="13"/>
          <w:szCs w:val="13"/>
          <w:color w:val="auto"/>
        </w:rPr>
        <w:t>: Senior Vice President, Sam's Club Chief Strategy and Supply Chain Officer (March</w:t>
      </w:r>
      <w:r>
        <w:rPr>
          <w:rFonts w:ascii="Arial" w:cs="Arial" w:eastAsia="Arial" w:hAnsi="Arial"/>
          <w:sz w:val="13"/>
          <w:szCs w:val="13"/>
          <w:b w:val="1"/>
          <w:bCs w:val="1"/>
          <w:color w:val="auto"/>
        </w:rPr>
        <w:t xml:space="preserve"> </w:t>
      </w:r>
      <w:r>
        <w:rPr>
          <w:rFonts w:ascii="Arial" w:cs="Arial" w:eastAsia="Arial" w:hAnsi="Arial"/>
          <w:sz w:val="13"/>
          <w:szCs w:val="13"/>
          <w:color w:val="auto"/>
        </w:rPr>
        <w:t>2020 to February 2021); Senior Vice President Supply Chain Flow (February 2019 to February 2020)</w:t>
      </w:r>
    </w:p>
    <w:p>
      <w:pPr>
        <w:spacing w:after="0" w:line="6" w:lineRule="exact"/>
        <w:rPr>
          <w:rFonts w:ascii="Arial" w:cs="Arial" w:eastAsia="Arial" w:hAnsi="Arial"/>
          <w:sz w:val="13"/>
          <w:szCs w:val="13"/>
          <w:color w:val="auto"/>
        </w:rPr>
      </w:pPr>
    </w:p>
    <w:p>
      <w:pPr>
        <w:ind w:left="260" w:hanging="212"/>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b w:val="1"/>
          <w:bCs w:val="1"/>
          <w:color w:val="auto"/>
        </w:rPr>
        <w:t>Walmart</w:t>
      </w:r>
      <w:r>
        <w:rPr>
          <w:rFonts w:ascii="Arial" w:cs="Arial" w:eastAsia="Arial" w:hAnsi="Arial"/>
          <w:sz w:val="13"/>
          <w:szCs w:val="13"/>
          <w:color w:val="auto"/>
        </w:rPr>
        <w:t>: Vice President, Supply Chain (August 2018 to January 2019)</w:t>
      </w:r>
    </w:p>
    <w:p>
      <w:pPr>
        <w:spacing w:after="0" w:line="36" w:lineRule="exact"/>
        <w:rPr>
          <w:rFonts w:ascii="Arial" w:cs="Arial" w:eastAsia="Arial" w:hAnsi="Arial"/>
          <w:sz w:val="13"/>
          <w:szCs w:val="13"/>
          <w:color w:val="auto"/>
        </w:rPr>
      </w:pPr>
    </w:p>
    <w:p>
      <w:pPr>
        <w:ind w:left="260" w:hanging="212"/>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b w:val="1"/>
          <w:bCs w:val="1"/>
          <w:color w:val="auto"/>
        </w:rPr>
        <w:t>Voyant Beauty</w:t>
      </w:r>
      <w:r>
        <w:rPr>
          <w:rFonts w:ascii="Arial" w:cs="Arial" w:eastAsia="Arial" w:hAnsi="Arial"/>
          <w:sz w:val="13"/>
          <w:szCs w:val="13"/>
          <w:color w:val="auto"/>
        </w:rPr>
        <w:t>: Chief Operating Officer (August 2017 to August 2018)</w:t>
      </w:r>
    </w:p>
    <w:p>
      <w:pPr>
        <w:spacing w:after="0" w:line="49" w:lineRule="exact"/>
        <w:rPr>
          <w:rFonts w:ascii="Arial" w:cs="Arial" w:eastAsia="Arial" w:hAnsi="Arial"/>
          <w:sz w:val="13"/>
          <w:szCs w:val="13"/>
          <w:color w:val="auto"/>
        </w:rPr>
      </w:pPr>
    </w:p>
    <w:p>
      <w:pPr>
        <w:ind w:left="280" w:right="1560" w:hanging="232"/>
        <w:spacing w:after="0" w:line="278" w:lineRule="auto"/>
        <w:tabs>
          <w:tab w:leader="none" w:pos="276" w:val="left"/>
        </w:tabs>
        <w:numPr>
          <w:ilvl w:val="0"/>
          <w:numId w:val="17"/>
        </w:numPr>
        <w:rPr>
          <w:rFonts w:ascii="Arial" w:cs="Arial" w:eastAsia="Arial" w:hAnsi="Arial"/>
          <w:sz w:val="13"/>
          <w:szCs w:val="13"/>
          <w:color w:val="auto"/>
        </w:rPr>
      </w:pPr>
      <w:r>
        <w:rPr>
          <w:rFonts w:ascii="Arial" w:cs="Arial" w:eastAsia="Arial" w:hAnsi="Arial"/>
          <w:sz w:val="13"/>
          <w:szCs w:val="13"/>
          <w:b w:val="1"/>
          <w:bCs w:val="1"/>
          <w:color w:val="auto"/>
        </w:rPr>
        <w:t>Procter &amp; Gamble</w:t>
      </w:r>
      <w:r>
        <w:rPr>
          <w:rFonts w:ascii="Arial" w:cs="Arial" w:eastAsia="Arial" w:hAnsi="Arial"/>
          <w:sz w:val="13"/>
          <w:szCs w:val="13"/>
          <w:color w:val="auto"/>
        </w:rPr>
        <w:t>: Senior leadership positions including Senior Vice President - Product Supply</w:t>
      </w:r>
      <w:r>
        <w:rPr>
          <w:rFonts w:ascii="Arial" w:cs="Arial" w:eastAsia="Arial" w:hAnsi="Arial"/>
          <w:sz w:val="13"/>
          <w:szCs w:val="13"/>
          <w:b w:val="1"/>
          <w:bCs w:val="1"/>
          <w:color w:val="auto"/>
        </w:rPr>
        <w:t xml:space="preserve"> </w:t>
      </w:r>
      <w:r>
        <w:rPr>
          <w:rFonts w:ascii="Arial" w:cs="Arial" w:eastAsia="Arial" w:hAnsi="Arial"/>
          <w:sz w:val="13"/>
          <w:szCs w:val="13"/>
          <w:color w:val="auto"/>
        </w:rPr>
        <w:t>Global Health Care (December 2016 to August 2017)</w:t>
      </w:r>
    </w:p>
    <w:p>
      <w:pPr>
        <w:spacing w:after="0" w:line="1" w:lineRule="exact"/>
        <w:rPr>
          <w:rFonts w:ascii="Arial" w:cs="Arial" w:eastAsia="Arial" w:hAnsi="Arial"/>
          <w:sz w:val="13"/>
          <w:szCs w:val="13"/>
          <w:color w:val="auto"/>
        </w:rPr>
      </w:pPr>
    </w:p>
    <w:p>
      <w:pPr>
        <w:ind w:left="260" w:hanging="212"/>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b w:val="1"/>
          <w:bCs w:val="1"/>
          <w:color w:val="auto"/>
        </w:rPr>
        <w:t>Ryan Companies US</w:t>
      </w:r>
      <w:r>
        <w:rPr>
          <w:rFonts w:ascii="Arial" w:cs="Arial" w:eastAsia="Arial" w:hAnsi="Arial"/>
          <w:sz w:val="13"/>
          <w:szCs w:val="13"/>
          <w:color w:val="auto"/>
        </w:rPr>
        <w:t>: Board of Directors since November 2021</w:t>
      </w:r>
    </w:p>
    <w:p>
      <w:pPr>
        <w:spacing w:after="0" w:line="36" w:lineRule="exact"/>
        <w:rPr>
          <w:rFonts w:ascii="Arial" w:cs="Arial" w:eastAsia="Arial" w:hAnsi="Arial"/>
          <w:sz w:val="13"/>
          <w:szCs w:val="13"/>
          <w:color w:val="auto"/>
        </w:rPr>
      </w:pPr>
    </w:p>
    <w:p>
      <w:pPr>
        <w:ind w:left="240" w:hanging="192"/>
        <w:spacing w:after="0"/>
        <w:tabs>
          <w:tab w:leader="none" w:pos="240" w:val="left"/>
        </w:tabs>
        <w:numPr>
          <w:ilvl w:val="0"/>
          <w:numId w:val="17"/>
        </w:numPr>
        <w:rPr>
          <w:rFonts w:ascii="Arial" w:cs="Arial" w:eastAsia="Arial" w:hAnsi="Arial"/>
          <w:sz w:val="13"/>
          <w:szCs w:val="13"/>
          <w:color w:val="auto"/>
        </w:rPr>
      </w:pPr>
      <w:r>
        <w:rPr>
          <w:rFonts w:ascii="Arial" w:cs="Arial" w:eastAsia="Arial" w:hAnsi="Arial"/>
          <w:sz w:val="13"/>
          <w:szCs w:val="13"/>
          <w:b w:val="1"/>
          <w:bCs w:val="1"/>
          <w:color w:val="auto"/>
        </w:rPr>
        <w:t>Bachelor of Science in Electrical Engineering</w:t>
      </w:r>
      <w:r>
        <w:rPr>
          <w:rFonts w:ascii="Arial" w:cs="Arial" w:eastAsia="Arial" w:hAnsi="Arial"/>
          <w:sz w:val="13"/>
          <w:szCs w:val="13"/>
          <w:color w:val="auto"/>
        </w:rPr>
        <w:t>: Southern University</w:t>
      </w:r>
    </w:p>
    <w:p>
      <w:pPr>
        <w:spacing w:after="0" w:line="49" w:lineRule="exact"/>
        <w:rPr>
          <w:rFonts w:ascii="Arial" w:cs="Arial" w:eastAsia="Arial" w:hAnsi="Arial"/>
          <w:sz w:val="13"/>
          <w:szCs w:val="13"/>
          <w:color w:val="auto"/>
        </w:rPr>
      </w:pPr>
    </w:p>
    <w:p>
      <w:pPr>
        <w:ind w:left="240" w:hanging="192"/>
        <w:spacing w:after="0"/>
        <w:tabs>
          <w:tab w:leader="none" w:pos="240" w:val="left"/>
        </w:tabs>
        <w:numPr>
          <w:ilvl w:val="0"/>
          <w:numId w:val="17"/>
        </w:numPr>
        <w:rPr>
          <w:rFonts w:ascii="Arial" w:cs="Arial" w:eastAsia="Arial" w:hAnsi="Arial"/>
          <w:sz w:val="13"/>
          <w:szCs w:val="13"/>
          <w:color w:val="auto"/>
        </w:rPr>
      </w:pPr>
      <w:r>
        <w:rPr>
          <w:rFonts w:ascii="Arial" w:cs="Arial" w:eastAsia="Arial" w:hAnsi="Arial"/>
          <w:sz w:val="13"/>
          <w:szCs w:val="13"/>
          <w:b w:val="1"/>
          <w:bCs w:val="1"/>
          <w:color w:val="auto"/>
        </w:rPr>
        <w:t>Master of Business Administration</w:t>
      </w:r>
      <w:r>
        <w:rPr>
          <w:rFonts w:ascii="Arial" w:cs="Arial" w:eastAsia="Arial" w:hAnsi="Arial"/>
          <w:sz w:val="13"/>
          <w:szCs w:val="13"/>
          <w:color w:val="auto"/>
        </w:rPr>
        <w:t>: Florida Institute of Technology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left="40" w:right="1700"/>
        <w:spacing w:after="0" w:line="264" w:lineRule="auto"/>
        <w:rPr>
          <w:sz w:val="20"/>
          <w:szCs w:val="20"/>
          <w:color w:val="auto"/>
        </w:rPr>
      </w:pPr>
      <w:r>
        <w:rPr>
          <w:rFonts w:ascii="Arial" w:cs="Arial" w:eastAsia="Arial" w:hAnsi="Arial"/>
          <w:sz w:val="13"/>
          <w:szCs w:val="13"/>
          <w:color w:val="auto"/>
        </w:rPr>
        <w:t>Mrs. Picou has over 30 years of supply chain, logistics, strategic planning, operations digital/technology, and engineering experience at large technology, retail and manufacturing companies, which the Board values as we leverage and scale our supply chain to enable industry-leading growth and drive growth through omnichannel expansion, increasing the productivity of existing distribution centers and technology, and building the best team in retail.</w:t>
      </w:r>
    </w:p>
    <w:p>
      <w:pPr>
        <w:spacing w:after="0" w:line="110" w:lineRule="exact"/>
        <w:rPr>
          <w:sz w:val="20"/>
          <w:szCs w:val="20"/>
          <w:color w:val="auto"/>
        </w:rPr>
      </w:pPr>
    </w:p>
    <w:p>
      <w:pPr>
        <w:ind w:left="40" w:right="1460"/>
        <w:spacing w:after="0" w:line="269" w:lineRule="auto"/>
        <w:rPr>
          <w:sz w:val="20"/>
          <w:szCs w:val="20"/>
          <w:color w:val="auto"/>
        </w:rPr>
      </w:pPr>
      <w:r>
        <w:rPr>
          <w:rFonts w:ascii="Arial" w:cs="Arial" w:eastAsia="Arial" w:hAnsi="Arial"/>
          <w:sz w:val="13"/>
          <w:szCs w:val="13"/>
          <w:b w:val="1"/>
          <w:bCs w:val="1"/>
          <w:color w:val="auto"/>
        </w:rPr>
        <w:t>The Board selected Mrs. Picou because of her supply chain/logistics, sourcing/manufacturing, process improvement, strategic planning, store operations, digital/eCommence, technology, human resources, merchandising, customer loyalty, and engineering skills, and her experience at technology, retail, and manufacturing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321310</wp:posOffset>
            </wp:positionV>
            <wp:extent cx="3970020" cy="1587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397002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EE2724"/>
        </w:rPr>
        <w:t>BOARD RECOMMENDATION</w:t>
      </w:r>
    </w:p>
    <w:p>
      <w:pPr>
        <w:spacing w:after="0" w:line="68" w:lineRule="exact"/>
        <w:rPr>
          <w:sz w:val="20"/>
          <w:szCs w:val="20"/>
          <w:color w:val="auto"/>
        </w:rPr>
      </w:pPr>
    </w:p>
    <w:p>
      <w:pPr>
        <w:ind w:right="1860"/>
        <w:spacing w:after="0" w:line="292" w:lineRule="auto"/>
        <w:rPr>
          <w:sz w:val="20"/>
          <w:szCs w:val="20"/>
          <w:color w:val="auto"/>
        </w:rPr>
      </w:pPr>
      <w:r>
        <w:rPr>
          <w:rFonts w:ascii="Arial" w:cs="Arial" w:eastAsia="Arial" w:hAnsi="Arial"/>
          <w:sz w:val="20"/>
          <w:szCs w:val="20"/>
          <w:b w:val="1"/>
          <w:bCs w:val="1"/>
          <w:color w:val="093165"/>
        </w:rPr>
        <w:t>The Board recommends that you vote “FOR” the election of each of the Class II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-2387600</wp:posOffset>
            </wp:positionH>
            <wp:positionV relativeFrom="paragraph">
              <wp:posOffset>879475</wp:posOffset>
            </wp:positionV>
            <wp:extent cx="7168515" cy="4127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8255</wp:posOffset>
            </wp:positionV>
            <wp:extent cx="3954145" cy="1587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3954145" cy="15875"/>
                    </a:xfrm>
                    <a:prstGeom prst="rect">
                      <a:avLst/>
                    </a:prstGeom>
                    <a:noFill/>
                  </pic:spPr>
                </pic:pic>
              </a:graphicData>
            </a:graphic>
          </wp:anchor>
        </w:drawing>
        <w:drawing>
          <wp:anchor simplePos="0" relativeHeight="251657728" behindDoc="1" locked="0" layoutInCell="0" allowOverlap="1">
            <wp:simplePos x="0" y="0"/>
            <wp:positionH relativeFrom="column">
              <wp:posOffset>3978910</wp:posOffset>
            </wp:positionH>
            <wp:positionV relativeFrom="paragraph">
              <wp:posOffset>592455</wp:posOffset>
            </wp:positionV>
            <wp:extent cx="789305" cy="18923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300" w:space="320"/>
            <w:col w:w="7500"/>
          </w:cols>
          <w:pgMar w:left="1440" w:top="132"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3"/>
          <w:szCs w:val="13"/>
          <w:b w:val="1"/>
          <w:bCs w:val="1"/>
          <w:color w:val="007EC4"/>
        </w:rPr>
        <w:t xml:space="preserve">16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Continuing Board Members Not Standing for Re-Election at the Annual Meeting</w:t>
      </w:r>
    </w:p>
    <w:p>
      <w:pPr>
        <w:spacing w:after="0" w:line="14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Set forth below is information regarding each director whose term continues beyond the Annual Meeting and who is not subject to re-election this year. Beneficial ownership of equity securities for these directors is also shown under “Ownership of Securities” below.</w:t>
      </w:r>
    </w:p>
    <w:p>
      <w:pPr>
        <w:sectPr>
          <w:pgSz w:w="11900" w:h="16838" w:orient="portrait"/>
          <w:cols w:equalWidth="0" w:num="1">
            <w:col w:w="10600"/>
          </w:cols>
          <w:pgMar w:left="320" w:top="157" w:right="97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115570</wp:posOffset>
            </wp:positionV>
            <wp:extent cx="1231265" cy="110490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31265"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1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119380</wp:posOffset>
            </wp:positionV>
            <wp:extent cx="1310005" cy="762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310005" cy="7620"/>
                    </a:xfrm>
                    <a:prstGeom prst="rect">
                      <a:avLst/>
                    </a:prstGeom>
                    <a:noFill/>
                  </pic:spPr>
                </pic:pic>
              </a:graphicData>
            </a:graphic>
          </wp:anchor>
        </w:drawing>
        <w:drawing>
          <wp:anchor simplePos="0" relativeHeight="251657728" behindDoc="1" locked="0" layoutInCell="0" allowOverlap="1">
            <wp:simplePos x="0" y="0"/>
            <wp:positionH relativeFrom="column">
              <wp:posOffset>970280</wp:posOffset>
            </wp:positionH>
            <wp:positionV relativeFrom="paragraph">
              <wp:posOffset>198120</wp:posOffset>
            </wp:positionV>
            <wp:extent cx="189230" cy="18161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96"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Store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130810</wp:posOffset>
            </wp:positionV>
            <wp:extent cx="189230" cy="18923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90"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Process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139065</wp:posOffset>
            </wp:positionV>
            <wp:extent cx="189230" cy="18161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16"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Real Estate &amp;</w:t>
      </w:r>
    </w:p>
    <w:p>
      <w:pPr>
        <w:spacing w:after="0" w:line="24"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76200</wp:posOffset>
            </wp:positionV>
            <wp:extent cx="189230" cy="18923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04"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Customer Loyalty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130810</wp:posOffset>
            </wp:positionV>
            <wp:extent cx="189230" cy="18161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Human Resources/Talent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904240</wp:posOffset>
            </wp:positionV>
            <wp:extent cx="789305" cy="18923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Scott Boatwright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23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June 2024</w:t>
            </w:r>
          </w:p>
        </w:tc>
        <w:tc>
          <w:tcPr>
            <w:tcW w:w="2040" w:type="dxa"/>
            <w:vAlign w:val="bottom"/>
            <w:tcBorders>
              <w:right w:val="single" w:sz="8" w:color="B6B6B6"/>
            </w:tcBorders>
          </w:tcPr>
          <w:p>
            <w:pPr>
              <w:ind w:left="46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52</w:t>
            </w:r>
          </w:p>
        </w:tc>
      </w:tr>
      <w:tr>
        <w:trPr>
          <w:trHeight w:val="26"/>
        </w:trPr>
        <w:tc>
          <w:tcPr>
            <w:tcW w:w="23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56"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3"/>
          <w:szCs w:val="13"/>
          <w:color w:val="auto"/>
        </w:rPr>
      </w:pPr>
      <w:r>
        <w:rPr>
          <w:rFonts w:ascii="Arial" w:cs="Arial" w:eastAsia="Arial" w:hAnsi="Arial"/>
          <w:sz w:val="13"/>
          <w:szCs w:val="13"/>
          <w:b w:val="1"/>
          <w:bCs w:val="1"/>
          <w:color w:val="auto"/>
        </w:rPr>
        <w:t>Chipotle Mexican Grill</w:t>
      </w:r>
      <w:r>
        <w:rPr>
          <w:rFonts w:ascii="Arial" w:cs="Arial" w:eastAsia="Arial" w:hAnsi="Arial"/>
          <w:sz w:val="13"/>
          <w:szCs w:val="13"/>
          <w:color w:val="auto"/>
        </w:rPr>
        <w:t>: November 2024 - present</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56" w:lineRule="exact"/>
        <w:rPr>
          <w:sz w:val="20"/>
          <w:szCs w:val="20"/>
          <w:color w:val="auto"/>
        </w:rPr>
      </w:pPr>
    </w:p>
    <w:p>
      <w:pPr>
        <w:ind w:left="240" w:right="1040" w:hanging="232"/>
        <w:spacing w:after="0" w:line="272" w:lineRule="auto"/>
        <w:tabs>
          <w:tab w:leader="none" w:pos="212"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Chipotle Mexican Grill</w:t>
      </w:r>
      <w:r>
        <w:rPr>
          <w:rFonts w:ascii="Arial" w:cs="Arial" w:eastAsia="Arial" w:hAnsi="Arial"/>
          <w:sz w:val="13"/>
          <w:szCs w:val="13"/>
          <w:color w:val="auto"/>
        </w:rPr>
        <w:t>: Chief Executive Officer since November 2024; Interim Chief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(August 2024 to November 2024); Chief Operating Officer (May 2023 to August 2024); Chief Restaurant Officer (May 2017 to May 2023)</w:t>
      </w:r>
    </w:p>
    <w:p>
      <w:pPr>
        <w:spacing w:after="0" w:line="1" w:lineRule="exact"/>
        <w:rPr>
          <w:rFonts w:ascii="Arial" w:cs="Arial" w:eastAsia="Arial" w:hAnsi="Arial"/>
          <w:sz w:val="13"/>
          <w:szCs w:val="13"/>
          <w:color w:val="auto"/>
        </w:rPr>
      </w:pPr>
    </w:p>
    <w:p>
      <w:pPr>
        <w:jc w:val="both"/>
        <w:ind w:left="240" w:right="980" w:hanging="232"/>
        <w:spacing w:after="0" w:line="272" w:lineRule="auto"/>
        <w:tabs>
          <w:tab w:leader="none" w:pos="236"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Arby’s Restaurant Group</w:t>
      </w:r>
      <w:r>
        <w:rPr>
          <w:rFonts w:ascii="Arial" w:cs="Arial" w:eastAsia="Arial" w:hAnsi="Arial"/>
          <w:sz w:val="13"/>
          <w:szCs w:val="13"/>
          <w:color w:val="auto"/>
        </w:rPr>
        <w:t>: Senior Vice President, Operations (April 2015 to May 2017); Senior</w:t>
      </w:r>
      <w:r>
        <w:rPr>
          <w:rFonts w:ascii="Arial" w:cs="Arial" w:eastAsia="Arial" w:hAnsi="Arial"/>
          <w:sz w:val="13"/>
          <w:szCs w:val="13"/>
          <w:b w:val="1"/>
          <w:bCs w:val="1"/>
          <w:color w:val="auto"/>
        </w:rPr>
        <w:t xml:space="preserve"> </w:t>
      </w:r>
      <w:r>
        <w:rPr>
          <w:rFonts w:ascii="Arial" w:cs="Arial" w:eastAsia="Arial" w:hAnsi="Arial"/>
          <w:sz w:val="13"/>
          <w:szCs w:val="13"/>
          <w:color w:val="auto"/>
        </w:rPr>
        <w:t>Vice President, Operations Services (January 2012 to March 2015); and other senior leadership positions over a twenty-year period</w:t>
      </w:r>
    </w:p>
    <w:p>
      <w:pPr>
        <w:spacing w:after="0" w:line="1" w:lineRule="exact"/>
        <w:rPr>
          <w:rFonts w:ascii="Arial" w:cs="Arial" w:eastAsia="Arial" w:hAnsi="Arial"/>
          <w:sz w:val="13"/>
          <w:szCs w:val="13"/>
          <w:color w:val="auto"/>
        </w:rPr>
      </w:pPr>
    </w:p>
    <w:p>
      <w:pPr>
        <w:ind w:left="240" w:right="1100" w:hanging="232"/>
        <w:spacing w:after="0" w:line="298" w:lineRule="auto"/>
        <w:tabs>
          <w:tab w:leader="none" w:pos="212"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Master of Business Administration</w:t>
      </w:r>
      <w:r>
        <w:rPr>
          <w:rFonts w:ascii="Arial" w:cs="Arial" w:eastAsia="Arial" w:hAnsi="Arial"/>
          <w:sz w:val="13"/>
          <w:szCs w:val="13"/>
          <w:color w:val="auto"/>
        </w:rPr>
        <w:t>: J. Mack Robinson College of Business at Georgia State</w:t>
      </w:r>
      <w:r>
        <w:rPr>
          <w:rFonts w:ascii="Arial" w:cs="Arial" w:eastAsia="Arial" w:hAnsi="Arial"/>
          <w:sz w:val="13"/>
          <w:szCs w:val="13"/>
          <w:b w:val="1"/>
          <w:bCs w:val="1"/>
          <w:color w:val="auto"/>
        </w:rPr>
        <w:t xml:space="preserve"> </w:t>
      </w:r>
      <w:r>
        <w:rPr>
          <w:rFonts w:ascii="Arial" w:cs="Arial" w:eastAsia="Arial" w:hAnsi="Arial"/>
          <w:sz w:val="13"/>
          <w:szCs w:val="13"/>
          <w:color w:val="auto"/>
        </w:rPr>
        <w:t>University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right="860"/>
        <w:spacing w:after="0" w:line="264" w:lineRule="auto"/>
        <w:rPr>
          <w:sz w:val="20"/>
          <w:szCs w:val="20"/>
          <w:color w:val="auto"/>
        </w:rPr>
      </w:pPr>
      <w:r>
        <w:rPr>
          <w:rFonts w:ascii="Arial" w:cs="Arial" w:eastAsia="Arial" w:hAnsi="Arial"/>
          <w:sz w:val="13"/>
          <w:szCs w:val="13"/>
          <w:color w:val="auto"/>
        </w:rPr>
        <w:t>Mr. Boatwright has nearly 30 years of operations, strategic planning, digital/technology, customer service and loyalty, real estate and talent experience, including with driving productivity, operational excellence, and scalability in complex business environments, along with providing an exceptional customer experience, which the Board values as we drive growth through new store openings, omnichannel expansion, connecting with our customers, and increasing the productivity of our assets.</w:t>
      </w:r>
    </w:p>
    <w:p>
      <w:pPr>
        <w:spacing w:after="0" w:line="110" w:lineRule="exact"/>
        <w:rPr>
          <w:sz w:val="20"/>
          <w:szCs w:val="20"/>
          <w:color w:val="auto"/>
        </w:rPr>
      </w:pPr>
    </w:p>
    <w:p>
      <w:pPr>
        <w:ind w:right="880"/>
        <w:spacing w:after="0" w:line="269" w:lineRule="auto"/>
        <w:rPr>
          <w:sz w:val="20"/>
          <w:szCs w:val="20"/>
          <w:color w:val="auto"/>
        </w:rPr>
      </w:pPr>
      <w:r>
        <w:rPr>
          <w:rFonts w:ascii="Arial" w:cs="Arial" w:eastAsia="Arial" w:hAnsi="Arial"/>
          <w:sz w:val="13"/>
          <w:szCs w:val="13"/>
          <w:b w:val="1"/>
          <w:bCs w:val="1"/>
          <w:color w:val="auto"/>
        </w:rPr>
        <w:t>The Board selected Mr. Boatwright to serve as a director based on his executive leadership, and management experience related to the retail industry, which includes store operations, process improvement, real estate and construction, customer loyalty, human resources/talent, digital/eCommerce, strategic planning, sourcing/manufacturing, and technology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987425</wp:posOffset>
            </wp:positionV>
            <wp:extent cx="7168515" cy="4127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3500" w:space="280"/>
            <w:col w:w="6820"/>
          </w:cols>
          <w:pgMar w:left="320" w:top="157" w:right="979" w:bottom="1440" w:gutter="0" w:footer="0" w:header="0"/>
          <w:type w:val="continuous"/>
        </w:sectPr>
      </w:pPr>
    </w:p>
    <w:bookmarkStart w:id="22" w:name="page23"/>
    <w:bookmarkEnd w:id="22"/>
    <w:p>
      <w:pPr>
        <w:ind w:left="642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17</w:t>
      </w:r>
    </w:p>
    <w:p>
      <w:pPr>
        <w:sectPr>
          <w:pgSz w:w="11900" w:h="16838" w:orient="portrait"/>
          <w:cols w:equalWidth="0" w:num="1">
            <w:col w:w="10120"/>
          </w:cols>
          <w:pgMar w:left="144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119380</wp:posOffset>
            </wp:positionV>
            <wp:extent cx="1286510" cy="762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-1411605</wp:posOffset>
            </wp:positionV>
            <wp:extent cx="1081405" cy="110490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081405" cy="110490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198120</wp:posOffset>
            </wp:positionV>
            <wp:extent cx="189230" cy="18161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96"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161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Merchandising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923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139065</wp:posOffset>
            </wp:positionV>
            <wp:extent cx="189230" cy="18161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03"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923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Digital/eCommerce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Ken C. Hicks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Chairman of the Board</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238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June 2020</w:t>
            </w:r>
          </w:p>
        </w:tc>
        <w:tc>
          <w:tcPr>
            <w:tcW w:w="2040" w:type="dxa"/>
            <w:vAlign w:val="bottom"/>
            <w:tcBorders>
              <w:right w:val="single" w:sz="8" w:color="B6B6B6"/>
            </w:tcBorders>
          </w:tcPr>
          <w:p>
            <w:pPr>
              <w:ind w:left="46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72</w:t>
            </w:r>
          </w:p>
        </w:tc>
      </w:tr>
      <w:tr>
        <w:trPr>
          <w:trHeight w:val="26"/>
        </w:trPr>
        <w:tc>
          <w:tcPr>
            <w:tcW w:w="238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Board Leadership</w:t>
      </w:r>
    </w:p>
    <w:p>
      <w:pPr>
        <w:spacing w:after="0" w:line="81" w:lineRule="exact"/>
        <w:rPr>
          <w:sz w:val="20"/>
          <w:szCs w:val="20"/>
          <w:color w:val="auto"/>
        </w:rPr>
      </w:pPr>
    </w:p>
    <w:p>
      <w:pPr>
        <w:ind w:left="200" w:hanging="196"/>
        <w:spacing w:after="0"/>
        <w:tabs>
          <w:tab w:leader="none" w:pos="2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Chairman of the Board since June 2020</w:t>
      </w:r>
    </w:p>
    <w:p>
      <w:pPr>
        <w:spacing w:after="0" w:line="9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b w:val="1"/>
          <w:bCs w:val="1"/>
          <w:color w:val="007EC4"/>
        </w:rPr>
        <w:t>Other Public Company Directorships</w:t>
      </w:r>
    </w:p>
    <w:p>
      <w:pPr>
        <w:spacing w:after="0" w:line="68" w:lineRule="exact"/>
        <w:rPr>
          <w:rFonts w:ascii="Arial" w:cs="Arial" w:eastAsia="Arial" w:hAnsi="Arial"/>
          <w:sz w:val="13"/>
          <w:szCs w:val="13"/>
          <w:color w:val="auto"/>
        </w:rPr>
      </w:pPr>
    </w:p>
    <w:p>
      <w:pPr>
        <w:ind w:left="200" w:hanging="196"/>
        <w:spacing w:after="0"/>
        <w:tabs>
          <w:tab w:leader="none" w:pos="200"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Avery Dennison</w:t>
      </w:r>
      <w:r>
        <w:rPr>
          <w:rFonts w:ascii="Arial" w:cs="Arial" w:eastAsia="Arial" w:hAnsi="Arial"/>
          <w:sz w:val="13"/>
          <w:szCs w:val="13"/>
          <w:color w:val="auto"/>
        </w:rPr>
        <w:t>: July 2007 - October 2024 (Compensation Committee)</w:t>
      </w:r>
    </w:p>
    <w:p>
      <w:pPr>
        <w:spacing w:after="0" w:line="61" w:lineRule="exact"/>
        <w:rPr>
          <w:rFonts w:ascii="Arial" w:cs="Arial" w:eastAsia="Arial" w:hAnsi="Arial"/>
          <w:sz w:val="13"/>
          <w:szCs w:val="13"/>
          <w:color w:val="auto"/>
        </w:rPr>
      </w:pPr>
    </w:p>
    <w:p>
      <w:pPr>
        <w:ind w:left="200" w:hanging="196"/>
        <w:spacing w:after="0"/>
        <w:tabs>
          <w:tab w:leader="none" w:pos="200"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Whole Foods Market</w:t>
      </w:r>
      <w:r>
        <w:rPr>
          <w:rFonts w:ascii="Arial" w:cs="Arial" w:eastAsia="Arial" w:hAnsi="Arial"/>
          <w:sz w:val="13"/>
          <w:szCs w:val="13"/>
          <w:color w:val="auto"/>
        </w:rPr>
        <w:t>: May 2017 to August 2017 (Compensation Committee)</w:t>
      </w:r>
    </w:p>
    <w:p>
      <w:pPr>
        <w:spacing w:after="0" w:line="49" w:lineRule="exact"/>
        <w:rPr>
          <w:rFonts w:ascii="Arial" w:cs="Arial" w:eastAsia="Arial" w:hAnsi="Arial"/>
          <w:sz w:val="13"/>
          <w:szCs w:val="13"/>
          <w:color w:val="auto"/>
        </w:rPr>
      </w:pPr>
    </w:p>
    <w:p>
      <w:pPr>
        <w:ind w:left="220" w:right="1580" w:hanging="216"/>
        <w:spacing w:after="0" w:line="298" w:lineRule="auto"/>
        <w:tabs>
          <w:tab w:leader="none" w:pos="192"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Foot Locker</w:t>
      </w:r>
      <w:r>
        <w:rPr>
          <w:rFonts w:ascii="Arial" w:cs="Arial" w:eastAsia="Arial" w:hAnsi="Arial"/>
          <w:sz w:val="13"/>
          <w:szCs w:val="13"/>
          <w:color w:val="auto"/>
        </w:rPr>
        <w:t>: December 2014 - May 2015 (Executive Chairman); February 2010 - February 2014</w:t>
      </w:r>
      <w:r>
        <w:rPr>
          <w:rFonts w:ascii="Arial" w:cs="Arial" w:eastAsia="Arial" w:hAnsi="Arial"/>
          <w:sz w:val="13"/>
          <w:szCs w:val="13"/>
          <w:b w:val="1"/>
          <w:bCs w:val="1"/>
          <w:color w:val="auto"/>
        </w:rPr>
        <w:t xml:space="preserve"> </w:t>
      </w:r>
      <w:r>
        <w:rPr>
          <w:rFonts w:ascii="Arial" w:cs="Arial" w:eastAsia="Arial" w:hAnsi="Arial"/>
          <w:sz w:val="13"/>
          <w:szCs w:val="13"/>
          <w:color w:val="auto"/>
        </w:rPr>
        <w:t>(Chairman)</w:t>
      </w:r>
    </w:p>
    <w:p>
      <w:pPr>
        <w:spacing w:after="0" w:line="1" w:lineRule="exact"/>
        <w:rPr>
          <w:rFonts w:ascii="Arial" w:cs="Arial" w:eastAsia="Arial" w:hAnsi="Arial"/>
          <w:sz w:val="13"/>
          <w:szCs w:val="13"/>
          <w:color w:val="auto"/>
        </w:rPr>
      </w:pPr>
    </w:p>
    <w:p>
      <w:pPr>
        <w:ind w:left="220" w:hanging="216"/>
        <w:spacing w:after="0"/>
        <w:tabs>
          <w:tab w:leader="none" w:pos="22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J.C. Penney</w:t>
      </w:r>
      <w:r>
        <w:rPr>
          <w:rFonts w:ascii="Arial" w:cs="Arial" w:eastAsia="Arial" w:hAnsi="Arial"/>
          <w:sz w:val="13"/>
          <w:szCs w:val="13"/>
          <w:color w:val="auto"/>
        </w:rPr>
        <w:t>: March 2008 - July 2009</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56" w:lineRule="exact"/>
        <w:rPr>
          <w:sz w:val="20"/>
          <w:szCs w:val="20"/>
          <w:color w:val="auto"/>
        </w:rPr>
      </w:pPr>
    </w:p>
    <w:p>
      <w:pPr>
        <w:ind w:left="200" w:hanging="196"/>
        <w:spacing w:after="0"/>
        <w:tabs>
          <w:tab w:leader="none" w:pos="200" w:val="left"/>
        </w:tabs>
        <w:numPr>
          <w:ilvl w:val="0"/>
          <w:numId w:val="21"/>
        </w:numPr>
        <w:rPr>
          <w:rFonts w:ascii="Arial" w:cs="Arial" w:eastAsia="Arial" w:hAnsi="Arial"/>
          <w:sz w:val="13"/>
          <w:szCs w:val="13"/>
          <w:color w:val="auto"/>
        </w:rPr>
      </w:pPr>
      <w:r>
        <w:rPr>
          <w:rFonts w:ascii="Arial" w:cs="Arial" w:eastAsia="Arial" w:hAnsi="Arial"/>
          <w:sz w:val="13"/>
          <w:szCs w:val="13"/>
          <w:b w:val="1"/>
          <w:bCs w:val="1"/>
          <w:color w:val="auto"/>
        </w:rPr>
        <w:t xml:space="preserve">Petsmart: </w:t>
      </w:r>
      <w:r>
        <w:rPr>
          <w:rFonts w:ascii="Arial" w:cs="Arial" w:eastAsia="Arial" w:hAnsi="Arial"/>
          <w:sz w:val="13"/>
          <w:szCs w:val="13"/>
          <w:color w:val="auto"/>
        </w:rPr>
        <w:t>President &amp; Chief Executive Officer and Board of Directors since October 2024</w:t>
      </w:r>
    </w:p>
    <w:p>
      <w:pPr>
        <w:spacing w:after="0" w:line="49" w:lineRule="exact"/>
        <w:rPr>
          <w:rFonts w:ascii="Arial" w:cs="Arial" w:eastAsia="Arial" w:hAnsi="Arial"/>
          <w:sz w:val="13"/>
          <w:szCs w:val="13"/>
          <w:color w:val="auto"/>
        </w:rPr>
      </w:pPr>
    </w:p>
    <w:p>
      <w:pPr>
        <w:ind w:left="220" w:right="1780" w:hanging="216"/>
        <w:spacing w:after="0" w:line="278" w:lineRule="auto"/>
        <w:tabs>
          <w:tab w:leader="none" w:pos="216" w:val="left"/>
        </w:tabs>
        <w:numPr>
          <w:ilvl w:val="0"/>
          <w:numId w:val="21"/>
        </w:numPr>
        <w:rPr>
          <w:rFonts w:ascii="Arial" w:cs="Arial" w:eastAsia="Arial" w:hAnsi="Arial"/>
          <w:sz w:val="13"/>
          <w:szCs w:val="13"/>
          <w:color w:val="auto"/>
        </w:rPr>
      </w:pPr>
      <w:r>
        <w:rPr>
          <w:rFonts w:ascii="Arial" w:cs="Arial" w:eastAsia="Arial" w:hAnsi="Arial"/>
          <w:sz w:val="13"/>
          <w:szCs w:val="13"/>
          <w:b w:val="1"/>
          <w:bCs w:val="1"/>
          <w:color w:val="auto"/>
        </w:rPr>
        <w:t>Academy Sports + Outdoors</w:t>
      </w:r>
      <w:r>
        <w:rPr>
          <w:rFonts w:ascii="Arial" w:cs="Arial" w:eastAsia="Arial" w:hAnsi="Arial"/>
          <w:sz w:val="13"/>
          <w:szCs w:val="13"/>
          <w:color w:val="auto"/>
        </w:rPr>
        <w:t>: President &amp; Chief Executive Officer (May 2018 to June 2023);</w:t>
      </w:r>
      <w:r>
        <w:rPr>
          <w:rFonts w:ascii="Arial" w:cs="Arial" w:eastAsia="Arial" w:hAnsi="Arial"/>
          <w:sz w:val="13"/>
          <w:szCs w:val="13"/>
          <w:b w:val="1"/>
          <w:bCs w:val="1"/>
          <w:color w:val="auto"/>
        </w:rPr>
        <w:t xml:space="preserve"> </w:t>
      </w:r>
      <w:r>
        <w:rPr>
          <w:rFonts w:ascii="Arial" w:cs="Arial" w:eastAsia="Arial" w:hAnsi="Arial"/>
          <w:sz w:val="13"/>
          <w:szCs w:val="13"/>
          <w:color w:val="auto"/>
        </w:rPr>
        <w:t>Board of Managers of New Academy Holding Company, LLC (May 2017 to June 2020)</w:t>
      </w:r>
    </w:p>
    <w:p>
      <w:pPr>
        <w:spacing w:after="0" w:line="1" w:lineRule="exact"/>
        <w:rPr>
          <w:rFonts w:ascii="Arial" w:cs="Arial" w:eastAsia="Arial" w:hAnsi="Arial"/>
          <w:sz w:val="13"/>
          <w:szCs w:val="13"/>
          <w:color w:val="auto"/>
        </w:rPr>
      </w:pPr>
    </w:p>
    <w:p>
      <w:pPr>
        <w:ind w:left="220" w:right="1560" w:hanging="216"/>
        <w:spacing w:after="0" w:line="265" w:lineRule="auto"/>
        <w:tabs>
          <w:tab w:leader="none" w:pos="216" w:val="left"/>
        </w:tabs>
        <w:numPr>
          <w:ilvl w:val="0"/>
          <w:numId w:val="21"/>
        </w:numPr>
        <w:rPr>
          <w:rFonts w:ascii="Arial" w:cs="Arial" w:eastAsia="Arial" w:hAnsi="Arial"/>
          <w:sz w:val="13"/>
          <w:szCs w:val="13"/>
          <w:color w:val="auto"/>
        </w:rPr>
      </w:pPr>
      <w:r>
        <w:rPr>
          <w:rFonts w:ascii="Arial" w:cs="Arial" w:eastAsia="Arial" w:hAnsi="Arial"/>
          <w:sz w:val="13"/>
          <w:szCs w:val="13"/>
          <w:b w:val="1"/>
          <w:bCs w:val="1"/>
          <w:color w:val="auto"/>
        </w:rPr>
        <w:t>Foot Locker</w:t>
      </w:r>
      <w:r>
        <w:rPr>
          <w:rFonts w:ascii="Arial" w:cs="Arial" w:eastAsia="Arial" w:hAnsi="Arial"/>
          <w:sz w:val="13"/>
          <w:szCs w:val="13"/>
          <w:color w:val="auto"/>
        </w:rPr>
        <w:t>: Executive Chairman (December 2014 to May 2015); President and Chief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(August 2009 to February 2010); Chairman, President and Chief Executive Officer (February 2010 to November 2014); Chairman, President and Chief Executive Officer (February 2010 to November 2014)</w:t>
      </w:r>
    </w:p>
    <w:p>
      <w:pPr>
        <w:spacing w:after="0" w:line="10" w:lineRule="exact"/>
        <w:rPr>
          <w:rFonts w:ascii="Arial" w:cs="Arial" w:eastAsia="Arial" w:hAnsi="Arial"/>
          <w:sz w:val="13"/>
          <w:szCs w:val="13"/>
          <w:color w:val="auto"/>
        </w:rPr>
      </w:pPr>
    </w:p>
    <w:p>
      <w:pPr>
        <w:ind w:left="220" w:right="1620" w:hanging="216"/>
        <w:spacing w:after="0" w:line="279" w:lineRule="auto"/>
        <w:tabs>
          <w:tab w:leader="none" w:pos="216" w:val="left"/>
        </w:tabs>
        <w:numPr>
          <w:ilvl w:val="0"/>
          <w:numId w:val="21"/>
        </w:numPr>
        <w:rPr>
          <w:rFonts w:ascii="Arial" w:cs="Arial" w:eastAsia="Arial" w:hAnsi="Arial"/>
          <w:sz w:val="13"/>
          <w:szCs w:val="13"/>
          <w:color w:val="auto"/>
        </w:rPr>
      </w:pPr>
      <w:r>
        <w:rPr>
          <w:rFonts w:ascii="Arial" w:cs="Arial" w:eastAsia="Arial" w:hAnsi="Arial"/>
          <w:sz w:val="13"/>
          <w:szCs w:val="13"/>
          <w:b w:val="1"/>
          <w:bCs w:val="1"/>
          <w:color w:val="auto"/>
        </w:rPr>
        <w:t>J.C. Penney, Payless ShoeSource, Home Shopping Network, May Department Stores, and McKinsey &amp; Company</w:t>
      </w:r>
      <w:r>
        <w:rPr>
          <w:rFonts w:ascii="Arial" w:cs="Arial" w:eastAsia="Arial" w:hAnsi="Arial"/>
          <w:sz w:val="13"/>
          <w:szCs w:val="13"/>
          <w:color w:val="auto"/>
        </w:rPr>
        <w:t>: Various senior leadership positions</w:t>
      </w:r>
    </w:p>
    <w:p>
      <w:pPr>
        <w:ind w:left="220" w:hanging="216"/>
        <w:spacing w:after="0"/>
        <w:tabs>
          <w:tab w:leader="none" w:pos="220" w:val="left"/>
        </w:tabs>
        <w:numPr>
          <w:ilvl w:val="0"/>
          <w:numId w:val="21"/>
        </w:numPr>
        <w:rPr>
          <w:rFonts w:ascii="Arial" w:cs="Arial" w:eastAsia="Arial" w:hAnsi="Arial"/>
          <w:sz w:val="13"/>
          <w:szCs w:val="13"/>
          <w:color w:val="auto"/>
        </w:rPr>
      </w:pPr>
      <w:r>
        <w:rPr>
          <w:rFonts w:ascii="Arial" w:cs="Arial" w:eastAsia="Arial" w:hAnsi="Arial"/>
          <w:sz w:val="13"/>
          <w:szCs w:val="13"/>
          <w:b w:val="1"/>
          <w:bCs w:val="1"/>
          <w:color w:val="auto"/>
        </w:rPr>
        <w:t xml:space="preserve">Graduate of United States Military Academy </w:t>
      </w:r>
      <w:r>
        <w:rPr>
          <w:rFonts w:ascii="Arial" w:cs="Arial" w:eastAsia="Arial" w:hAnsi="Arial"/>
          <w:sz w:val="13"/>
          <w:szCs w:val="13"/>
          <w:color w:val="auto"/>
        </w:rPr>
        <w:t>in West Point, NY, and served in the U.S. Army</w:t>
      </w:r>
    </w:p>
    <w:p>
      <w:pPr>
        <w:spacing w:after="0" w:line="36" w:lineRule="exact"/>
        <w:rPr>
          <w:rFonts w:ascii="Arial" w:cs="Arial" w:eastAsia="Arial" w:hAnsi="Arial"/>
          <w:sz w:val="13"/>
          <w:szCs w:val="13"/>
          <w:color w:val="auto"/>
        </w:rPr>
      </w:pPr>
    </w:p>
    <w:p>
      <w:pPr>
        <w:ind w:left="200" w:hanging="196"/>
        <w:spacing w:after="0"/>
        <w:tabs>
          <w:tab w:leader="none" w:pos="200" w:val="left"/>
        </w:tabs>
        <w:numPr>
          <w:ilvl w:val="0"/>
          <w:numId w:val="21"/>
        </w:numPr>
        <w:rPr>
          <w:rFonts w:ascii="Arial" w:cs="Arial" w:eastAsia="Arial" w:hAnsi="Arial"/>
          <w:sz w:val="13"/>
          <w:szCs w:val="13"/>
          <w:color w:val="auto"/>
        </w:rPr>
      </w:pPr>
      <w:r>
        <w:rPr>
          <w:rFonts w:ascii="Arial" w:cs="Arial" w:eastAsia="Arial" w:hAnsi="Arial"/>
          <w:sz w:val="13"/>
          <w:szCs w:val="13"/>
          <w:b w:val="1"/>
          <w:bCs w:val="1"/>
          <w:color w:val="auto"/>
        </w:rPr>
        <w:t>Masters of Business Administration with highest distinction</w:t>
      </w:r>
      <w:r>
        <w:rPr>
          <w:rFonts w:ascii="Arial" w:cs="Arial" w:eastAsia="Arial" w:hAnsi="Arial"/>
          <w:sz w:val="13"/>
          <w:szCs w:val="13"/>
          <w:color w:val="auto"/>
        </w:rPr>
        <w:t>: Harvard Business School</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68" w:lineRule="exact"/>
        <w:rPr>
          <w:sz w:val="20"/>
          <w:szCs w:val="20"/>
          <w:color w:val="auto"/>
        </w:rPr>
      </w:pPr>
    </w:p>
    <w:p>
      <w:pPr>
        <w:ind w:right="1640"/>
        <w:spacing w:after="0" w:line="263" w:lineRule="auto"/>
        <w:rPr>
          <w:sz w:val="20"/>
          <w:szCs w:val="20"/>
          <w:color w:val="auto"/>
        </w:rPr>
      </w:pPr>
      <w:r>
        <w:rPr>
          <w:rFonts w:ascii="Arial" w:cs="Arial" w:eastAsia="Arial" w:hAnsi="Arial"/>
          <w:sz w:val="13"/>
          <w:szCs w:val="13"/>
          <w:color w:val="auto"/>
        </w:rPr>
        <w:t>Mr. Hicks has nearly 40 years of retail business and leadership experience, including five years as President &amp; Chief Executive Officer of Academy, including retail strategy, operations, merchandising and customer experience, and a proven track record of driving growth and value creation, which the Board values as we execute our growth strategies regarding new store openings, omnichannel expansion, connecting with our customers, and increasing the productivity of existing stores and distribution centers.</w:t>
      </w:r>
    </w:p>
    <w:p>
      <w:pPr>
        <w:spacing w:after="0" w:line="98" w:lineRule="exact"/>
        <w:rPr>
          <w:sz w:val="20"/>
          <w:szCs w:val="20"/>
          <w:color w:val="auto"/>
        </w:rPr>
      </w:pPr>
    </w:p>
    <w:p>
      <w:pPr>
        <w:ind w:right="1580"/>
        <w:spacing w:after="0" w:line="266" w:lineRule="auto"/>
        <w:rPr>
          <w:sz w:val="20"/>
          <w:szCs w:val="20"/>
          <w:color w:val="auto"/>
        </w:rPr>
      </w:pPr>
      <w:r>
        <w:rPr>
          <w:rFonts w:ascii="Arial" w:cs="Arial" w:eastAsia="Arial" w:hAnsi="Arial"/>
          <w:sz w:val="13"/>
          <w:szCs w:val="13"/>
          <w:b w:val="1"/>
          <w:bCs w:val="1"/>
          <w:color w:val="auto"/>
        </w:rPr>
        <w:t>The Board selected Mr. Hicks to serve as a director based on his board, executive leadership, and management experience related to the retail industry, which includes accounting/finance, strategic planning, merchandising, corporate governance, store operations, digital/eCommerce, financial, marketing, real estate, sourcing/manufacturing, and supply chain/logistics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989330</wp:posOffset>
            </wp:positionV>
            <wp:extent cx="7168515" cy="4127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694055</wp:posOffset>
            </wp:positionV>
            <wp:extent cx="789305" cy="18923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220" w:space="420"/>
            <w:col w:w="7480"/>
          </w:cols>
          <w:pgMar w:left="1440" w:top="132"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3"/>
          <w:szCs w:val="13"/>
          <w:b w:val="1"/>
          <w:bCs w:val="1"/>
          <w:color w:val="007EC4"/>
        </w:rPr>
        <w:t xml:space="preserve">18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ectPr>
          <w:pgSz w:w="11900" w:h="16838" w:orient="portrait"/>
          <w:cols w:equalWidth="0" w:num="1">
            <w:col w:w="10139"/>
          </w:cols>
          <w:pgMar w:left="320" w:top="1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106680</wp:posOffset>
            </wp:positionV>
            <wp:extent cx="1286510" cy="762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-1423670</wp:posOffset>
            </wp:positionV>
            <wp:extent cx="1081405" cy="110490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081405" cy="1104900"/>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193675</wp:posOffset>
            </wp:positionV>
            <wp:extent cx="189230" cy="18161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89"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Merchandising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146685</wp:posOffset>
            </wp:positionV>
            <wp:extent cx="189230" cy="18161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03"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146685</wp:posOffset>
            </wp:positionV>
            <wp:extent cx="189230" cy="18161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28"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Human</w:t>
      </w:r>
    </w:p>
    <w:p>
      <w:pPr>
        <w:spacing w:after="0" w:line="24"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Resources/Talent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83820</wp:posOffset>
            </wp:positionV>
            <wp:extent cx="189230" cy="18161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16"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Store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139065</wp:posOffset>
            </wp:positionV>
            <wp:extent cx="189230" cy="18923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Beryl B. Raff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23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May 2021</w:t>
            </w:r>
          </w:p>
        </w:tc>
        <w:tc>
          <w:tcPr>
            <w:tcW w:w="2040" w:type="dxa"/>
            <w:vAlign w:val="bottom"/>
            <w:tcBorders>
              <w:right w:val="single" w:sz="8" w:color="B6B6B6"/>
            </w:tcBorders>
          </w:tcPr>
          <w:p>
            <w:pPr>
              <w:ind w:left="46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74</w:t>
            </w:r>
          </w:p>
        </w:tc>
      </w:tr>
      <w:tr>
        <w:trPr>
          <w:trHeight w:val="26"/>
        </w:trPr>
        <w:tc>
          <w:tcPr>
            <w:tcW w:w="23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43" w:lineRule="exact"/>
        <w:rPr>
          <w:sz w:val="20"/>
          <w:szCs w:val="20"/>
          <w:color w:val="auto"/>
        </w:rPr>
      </w:pPr>
    </w:p>
    <w:p>
      <w:pPr>
        <w:ind w:left="200" w:hanging="196"/>
        <w:spacing w:after="0"/>
        <w:tabs>
          <w:tab w:leader="none" w:pos="2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Compensation since May 2021 (Chair since October 2021)</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56" w:lineRule="exact"/>
        <w:rPr>
          <w:sz w:val="20"/>
          <w:szCs w:val="20"/>
          <w:color w:val="auto"/>
        </w:rPr>
      </w:pPr>
    </w:p>
    <w:p>
      <w:pPr>
        <w:ind w:left="200" w:hanging="196"/>
        <w:spacing w:after="0"/>
        <w:tabs>
          <w:tab w:leader="none" w:pos="200"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Helen of Troy</w:t>
      </w:r>
      <w:r>
        <w:rPr>
          <w:rFonts w:ascii="Arial" w:cs="Arial" w:eastAsia="Arial" w:hAnsi="Arial"/>
          <w:sz w:val="13"/>
          <w:szCs w:val="13"/>
          <w:color w:val="auto"/>
        </w:rPr>
        <w:t>: August 2014 - present (Audit &amp; Compensation Committees)</w:t>
      </w:r>
    </w:p>
    <w:p>
      <w:pPr>
        <w:spacing w:after="0" w:line="61" w:lineRule="exact"/>
        <w:rPr>
          <w:rFonts w:ascii="Arial" w:cs="Arial" w:eastAsia="Arial" w:hAnsi="Arial"/>
          <w:sz w:val="13"/>
          <w:szCs w:val="13"/>
          <w:color w:val="auto"/>
        </w:rPr>
      </w:pPr>
    </w:p>
    <w:p>
      <w:pPr>
        <w:ind w:left="200" w:hanging="196"/>
        <w:spacing w:after="0"/>
        <w:tabs>
          <w:tab w:leader="none" w:pos="200"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 xml:space="preserve">Michaels: </w:t>
      </w:r>
      <w:r>
        <w:rPr>
          <w:rFonts w:ascii="Arial" w:cs="Arial" w:eastAsia="Arial" w:hAnsi="Arial"/>
          <w:sz w:val="13"/>
          <w:szCs w:val="13"/>
          <w:color w:val="auto"/>
        </w:rPr>
        <w:t>September 2014 - April 2021 (Audit &amp; Compensation Committees)</w:t>
      </w:r>
    </w:p>
    <w:p>
      <w:pPr>
        <w:spacing w:after="0" w:line="49" w:lineRule="exact"/>
        <w:rPr>
          <w:rFonts w:ascii="Arial" w:cs="Arial" w:eastAsia="Arial" w:hAnsi="Arial"/>
          <w:sz w:val="13"/>
          <w:szCs w:val="13"/>
          <w:color w:val="auto"/>
        </w:rPr>
      </w:pPr>
    </w:p>
    <w:p>
      <w:pPr>
        <w:ind w:left="220" w:right="739" w:hanging="216"/>
        <w:spacing w:after="0" w:line="298" w:lineRule="auto"/>
        <w:tabs>
          <w:tab w:leader="none" w:pos="192"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Jo-Ann Stores</w:t>
      </w:r>
      <w:r>
        <w:rPr>
          <w:rFonts w:ascii="Arial" w:cs="Arial" w:eastAsia="Arial" w:hAnsi="Arial"/>
          <w:sz w:val="13"/>
          <w:szCs w:val="13"/>
          <w:color w:val="auto"/>
        </w:rPr>
        <w:t>: August 2001 - February 2011 (Audit Committee &amp; Compensation Committee</w:t>
      </w:r>
      <w:r>
        <w:rPr>
          <w:rFonts w:ascii="Arial" w:cs="Arial" w:eastAsia="Arial" w:hAnsi="Arial"/>
          <w:sz w:val="13"/>
          <w:szCs w:val="13"/>
          <w:b w:val="1"/>
          <w:bCs w:val="1"/>
          <w:color w:val="auto"/>
        </w:rPr>
        <w:t xml:space="preserve"> </w:t>
      </w:r>
      <w:r>
        <w:rPr>
          <w:rFonts w:ascii="Arial" w:cs="Arial" w:eastAsia="Arial" w:hAnsi="Arial"/>
          <w:sz w:val="13"/>
          <w:szCs w:val="13"/>
          <w:color w:val="auto"/>
        </w:rPr>
        <w:t>Chair)</w:t>
      </w:r>
    </w:p>
    <w:p>
      <w:pPr>
        <w:spacing w:after="0" w:line="1" w:lineRule="exact"/>
        <w:rPr>
          <w:rFonts w:ascii="Arial" w:cs="Arial" w:eastAsia="Arial" w:hAnsi="Arial"/>
          <w:sz w:val="13"/>
          <w:szCs w:val="13"/>
          <w:color w:val="auto"/>
        </w:rPr>
      </w:pPr>
    </w:p>
    <w:p>
      <w:pPr>
        <w:ind w:left="220" w:right="619" w:hanging="216"/>
        <w:spacing w:after="0" w:line="298" w:lineRule="auto"/>
        <w:tabs>
          <w:tab w:leader="none" w:pos="192"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Group 1 Automotive</w:t>
      </w:r>
      <w:r>
        <w:rPr>
          <w:rFonts w:ascii="Arial" w:cs="Arial" w:eastAsia="Arial" w:hAnsi="Arial"/>
          <w:sz w:val="13"/>
          <w:szCs w:val="13"/>
          <w:color w:val="auto"/>
        </w:rPr>
        <w:t>: June 2007 - February 2015 (Compensation Committee &amp; Governance &amp;</w:t>
      </w:r>
      <w:r>
        <w:rPr>
          <w:rFonts w:ascii="Arial" w:cs="Arial" w:eastAsia="Arial" w:hAnsi="Arial"/>
          <w:sz w:val="13"/>
          <w:szCs w:val="13"/>
          <w:b w:val="1"/>
          <w:bCs w:val="1"/>
          <w:color w:val="auto"/>
        </w:rPr>
        <w:t xml:space="preserve"> </w:t>
      </w:r>
      <w:r>
        <w:rPr>
          <w:rFonts w:ascii="Arial" w:cs="Arial" w:eastAsia="Arial" w:hAnsi="Arial"/>
          <w:sz w:val="13"/>
          <w:szCs w:val="13"/>
          <w:color w:val="auto"/>
        </w:rPr>
        <w:t>Nominating Committee Chair)</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56" w:lineRule="exact"/>
        <w:rPr>
          <w:sz w:val="20"/>
          <w:szCs w:val="20"/>
          <w:color w:val="auto"/>
        </w:rPr>
      </w:pPr>
    </w:p>
    <w:p>
      <w:pPr>
        <w:ind w:left="220" w:right="499" w:hanging="216"/>
        <w:spacing w:after="0" w:line="279" w:lineRule="auto"/>
        <w:tabs>
          <w:tab w:leader="none" w:pos="192"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Helzberg Diamonds</w:t>
      </w:r>
      <w:r>
        <w:rPr>
          <w:rFonts w:ascii="Arial" w:cs="Arial" w:eastAsia="Arial" w:hAnsi="Arial"/>
          <w:sz w:val="13"/>
          <w:szCs w:val="13"/>
          <w:color w:val="auto"/>
        </w:rPr>
        <w:t>: Chief Executive Officer (2009 to July 2022); Non-executive Chairman (July</w:t>
      </w:r>
      <w:r>
        <w:rPr>
          <w:rFonts w:ascii="Arial" w:cs="Arial" w:eastAsia="Arial" w:hAnsi="Arial"/>
          <w:sz w:val="13"/>
          <w:szCs w:val="13"/>
          <w:b w:val="1"/>
          <w:bCs w:val="1"/>
          <w:color w:val="auto"/>
        </w:rPr>
        <w:t xml:space="preserve"> </w:t>
      </w:r>
      <w:r>
        <w:rPr>
          <w:rFonts w:ascii="Arial" w:cs="Arial" w:eastAsia="Arial" w:hAnsi="Arial"/>
          <w:sz w:val="13"/>
          <w:szCs w:val="13"/>
          <w:color w:val="auto"/>
        </w:rPr>
        <w:t>2022 to July 2023)</w:t>
      </w:r>
    </w:p>
    <w:p>
      <w:pPr>
        <w:ind w:left="220" w:right="659" w:hanging="216"/>
        <w:spacing w:after="0" w:line="289" w:lineRule="auto"/>
        <w:tabs>
          <w:tab w:leader="none" w:pos="192"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J.C. Penney</w:t>
      </w:r>
      <w:r>
        <w:rPr>
          <w:rFonts w:ascii="Arial" w:cs="Arial" w:eastAsia="Arial" w:hAnsi="Arial"/>
          <w:sz w:val="13"/>
          <w:szCs w:val="13"/>
          <w:color w:val="auto"/>
        </w:rPr>
        <w:t>: Executive Vice President and General Merchandise Manager and various senior</w:t>
      </w:r>
      <w:r>
        <w:rPr>
          <w:rFonts w:ascii="Arial" w:cs="Arial" w:eastAsia="Arial" w:hAnsi="Arial"/>
          <w:sz w:val="13"/>
          <w:szCs w:val="13"/>
          <w:b w:val="1"/>
          <w:bCs w:val="1"/>
          <w:color w:val="auto"/>
        </w:rPr>
        <w:t xml:space="preserve"> </w:t>
      </w:r>
      <w:r>
        <w:rPr>
          <w:rFonts w:ascii="Arial" w:cs="Arial" w:eastAsia="Arial" w:hAnsi="Arial"/>
          <w:sz w:val="13"/>
          <w:szCs w:val="13"/>
          <w:color w:val="auto"/>
        </w:rPr>
        <w:t>merchandising positions (2001 to 2009)</w:t>
      </w:r>
    </w:p>
    <w:p>
      <w:pPr>
        <w:ind w:left="200" w:hanging="196"/>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Zales</w:t>
      </w:r>
      <w:r>
        <w:rPr>
          <w:rFonts w:ascii="Arial" w:cs="Arial" w:eastAsia="Arial" w:hAnsi="Arial"/>
          <w:sz w:val="13"/>
          <w:szCs w:val="13"/>
          <w:color w:val="auto"/>
        </w:rPr>
        <w:t>: Chairman and Chief Executive Officer (2000-2001)</w:t>
      </w:r>
    </w:p>
    <w:p>
      <w:pPr>
        <w:spacing w:after="0" w:line="36" w:lineRule="exact"/>
        <w:rPr>
          <w:rFonts w:ascii="Arial" w:cs="Arial" w:eastAsia="Arial" w:hAnsi="Arial"/>
          <w:sz w:val="13"/>
          <w:szCs w:val="13"/>
          <w:color w:val="auto"/>
        </w:rPr>
      </w:pPr>
    </w:p>
    <w:p>
      <w:pPr>
        <w:ind w:left="200" w:hanging="196"/>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R.H. Macy &amp; Company</w:t>
      </w:r>
      <w:r>
        <w:rPr>
          <w:rFonts w:ascii="Arial" w:cs="Arial" w:eastAsia="Arial" w:hAnsi="Arial"/>
          <w:sz w:val="13"/>
          <w:szCs w:val="13"/>
          <w:color w:val="auto"/>
        </w:rPr>
        <w:t>: Various senior merchant positions (18 years)</w:t>
      </w:r>
    </w:p>
    <w:p>
      <w:pPr>
        <w:spacing w:after="0" w:line="36" w:lineRule="exact"/>
        <w:rPr>
          <w:rFonts w:ascii="Arial" w:cs="Arial" w:eastAsia="Arial" w:hAnsi="Arial"/>
          <w:sz w:val="13"/>
          <w:szCs w:val="13"/>
          <w:color w:val="auto"/>
        </w:rPr>
      </w:pPr>
    </w:p>
    <w:p>
      <w:pPr>
        <w:ind w:left="200" w:hanging="196"/>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Bachelors of Business Administration</w:t>
      </w:r>
      <w:r>
        <w:rPr>
          <w:rFonts w:ascii="Arial" w:cs="Arial" w:eastAsia="Arial" w:hAnsi="Arial"/>
          <w:sz w:val="13"/>
          <w:szCs w:val="13"/>
          <w:color w:val="auto"/>
        </w:rPr>
        <w:t>: Boston University</w:t>
      </w:r>
    </w:p>
    <w:p>
      <w:pPr>
        <w:spacing w:after="0" w:line="49" w:lineRule="exact"/>
        <w:rPr>
          <w:rFonts w:ascii="Arial" w:cs="Arial" w:eastAsia="Arial" w:hAnsi="Arial"/>
          <w:sz w:val="13"/>
          <w:szCs w:val="13"/>
          <w:color w:val="auto"/>
        </w:rPr>
      </w:pPr>
    </w:p>
    <w:p>
      <w:pPr>
        <w:ind w:left="200" w:hanging="196"/>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Masters of Business Administration</w:t>
      </w:r>
      <w:r>
        <w:rPr>
          <w:rFonts w:ascii="Arial" w:cs="Arial" w:eastAsia="Arial" w:hAnsi="Arial"/>
          <w:sz w:val="13"/>
          <w:szCs w:val="13"/>
          <w:color w:val="auto"/>
        </w:rPr>
        <w:t>: Drexel University</w:t>
      </w:r>
    </w:p>
    <w:p>
      <w:pPr>
        <w:spacing w:after="0" w:line="107" w:lineRule="exact"/>
        <w:rPr>
          <w:sz w:val="20"/>
          <w:szCs w:val="20"/>
          <w:color w:val="auto"/>
        </w:rPr>
      </w:pPr>
    </w:p>
    <w:p>
      <w:pPr>
        <w:sectPr>
          <w:pgSz w:w="11900" w:h="16838" w:orient="portrait"/>
          <w:cols w:equalWidth="0" w:num="2">
            <w:col w:w="3340" w:space="420"/>
            <w:col w:w="6379"/>
          </w:cols>
          <w:pgMar w:left="320" w:top="157" w:right="1440" w:bottom="1440" w:gutter="0" w:footer="0" w:header="0"/>
          <w:type w:val="continuous"/>
        </w:sectPr>
      </w:pPr>
    </w:p>
    <w:p>
      <w:pPr>
        <w:ind w:left="3760"/>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left="3760" w:right="439"/>
        <w:spacing w:after="0" w:line="272" w:lineRule="auto"/>
        <w:rPr>
          <w:sz w:val="20"/>
          <w:szCs w:val="20"/>
          <w:color w:val="auto"/>
        </w:rPr>
      </w:pPr>
      <w:r>
        <w:rPr>
          <w:rFonts w:ascii="Arial" w:cs="Arial" w:eastAsia="Arial" w:hAnsi="Arial"/>
          <w:sz w:val="13"/>
          <w:szCs w:val="13"/>
          <w:color w:val="auto"/>
        </w:rPr>
        <w:t>Ms. Raff has over 40 years of executive leadership and management experience in the retail industry, including retail strategy, operations, merchandising and customer experience, which the Board values as we drive growth through new store openings, connecting with our customers, increasing the productivity of existing stores, and building the best team in retail.</w:t>
      </w:r>
    </w:p>
    <w:p>
      <w:pPr>
        <w:spacing w:after="0" w:line="93" w:lineRule="exact"/>
        <w:rPr>
          <w:sz w:val="20"/>
          <w:szCs w:val="20"/>
          <w:color w:val="auto"/>
        </w:rPr>
      </w:pPr>
    </w:p>
    <w:p>
      <w:pPr>
        <w:ind w:left="3760" w:right="659"/>
        <w:spacing w:after="0" w:line="266" w:lineRule="auto"/>
        <w:rPr>
          <w:sz w:val="20"/>
          <w:szCs w:val="20"/>
          <w:color w:val="auto"/>
        </w:rPr>
      </w:pPr>
      <w:r>
        <w:rPr>
          <w:rFonts w:ascii="Arial" w:cs="Arial" w:eastAsia="Arial" w:hAnsi="Arial"/>
          <w:sz w:val="13"/>
          <w:szCs w:val="13"/>
          <w:b w:val="1"/>
          <w:bCs w:val="1"/>
          <w:color w:val="auto"/>
        </w:rPr>
        <w:t>The Board selected Ms. Raff because of her board, executive leadership and management experience related to the retail industry, which includes merchandising, strategic planning, human resources/talent, store operations, corporate governance, accounting/finance, marketing, sourcing/manufacturing, real estate &amp; construction, and supply chain/logistics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989330</wp:posOffset>
            </wp:positionV>
            <wp:extent cx="7168515" cy="4127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694055</wp:posOffset>
            </wp:positionV>
            <wp:extent cx="789305" cy="18923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0139"/>
          </w:cols>
          <w:pgMar w:left="320" w:top="157" w:right="1440" w:bottom="1440" w:gutter="0" w:footer="0" w:header="0"/>
          <w:type w:val="continuous"/>
        </w:sectPr>
      </w:pPr>
    </w:p>
    <w:bookmarkStart w:id="24" w:name="page25"/>
    <w:bookmarkEnd w:id="24"/>
    <w:p>
      <w:pPr>
        <w:ind w:left="642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19</w:t>
      </w:r>
    </w:p>
    <w:p>
      <w:pPr>
        <w:sectPr>
          <w:pgSz w:w="11900" w:h="16838" w:orient="portrait"/>
          <w:cols w:equalWidth="0" w:num="1">
            <w:col w:w="10120"/>
          </w:cols>
          <w:pgMar w:left="144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111125</wp:posOffset>
            </wp:positionV>
            <wp:extent cx="1286510" cy="762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-1395730</wp:posOffset>
            </wp:positionV>
            <wp:extent cx="1104900" cy="110490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104900" cy="110490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190500</wp:posOffset>
            </wp:positionV>
            <wp:extent cx="189230" cy="18161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84"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Merchandising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161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78"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923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Digital/eCommerce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161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123190</wp:posOffset>
            </wp:positionV>
            <wp:extent cx="189230" cy="18923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Jeff C. Tweedy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248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October 2020</w:t>
            </w:r>
          </w:p>
        </w:tc>
        <w:tc>
          <w:tcPr>
            <w:tcW w:w="2040" w:type="dxa"/>
            <w:vAlign w:val="bottom"/>
            <w:tcBorders>
              <w:right w:val="single" w:sz="8" w:color="B6B6B6"/>
            </w:tcBorders>
          </w:tcPr>
          <w:p>
            <w:pPr>
              <w:ind w:left="46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62</w:t>
            </w:r>
          </w:p>
        </w:tc>
      </w:tr>
      <w:tr>
        <w:trPr>
          <w:trHeight w:val="26"/>
        </w:trPr>
        <w:tc>
          <w:tcPr>
            <w:tcW w:w="248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81" w:lineRule="exact"/>
        <w:rPr>
          <w:sz w:val="20"/>
          <w:szCs w:val="20"/>
          <w:color w:val="auto"/>
        </w:rPr>
      </w:pPr>
    </w:p>
    <w:p>
      <w:pPr>
        <w:ind w:left="200" w:hanging="196"/>
        <w:spacing w:after="0"/>
        <w:tabs>
          <w:tab w:leader="none" w:pos="2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Compensation since October 2020</w:t>
      </w:r>
    </w:p>
    <w:p>
      <w:pPr>
        <w:spacing w:after="0" w:line="49" w:lineRule="exact"/>
        <w:rPr>
          <w:rFonts w:ascii="Arial" w:cs="Arial" w:eastAsia="Arial" w:hAnsi="Arial"/>
          <w:sz w:val="13"/>
          <w:szCs w:val="13"/>
          <w:color w:val="auto"/>
        </w:rPr>
      </w:pPr>
    </w:p>
    <w:p>
      <w:pPr>
        <w:ind w:left="200" w:hanging="196"/>
        <w:spacing w:after="0"/>
        <w:tabs>
          <w:tab w:leader="none" w:pos="2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Nominating &amp; Governance since October 2020</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56" w:lineRule="exact"/>
        <w:rPr>
          <w:sz w:val="20"/>
          <w:szCs w:val="20"/>
          <w:color w:val="auto"/>
        </w:rPr>
      </w:pPr>
    </w:p>
    <w:p>
      <w:pPr>
        <w:ind w:left="220" w:right="1560" w:hanging="216"/>
        <w:spacing w:after="0" w:line="298" w:lineRule="auto"/>
        <w:tabs>
          <w:tab w:leader="none" w:pos="192"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Safe and Green Development</w:t>
      </w:r>
      <w:r>
        <w:rPr>
          <w:rFonts w:ascii="Arial" w:cs="Arial" w:eastAsia="Arial" w:hAnsi="Arial"/>
          <w:sz w:val="13"/>
          <w:szCs w:val="13"/>
          <w:color w:val="auto"/>
        </w:rPr>
        <w:t>: April 2023 - present (Compensation &amp; Nominating and Corporate</w:t>
      </w:r>
      <w:r>
        <w:rPr>
          <w:rFonts w:ascii="Arial" w:cs="Arial" w:eastAsia="Arial" w:hAnsi="Arial"/>
          <w:sz w:val="13"/>
          <w:szCs w:val="13"/>
          <w:b w:val="1"/>
          <w:bCs w:val="1"/>
          <w:color w:val="auto"/>
        </w:rPr>
        <w:t xml:space="preserve"> </w:t>
      </w:r>
      <w:r>
        <w:rPr>
          <w:rFonts w:ascii="Arial" w:cs="Arial" w:eastAsia="Arial" w:hAnsi="Arial"/>
          <w:sz w:val="13"/>
          <w:szCs w:val="13"/>
          <w:color w:val="auto"/>
        </w:rPr>
        <w:t>Governance Committees)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68" w:lineRule="exact"/>
        <w:rPr>
          <w:sz w:val="20"/>
          <w:szCs w:val="20"/>
          <w:color w:val="auto"/>
        </w:rPr>
      </w:pPr>
    </w:p>
    <w:p>
      <w:pPr>
        <w:ind w:left="200" w:hanging="196"/>
        <w:spacing w:after="0"/>
        <w:tabs>
          <w:tab w:leader="none" w:pos="200"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Global Brands Group/Sean John Clothing</w:t>
      </w:r>
      <w:r>
        <w:rPr>
          <w:rFonts w:ascii="Arial" w:cs="Arial" w:eastAsia="Arial" w:hAnsi="Arial"/>
          <w:sz w:val="13"/>
          <w:szCs w:val="13"/>
          <w:color w:val="auto"/>
        </w:rPr>
        <w:t>: Advisory role (March 2021 - August 2022)</w:t>
      </w:r>
    </w:p>
    <w:p>
      <w:pPr>
        <w:spacing w:after="0" w:line="36" w:lineRule="exact"/>
        <w:rPr>
          <w:rFonts w:ascii="Arial" w:cs="Arial" w:eastAsia="Arial" w:hAnsi="Arial"/>
          <w:sz w:val="13"/>
          <w:szCs w:val="13"/>
          <w:color w:val="auto"/>
        </w:rPr>
      </w:pPr>
    </w:p>
    <w:p>
      <w:pPr>
        <w:ind w:left="220" w:right="1800" w:hanging="216"/>
        <w:spacing w:after="0" w:line="269" w:lineRule="auto"/>
        <w:tabs>
          <w:tab w:leader="none" w:pos="192"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Sean John Clothing</w:t>
      </w:r>
      <w:r>
        <w:rPr>
          <w:rFonts w:ascii="Arial" w:cs="Arial" w:eastAsia="Arial" w:hAnsi="Arial"/>
          <w:sz w:val="13"/>
          <w:szCs w:val="13"/>
          <w:color w:val="auto"/>
        </w:rPr>
        <w:t>: Chief Executive Officer (November 2007 - March 2021); Executive Vice</w:t>
      </w:r>
      <w:r>
        <w:rPr>
          <w:rFonts w:ascii="Arial" w:cs="Arial" w:eastAsia="Arial" w:hAnsi="Arial"/>
          <w:sz w:val="13"/>
          <w:szCs w:val="13"/>
          <w:b w:val="1"/>
          <w:bCs w:val="1"/>
          <w:color w:val="auto"/>
        </w:rPr>
        <w:t xml:space="preserve"> </w:t>
      </w:r>
      <w:r>
        <w:rPr>
          <w:rFonts w:ascii="Arial" w:cs="Arial" w:eastAsia="Arial" w:hAnsi="Arial"/>
          <w:sz w:val="13"/>
          <w:szCs w:val="13"/>
          <w:color w:val="auto"/>
        </w:rPr>
        <w:t>President (February 1996 to March 2005)</w:t>
      </w:r>
    </w:p>
    <w:p>
      <w:pPr>
        <w:ind w:left="220" w:hanging="216"/>
        <w:spacing w:after="0"/>
        <w:tabs>
          <w:tab w:leader="none" w:pos="220"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 xml:space="preserve">Karl Kani Jeans: </w:t>
      </w:r>
      <w:r>
        <w:rPr>
          <w:rFonts w:ascii="Arial" w:cs="Arial" w:eastAsia="Arial" w:hAnsi="Arial"/>
          <w:sz w:val="13"/>
          <w:szCs w:val="13"/>
          <w:color w:val="auto"/>
        </w:rPr>
        <w:t>Vice President (March 1993 - June 1996)</w:t>
      </w:r>
    </w:p>
    <w:p>
      <w:pPr>
        <w:spacing w:after="0" w:line="24" w:lineRule="exact"/>
        <w:rPr>
          <w:rFonts w:ascii="Arial" w:cs="Arial" w:eastAsia="Arial" w:hAnsi="Arial"/>
          <w:sz w:val="13"/>
          <w:szCs w:val="13"/>
          <w:color w:val="auto"/>
        </w:rPr>
      </w:pPr>
    </w:p>
    <w:p>
      <w:pPr>
        <w:ind w:left="220" w:hanging="216"/>
        <w:spacing w:after="0"/>
        <w:tabs>
          <w:tab w:leader="none" w:pos="220"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Spike Lee</w:t>
      </w:r>
      <w:r>
        <w:rPr>
          <w:rFonts w:ascii="Arial" w:cs="Arial" w:eastAsia="Arial" w:hAnsi="Arial"/>
          <w:sz w:val="13"/>
          <w:szCs w:val="13"/>
          <w:color w:val="auto"/>
        </w:rPr>
        <w:t>: Vice President (February 1992 - June 1993</w:t>
      </w:r>
    </w:p>
    <w:p>
      <w:pPr>
        <w:spacing w:after="0" w:line="49" w:lineRule="exact"/>
        <w:rPr>
          <w:rFonts w:ascii="Arial" w:cs="Arial" w:eastAsia="Arial" w:hAnsi="Arial"/>
          <w:sz w:val="13"/>
          <w:szCs w:val="13"/>
          <w:color w:val="auto"/>
        </w:rPr>
      </w:pPr>
    </w:p>
    <w:p>
      <w:pPr>
        <w:ind w:left="220" w:hanging="216"/>
        <w:spacing w:after="0"/>
        <w:tabs>
          <w:tab w:leader="none" w:pos="220"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Ralph Lauren Womenswear</w:t>
      </w:r>
      <w:r>
        <w:rPr>
          <w:rFonts w:ascii="Arial" w:cs="Arial" w:eastAsia="Arial" w:hAnsi="Arial"/>
          <w:sz w:val="13"/>
          <w:szCs w:val="13"/>
          <w:color w:val="auto"/>
        </w:rPr>
        <w:t>: East Coast Sales Manager (February 1990 - December 1992)</w:t>
      </w:r>
    </w:p>
    <w:p>
      <w:pPr>
        <w:spacing w:after="0" w:line="36" w:lineRule="exact"/>
        <w:rPr>
          <w:rFonts w:ascii="Arial" w:cs="Arial" w:eastAsia="Arial" w:hAnsi="Arial"/>
          <w:sz w:val="13"/>
          <w:szCs w:val="13"/>
          <w:color w:val="auto"/>
        </w:rPr>
      </w:pPr>
    </w:p>
    <w:p>
      <w:pPr>
        <w:ind w:left="220" w:hanging="216"/>
        <w:spacing w:after="0"/>
        <w:tabs>
          <w:tab w:leader="none" w:pos="22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Fashion Institute of Technology </w:t>
      </w:r>
      <w:r>
        <w:rPr>
          <w:rFonts w:ascii="Arial" w:cs="Arial" w:eastAsia="Arial" w:hAnsi="Arial"/>
          <w:sz w:val="13"/>
          <w:szCs w:val="13"/>
          <w:color w:val="auto"/>
        </w:rPr>
        <w:t>- Menswear Design &amp; Marketing</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right="1460"/>
        <w:spacing w:after="0" w:line="264" w:lineRule="auto"/>
        <w:rPr>
          <w:sz w:val="20"/>
          <w:szCs w:val="20"/>
          <w:color w:val="auto"/>
        </w:rPr>
      </w:pPr>
      <w:r>
        <w:rPr>
          <w:rFonts w:ascii="Arial" w:cs="Arial" w:eastAsia="Arial" w:hAnsi="Arial"/>
          <w:sz w:val="13"/>
          <w:szCs w:val="13"/>
          <w:color w:val="auto"/>
        </w:rPr>
        <w:t>Mr. Tweedy brings over 25 years of executive leadership and management experience in the fashion and retail industries, including merchandising, marketing, sourcing, manufacturing, strategic, and talent management skills, which the Board values as we drive growth through omnichannel expansion, connecting with our customers, increasing the productivity of existing stores, and building the best team in retail.</w:t>
      </w:r>
    </w:p>
    <w:p>
      <w:pPr>
        <w:spacing w:after="0" w:line="110" w:lineRule="exact"/>
        <w:rPr>
          <w:sz w:val="20"/>
          <w:szCs w:val="20"/>
          <w:color w:val="auto"/>
        </w:rPr>
      </w:pPr>
    </w:p>
    <w:p>
      <w:pPr>
        <w:ind w:right="1500"/>
        <w:spacing w:after="0" w:line="266" w:lineRule="auto"/>
        <w:rPr>
          <w:sz w:val="20"/>
          <w:szCs w:val="20"/>
          <w:color w:val="auto"/>
        </w:rPr>
      </w:pPr>
      <w:r>
        <w:rPr>
          <w:rFonts w:ascii="Arial" w:cs="Arial" w:eastAsia="Arial" w:hAnsi="Arial"/>
          <w:sz w:val="13"/>
          <w:szCs w:val="13"/>
          <w:b w:val="1"/>
          <w:bCs w:val="1"/>
          <w:color w:val="auto"/>
        </w:rPr>
        <w:t>The Board selected Mr. Tweedy to serve as a director based on his extensive executive leadership and management experience related to the retail industry, including merchandising, strategic planning, digital/eCommerce, marketing, corporate governance, sourcing/manufacturing, strategic planning, store operations, and human resources/talent management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989330</wp:posOffset>
            </wp:positionV>
            <wp:extent cx="7168515" cy="4127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694055</wp:posOffset>
            </wp:positionV>
            <wp:extent cx="789305" cy="18923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220" w:space="420"/>
            <w:col w:w="7480"/>
          </w:cols>
          <w:pgMar w:left="1440" w:top="132"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3"/>
          <w:szCs w:val="13"/>
          <w:b w:val="1"/>
          <w:bCs w:val="1"/>
          <w:color w:val="007EC4"/>
        </w:rPr>
        <w:t xml:space="preserve">20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ectPr>
          <w:pgSz w:w="11900" w:h="16838" w:orient="portrait"/>
          <w:cols w:equalWidth="0" w:num="1">
            <w:col w:w="10139"/>
          </w:cols>
          <w:pgMar w:left="320" w:top="1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233680</wp:posOffset>
            </wp:positionV>
            <wp:extent cx="1104900" cy="110490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104900"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22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119380</wp:posOffset>
            </wp:positionV>
            <wp:extent cx="1302385" cy="762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302385" cy="7620"/>
                    </a:xfrm>
                    <a:prstGeom prst="rect">
                      <a:avLst/>
                    </a:prstGeom>
                    <a:noFill/>
                  </pic:spPr>
                </pic:pic>
              </a:graphicData>
            </a:graphic>
          </wp:anchor>
        </w:drawing>
      </w:r>
    </w:p>
    <w:p>
      <w:pPr>
        <w:spacing w:after="0" w:line="277" w:lineRule="exact"/>
        <w:rPr>
          <w:sz w:val="20"/>
          <w:szCs w:val="20"/>
          <w:color w:val="auto"/>
        </w:rPr>
      </w:pPr>
    </w:p>
    <w:p>
      <w:pPr>
        <w:ind w:left="1520"/>
        <w:spacing w:after="0"/>
        <w:rPr>
          <w:sz w:val="20"/>
          <w:szCs w:val="20"/>
          <w:color w:val="auto"/>
        </w:rPr>
      </w:pPr>
      <w:r>
        <w:rPr>
          <w:sz w:val="1"/>
          <w:szCs w:val="1"/>
          <w:color w:val="auto"/>
        </w:rPr>
        <w:drawing>
          <wp:inline distT="0" distB="0" distL="0" distR="0">
            <wp:extent cx="189230" cy="181610"/>
            <wp:effectExtent l="0" t="0" r="0" b="0"/>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89230" cy="181610"/>
                    </a:xfrm>
                    <a:prstGeom prst="rect">
                      <a:avLst/>
                    </a:prstGeom>
                    <a:noFill/>
                    <a:ln>
                      <a:noFill/>
                    </a:ln>
                  </pic:spPr>
                </pic:pic>
              </a:graphicData>
            </a:graphic>
          </wp:inline>
        </w:drawing>
      </w:r>
      <w:r>
        <w:rPr>
          <w:rFonts w:ascii="Arial" w:cs="Arial" w:eastAsia="Arial" w:hAnsi="Arial"/>
          <w:sz w:val="13"/>
          <w:szCs w:val="13"/>
          <w:b w:val="1"/>
          <w:bCs w:val="1"/>
          <w:color w:val="007EC4"/>
        </w:rPr>
        <w:t xml:space="preserve"> Strategic Planning</w:t>
      </w:r>
    </w:p>
    <w:p>
      <w:pPr>
        <w:spacing w:after="0" w:line="146" w:lineRule="exact"/>
        <w:rPr>
          <w:sz w:val="20"/>
          <w:szCs w:val="20"/>
          <w:color w:val="auto"/>
        </w:rPr>
      </w:pPr>
    </w:p>
    <w:p>
      <w:pPr>
        <w:ind w:left="1520"/>
        <w:spacing w:after="0"/>
        <w:rPr>
          <w:sz w:val="20"/>
          <w:szCs w:val="20"/>
          <w:color w:val="auto"/>
        </w:rPr>
      </w:pPr>
      <w:r>
        <w:rPr>
          <w:sz w:val="1"/>
          <w:szCs w:val="1"/>
          <w:color w:val="auto"/>
        </w:rPr>
        <w:drawing>
          <wp:inline distT="0" distB="0" distL="0" distR="0">
            <wp:extent cx="189230" cy="181610"/>
            <wp:effectExtent l="0" t="0" r="0" b="0"/>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89230" cy="181610"/>
                    </a:xfrm>
                    <a:prstGeom prst="rect">
                      <a:avLst/>
                    </a:prstGeom>
                    <a:noFill/>
                    <a:ln>
                      <a:noFill/>
                    </a:ln>
                  </pic:spPr>
                </pic:pic>
              </a:graphicData>
            </a:graphic>
          </wp:inline>
        </w:drawing>
      </w:r>
      <w:r>
        <w:rPr>
          <w:rFonts w:ascii="Arial" w:cs="Arial" w:eastAsia="Arial" w:hAnsi="Arial"/>
          <w:sz w:val="13"/>
          <w:szCs w:val="13"/>
          <w:b w:val="1"/>
          <w:bCs w:val="1"/>
          <w:color w:val="007EC4"/>
        </w:rPr>
        <w:t xml:space="preserve"> Merchandising</w:t>
      </w:r>
    </w:p>
    <w:p>
      <w:pPr>
        <w:spacing w:after="0" w:line="146" w:lineRule="exact"/>
        <w:rPr>
          <w:sz w:val="20"/>
          <w:szCs w:val="20"/>
          <w:color w:val="auto"/>
        </w:rPr>
      </w:pPr>
    </w:p>
    <w:p>
      <w:pPr>
        <w:jc w:val="right"/>
        <w:spacing w:after="0"/>
        <w:rPr>
          <w:sz w:val="20"/>
          <w:szCs w:val="20"/>
          <w:color w:val="auto"/>
        </w:rPr>
      </w:pPr>
      <w:r>
        <w:rPr>
          <w:sz w:val="1"/>
          <w:szCs w:val="1"/>
          <w:color w:val="auto"/>
        </w:rPr>
        <w:drawing>
          <wp:inline distT="0" distB="0" distL="0" distR="0">
            <wp:extent cx="189230" cy="189230"/>
            <wp:effectExtent l="0" t="0" r="0" b="0"/>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89230" cy="189230"/>
                    </a:xfrm>
                    <a:prstGeom prst="rect">
                      <a:avLst/>
                    </a:prstGeom>
                    <a:noFill/>
                    <a:ln>
                      <a:noFill/>
                    </a:ln>
                  </pic:spPr>
                </pic:pic>
              </a:graphicData>
            </a:graphic>
          </wp:inline>
        </w:drawing>
      </w:r>
      <w:r>
        <w:rPr>
          <w:rFonts w:ascii="Arial" w:cs="Arial" w:eastAsia="Arial" w:hAnsi="Arial"/>
          <w:sz w:val="13"/>
          <w:szCs w:val="13"/>
          <w:b w:val="1"/>
          <w:bCs w:val="1"/>
          <w:color w:val="007EC4"/>
        </w:rPr>
        <w:t xml:space="preserve"> Sourcing/Manufacturing</w:t>
      </w:r>
    </w:p>
    <w:p>
      <w:pPr>
        <w:spacing w:after="0" w:line="134" w:lineRule="exact"/>
        <w:rPr>
          <w:sz w:val="20"/>
          <w:szCs w:val="20"/>
          <w:color w:val="auto"/>
        </w:rPr>
      </w:pPr>
    </w:p>
    <w:p>
      <w:pPr>
        <w:ind w:left="1520"/>
        <w:spacing w:after="0"/>
        <w:rPr>
          <w:sz w:val="20"/>
          <w:szCs w:val="20"/>
          <w:color w:val="auto"/>
        </w:rPr>
      </w:pPr>
      <w:r>
        <w:rPr>
          <w:sz w:val="1"/>
          <w:szCs w:val="1"/>
          <w:color w:val="auto"/>
        </w:rPr>
        <w:drawing>
          <wp:inline distT="0" distB="0" distL="0" distR="0">
            <wp:extent cx="189230" cy="181610"/>
            <wp:effectExtent l="0" t="0" r="0" b="0"/>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89230" cy="181610"/>
                    </a:xfrm>
                    <a:prstGeom prst="rect">
                      <a:avLst/>
                    </a:prstGeom>
                    <a:noFill/>
                    <a:ln>
                      <a:noFill/>
                    </a:ln>
                  </pic:spPr>
                </pic:pic>
              </a:graphicData>
            </a:graphic>
          </wp:inline>
        </w:drawing>
      </w:r>
      <w:r>
        <w:rPr>
          <w:rFonts w:ascii="Arial" w:cs="Arial" w:eastAsia="Arial" w:hAnsi="Arial"/>
          <w:sz w:val="13"/>
          <w:szCs w:val="13"/>
          <w:b w:val="1"/>
          <w:bCs w:val="1"/>
          <w:color w:val="007EC4"/>
        </w:rPr>
        <w:t xml:space="preserve"> Marketing</w:t>
      </w:r>
    </w:p>
    <w:p>
      <w:pPr>
        <w:spacing w:after="0" w:line="146" w:lineRule="exact"/>
        <w:rPr>
          <w:sz w:val="20"/>
          <w:szCs w:val="20"/>
          <w:color w:val="auto"/>
        </w:rPr>
      </w:pPr>
    </w:p>
    <w:p>
      <w:pPr>
        <w:ind w:left="1520"/>
        <w:spacing w:after="0"/>
        <w:rPr>
          <w:sz w:val="20"/>
          <w:szCs w:val="20"/>
          <w:color w:val="auto"/>
        </w:rPr>
      </w:pPr>
      <w:r>
        <w:rPr>
          <w:sz w:val="1"/>
          <w:szCs w:val="1"/>
          <w:color w:val="auto"/>
        </w:rPr>
        <w:drawing>
          <wp:inline distT="0" distB="0" distL="0" distR="0">
            <wp:extent cx="189230" cy="189230"/>
            <wp:effectExtent l="0" t="0" r="0" b="0"/>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89230" cy="189230"/>
                    </a:xfrm>
                    <a:prstGeom prst="rect">
                      <a:avLst/>
                    </a:prstGeom>
                    <a:noFill/>
                    <a:ln>
                      <a:noFill/>
                    </a:ln>
                  </pic:spPr>
                </pic:pic>
              </a:graphicData>
            </a:graphic>
          </wp:inline>
        </w:drawing>
      </w:r>
      <w:r>
        <w:rPr>
          <w:rFonts w:ascii="Arial" w:cs="Arial" w:eastAsia="Arial" w:hAnsi="Arial"/>
          <w:sz w:val="13"/>
          <w:szCs w:val="13"/>
          <w:b w:val="1"/>
          <w:bCs w:val="1"/>
          <w:color w:val="007EC4"/>
        </w:rPr>
        <w:t xml:space="preserve"> Digital/eCommerce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1010285</wp:posOffset>
            </wp:positionV>
            <wp:extent cx="789305" cy="18923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Steve P. Lawrence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Chief Executive Officer</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23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June 2023</w:t>
            </w:r>
          </w:p>
        </w:tc>
        <w:tc>
          <w:tcPr>
            <w:tcW w:w="2040" w:type="dxa"/>
            <w:vAlign w:val="bottom"/>
            <w:tcBorders>
              <w:right w:val="single" w:sz="8" w:color="B6B6B6"/>
            </w:tcBorders>
          </w:tcPr>
          <w:p>
            <w:pPr>
              <w:ind w:left="50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57</w:t>
            </w:r>
          </w:p>
        </w:tc>
      </w:tr>
      <w:tr>
        <w:trPr>
          <w:trHeight w:val="26"/>
        </w:trPr>
        <w:tc>
          <w:tcPr>
            <w:tcW w:w="23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56"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francesca’s</w:t>
      </w:r>
      <w:r>
        <w:rPr>
          <w:rFonts w:ascii="Arial" w:cs="Arial" w:eastAsia="Arial" w:hAnsi="Arial"/>
          <w:sz w:val="13"/>
          <w:szCs w:val="13"/>
          <w:color w:val="auto"/>
        </w:rPr>
        <w:t>: October 2016 - January 2019</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56" w:lineRule="exact"/>
        <w:rPr>
          <w:sz w:val="20"/>
          <w:szCs w:val="20"/>
          <w:color w:val="auto"/>
        </w:rPr>
      </w:pPr>
    </w:p>
    <w:p>
      <w:pPr>
        <w:ind w:left="240" w:right="399" w:hanging="232"/>
        <w:spacing w:after="0" w:line="279" w:lineRule="auto"/>
        <w:tabs>
          <w:tab w:leader="none" w:pos="212"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Academy Sports + Outdoors</w:t>
      </w:r>
      <w:r>
        <w:rPr>
          <w:rFonts w:ascii="Arial" w:cs="Arial" w:eastAsia="Arial" w:hAnsi="Arial"/>
          <w:sz w:val="13"/>
          <w:szCs w:val="13"/>
          <w:color w:val="auto"/>
        </w:rPr>
        <w:t>: Chief Executive Officer since June 2023; Executive Vice President</w:t>
      </w:r>
      <w:r>
        <w:rPr>
          <w:rFonts w:ascii="Arial" w:cs="Arial" w:eastAsia="Arial" w:hAnsi="Arial"/>
          <w:sz w:val="13"/>
          <w:szCs w:val="13"/>
          <w:b w:val="1"/>
          <w:bCs w:val="1"/>
          <w:color w:val="auto"/>
        </w:rPr>
        <w:t xml:space="preserve"> </w:t>
      </w:r>
      <w:r>
        <w:rPr>
          <w:rFonts w:ascii="Arial" w:cs="Arial" w:eastAsia="Arial" w:hAnsi="Arial"/>
          <w:sz w:val="13"/>
          <w:szCs w:val="13"/>
          <w:color w:val="auto"/>
        </w:rPr>
        <w:t>and Chief Merchandising Officer (February 2019 to June 2023)</w:t>
      </w:r>
    </w:p>
    <w:p>
      <w:pPr>
        <w:ind w:left="240" w:right="599" w:hanging="232"/>
        <w:spacing w:after="0" w:line="279" w:lineRule="auto"/>
        <w:tabs>
          <w:tab w:leader="none" w:pos="236"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 xml:space="preserve">francesca’s: </w:t>
      </w:r>
      <w:r>
        <w:rPr>
          <w:rFonts w:ascii="Arial" w:cs="Arial" w:eastAsia="Arial" w:hAnsi="Arial"/>
          <w:sz w:val="13"/>
          <w:szCs w:val="13"/>
          <w:color w:val="auto"/>
        </w:rPr>
        <w:t>President, Chief Executive Officer and served on the Board of Directors (October</w:t>
      </w:r>
      <w:r>
        <w:rPr>
          <w:rFonts w:ascii="Arial" w:cs="Arial" w:eastAsia="Arial" w:hAnsi="Arial"/>
          <w:sz w:val="13"/>
          <w:szCs w:val="13"/>
          <w:b w:val="1"/>
          <w:bCs w:val="1"/>
          <w:color w:val="auto"/>
        </w:rPr>
        <w:t xml:space="preserve"> </w:t>
      </w:r>
      <w:r>
        <w:rPr>
          <w:rFonts w:ascii="Arial" w:cs="Arial" w:eastAsia="Arial" w:hAnsi="Arial"/>
          <w:sz w:val="13"/>
          <w:szCs w:val="13"/>
          <w:color w:val="auto"/>
        </w:rPr>
        <w:t>2016 to January 2019)</w:t>
      </w:r>
    </w:p>
    <w:p>
      <w:pPr>
        <w:ind w:left="220" w:hanging="212"/>
        <w:spacing w:after="0"/>
        <w:tabs>
          <w:tab w:leader="none" w:pos="220"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Stage Stores</w:t>
      </w:r>
      <w:r>
        <w:rPr>
          <w:rFonts w:ascii="Arial" w:cs="Arial" w:eastAsia="Arial" w:hAnsi="Arial"/>
          <w:sz w:val="13"/>
          <w:szCs w:val="13"/>
          <w:color w:val="auto"/>
        </w:rPr>
        <w:t>: Chief Merchandising Officer (May 2012 - September 2016)</w:t>
      </w:r>
    </w:p>
    <w:p>
      <w:pPr>
        <w:spacing w:after="0" w:line="49" w:lineRule="exact"/>
        <w:rPr>
          <w:rFonts w:ascii="Arial" w:cs="Arial" w:eastAsia="Arial" w:hAnsi="Arial"/>
          <w:sz w:val="13"/>
          <w:szCs w:val="13"/>
          <w:color w:val="auto"/>
        </w:rPr>
      </w:pPr>
    </w:p>
    <w:p>
      <w:pPr>
        <w:ind w:left="220" w:hanging="212"/>
        <w:spacing w:after="0"/>
        <w:tabs>
          <w:tab w:leader="none" w:pos="220"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J.C. Penney</w:t>
      </w:r>
      <w:r>
        <w:rPr>
          <w:rFonts w:ascii="Arial" w:cs="Arial" w:eastAsia="Arial" w:hAnsi="Arial"/>
          <w:sz w:val="13"/>
          <w:szCs w:val="13"/>
          <w:color w:val="auto"/>
        </w:rPr>
        <w:t>: Various merchandising leadership roles (12 years)</w:t>
      </w:r>
    </w:p>
    <w:p>
      <w:pPr>
        <w:spacing w:after="0" w:line="36" w:lineRule="exact"/>
        <w:rPr>
          <w:rFonts w:ascii="Arial" w:cs="Arial" w:eastAsia="Arial" w:hAnsi="Arial"/>
          <w:sz w:val="13"/>
          <w:szCs w:val="13"/>
          <w:color w:val="auto"/>
        </w:rPr>
      </w:pPr>
    </w:p>
    <w:p>
      <w:pPr>
        <w:ind w:left="220" w:hanging="212"/>
        <w:spacing w:after="0"/>
        <w:tabs>
          <w:tab w:leader="none" w:pos="220"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Foley’s/May Co.</w:t>
      </w:r>
      <w:r>
        <w:rPr>
          <w:rFonts w:ascii="Arial" w:cs="Arial" w:eastAsia="Arial" w:hAnsi="Arial"/>
          <w:sz w:val="13"/>
          <w:szCs w:val="13"/>
          <w:color w:val="auto"/>
        </w:rPr>
        <w:t>: Various merchandising roles (10 years)</w:t>
      </w:r>
    </w:p>
    <w:p>
      <w:pPr>
        <w:spacing w:after="0" w:line="49" w:lineRule="exact"/>
        <w:rPr>
          <w:rFonts w:ascii="Arial" w:cs="Arial" w:eastAsia="Arial" w:hAnsi="Arial"/>
          <w:sz w:val="13"/>
          <w:szCs w:val="13"/>
          <w:color w:val="auto"/>
        </w:rPr>
      </w:pPr>
    </w:p>
    <w:p>
      <w:pPr>
        <w:ind w:left="200" w:hanging="192"/>
        <w:spacing w:after="0"/>
        <w:tabs>
          <w:tab w:leader="none" w:pos="200"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Bachelor of Business Administration in Finance</w:t>
      </w:r>
      <w:r>
        <w:rPr>
          <w:rFonts w:ascii="Arial" w:cs="Arial" w:eastAsia="Arial" w:hAnsi="Arial"/>
          <w:sz w:val="13"/>
          <w:szCs w:val="13"/>
          <w:color w:val="auto"/>
        </w:rPr>
        <w:t>: University of Notre Dame</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68" w:lineRule="exact"/>
        <w:rPr>
          <w:sz w:val="20"/>
          <w:szCs w:val="20"/>
          <w:color w:val="auto"/>
        </w:rPr>
      </w:pPr>
    </w:p>
    <w:p>
      <w:pPr>
        <w:ind w:right="399"/>
        <w:spacing w:after="0" w:line="263" w:lineRule="auto"/>
        <w:rPr>
          <w:sz w:val="20"/>
          <w:szCs w:val="20"/>
          <w:color w:val="auto"/>
        </w:rPr>
      </w:pPr>
      <w:r>
        <w:rPr>
          <w:rFonts w:ascii="Arial" w:cs="Arial" w:eastAsia="Arial" w:hAnsi="Arial"/>
          <w:sz w:val="13"/>
          <w:szCs w:val="13"/>
          <w:color w:val="auto"/>
        </w:rPr>
        <w:t>Mr. Lawrence has over 35 years of retail business and leadership experience, including six years at Academy in senior leadership roles, with expertise in strategic planning, retail buying, merchandising, planning &amp; allocation (MP&amp;A), private brand, marketing &amp; advertising, and customer loyalty, which the Board values as we drive growth through new store openings, omnichannel expansion, connecting with our customers, increasing the productivity of existing stores and distribution centers, and building the best team in retail.</w:t>
      </w:r>
    </w:p>
    <w:p>
      <w:pPr>
        <w:spacing w:after="0" w:line="98" w:lineRule="exact"/>
        <w:rPr>
          <w:sz w:val="20"/>
          <w:szCs w:val="20"/>
          <w:color w:val="auto"/>
        </w:rPr>
      </w:pPr>
    </w:p>
    <w:p>
      <w:pPr>
        <w:ind w:right="419"/>
        <w:spacing w:after="0" w:line="266" w:lineRule="auto"/>
        <w:rPr>
          <w:sz w:val="20"/>
          <w:szCs w:val="20"/>
          <w:color w:val="auto"/>
        </w:rPr>
      </w:pPr>
      <w:r>
        <w:rPr>
          <w:rFonts w:ascii="Arial" w:cs="Arial" w:eastAsia="Arial" w:hAnsi="Arial"/>
          <w:sz w:val="13"/>
          <w:szCs w:val="13"/>
          <w:b w:val="1"/>
          <w:bCs w:val="1"/>
          <w:color w:val="auto"/>
        </w:rPr>
        <w:t>The Board selected Mr. Lawrence to serve as a director based on his board, executive leadership, and management experience related to the retail industry, which includes strategic planning, merchandising, sourcing/manufacturing, marketing, digital/eCommerce, customer loyalty, governance, accounting/finance, real estate &amp; construction, supply chain/logistics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989330</wp:posOffset>
            </wp:positionV>
            <wp:extent cx="7168515" cy="4127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3420" w:space="360"/>
            <w:col w:w="6359"/>
          </w:cols>
          <w:pgMar w:left="320" w:top="157" w:right="1440"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1228725</wp:posOffset>
            </wp:positionH>
            <wp:positionV relativeFrom="page">
              <wp:posOffset>1083310</wp:posOffset>
            </wp:positionV>
            <wp:extent cx="1081405" cy="110490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clrChange>
                        <a:clrFrom>
                          <a:srgbClr val="FFFFFF"/>
                        </a:clrFrom>
                        <a:clrTo>
                          <a:srgbClr val="FFFFFF">
                            <a:alpha val="0"/>
                          </a:srgbClr>
                        </a:clrTo>
                      </a:clrChange>
                      <a:extLst>
                        <a:ext uri="{28A0092B-C50C-407E-A947-70E740481C1C}"/>
                      </a:extLst>
                    </a:blip>
                    <a:srcRect/>
                    <a:stretch>
                      <a:fillRect/>
                    </a:stretch>
                  </pic:blipFill>
                  <pic:spPr bwMode="auto">
                    <a:xfrm>
                      <a:off x="0" y="0"/>
                      <a:ext cx="1081405"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127000</wp:posOffset>
            </wp:positionV>
            <wp:extent cx="1286510" cy="762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221615</wp:posOffset>
            </wp:positionV>
            <wp:extent cx="189230" cy="18923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Accounting/Finance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139065</wp:posOffset>
            </wp:positionV>
            <wp:extent cx="189230" cy="18161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139065</wp:posOffset>
            </wp:positionV>
            <wp:extent cx="189230" cy="18923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03"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Process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139065</wp:posOffset>
            </wp:positionV>
            <wp:extent cx="189230" cy="18923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139065</wp:posOffset>
            </wp:positionV>
            <wp:extent cx="189230" cy="18923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03"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Customer Loyalty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Brian T. Marley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238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June 2020</w:t>
            </w:r>
          </w:p>
        </w:tc>
        <w:tc>
          <w:tcPr>
            <w:tcW w:w="2040" w:type="dxa"/>
            <w:vAlign w:val="bottom"/>
            <w:tcBorders>
              <w:right w:val="single" w:sz="8" w:color="B6B6B6"/>
            </w:tcBorders>
          </w:tcPr>
          <w:p>
            <w:pPr>
              <w:ind w:left="50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67</w:t>
            </w:r>
          </w:p>
        </w:tc>
      </w:tr>
      <w:tr>
        <w:trPr>
          <w:trHeight w:val="26"/>
        </w:trPr>
        <w:tc>
          <w:tcPr>
            <w:tcW w:w="238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81" w:lineRule="exact"/>
        <w:rPr>
          <w:sz w:val="20"/>
          <w:szCs w:val="20"/>
          <w:color w:val="auto"/>
        </w:rPr>
      </w:pPr>
    </w:p>
    <w:p>
      <w:pPr>
        <w:ind w:left="200" w:hanging="196"/>
        <w:spacing w:after="0"/>
        <w:tabs>
          <w:tab w:leader="none" w:pos="2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Audit (Chair) since June 2020</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81" w:lineRule="exact"/>
        <w:rPr>
          <w:sz w:val="20"/>
          <w:szCs w:val="20"/>
          <w:color w:val="auto"/>
        </w:rPr>
      </w:pPr>
    </w:p>
    <w:p>
      <w:pPr>
        <w:ind w:left="220" w:right="1860" w:hanging="216"/>
        <w:spacing w:after="0" w:line="278" w:lineRule="auto"/>
        <w:tabs>
          <w:tab w:leader="none" w:pos="192"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Academy Sports + Outdoors</w:t>
      </w:r>
      <w:r>
        <w:rPr>
          <w:rFonts w:ascii="Arial" w:cs="Arial" w:eastAsia="Arial" w:hAnsi="Arial"/>
          <w:sz w:val="13"/>
          <w:szCs w:val="13"/>
          <w:color w:val="auto"/>
        </w:rPr>
        <w:t>: Board of Managers of New Academy Holding Company, LLC</w:t>
      </w:r>
      <w:r>
        <w:rPr>
          <w:rFonts w:ascii="Arial" w:cs="Arial" w:eastAsia="Arial" w:hAnsi="Arial"/>
          <w:sz w:val="13"/>
          <w:szCs w:val="13"/>
          <w:b w:val="1"/>
          <w:bCs w:val="1"/>
          <w:color w:val="auto"/>
        </w:rPr>
        <w:t xml:space="preserve"> </w:t>
      </w:r>
      <w:r>
        <w:rPr>
          <w:rFonts w:ascii="Arial" w:cs="Arial" w:eastAsia="Arial" w:hAnsi="Arial"/>
          <w:sz w:val="13"/>
          <w:szCs w:val="13"/>
          <w:color w:val="auto"/>
        </w:rPr>
        <w:t>(January 2018 to June 2020)</w:t>
      </w:r>
    </w:p>
    <w:p>
      <w:pPr>
        <w:spacing w:after="0" w:line="1" w:lineRule="exact"/>
        <w:rPr>
          <w:rFonts w:ascii="Arial" w:cs="Arial" w:eastAsia="Arial" w:hAnsi="Arial"/>
          <w:sz w:val="13"/>
          <w:szCs w:val="13"/>
          <w:color w:val="auto"/>
        </w:rPr>
      </w:pPr>
    </w:p>
    <w:p>
      <w:pPr>
        <w:ind w:left="220" w:hanging="216"/>
        <w:spacing w:after="0"/>
        <w:tabs>
          <w:tab w:leader="none" w:pos="220"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Marley Associates LLC</w:t>
      </w:r>
      <w:r>
        <w:rPr>
          <w:rFonts w:ascii="Arial" w:cs="Arial" w:eastAsia="Arial" w:hAnsi="Arial"/>
          <w:sz w:val="13"/>
          <w:szCs w:val="13"/>
          <w:color w:val="auto"/>
        </w:rPr>
        <w:t>: Founder &amp; Managing Partner (2014 - present)</w:t>
      </w:r>
    </w:p>
    <w:p>
      <w:pPr>
        <w:spacing w:after="0" w:line="36" w:lineRule="exact"/>
        <w:rPr>
          <w:rFonts w:ascii="Arial" w:cs="Arial" w:eastAsia="Arial" w:hAnsi="Arial"/>
          <w:sz w:val="13"/>
          <w:szCs w:val="13"/>
          <w:color w:val="auto"/>
        </w:rPr>
      </w:pPr>
    </w:p>
    <w:p>
      <w:pPr>
        <w:ind w:left="220" w:right="1980" w:hanging="216"/>
        <w:spacing w:after="0" w:line="289" w:lineRule="auto"/>
        <w:tabs>
          <w:tab w:leader="none" w:pos="216"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Kohlberg, Kravis, Roberts &amp; Co.</w:t>
      </w:r>
      <w:r>
        <w:rPr>
          <w:rFonts w:ascii="Arial" w:cs="Arial" w:eastAsia="Arial" w:hAnsi="Arial"/>
          <w:sz w:val="13"/>
          <w:szCs w:val="13"/>
          <w:color w:val="auto"/>
        </w:rPr>
        <w:t>: Consumer and Retail Industry Advisor (January 2023 -</w:t>
      </w:r>
      <w:r>
        <w:rPr>
          <w:rFonts w:ascii="Arial" w:cs="Arial" w:eastAsia="Arial" w:hAnsi="Arial"/>
          <w:sz w:val="13"/>
          <w:szCs w:val="13"/>
          <w:b w:val="1"/>
          <w:bCs w:val="1"/>
          <w:color w:val="auto"/>
        </w:rPr>
        <w:t xml:space="preserve"> </w:t>
      </w:r>
      <w:r>
        <w:rPr>
          <w:rFonts w:ascii="Arial" w:cs="Arial" w:eastAsia="Arial" w:hAnsi="Arial"/>
          <w:sz w:val="13"/>
          <w:szCs w:val="13"/>
          <w:color w:val="auto"/>
        </w:rPr>
        <w:t>present)</w:t>
      </w:r>
    </w:p>
    <w:p>
      <w:pPr>
        <w:ind w:left="220" w:hanging="216"/>
        <w:spacing w:after="0"/>
        <w:tabs>
          <w:tab w:leader="none" w:pos="220"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Belk</w:t>
      </w:r>
      <w:r>
        <w:rPr>
          <w:rFonts w:ascii="Arial" w:cs="Arial" w:eastAsia="Arial" w:hAnsi="Arial"/>
          <w:sz w:val="13"/>
          <w:szCs w:val="13"/>
          <w:color w:val="auto"/>
        </w:rPr>
        <w:t>: Executive Vice President and Chief Financial Officer (2000 to 2013)</w:t>
      </w:r>
    </w:p>
    <w:p>
      <w:pPr>
        <w:spacing w:after="0" w:line="36" w:lineRule="exact"/>
        <w:rPr>
          <w:rFonts w:ascii="Arial" w:cs="Arial" w:eastAsia="Arial" w:hAnsi="Arial"/>
          <w:sz w:val="13"/>
          <w:szCs w:val="13"/>
          <w:color w:val="auto"/>
        </w:rPr>
      </w:pPr>
    </w:p>
    <w:p>
      <w:pPr>
        <w:ind w:left="220" w:hanging="216"/>
        <w:spacing w:after="0"/>
        <w:tabs>
          <w:tab w:leader="none" w:pos="220"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Belk National Bank</w:t>
      </w:r>
      <w:r>
        <w:rPr>
          <w:rFonts w:ascii="Arial" w:cs="Arial" w:eastAsia="Arial" w:hAnsi="Arial"/>
          <w:sz w:val="13"/>
          <w:szCs w:val="13"/>
          <w:color w:val="auto"/>
        </w:rPr>
        <w:t>: Chairman (2000 to 2006)</w:t>
      </w:r>
    </w:p>
    <w:p>
      <w:pPr>
        <w:spacing w:after="0" w:line="49" w:lineRule="exact"/>
        <w:rPr>
          <w:rFonts w:ascii="Arial" w:cs="Arial" w:eastAsia="Arial" w:hAnsi="Arial"/>
          <w:sz w:val="13"/>
          <w:szCs w:val="13"/>
          <w:color w:val="auto"/>
        </w:rPr>
      </w:pPr>
    </w:p>
    <w:p>
      <w:pPr>
        <w:ind w:left="220" w:hanging="216"/>
        <w:spacing w:after="0"/>
        <w:tabs>
          <w:tab w:leader="none" w:pos="220"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KPMG</w:t>
      </w:r>
      <w:r>
        <w:rPr>
          <w:rFonts w:ascii="Arial" w:cs="Arial" w:eastAsia="Arial" w:hAnsi="Arial"/>
          <w:sz w:val="13"/>
          <w:szCs w:val="13"/>
          <w:color w:val="auto"/>
        </w:rPr>
        <w:t>: Audit and assurance partner - Retail and Consumer Industry practice (20 years)</w:t>
      </w:r>
    </w:p>
    <w:p>
      <w:pPr>
        <w:spacing w:after="0" w:line="36" w:lineRule="exact"/>
        <w:rPr>
          <w:rFonts w:ascii="Arial" w:cs="Arial" w:eastAsia="Arial" w:hAnsi="Arial"/>
          <w:sz w:val="13"/>
          <w:szCs w:val="13"/>
          <w:color w:val="auto"/>
        </w:rPr>
      </w:pPr>
    </w:p>
    <w:p>
      <w:pPr>
        <w:ind w:left="200" w:hanging="196"/>
        <w:spacing w:after="0"/>
        <w:tabs>
          <w:tab w:leader="none" w:pos="200"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Bachelor of Science in Business Administration</w:t>
      </w:r>
      <w:r>
        <w:rPr>
          <w:rFonts w:ascii="Arial" w:cs="Arial" w:eastAsia="Arial" w:hAnsi="Arial"/>
          <w:sz w:val="13"/>
          <w:szCs w:val="13"/>
          <w:color w:val="auto"/>
        </w:rPr>
        <w:t>: University of North Carolina at Chapel Hill</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68" w:lineRule="exact"/>
        <w:rPr>
          <w:sz w:val="20"/>
          <w:szCs w:val="20"/>
          <w:color w:val="auto"/>
        </w:rPr>
      </w:pPr>
    </w:p>
    <w:p>
      <w:pPr>
        <w:ind w:right="1540"/>
        <w:spacing w:after="0" w:line="287" w:lineRule="auto"/>
        <w:rPr>
          <w:sz w:val="20"/>
          <w:szCs w:val="20"/>
          <w:color w:val="auto"/>
        </w:rPr>
      </w:pPr>
      <w:r>
        <w:rPr>
          <w:rFonts w:ascii="Arial" w:cs="Arial" w:eastAsia="Arial" w:hAnsi="Arial"/>
          <w:sz w:val="13"/>
          <w:szCs w:val="13"/>
          <w:color w:val="auto"/>
        </w:rPr>
        <w:t>Mr. Marley has over 20 years of retail experience with both public and privately held companies in the department store and other retail industries, as well as 20 years of experience in public accounting, including extensive executive leadership, financial/accounting, and business consulting experience, which the Board values as we drive growth through new store openings, omnichannel expansion, connecting with our customers, increasing the productivity of our assets, and managing our capital allocation.</w:t>
      </w:r>
    </w:p>
    <w:p>
      <w:pPr>
        <w:spacing w:after="0" w:line="96" w:lineRule="exact"/>
        <w:rPr>
          <w:sz w:val="20"/>
          <w:szCs w:val="20"/>
          <w:color w:val="auto"/>
        </w:rPr>
      </w:pPr>
    </w:p>
    <w:p>
      <w:pPr>
        <w:jc w:val="both"/>
        <w:ind w:right="1980"/>
        <w:spacing w:after="0" w:line="275" w:lineRule="auto"/>
        <w:rPr>
          <w:sz w:val="20"/>
          <w:szCs w:val="20"/>
          <w:color w:val="auto"/>
        </w:rPr>
      </w:pPr>
      <w:r>
        <w:rPr>
          <w:rFonts w:ascii="Arial" w:cs="Arial" w:eastAsia="Arial" w:hAnsi="Arial"/>
          <w:sz w:val="13"/>
          <w:szCs w:val="13"/>
          <w:b w:val="1"/>
          <w:bCs w:val="1"/>
          <w:color w:val="auto"/>
        </w:rPr>
        <w:t>The Board selected Mr. Marley to serve as a director based on his executive leadership experience related to the retail industry, including extensive accounting/financial skills, strategic planning, process improvement, corporate governance, customer loyalty, risk management, and marketing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977900</wp:posOffset>
            </wp:positionV>
            <wp:extent cx="7168515" cy="4127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682625</wp:posOffset>
            </wp:positionV>
            <wp:extent cx="789305" cy="18923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220" w:space="420"/>
            <w:col w:w="7480"/>
          </w:cols>
          <w:pgMar w:left="1440" w:top="132"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007EC4"/>
        </w:rPr>
        <w:t xml:space="preserve">22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ectPr>
          <w:pgSz w:w="11900" w:h="16838" w:orient="portrait"/>
          <w:cols w:equalWidth="0" w:num="1">
            <w:col w:w="10139"/>
          </w:cols>
          <w:pgMar w:left="320" w:top="1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126365</wp:posOffset>
            </wp:positionV>
            <wp:extent cx="1286510" cy="762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-1388110</wp:posOffset>
            </wp:positionV>
            <wp:extent cx="1081405" cy="110490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081405" cy="1104900"/>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213360</wp:posOffset>
            </wp:positionV>
            <wp:extent cx="189230" cy="18161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123190</wp:posOffset>
            </wp:positionV>
            <wp:extent cx="189230" cy="18923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78"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123190</wp:posOffset>
            </wp:positionV>
            <wp:extent cx="189230" cy="18923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03" w:lineRule="exact"/>
        <w:rPr>
          <w:sz w:val="20"/>
          <w:szCs w:val="20"/>
          <w:color w:val="auto"/>
        </w:rPr>
      </w:pPr>
    </w:p>
    <w:p>
      <w:pPr>
        <w:ind w:left="1900" w:right="40"/>
        <w:spacing w:after="0" w:line="308" w:lineRule="auto"/>
        <w:rPr>
          <w:sz w:val="20"/>
          <w:szCs w:val="20"/>
          <w:color w:val="auto"/>
        </w:rPr>
      </w:pPr>
      <w:r>
        <w:rPr>
          <w:rFonts w:ascii="Arial" w:cs="Arial" w:eastAsia="Arial" w:hAnsi="Arial"/>
          <w:sz w:val="13"/>
          <w:szCs w:val="13"/>
          <w:b w:val="1"/>
          <w:bCs w:val="1"/>
          <w:color w:val="007EC4"/>
        </w:rPr>
        <w:t>Cybersecurity &amp; 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21590</wp:posOffset>
            </wp:positionV>
            <wp:extent cx="189230" cy="18923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Process Improvement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Tom M. Nealon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 Independent Director (or “Lead Director”)</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242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March 2021</w:t>
            </w:r>
          </w:p>
        </w:tc>
        <w:tc>
          <w:tcPr>
            <w:tcW w:w="2040" w:type="dxa"/>
            <w:vAlign w:val="bottom"/>
            <w:tcBorders>
              <w:right w:val="single" w:sz="8" w:color="B6B6B6"/>
            </w:tcBorders>
          </w:tcPr>
          <w:p>
            <w:pPr>
              <w:ind w:left="50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64</w:t>
            </w:r>
          </w:p>
        </w:tc>
      </w:tr>
      <w:tr>
        <w:trPr>
          <w:trHeight w:val="26"/>
        </w:trPr>
        <w:tc>
          <w:tcPr>
            <w:tcW w:w="242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Board Leadership; Committee Memberships</w:t>
      </w:r>
    </w:p>
    <w:p>
      <w:pPr>
        <w:spacing w:after="0" w:line="81" w:lineRule="exact"/>
        <w:rPr>
          <w:sz w:val="20"/>
          <w:szCs w:val="20"/>
          <w:color w:val="auto"/>
        </w:rPr>
      </w:pPr>
    </w:p>
    <w:p>
      <w:pPr>
        <w:ind w:left="200" w:hanging="196"/>
        <w:spacing w:after="0"/>
        <w:tabs>
          <w:tab w:leader="none" w:pos="2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Lead Director since December 2021</w:t>
      </w:r>
    </w:p>
    <w:p>
      <w:pPr>
        <w:spacing w:after="0" w:line="49" w:lineRule="exact"/>
        <w:rPr>
          <w:rFonts w:ascii="Arial" w:cs="Arial" w:eastAsia="Arial" w:hAnsi="Arial"/>
          <w:sz w:val="13"/>
          <w:szCs w:val="13"/>
          <w:color w:val="auto"/>
        </w:rPr>
      </w:pPr>
    </w:p>
    <w:p>
      <w:pPr>
        <w:ind w:left="200" w:hanging="196"/>
        <w:spacing w:after="0"/>
        <w:tabs>
          <w:tab w:leader="none" w:pos="2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Audit since May 2023</w:t>
      </w:r>
    </w:p>
    <w:p>
      <w:pPr>
        <w:spacing w:after="0" w:line="61" w:lineRule="exact"/>
        <w:rPr>
          <w:rFonts w:ascii="Arial" w:cs="Arial" w:eastAsia="Arial" w:hAnsi="Arial"/>
          <w:sz w:val="13"/>
          <w:szCs w:val="13"/>
          <w:color w:val="auto"/>
        </w:rPr>
      </w:pPr>
    </w:p>
    <w:p>
      <w:pPr>
        <w:ind w:left="200" w:hanging="196"/>
        <w:spacing w:after="0"/>
        <w:tabs>
          <w:tab w:leader="none" w:pos="2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Compensation since March 2021</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56" w:lineRule="exact"/>
        <w:rPr>
          <w:sz w:val="20"/>
          <w:szCs w:val="20"/>
          <w:color w:val="auto"/>
        </w:rPr>
      </w:pPr>
    </w:p>
    <w:p>
      <w:pPr>
        <w:ind w:left="200" w:hanging="196"/>
        <w:spacing w:after="0"/>
        <w:tabs>
          <w:tab w:leader="none" w:pos="200" w:val="left"/>
        </w:tabs>
        <w:numPr>
          <w:ilvl w:val="0"/>
          <w:numId w:val="33"/>
        </w:numPr>
        <w:rPr>
          <w:rFonts w:ascii="Arial" w:cs="Arial" w:eastAsia="Arial" w:hAnsi="Arial"/>
          <w:sz w:val="13"/>
          <w:szCs w:val="13"/>
          <w:color w:val="auto"/>
        </w:rPr>
      </w:pPr>
      <w:r>
        <w:rPr>
          <w:rFonts w:ascii="Arial" w:cs="Arial" w:eastAsia="Arial" w:hAnsi="Arial"/>
          <w:sz w:val="13"/>
          <w:szCs w:val="13"/>
          <w:b w:val="1"/>
          <w:bCs w:val="1"/>
          <w:color w:val="auto"/>
        </w:rPr>
        <w:t>Southwest Airlines</w:t>
      </w:r>
      <w:r>
        <w:rPr>
          <w:rFonts w:ascii="Arial" w:cs="Arial" w:eastAsia="Arial" w:hAnsi="Arial"/>
          <w:sz w:val="13"/>
          <w:szCs w:val="13"/>
          <w:color w:val="auto"/>
        </w:rPr>
        <w:t>: December 2010 - November 2015 (Board of Directors)</w:t>
      </w:r>
    </w:p>
    <w:p>
      <w:pPr>
        <w:spacing w:after="0" w:line="61" w:lineRule="exact"/>
        <w:rPr>
          <w:rFonts w:ascii="Arial" w:cs="Arial" w:eastAsia="Arial" w:hAnsi="Arial"/>
          <w:sz w:val="13"/>
          <w:szCs w:val="13"/>
          <w:color w:val="auto"/>
        </w:rPr>
      </w:pPr>
    </w:p>
    <w:p>
      <w:pPr>
        <w:ind w:left="200" w:hanging="196"/>
        <w:spacing w:after="0"/>
        <w:tabs>
          <w:tab w:leader="none" w:pos="200" w:val="left"/>
        </w:tabs>
        <w:numPr>
          <w:ilvl w:val="0"/>
          <w:numId w:val="33"/>
        </w:numPr>
        <w:rPr>
          <w:rFonts w:ascii="Arial" w:cs="Arial" w:eastAsia="Arial" w:hAnsi="Arial"/>
          <w:sz w:val="13"/>
          <w:szCs w:val="13"/>
          <w:color w:val="auto"/>
        </w:rPr>
      </w:pPr>
      <w:r>
        <w:rPr>
          <w:rFonts w:ascii="Arial" w:cs="Arial" w:eastAsia="Arial" w:hAnsi="Arial"/>
          <w:sz w:val="13"/>
          <w:szCs w:val="13"/>
          <w:b w:val="1"/>
          <w:bCs w:val="1"/>
          <w:color w:val="auto"/>
        </w:rPr>
        <w:t>Fossil Group</w:t>
      </w:r>
      <w:r>
        <w:rPr>
          <w:rFonts w:ascii="Arial" w:cs="Arial" w:eastAsia="Arial" w:hAnsi="Arial"/>
          <w:sz w:val="13"/>
          <w:szCs w:val="13"/>
          <w:color w:val="auto"/>
        </w:rPr>
        <w:t>: April 2012 - May 2020 (Audit Committee)</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68" w:lineRule="exact"/>
        <w:rPr>
          <w:sz w:val="20"/>
          <w:szCs w:val="20"/>
          <w:color w:val="auto"/>
        </w:rPr>
      </w:pPr>
    </w:p>
    <w:p>
      <w:pPr>
        <w:ind w:left="200" w:hanging="196"/>
        <w:spacing w:after="0"/>
        <w:tabs>
          <w:tab w:leader="none" w:pos="200" w:val="left"/>
        </w:tabs>
        <w:numPr>
          <w:ilvl w:val="0"/>
          <w:numId w:val="34"/>
        </w:numPr>
        <w:rPr>
          <w:rFonts w:ascii="Arial" w:cs="Arial" w:eastAsia="Arial" w:hAnsi="Arial"/>
          <w:sz w:val="13"/>
          <w:szCs w:val="13"/>
          <w:color w:val="auto"/>
        </w:rPr>
      </w:pPr>
      <w:r>
        <w:rPr>
          <w:rFonts w:ascii="Arial" w:cs="Arial" w:eastAsia="Arial" w:hAnsi="Arial"/>
          <w:sz w:val="13"/>
          <w:szCs w:val="13"/>
          <w:b w:val="1"/>
          <w:bCs w:val="1"/>
          <w:color w:val="auto"/>
        </w:rPr>
        <w:t>SAFFIRE Renewables</w:t>
      </w:r>
      <w:r>
        <w:rPr>
          <w:rFonts w:ascii="Arial" w:cs="Arial" w:eastAsia="Arial" w:hAnsi="Arial"/>
          <w:sz w:val="13"/>
          <w:szCs w:val="13"/>
          <w:color w:val="auto"/>
        </w:rPr>
        <w:t>: Chief Executive Officer (September 2022 - present)</w:t>
      </w:r>
    </w:p>
    <w:p>
      <w:pPr>
        <w:spacing w:after="0" w:line="36" w:lineRule="exact"/>
        <w:rPr>
          <w:rFonts w:ascii="Arial" w:cs="Arial" w:eastAsia="Arial" w:hAnsi="Arial"/>
          <w:sz w:val="13"/>
          <w:szCs w:val="13"/>
          <w:color w:val="auto"/>
        </w:rPr>
      </w:pPr>
    </w:p>
    <w:p>
      <w:pPr>
        <w:ind w:left="220" w:right="379" w:hanging="216"/>
        <w:spacing w:after="0" w:line="279" w:lineRule="auto"/>
        <w:tabs>
          <w:tab w:leader="none" w:pos="216" w:val="left"/>
        </w:tabs>
        <w:numPr>
          <w:ilvl w:val="0"/>
          <w:numId w:val="34"/>
        </w:numPr>
        <w:rPr>
          <w:rFonts w:ascii="Arial" w:cs="Arial" w:eastAsia="Arial" w:hAnsi="Arial"/>
          <w:sz w:val="13"/>
          <w:szCs w:val="13"/>
          <w:color w:val="auto"/>
        </w:rPr>
      </w:pPr>
      <w:r>
        <w:rPr>
          <w:rFonts w:ascii="Arial" w:cs="Arial" w:eastAsia="Arial" w:hAnsi="Arial"/>
          <w:sz w:val="13"/>
          <w:szCs w:val="13"/>
          <w:b w:val="1"/>
          <w:bCs w:val="1"/>
          <w:color w:val="auto"/>
        </w:rPr>
        <w:t>Southwest Airlines</w:t>
      </w:r>
      <w:r>
        <w:rPr>
          <w:rFonts w:ascii="Arial" w:cs="Arial" w:eastAsia="Arial" w:hAnsi="Arial"/>
          <w:sz w:val="13"/>
          <w:szCs w:val="13"/>
          <w:color w:val="auto"/>
        </w:rPr>
        <w:t>: Senior Advisor (September 2021 - present), President (January 2017 -</w:t>
      </w:r>
      <w:r>
        <w:rPr>
          <w:rFonts w:ascii="Arial" w:cs="Arial" w:eastAsia="Arial" w:hAnsi="Arial"/>
          <w:sz w:val="13"/>
          <w:szCs w:val="13"/>
          <w:b w:val="1"/>
          <w:bCs w:val="1"/>
          <w:color w:val="auto"/>
        </w:rPr>
        <w:t xml:space="preserve"> </w:t>
      </w:r>
      <w:r>
        <w:rPr>
          <w:rFonts w:ascii="Arial" w:cs="Arial" w:eastAsia="Arial" w:hAnsi="Arial"/>
          <w:sz w:val="13"/>
          <w:szCs w:val="13"/>
          <w:color w:val="auto"/>
        </w:rPr>
        <w:t>September 2021); Executive Vice President Strategy &amp; Innovation (January 2016 to January 2017)</w:t>
      </w:r>
    </w:p>
    <w:p>
      <w:pPr>
        <w:ind w:left="220" w:hanging="216"/>
        <w:spacing w:after="0"/>
        <w:tabs>
          <w:tab w:leader="none" w:pos="220" w:val="left"/>
        </w:tabs>
        <w:numPr>
          <w:ilvl w:val="0"/>
          <w:numId w:val="34"/>
        </w:numPr>
        <w:rPr>
          <w:rFonts w:ascii="Arial" w:cs="Arial" w:eastAsia="Arial" w:hAnsi="Arial"/>
          <w:sz w:val="13"/>
          <w:szCs w:val="13"/>
          <w:color w:val="auto"/>
        </w:rPr>
      </w:pPr>
      <w:r>
        <w:rPr>
          <w:rFonts w:ascii="Arial" w:cs="Arial" w:eastAsia="Arial" w:hAnsi="Arial"/>
          <w:sz w:val="13"/>
          <w:szCs w:val="13"/>
          <w:b w:val="1"/>
          <w:bCs w:val="1"/>
          <w:color w:val="auto"/>
        </w:rPr>
        <w:t>J.C. Penney</w:t>
      </w:r>
      <w:r>
        <w:rPr>
          <w:rFonts w:ascii="Arial" w:cs="Arial" w:eastAsia="Arial" w:hAnsi="Arial"/>
          <w:sz w:val="13"/>
          <w:szCs w:val="13"/>
          <w:color w:val="auto"/>
        </w:rPr>
        <w:t>: Group Executive Vice President (August 2010 to December 2011)</w:t>
      </w:r>
    </w:p>
    <w:p>
      <w:pPr>
        <w:spacing w:after="0" w:line="49" w:lineRule="exact"/>
        <w:rPr>
          <w:rFonts w:ascii="Arial" w:cs="Arial" w:eastAsia="Arial" w:hAnsi="Arial"/>
          <w:sz w:val="13"/>
          <w:szCs w:val="13"/>
          <w:color w:val="auto"/>
        </w:rPr>
      </w:pPr>
    </w:p>
    <w:p>
      <w:pPr>
        <w:ind w:left="220" w:hanging="216"/>
        <w:spacing w:after="0"/>
        <w:tabs>
          <w:tab w:leader="none" w:pos="220" w:val="left"/>
        </w:tabs>
        <w:numPr>
          <w:ilvl w:val="0"/>
          <w:numId w:val="34"/>
        </w:numPr>
        <w:rPr>
          <w:rFonts w:ascii="Arial" w:cs="Arial" w:eastAsia="Arial" w:hAnsi="Arial"/>
          <w:sz w:val="13"/>
          <w:szCs w:val="13"/>
          <w:color w:val="auto"/>
        </w:rPr>
      </w:pPr>
      <w:r>
        <w:rPr>
          <w:rFonts w:ascii="Arial" w:cs="Arial" w:eastAsia="Arial" w:hAnsi="Arial"/>
          <w:sz w:val="13"/>
          <w:szCs w:val="13"/>
          <w:b w:val="1"/>
          <w:bCs w:val="1"/>
          <w:color w:val="auto"/>
        </w:rPr>
        <w:t>The Feld Group</w:t>
      </w:r>
      <w:r>
        <w:rPr>
          <w:rFonts w:ascii="Arial" w:cs="Arial" w:eastAsia="Arial" w:hAnsi="Arial"/>
          <w:sz w:val="13"/>
          <w:szCs w:val="13"/>
          <w:color w:val="auto"/>
        </w:rPr>
        <w:t>: Partner (6 years)</w:t>
      </w:r>
    </w:p>
    <w:p>
      <w:pPr>
        <w:spacing w:after="0" w:line="36" w:lineRule="exact"/>
        <w:rPr>
          <w:rFonts w:ascii="Arial" w:cs="Arial" w:eastAsia="Arial" w:hAnsi="Arial"/>
          <w:sz w:val="13"/>
          <w:szCs w:val="13"/>
          <w:color w:val="auto"/>
        </w:rPr>
      </w:pPr>
    </w:p>
    <w:p>
      <w:pPr>
        <w:ind w:left="220" w:hanging="216"/>
        <w:spacing w:after="0"/>
        <w:tabs>
          <w:tab w:leader="none" w:pos="220" w:val="left"/>
        </w:tabs>
        <w:numPr>
          <w:ilvl w:val="0"/>
          <w:numId w:val="34"/>
        </w:numPr>
        <w:rPr>
          <w:rFonts w:ascii="Arial" w:cs="Arial" w:eastAsia="Arial" w:hAnsi="Arial"/>
          <w:sz w:val="13"/>
          <w:szCs w:val="13"/>
          <w:color w:val="auto"/>
        </w:rPr>
      </w:pPr>
      <w:r>
        <w:rPr>
          <w:rFonts w:ascii="Arial" w:cs="Arial" w:eastAsia="Arial" w:hAnsi="Arial"/>
          <w:sz w:val="13"/>
          <w:szCs w:val="13"/>
          <w:b w:val="1"/>
          <w:bCs w:val="1"/>
          <w:color w:val="auto"/>
        </w:rPr>
        <w:t>Frito-Lay</w:t>
      </w:r>
      <w:r>
        <w:rPr>
          <w:rFonts w:ascii="Arial" w:cs="Arial" w:eastAsia="Arial" w:hAnsi="Arial"/>
          <w:sz w:val="13"/>
          <w:szCs w:val="13"/>
          <w:color w:val="auto"/>
        </w:rPr>
        <w:t>, a division of PepsiCo, Inc.: Senior positions and consulting roles (17 years)</w:t>
      </w:r>
    </w:p>
    <w:p>
      <w:pPr>
        <w:spacing w:after="0" w:line="24" w:lineRule="exact"/>
        <w:rPr>
          <w:rFonts w:ascii="Arial" w:cs="Arial" w:eastAsia="Arial" w:hAnsi="Arial"/>
          <w:sz w:val="13"/>
          <w:szCs w:val="13"/>
          <w:color w:val="auto"/>
        </w:rPr>
      </w:pPr>
    </w:p>
    <w:p>
      <w:pPr>
        <w:ind w:left="200" w:hanging="196"/>
        <w:spacing w:after="0"/>
        <w:tabs>
          <w:tab w:leader="none" w:pos="200" w:val="left"/>
        </w:tabs>
        <w:numPr>
          <w:ilvl w:val="0"/>
          <w:numId w:val="34"/>
        </w:numPr>
        <w:rPr>
          <w:rFonts w:ascii="Arial" w:cs="Arial" w:eastAsia="Arial" w:hAnsi="Arial"/>
          <w:sz w:val="13"/>
          <w:szCs w:val="13"/>
          <w:color w:val="auto"/>
        </w:rPr>
      </w:pPr>
      <w:r>
        <w:rPr>
          <w:rFonts w:ascii="Arial" w:cs="Arial" w:eastAsia="Arial" w:hAnsi="Arial"/>
          <w:sz w:val="13"/>
          <w:szCs w:val="13"/>
          <w:b w:val="1"/>
          <w:bCs w:val="1"/>
          <w:color w:val="auto"/>
        </w:rPr>
        <w:t>Bachelor of Science in Business Administration</w:t>
      </w:r>
      <w:r>
        <w:rPr>
          <w:rFonts w:ascii="Arial" w:cs="Arial" w:eastAsia="Arial" w:hAnsi="Arial"/>
          <w:sz w:val="13"/>
          <w:szCs w:val="13"/>
          <w:color w:val="auto"/>
        </w:rPr>
        <w:t>: Villanova University’s School of Business</w:t>
      </w:r>
    </w:p>
    <w:p>
      <w:pPr>
        <w:spacing w:after="0" w:line="37" w:lineRule="exact"/>
        <w:rPr>
          <w:rFonts w:ascii="Arial" w:cs="Arial" w:eastAsia="Arial" w:hAnsi="Arial"/>
          <w:sz w:val="13"/>
          <w:szCs w:val="13"/>
          <w:color w:val="auto"/>
        </w:rPr>
      </w:pPr>
    </w:p>
    <w:p>
      <w:pPr>
        <w:ind w:left="200" w:hanging="196"/>
        <w:spacing w:after="0"/>
        <w:tabs>
          <w:tab w:leader="none" w:pos="200" w:val="left"/>
        </w:tabs>
        <w:numPr>
          <w:ilvl w:val="0"/>
          <w:numId w:val="34"/>
        </w:numPr>
        <w:rPr>
          <w:rFonts w:ascii="Arial" w:cs="Arial" w:eastAsia="Arial" w:hAnsi="Arial"/>
          <w:sz w:val="13"/>
          <w:szCs w:val="13"/>
          <w:color w:val="auto"/>
        </w:rPr>
      </w:pPr>
      <w:r>
        <w:rPr>
          <w:rFonts w:ascii="Arial" w:cs="Arial" w:eastAsia="Arial" w:hAnsi="Arial"/>
          <w:sz w:val="13"/>
          <w:szCs w:val="13"/>
          <w:b w:val="1"/>
          <w:bCs w:val="1"/>
          <w:color w:val="auto"/>
        </w:rPr>
        <w:t>Master of Business</w:t>
      </w:r>
      <w:r>
        <w:rPr>
          <w:rFonts w:ascii="Arial" w:cs="Arial" w:eastAsia="Arial" w:hAnsi="Arial"/>
          <w:sz w:val="13"/>
          <w:szCs w:val="13"/>
          <w:color w:val="auto"/>
        </w:rPr>
        <w:t>: University of Dallas</w:t>
      </w:r>
    </w:p>
    <w:p>
      <w:pPr>
        <w:spacing w:after="0" w:line="82" w:lineRule="exact"/>
        <w:rPr>
          <w:sz w:val="20"/>
          <w:szCs w:val="20"/>
          <w:color w:val="auto"/>
        </w:rPr>
      </w:pPr>
    </w:p>
    <w:p>
      <w:pPr>
        <w:sectPr>
          <w:pgSz w:w="11900" w:h="16838" w:orient="portrait"/>
          <w:cols w:equalWidth="0" w:num="2">
            <w:col w:w="3280" w:space="480"/>
            <w:col w:w="6379"/>
          </w:cols>
          <w:pgMar w:left="320" w:top="157" w:right="1440" w:bottom="1440" w:gutter="0" w:footer="0" w:header="0"/>
          <w:type w:val="continuous"/>
        </w:sectPr>
      </w:pP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-160655</wp:posOffset>
            </wp:positionV>
            <wp:extent cx="189230" cy="18923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89230" cy="1892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1717675</wp:posOffset>
            </wp:positionV>
            <wp:extent cx="789305" cy="18923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right="359"/>
        <w:spacing w:after="0" w:line="292" w:lineRule="auto"/>
        <w:rPr>
          <w:sz w:val="20"/>
          <w:szCs w:val="20"/>
          <w:color w:val="auto"/>
        </w:rPr>
      </w:pPr>
      <w:r>
        <w:rPr>
          <w:rFonts w:ascii="Arial" w:cs="Arial" w:eastAsia="Arial" w:hAnsi="Arial"/>
          <w:sz w:val="13"/>
          <w:szCs w:val="13"/>
          <w:color w:val="auto"/>
        </w:rPr>
        <w:t>Mr. Nealon has over 20 years of executive management experience developed in the airline, retail and consumer packaged goods industries, including a robust background in retail, technology, eCommerce, marketing and customer service, which the Board values as we execute our omnichannel strategy, enhance our technology capabilities, and expand our substantial brand loyalty nationwide.</w:t>
      </w:r>
    </w:p>
    <w:p>
      <w:pPr>
        <w:spacing w:after="0" w:line="93" w:lineRule="exact"/>
        <w:rPr>
          <w:sz w:val="20"/>
          <w:szCs w:val="20"/>
          <w:color w:val="auto"/>
        </w:rPr>
      </w:pPr>
    </w:p>
    <w:p>
      <w:pPr>
        <w:ind w:right="459"/>
        <w:spacing w:after="0" w:line="271" w:lineRule="auto"/>
        <w:rPr>
          <w:sz w:val="20"/>
          <w:szCs w:val="20"/>
          <w:color w:val="auto"/>
        </w:rPr>
      </w:pPr>
      <w:r>
        <w:rPr>
          <w:rFonts w:ascii="Arial" w:cs="Arial" w:eastAsia="Arial" w:hAnsi="Arial"/>
          <w:sz w:val="13"/>
          <w:szCs w:val="13"/>
          <w:b w:val="1"/>
          <w:bCs w:val="1"/>
          <w:color w:val="auto"/>
        </w:rPr>
        <w:t>The Board selected Mr. Nealon to serve as a director based on his extensive board, executive leadership, management experience related to the retail and consumer industries, including strategic planning, technology, cybersecurity &amp; data privacy, process improvement, corporate governance, digital/eCommerce, marketing, merchandising, accounting/finance, supply chain/logistics, and human resources/talent.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979805</wp:posOffset>
            </wp:positionV>
            <wp:extent cx="7168515" cy="4127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3340" w:space="420"/>
            <w:col w:w="6379"/>
          </w:cols>
          <w:pgMar w:left="320" w:top="157" w:right="1440" w:bottom="1440" w:gutter="0" w:footer="0" w:header="0"/>
          <w:type w:val="continuous"/>
        </w:sectPr>
      </w:pPr>
    </w:p>
    <w:bookmarkStart w:id="28" w:name="page29"/>
    <w:bookmarkEnd w:id="28"/>
    <w:p>
      <w:pPr>
        <w:ind w:left="642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23</w:t>
      </w:r>
    </w:p>
    <w:p>
      <w:pPr>
        <w:sectPr>
          <w:pgSz w:w="11900" w:h="16838" w:orient="portrait"/>
          <w:cols w:equalWidth="0" w:num="1">
            <w:col w:w="10120"/>
          </w:cols>
          <w:pgMar w:left="144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119380</wp:posOffset>
            </wp:positionV>
            <wp:extent cx="1286510" cy="762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-1395730</wp:posOffset>
            </wp:positionV>
            <wp:extent cx="1081405" cy="110490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081405" cy="110490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190500</wp:posOffset>
            </wp:positionV>
            <wp:extent cx="189230" cy="18923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84"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Accounting/Finance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161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78"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923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123190</wp:posOffset>
            </wp:positionV>
            <wp:extent cx="189230" cy="18923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03" w:lineRule="exact"/>
        <w:rPr>
          <w:sz w:val="20"/>
          <w:szCs w:val="20"/>
          <w:color w:val="auto"/>
        </w:rPr>
      </w:pPr>
    </w:p>
    <w:p>
      <w:pPr>
        <w:ind w:left="780"/>
        <w:spacing w:after="0" w:line="308" w:lineRule="auto"/>
        <w:rPr>
          <w:sz w:val="20"/>
          <w:szCs w:val="20"/>
          <w:color w:val="auto"/>
        </w:rPr>
      </w:pPr>
      <w:r>
        <w:rPr>
          <w:rFonts w:ascii="Arial" w:cs="Arial" w:eastAsia="Arial" w:hAnsi="Arial"/>
          <w:sz w:val="13"/>
          <w:szCs w:val="13"/>
          <w:b w:val="1"/>
          <w:bCs w:val="1"/>
          <w:color w:val="007EC4"/>
        </w:rPr>
        <w:t>Cybersecurity &amp; 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29845</wp:posOffset>
            </wp:positionV>
            <wp:extent cx="189230" cy="18161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Store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Chris L. Turner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25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December 2021</w:t>
            </w:r>
          </w:p>
        </w:tc>
        <w:tc>
          <w:tcPr>
            <w:tcW w:w="2040" w:type="dxa"/>
            <w:vAlign w:val="bottom"/>
            <w:tcBorders>
              <w:right w:val="single" w:sz="8" w:color="B6B6B6"/>
            </w:tcBorders>
          </w:tcPr>
          <w:p>
            <w:pPr>
              <w:ind w:left="50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50</w:t>
            </w:r>
          </w:p>
        </w:tc>
      </w:tr>
      <w:tr>
        <w:trPr>
          <w:trHeight w:val="26"/>
        </w:trPr>
        <w:tc>
          <w:tcPr>
            <w:tcW w:w="25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81" w:lineRule="exact"/>
        <w:rPr>
          <w:sz w:val="20"/>
          <w:szCs w:val="20"/>
          <w:color w:val="auto"/>
        </w:rPr>
      </w:pPr>
    </w:p>
    <w:p>
      <w:pPr>
        <w:ind w:left="200" w:hanging="196"/>
        <w:spacing w:after="0"/>
        <w:tabs>
          <w:tab w:leader="none" w:pos="2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Audit since December 2021</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81" w:lineRule="exact"/>
        <w:rPr>
          <w:sz w:val="20"/>
          <w:szCs w:val="20"/>
          <w:color w:val="auto"/>
        </w:rPr>
      </w:pPr>
    </w:p>
    <w:p>
      <w:pPr>
        <w:ind w:left="200" w:hanging="196"/>
        <w:spacing w:after="0"/>
        <w:tabs>
          <w:tab w:leader="none" w:pos="200" w:val="left"/>
        </w:tabs>
        <w:numPr>
          <w:ilvl w:val="0"/>
          <w:numId w:val="36"/>
        </w:numPr>
        <w:rPr>
          <w:rFonts w:ascii="Arial" w:cs="Arial" w:eastAsia="Arial" w:hAnsi="Arial"/>
          <w:sz w:val="13"/>
          <w:szCs w:val="13"/>
          <w:color w:val="auto"/>
        </w:rPr>
      </w:pPr>
      <w:r>
        <w:rPr>
          <w:rFonts w:ascii="Arial" w:cs="Arial" w:eastAsia="Arial" w:hAnsi="Arial"/>
          <w:sz w:val="13"/>
          <w:szCs w:val="13"/>
          <w:b w:val="1"/>
          <w:bCs w:val="1"/>
          <w:color w:val="auto"/>
        </w:rPr>
        <w:t>Yum! Brands</w:t>
      </w:r>
      <w:r>
        <w:rPr>
          <w:rFonts w:ascii="Arial" w:cs="Arial" w:eastAsia="Arial" w:hAnsi="Arial"/>
          <w:sz w:val="13"/>
          <w:szCs w:val="13"/>
          <w:color w:val="auto"/>
        </w:rPr>
        <w:t>: Chief Financial &amp; Franchise Officer (August 2019 - present)</w:t>
      </w:r>
    </w:p>
    <w:p>
      <w:pPr>
        <w:spacing w:after="0" w:line="36" w:lineRule="exact"/>
        <w:rPr>
          <w:rFonts w:ascii="Arial" w:cs="Arial" w:eastAsia="Arial" w:hAnsi="Arial"/>
          <w:sz w:val="13"/>
          <w:szCs w:val="13"/>
          <w:color w:val="auto"/>
        </w:rPr>
      </w:pPr>
    </w:p>
    <w:p>
      <w:pPr>
        <w:jc w:val="both"/>
        <w:ind w:left="220" w:right="1480" w:hanging="216"/>
        <w:spacing w:after="0" w:line="272" w:lineRule="auto"/>
        <w:tabs>
          <w:tab w:leader="none" w:pos="216" w:val="left"/>
        </w:tabs>
        <w:numPr>
          <w:ilvl w:val="0"/>
          <w:numId w:val="36"/>
        </w:numPr>
        <w:rPr>
          <w:rFonts w:ascii="Arial" w:cs="Arial" w:eastAsia="Arial" w:hAnsi="Arial"/>
          <w:sz w:val="13"/>
          <w:szCs w:val="13"/>
          <w:color w:val="auto"/>
        </w:rPr>
      </w:pPr>
      <w:r>
        <w:rPr>
          <w:rFonts w:ascii="Arial" w:cs="Arial" w:eastAsia="Arial" w:hAnsi="Arial"/>
          <w:sz w:val="13"/>
          <w:szCs w:val="13"/>
          <w:b w:val="1"/>
          <w:bCs w:val="1"/>
          <w:color w:val="auto"/>
        </w:rPr>
        <w:t>PepsiCo</w:t>
      </w:r>
      <w:r>
        <w:rPr>
          <w:rFonts w:ascii="Arial" w:cs="Arial" w:eastAsia="Arial" w:hAnsi="Arial"/>
          <w:sz w:val="13"/>
          <w:szCs w:val="13"/>
          <w:color w:val="auto"/>
        </w:rPr>
        <w:t>: Senior Vice President and General Manager (December 2017 to July 2019); Senior Vice</w:t>
      </w:r>
      <w:r>
        <w:rPr>
          <w:rFonts w:ascii="Arial" w:cs="Arial" w:eastAsia="Arial" w:hAnsi="Arial"/>
          <w:sz w:val="13"/>
          <w:szCs w:val="13"/>
          <w:b w:val="1"/>
          <w:bCs w:val="1"/>
          <w:color w:val="auto"/>
        </w:rPr>
        <w:t xml:space="preserve"> </w:t>
      </w:r>
      <w:r>
        <w:rPr>
          <w:rFonts w:ascii="Arial" w:cs="Arial" w:eastAsia="Arial" w:hAnsi="Arial"/>
          <w:sz w:val="13"/>
          <w:szCs w:val="13"/>
          <w:color w:val="auto"/>
        </w:rPr>
        <w:t>President of Transformation for PepsiCo’s Frito-Lay North America (July 2017 to December 2017); and Senior Vice President of Strategy for Frito-Lay (February 2016 to June 2017)</w:t>
      </w:r>
    </w:p>
    <w:p>
      <w:pPr>
        <w:spacing w:after="0" w:line="1" w:lineRule="exact"/>
        <w:rPr>
          <w:rFonts w:ascii="Arial" w:cs="Arial" w:eastAsia="Arial" w:hAnsi="Arial"/>
          <w:sz w:val="13"/>
          <w:szCs w:val="13"/>
          <w:color w:val="auto"/>
        </w:rPr>
      </w:pPr>
    </w:p>
    <w:p>
      <w:pPr>
        <w:ind w:left="220" w:hanging="216"/>
        <w:spacing w:after="0"/>
        <w:tabs>
          <w:tab w:leader="none" w:pos="220" w:val="left"/>
        </w:tabs>
        <w:numPr>
          <w:ilvl w:val="0"/>
          <w:numId w:val="36"/>
        </w:numPr>
        <w:rPr>
          <w:rFonts w:ascii="Arial" w:cs="Arial" w:eastAsia="Arial" w:hAnsi="Arial"/>
          <w:sz w:val="13"/>
          <w:szCs w:val="13"/>
          <w:color w:val="auto"/>
        </w:rPr>
      </w:pPr>
      <w:r>
        <w:rPr>
          <w:rFonts w:ascii="Arial" w:cs="Arial" w:eastAsia="Arial" w:hAnsi="Arial"/>
          <w:sz w:val="13"/>
          <w:szCs w:val="13"/>
          <w:b w:val="1"/>
          <w:bCs w:val="1"/>
          <w:color w:val="auto"/>
        </w:rPr>
        <w:t>McKinsey &amp; Company</w:t>
      </w:r>
      <w:r>
        <w:rPr>
          <w:rFonts w:ascii="Arial" w:cs="Arial" w:eastAsia="Arial" w:hAnsi="Arial"/>
          <w:sz w:val="13"/>
          <w:szCs w:val="13"/>
          <w:color w:val="auto"/>
        </w:rPr>
        <w:t>: Partner (13 years)</w:t>
      </w:r>
    </w:p>
    <w:p>
      <w:pPr>
        <w:spacing w:after="0" w:line="49" w:lineRule="exact"/>
        <w:rPr>
          <w:rFonts w:ascii="Arial" w:cs="Arial" w:eastAsia="Arial" w:hAnsi="Arial"/>
          <w:sz w:val="13"/>
          <w:szCs w:val="13"/>
          <w:color w:val="auto"/>
        </w:rPr>
      </w:pPr>
    </w:p>
    <w:p>
      <w:pPr>
        <w:ind w:left="200" w:hanging="196"/>
        <w:spacing w:after="0"/>
        <w:tabs>
          <w:tab w:leader="none" w:pos="200" w:val="left"/>
        </w:tabs>
        <w:numPr>
          <w:ilvl w:val="0"/>
          <w:numId w:val="36"/>
        </w:numPr>
        <w:rPr>
          <w:rFonts w:ascii="Arial" w:cs="Arial" w:eastAsia="Arial" w:hAnsi="Arial"/>
          <w:sz w:val="13"/>
          <w:szCs w:val="13"/>
          <w:color w:val="auto"/>
        </w:rPr>
      </w:pPr>
      <w:r>
        <w:rPr>
          <w:rFonts w:ascii="Arial" w:cs="Arial" w:eastAsia="Arial" w:hAnsi="Arial"/>
          <w:sz w:val="13"/>
          <w:szCs w:val="13"/>
          <w:b w:val="1"/>
          <w:bCs w:val="1"/>
          <w:color w:val="auto"/>
        </w:rPr>
        <w:t>Bachelor’s Degree in Industrial Engineering</w:t>
      </w:r>
      <w:r>
        <w:rPr>
          <w:rFonts w:ascii="Arial" w:cs="Arial" w:eastAsia="Arial" w:hAnsi="Arial"/>
          <w:sz w:val="13"/>
          <w:szCs w:val="13"/>
          <w:color w:val="auto"/>
        </w:rPr>
        <w:t>: University of Arkansas</w:t>
      </w:r>
    </w:p>
    <w:p>
      <w:pPr>
        <w:spacing w:after="0" w:line="36" w:lineRule="exact"/>
        <w:rPr>
          <w:rFonts w:ascii="Arial" w:cs="Arial" w:eastAsia="Arial" w:hAnsi="Arial"/>
          <w:sz w:val="13"/>
          <w:szCs w:val="13"/>
          <w:color w:val="auto"/>
        </w:rPr>
      </w:pPr>
    </w:p>
    <w:p>
      <w:pPr>
        <w:ind w:left="200" w:hanging="196"/>
        <w:spacing w:after="0"/>
        <w:tabs>
          <w:tab w:leader="none" w:pos="200" w:val="left"/>
        </w:tabs>
        <w:numPr>
          <w:ilvl w:val="0"/>
          <w:numId w:val="36"/>
        </w:numPr>
        <w:rPr>
          <w:rFonts w:ascii="Arial" w:cs="Arial" w:eastAsia="Arial" w:hAnsi="Arial"/>
          <w:sz w:val="13"/>
          <w:szCs w:val="13"/>
          <w:color w:val="auto"/>
        </w:rPr>
      </w:pPr>
      <w:r>
        <w:rPr>
          <w:rFonts w:ascii="Arial" w:cs="Arial" w:eastAsia="Arial" w:hAnsi="Arial"/>
          <w:sz w:val="13"/>
          <w:szCs w:val="13"/>
          <w:b w:val="1"/>
          <w:bCs w:val="1"/>
          <w:color w:val="auto"/>
        </w:rPr>
        <w:t>Masters of Business Administration</w:t>
      </w:r>
      <w:r>
        <w:rPr>
          <w:rFonts w:ascii="Arial" w:cs="Arial" w:eastAsia="Arial" w:hAnsi="Arial"/>
          <w:sz w:val="13"/>
          <w:szCs w:val="13"/>
          <w:color w:val="auto"/>
        </w:rPr>
        <w:t>: Stanford University</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right="1480"/>
        <w:spacing w:after="0" w:line="264" w:lineRule="auto"/>
        <w:rPr>
          <w:sz w:val="20"/>
          <w:szCs w:val="20"/>
          <w:color w:val="auto"/>
        </w:rPr>
      </w:pPr>
      <w:r>
        <w:rPr>
          <w:rFonts w:ascii="Arial" w:cs="Arial" w:eastAsia="Arial" w:hAnsi="Arial"/>
          <w:sz w:val="13"/>
          <w:szCs w:val="13"/>
          <w:color w:val="auto"/>
        </w:rPr>
        <w:t>Mr. Turner has over 20 years of strategy, finance, mergers &amp; acquisitions and operations experience at world-class consumer-oriented and strategic consulting companies, including a deep knowledge in consumer brands and elevating the customer experience, which the Board values as we drive growth through omnichannel expansion, connecting with our customers, increasing the productivity of our stores, distribution centers and other assets, and managing our capital allocation.</w:t>
      </w:r>
    </w:p>
    <w:p>
      <w:pPr>
        <w:spacing w:after="0" w:line="110" w:lineRule="exact"/>
        <w:rPr>
          <w:sz w:val="20"/>
          <w:szCs w:val="20"/>
          <w:color w:val="auto"/>
        </w:rPr>
      </w:pPr>
    </w:p>
    <w:p>
      <w:pPr>
        <w:ind w:right="1740"/>
        <w:spacing w:after="0" w:line="269" w:lineRule="auto"/>
        <w:rPr>
          <w:sz w:val="20"/>
          <w:szCs w:val="20"/>
          <w:color w:val="auto"/>
        </w:rPr>
      </w:pPr>
      <w:r>
        <w:rPr>
          <w:rFonts w:ascii="Arial" w:cs="Arial" w:eastAsia="Arial" w:hAnsi="Arial"/>
          <w:sz w:val="13"/>
          <w:szCs w:val="13"/>
          <w:b w:val="1"/>
          <w:bCs w:val="1"/>
          <w:color w:val="auto"/>
        </w:rPr>
        <w:t>The Board selected Mr. Turner to serve as a director based on his significant business and management leadership experience related to the retail and consumer industries, including extensive accounting/finance skills, strategic planning, technology, cybersecurity &amp; data privacy, store operations, supply chain/logistics, and digital/eCommerce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987425</wp:posOffset>
            </wp:positionV>
            <wp:extent cx="7168515" cy="4127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692150</wp:posOffset>
            </wp:positionV>
            <wp:extent cx="789305" cy="18923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120" w:space="520"/>
            <w:col w:w="7480"/>
          </w:cols>
          <w:pgMar w:left="1440" w:top="132"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3"/>
          <w:szCs w:val="13"/>
          <w:b w:val="1"/>
          <w:bCs w:val="1"/>
          <w:color w:val="007EC4"/>
        </w:rPr>
        <w:t xml:space="preserve">24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617"/>
        </w:trPr>
        <w:tc>
          <w:tcPr>
            <w:tcW w:w="11240" w:type="dxa"/>
            <w:vAlign w:val="bottom"/>
            <w:gridSpan w:val="2"/>
          </w:tcPr>
          <w:p>
            <w:pPr>
              <w:spacing w:after="0"/>
              <w:rPr>
                <w:sz w:val="20"/>
                <w:szCs w:val="20"/>
                <w:color w:val="auto"/>
              </w:rPr>
            </w:pPr>
            <w:r>
              <w:rPr>
                <w:rFonts w:ascii="Arial" w:cs="Arial" w:eastAsia="Arial" w:hAnsi="Arial"/>
                <w:sz w:val="45"/>
                <w:szCs w:val="45"/>
                <w:b w:val="1"/>
                <w:bCs w:val="1"/>
                <w:color w:val="1B4093"/>
              </w:rPr>
              <w:t>Board Governance</w:t>
            </w:r>
          </w:p>
        </w:tc>
        <w:tc>
          <w:tcPr>
            <w:tcW w:w="0" w:type="dxa"/>
            <w:vAlign w:val="bottom"/>
          </w:tcPr>
          <w:p>
            <w:pPr>
              <w:spacing w:after="0"/>
              <w:rPr>
                <w:sz w:val="1"/>
                <w:szCs w:val="1"/>
                <w:color w:val="auto"/>
              </w:rPr>
            </w:pPr>
          </w:p>
        </w:tc>
      </w:tr>
      <w:tr>
        <w:trPr>
          <w:trHeight w:val="840"/>
        </w:trPr>
        <w:tc>
          <w:tcPr>
            <w:tcW w:w="2880" w:type="dxa"/>
            <w:vAlign w:val="bottom"/>
          </w:tcPr>
          <w:p>
            <w:pPr>
              <w:spacing w:after="0"/>
              <w:rPr>
                <w:sz w:val="20"/>
                <w:szCs w:val="20"/>
                <w:color w:val="auto"/>
              </w:rPr>
            </w:pPr>
            <w:r>
              <w:rPr>
                <w:rFonts w:ascii="Arial" w:cs="Arial" w:eastAsia="Arial" w:hAnsi="Arial"/>
                <w:sz w:val="20"/>
                <w:szCs w:val="20"/>
                <w:b w:val="1"/>
                <w:bCs w:val="1"/>
                <w:color w:val="1B4093"/>
              </w:rPr>
              <w:t>Board Governance Highlights</w:t>
            </w:r>
          </w:p>
        </w:tc>
        <w:tc>
          <w:tcPr>
            <w:tcW w:w="8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880" w:type="dxa"/>
            <w:vAlign w:val="bottom"/>
            <w:tcBorders>
              <w:bottom w:val="single" w:sz="8" w:color="1B4093"/>
            </w:tcBorders>
          </w:tcPr>
          <w:p>
            <w:pPr>
              <w:spacing w:after="0"/>
              <w:rPr>
                <w:sz w:val="10"/>
                <w:szCs w:val="10"/>
                <w:color w:val="auto"/>
              </w:rPr>
            </w:pPr>
          </w:p>
        </w:tc>
        <w:tc>
          <w:tcPr>
            <w:tcW w:w="8360" w:type="dxa"/>
            <w:vAlign w:val="bottom"/>
            <w:tcBorders>
              <w:bottom w:val="single" w:sz="8" w:color="1B4093"/>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880" w:type="dxa"/>
            <w:vAlign w:val="bottom"/>
          </w:tcPr>
          <w:p>
            <w:pPr>
              <w:ind w:left="20"/>
              <w:spacing w:after="0"/>
              <w:rPr>
                <w:sz w:val="20"/>
                <w:szCs w:val="20"/>
                <w:color w:val="auto"/>
              </w:rPr>
            </w:pPr>
            <w:r>
              <w:rPr>
                <w:rFonts w:ascii="Arial" w:cs="Arial" w:eastAsia="Arial" w:hAnsi="Arial"/>
                <w:sz w:val="15"/>
                <w:szCs w:val="15"/>
                <w:b w:val="1"/>
                <w:bCs w:val="1"/>
                <w:color w:val="auto"/>
              </w:rPr>
              <w:t>Board Composition,</w:t>
            </w:r>
          </w:p>
        </w:tc>
        <w:tc>
          <w:tcPr>
            <w:tcW w:w="8360" w:type="dxa"/>
            <w:vAlign w:val="bottom"/>
            <w:vMerge w:val="restart"/>
          </w:tcPr>
          <w:p>
            <w:pPr>
              <w:ind w:left="80"/>
              <w:spacing w:after="0"/>
              <w:rPr>
                <w:sz w:val="20"/>
                <w:szCs w:val="20"/>
                <w:color w:val="auto"/>
              </w:rPr>
            </w:pPr>
            <w:r>
              <w:rPr>
                <w:rFonts w:ascii="Arial" w:cs="Arial" w:eastAsia="Arial" w:hAnsi="Arial"/>
                <w:sz w:val="15"/>
                <w:szCs w:val="15"/>
                <w:color w:val="auto"/>
              </w:rPr>
              <w:t>9 of 11 directors are independent and all Board committee members are independent</w:t>
            </w:r>
          </w:p>
        </w:tc>
        <w:tc>
          <w:tcPr>
            <w:tcW w:w="0" w:type="dxa"/>
            <w:vAlign w:val="bottom"/>
          </w:tcPr>
          <w:p>
            <w:pPr>
              <w:spacing w:after="0"/>
              <w:rPr>
                <w:sz w:val="1"/>
                <w:szCs w:val="1"/>
                <w:color w:val="auto"/>
              </w:rPr>
            </w:pPr>
          </w:p>
        </w:tc>
      </w:tr>
      <w:tr>
        <w:trPr>
          <w:trHeight w:val="85"/>
        </w:trPr>
        <w:tc>
          <w:tcPr>
            <w:tcW w:w="28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Governance, and Oversight</w:t>
            </w:r>
          </w:p>
        </w:tc>
        <w:tc>
          <w:tcPr>
            <w:tcW w:w="8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880" w:type="dxa"/>
            <w:vAlign w:val="bottom"/>
            <w:vMerge w:val="continue"/>
          </w:tcPr>
          <w:p>
            <w:pPr>
              <w:spacing w:after="0"/>
              <w:rPr>
                <w:sz w:val="10"/>
                <w:szCs w:val="10"/>
                <w:color w:val="auto"/>
              </w:rPr>
            </w:pPr>
          </w:p>
        </w:tc>
        <w:tc>
          <w:tcPr>
            <w:tcW w:w="8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Balanced Board composition of tenure, age, experience, skills, viewpoints, and backgrounds</w:t>
            </w:r>
          </w:p>
        </w:tc>
        <w:tc>
          <w:tcPr>
            <w:tcW w:w="0" w:type="dxa"/>
            <w:vAlign w:val="bottom"/>
          </w:tcPr>
          <w:p>
            <w:pPr>
              <w:spacing w:after="0"/>
              <w:rPr>
                <w:sz w:val="1"/>
                <w:szCs w:val="1"/>
                <w:color w:val="auto"/>
              </w:rPr>
            </w:pPr>
          </w:p>
        </w:tc>
      </w:tr>
      <w:tr>
        <w:trPr>
          <w:trHeight w:val="435"/>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Separation of Chairman of the Board and Chief Executive Officer roles; Strong Lead Independent Director</w:t>
            </w:r>
          </w:p>
        </w:tc>
        <w:tc>
          <w:tcPr>
            <w:tcW w:w="0" w:type="dxa"/>
            <w:vAlign w:val="bottom"/>
          </w:tcPr>
          <w:p>
            <w:pPr>
              <w:spacing w:after="0"/>
              <w:rPr>
                <w:sz w:val="1"/>
                <w:szCs w:val="1"/>
                <w:color w:val="auto"/>
              </w:rPr>
            </w:pPr>
          </w:p>
        </w:tc>
      </w:tr>
      <w:tr>
        <w:trPr>
          <w:trHeight w:val="423"/>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Director overboarding policy</w:t>
            </w:r>
          </w:p>
        </w:tc>
        <w:tc>
          <w:tcPr>
            <w:tcW w:w="0" w:type="dxa"/>
            <w:vAlign w:val="bottom"/>
          </w:tcPr>
          <w:p>
            <w:pPr>
              <w:spacing w:after="0"/>
              <w:rPr>
                <w:sz w:val="1"/>
                <w:szCs w:val="1"/>
                <w:color w:val="auto"/>
              </w:rPr>
            </w:pPr>
          </w:p>
        </w:tc>
      </w:tr>
      <w:tr>
        <w:trPr>
          <w:trHeight w:val="423"/>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Director mandatory retirement upon the later of (i) 75th birthday, or (ii) 15 years of service on the Board</w:t>
            </w:r>
          </w:p>
        </w:tc>
        <w:tc>
          <w:tcPr>
            <w:tcW w:w="0" w:type="dxa"/>
            <w:vAlign w:val="bottom"/>
          </w:tcPr>
          <w:p>
            <w:pPr>
              <w:spacing w:after="0"/>
              <w:rPr>
                <w:sz w:val="1"/>
                <w:szCs w:val="1"/>
                <w:color w:val="auto"/>
              </w:rPr>
            </w:pPr>
          </w:p>
        </w:tc>
      </w:tr>
      <w:tr>
        <w:trPr>
          <w:trHeight w:val="423"/>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Clawback policy</w:t>
            </w:r>
          </w:p>
        </w:tc>
        <w:tc>
          <w:tcPr>
            <w:tcW w:w="0" w:type="dxa"/>
            <w:vAlign w:val="bottom"/>
          </w:tcPr>
          <w:p>
            <w:pPr>
              <w:spacing w:after="0"/>
              <w:rPr>
                <w:sz w:val="1"/>
                <w:szCs w:val="1"/>
                <w:color w:val="auto"/>
              </w:rPr>
            </w:pPr>
          </w:p>
        </w:tc>
      </w:tr>
      <w:tr>
        <w:trPr>
          <w:trHeight w:val="423"/>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Stock ownership guidelines for directors and executive officers</w:t>
            </w:r>
          </w:p>
        </w:tc>
        <w:tc>
          <w:tcPr>
            <w:tcW w:w="0" w:type="dxa"/>
            <w:vAlign w:val="bottom"/>
          </w:tcPr>
          <w:p>
            <w:pPr>
              <w:spacing w:after="0"/>
              <w:rPr>
                <w:sz w:val="1"/>
                <w:szCs w:val="1"/>
                <w:color w:val="auto"/>
              </w:rPr>
            </w:pPr>
          </w:p>
        </w:tc>
      </w:tr>
      <w:tr>
        <w:trPr>
          <w:trHeight w:val="423"/>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Board oversight of corporate strategy, corporate responsibility, and risk, including enterprise risk management program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3115" cy="762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-2050415</wp:posOffset>
            </wp:positionV>
            <wp:extent cx="149860" cy="14986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-1781810</wp:posOffset>
            </wp:positionV>
            <wp:extent cx="149860" cy="14986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-1505585</wp:posOffset>
            </wp:positionV>
            <wp:extent cx="149860" cy="14986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-1237615</wp:posOffset>
            </wp:positionV>
            <wp:extent cx="149860" cy="14986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-969010</wp:posOffset>
            </wp:positionV>
            <wp:extent cx="149860" cy="14986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-701040</wp:posOffset>
            </wp:positionV>
            <wp:extent cx="149860" cy="14986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-432435</wp:posOffset>
            </wp:positionV>
            <wp:extent cx="149860" cy="14986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-163830</wp:posOffset>
            </wp:positionV>
            <wp:extent cx="149860" cy="14986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Active and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Engaged Board</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Comprehensive and responsive year-round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-148590</wp:posOffset>
            </wp:positionV>
            <wp:extent cx="149860" cy="14986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Annual Board strategy meeting to review our long-range strategic goals</w:t>
      </w:r>
    </w:p>
    <w:p>
      <w:pPr>
        <w:spacing w:after="0" w:line="163" w:lineRule="exact"/>
        <w:rPr>
          <w:sz w:val="20"/>
          <w:szCs w:val="20"/>
          <w:color w:val="auto"/>
        </w:rPr>
      </w:pPr>
    </w:p>
    <w:p>
      <w:pPr>
        <w:ind w:right="280"/>
        <w:spacing w:after="0" w:line="310" w:lineRule="auto"/>
        <w:rPr>
          <w:sz w:val="20"/>
          <w:szCs w:val="20"/>
          <w:color w:val="auto"/>
        </w:rPr>
      </w:pPr>
      <w:r>
        <w:rPr>
          <w:rFonts w:ascii="Arial" w:cs="Arial" w:eastAsia="Arial" w:hAnsi="Arial"/>
          <w:sz w:val="15"/>
          <w:szCs w:val="15"/>
          <w:color w:val="auto"/>
        </w:rPr>
        <w:t>Annual Compensation Committee review and approval of incentive structure, targets, and objectives in alignment with the Company’s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-258445</wp:posOffset>
            </wp:positionV>
            <wp:extent cx="149860" cy="14986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17145</wp:posOffset>
            </wp:positionV>
            <wp:extent cx="149860" cy="14986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Robust director orientation and education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Periodic director store and facility visits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Annual Board and committee self-evaluations, including individual director interviews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Annual evaluation of the Chief Executive Officer by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Management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151130</wp:posOffset>
            </wp:positionV>
            <wp:extent cx="7143115" cy="762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20" w:top="157" w:right="339" w:bottom="1440" w:gutter="0" w:footer="0" w:header="0"/>
          <w:type w:val="continuous"/>
        </w:sectPr>
      </w:pP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Arial" w:cs="Arial" w:eastAsia="Arial" w:hAnsi="Arial"/>
                <w:sz w:val="15"/>
                <w:szCs w:val="15"/>
                <w:b w:val="1"/>
                <w:bCs w:val="1"/>
                <w:color w:val="auto"/>
              </w:rPr>
              <w:t>Shareholder Rights</w:t>
            </w:r>
          </w:p>
        </w:tc>
        <w:tc>
          <w:tcPr>
            <w:tcW w:w="5160" w:type="dxa"/>
            <w:vAlign w:val="bottom"/>
            <w:vMerge w:val="restart"/>
          </w:tcPr>
          <w:p>
            <w:pPr>
              <w:ind w:left="780"/>
              <w:spacing w:after="0"/>
              <w:rPr>
                <w:sz w:val="20"/>
                <w:szCs w:val="20"/>
                <w:color w:val="auto"/>
              </w:rPr>
            </w:pPr>
            <w:r>
              <w:rPr>
                <w:rFonts w:ascii="Arial" w:cs="Arial" w:eastAsia="Arial" w:hAnsi="Arial"/>
                <w:sz w:val="15"/>
                <w:szCs w:val="15"/>
                <w:color w:val="auto"/>
                <w:w w:val="99"/>
              </w:rPr>
              <w:t>No active stockholder rights plan, also referred to as a “poison pill”</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5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-163830</wp:posOffset>
            </wp:positionV>
            <wp:extent cx="149860" cy="14986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103505</wp:posOffset>
            </wp:positionV>
            <wp:extent cx="149860" cy="14986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06"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No dual class share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119380</wp:posOffset>
            </wp:positionV>
            <wp:extent cx="149860" cy="14986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Each stockholder is entitled to one vote per share</w:t>
      </w:r>
    </w:p>
    <w:p>
      <w:pPr>
        <w:spacing w:after="0" w:line="250" w:lineRule="exact"/>
        <w:rPr>
          <w:sz w:val="20"/>
          <w:szCs w:val="20"/>
          <w:color w:val="auto"/>
        </w:rPr>
      </w:pPr>
    </w:p>
    <w:p>
      <w:pPr>
        <w:ind w:left="2960" w:right="80"/>
        <w:spacing w:after="0" w:line="310" w:lineRule="auto"/>
        <w:rPr>
          <w:sz w:val="20"/>
          <w:szCs w:val="20"/>
          <w:color w:val="auto"/>
        </w:rPr>
      </w:pPr>
      <w:r>
        <w:rPr>
          <w:rFonts w:ascii="Arial" w:cs="Arial" w:eastAsia="Arial" w:hAnsi="Arial"/>
          <w:sz w:val="15"/>
          <w:szCs w:val="15"/>
          <w:color w:val="auto"/>
        </w:rPr>
        <w:t>Seeking stockholder approval at this Annual Meeting of (i) Board declassification by 2028 (Proposal Four) and (ii) removal of supermajority voting provisions for stockholders to amend the Certificate of Incorporation and the Bylaws (Proposal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888365</wp:posOffset>
            </wp:positionV>
            <wp:extent cx="7168515" cy="4127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-258445</wp:posOffset>
            </wp:positionV>
            <wp:extent cx="149860" cy="14986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600710</wp:posOffset>
            </wp:positionV>
            <wp:extent cx="789305" cy="18923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Oversight</w:t>
      </w:r>
    </w:p>
    <w:p>
      <w:pPr>
        <w:spacing w:after="0" w:line="14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primary role of the Board is to direct and oversee the management of the business and affairs of the Company in a manner that it considers in the best interests of the Company and its stockholders, in accordance with applicable laws and the Nasdaq Stock Market LLC (“Nasdaq”) Listing Rules. The Board’s responsibility is one of oversight and, in performing its oversight role, the Board serves as the ultimate decision-making body of the Company, except for those matters reserved to or shared with our stockholders. The Board selects our Chief Executive Officer and oversees our executive officers, who are charged by the Board with conducting our business. As part of its responsibility, the Board exercises direct oversight of strategic matters such as strategic planning, budgeting, capital planning, compensation, governance, succession planning, cybersecurity, information technology, risk management, compliance, and corporate responsibility related matters. The Board has a dedicated annual strategic planning meeting with senior management and receives strategic updates during its regular quarterly meetings.</w:t>
      </w:r>
    </w:p>
    <w:p>
      <w:pPr>
        <w:spacing w:after="0" w:line="172" w:lineRule="exact"/>
        <w:rPr>
          <w:sz w:val="20"/>
          <w:szCs w:val="20"/>
          <w:color w:val="auto"/>
        </w:rPr>
      </w:pPr>
    </w:p>
    <w:p>
      <w:pPr>
        <w:jc w:val="both"/>
        <w:ind w:right="100"/>
        <w:spacing w:after="0" w:line="293" w:lineRule="auto"/>
        <w:rPr>
          <w:sz w:val="20"/>
          <w:szCs w:val="20"/>
          <w:color w:val="auto"/>
        </w:rPr>
      </w:pPr>
      <w:r>
        <w:rPr>
          <w:rFonts w:ascii="Arial" w:cs="Arial" w:eastAsia="Arial" w:hAnsi="Arial"/>
          <w:sz w:val="15"/>
          <w:szCs w:val="15"/>
          <w:color w:val="auto"/>
        </w:rPr>
        <w:t>To assist it in fulfilling its responsibilities, the Board has delegated certain authority to its standing committees: the Audit Committee, the Governance Committee and the Compensation Committee, each of which is composed entirely of independent directors. The roles and responsibilities of these standing committees are described below under “Board Committees.”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Corporate Governance Guidelines</w:t>
      </w:r>
    </w:p>
    <w:p>
      <w:pPr>
        <w:spacing w:after="0" w:line="144" w:lineRule="exact"/>
        <w:rPr>
          <w:sz w:val="20"/>
          <w:szCs w:val="20"/>
          <w:color w:val="auto"/>
        </w:rPr>
      </w:pPr>
    </w:p>
    <w:p>
      <w:pPr>
        <w:ind w:right="240"/>
        <w:spacing w:after="0" w:line="285" w:lineRule="auto"/>
        <w:rPr>
          <w:sz w:val="20"/>
          <w:szCs w:val="20"/>
          <w:color w:val="auto"/>
        </w:rPr>
      </w:pPr>
      <w:r>
        <w:rPr>
          <w:rFonts w:ascii="Arial" w:cs="Arial" w:eastAsia="Arial" w:hAnsi="Arial"/>
          <w:sz w:val="15"/>
          <w:szCs w:val="15"/>
          <w:color w:val="auto"/>
        </w:rPr>
        <w:t>The Board’s commitment to good corporate governance is reflected in its Corporate Governance Guidelines, which describe the principles and practices that the Board and its committees are expected to follow in carrying out their responsibilities. The Corporate Governance Guidelines are reviewed periodically by the Governance Committee and updated to the extent deemed appropriate in light of emerging practices and to ensure compliance with applicable laws, regulations, governance documents, and Nasdaq Listing Rules, upon recommendation to and approval by the Board. Copies of the Corporate Governance Guidelines and other corporate governance information are available on our investor relations website at investors.academy.com.</w:t>
      </w:r>
    </w:p>
    <w:p>
      <w:pPr>
        <w:spacing w:after="0" w:line="169"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Our Corporate Governance Guidelines address topics such as the role and responsibility of the Board, Board composition, structure and policies, Board meetings, committees of the Board, expectations of directors, management succession planning for the Chief Executive Officer and other executive officers, annual Board and committee evaluations, director compensation, director independence and qualifications, nomination, and selection, Board refreshment and retirement age/term limits, selection and separation or combination of the Chairman of the Board and Chief Executive Officer, responsibilities of the Lead Director, director orientation and continuing education, director access to officers and team members, changes in directors’ principal occupation, outside directorships/overboarding, investor and other stakeholder communications with the Board and its non-management directors, and strategic planning and budgeting.</w:t>
      </w:r>
    </w:p>
    <w:p>
      <w:pPr>
        <w:spacing w:after="0" w:line="172" w:lineRule="exact"/>
        <w:rPr>
          <w:sz w:val="20"/>
          <w:szCs w:val="20"/>
          <w:color w:val="auto"/>
        </w:rPr>
      </w:pPr>
    </w:p>
    <w:p>
      <w:pPr>
        <w:ind w:right="240"/>
        <w:spacing w:after="0" w:line="288" w:lineRule="auto"/>
        <w:rPr>
          <w:sz w:val="20"/>
          <w:szCs w:val="20"/>
          <w:color w:val="auto"/>
        </w:rPr>
      </w:pPr>
      <w:r>
        <w:rPr>
          <w:rFonts w:ascii="Arial" w:cs="Arial" w:eastAsia="Arial" w:hAnsi="Arial"/>
          <w:sz w:val="15"/>
          <w:szCs w:val="15"/>
          <w:color w:val="auto"/>
        </w:rPr>
        <w:t>The Corporate Governance Guidelines limit the number of public company boards on which a director may serve (including our Board) to four and the number of public company audit committees on which an Audit Committee member may serve (including our Audit Committee) to three. Further, directors who also serve as executive officers (or in equivalent positions) should not serve on more than two public company boards (including our Board). All of our directors and director nominees currently comply with our director overboarding policy.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Director Independence</w:t>
      </w:r>
    </w:p>
    <w:p>
      <w:pPr>
        <w:spacing w:after="0" w:line="181" w:lineRule="exact"/>
        <w:rPr>
          <w:sz w:val="20"/>
          <w:szCs w:val="20"/>
          <w:color w:val="auto"/>
        </w:rPr>
      </w:pPr>
    </w:p>
    <w:p>
      <w:pPr>
        <w:ind w:right="180"/>
        <w:spacing w:after="0" w:line="350" w:lineRule="auto"/>
        <w:rPr>
          <w:sz w:val="20"/>
          <w:szCs w:val="20"/>
          <w:color w:val="auto"/>
        </w:rPr>
      </w:pPr>
      <w:r>
        <w:rPr>
          <w:rFonts w:ascii="Arial" w:cs="Arial" w:eastAsia="Arial" w:hAnsi="Arial"/>
          <w:sz w:val="14"/>
          <w:szCs w:val="14"/>
          <w:color w:val="auto"/>
        </w:rPr>
        <w:t>Under the Corporate Governance Guidelines and the independence standards of the SEC and the Nasdaq Listing Rules, a director is not independent unless the Board affirmatively determines that he or she does not have a relationship with us or our management which, in the opinion of the Board, would impair their independence.</w:t>
      </w:r>
    </w:p>
    <w:p>
      <w:pPr>
        <w:spacing w:after="0" w:line="77"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The Corporate Governance Guidelines define independence in accordance with Nasdaq Listing Rules, and require the Board to review and determine the independence of all directors at least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730250</wp:posOffset>
            </wp:positionV>
            <wp:extent cx="7168515" cy="4127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443230</wp:posOffset>
            </wp:positionV>
            <wp:extent cx="789305" cy="18923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color w:val="007EC4"/>
        </w:rPr>
        <w:t xml:space="preserve">26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The Board has affirmatively determined that each of Wendy Beck, Scott Boatwright, Brian Marley, Tom Nealon, Theresa Palermo, Monique Picou, Beryl Raff, Chris Turner, and Jeff Tweedy is “independent” under SEC rules, the Corporate Governance Guidelines and Nasdaq Listing Rules, including under the heightened independence standards applicable to audit and compensation committee members. In making its independence determinations, the Board considered and reviewed all information known to it (including information identified through annual directors’ questionnaires). The Board also determined that Sharen Turney, a former director, was independent during the period she served as a director.</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Leadership Structure of the Board</w:t>
      </w:r>
    </w:p>
    <w:p>
      <w:pPr>
        <w:spacing w:after="0" w:line="194"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We do not have a formal policy regarding the combination or separation of the Chairman of the Board and Chief Executive Officer positions. The Corporate Governance Guidelines provide the Board with the flexibility to combine or separate the positions of Chairman of the Board and Chief Executive Officer in accordance with its determination that utilizing one or the other structure would be in the best interests of the Company and its stockholders at any given time.</w:t>
      </w:r>
    </w:p>
    <w:p>
      <w:pPr>
        <w:spacing w:after="0" w:line="114"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The Board has reviewed its leadership structure and determined that it remains advisable and in the best interest of the Company to separate the roles of Chairman of the Board and the Chief Executive Officer. As such, Mr. Hicks serves as Chairman of the Board and Mr. Lawrence serves as the Chief Executive Officer of the Company. As Chief Executive Officer, Mr. Lawrence is responsible for developing and overseeing the implementation of our business strategy as well as leading and managing the day-to-day operations of the Company. In connection with a planned transition process, Mr. Hicks transitioned from Executive Chairman of the Board to non-employee Chairman of the Board, effective on June 1, 2024.</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 addition, the Board continues to believe that strong, independent Board leadership and oversight are a critical aspect of effective corporate governance. The Corporate Governance Guidelines provide that a lead independent director (or “Lead Director” or “Lead Independent Director”) may be appointed whenever the Board is chaired by a director who does not otherwise qualify as an “independent director.” As a result, because Mr. Hicks is not independent due to his prior service as an officer of the Company, Tom Nealon, who was appointed as our Lead Director in December 2021, continues to serve in this role.</w:t>
      </w:r>
    </w:p>
    <w:p>
      <w:pPr>
        <w:spacing w:after="0" w:line="166" w:lineRule="exact"/>
        <w:rPr>
          <w:sz w:val="20"/>
          <w:szCs w:val="20"/>
          <w:color w:val="auto"/>
        </w:rPr>
      </w:pPr>
    </w:p>
    <w:p>
      <w:pPr>
        <w:ind w:right="420"/>
        <w:spacing w:after="0" w:line="310" w:lineRule="auto"/>
        <w:rPr>
          <w:sz w:val="20"/>
          <w:szCs w:val="20"/>
          <w:color w:val="auto"/>
        </w:rPr>
      </w:pPr>
      <w:r>
        <w:rPr>
          <w:rFonts w:ascii="Arial" w:cs="Arial" w:eastAsia="Arial" w:hAnsi="Arial"/>
          <w:sz w:val="15"/>
          <w:szCs w:val="15"/>
          <w:color w:val="auto"/>
        </w:rPr>
        <w:t>The position of Lead Director has a clear mandate, significant authority and well-defined responsibilities as set forth in the Corporate Governance Guidelines. These responsibilities and authority include, among others:</w:t>
      </w:r>
    </w:p>
    <w:p>
      <w:pPr>
        <w:spacing w:after="0" w:line="101" w:lineRule="exact"/>
        <w:rPr>
          <w:sz w:val="20"/>
          <w:szCs w:val="20"/>
          <w:color w:val="auto"/>
        </w:rPr>
      </w:pPr>
    </w:p>
    <w:p>
      <w:pPr>
        <w:ind w:left="420" w:hanging="197"/>
        <w:spacing w:after="0"/>
        <w:tabs>
          <w:tab w:leader="none" w:pos="4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presiding at meetings of the Board at which the Chairman of the Board is not present, including at executive sessions of the independent directors;</w:t>
      </w:r>
    </w:p>
    <w:p>
      <w:pPr>
        <w:spacing w:after="0" w:line="175" w:lineRule="exact"/>
        <w:rPr>
          <w:rFonts w:ascii="Arial" w:cs="Arial" w:eastAsia="Arial" w:hAnsi="Arial"/>
          <w:sz w:val="15"/>
          <w:szCs w:val="15"/>
          <w:color w:val="auto"/>
        </w:rPr>
      </w:pPr>
    </w:p>
    <w:p>
      <w:pPr>
        <w:ind w:left="420" w:hanging="197"/>
        <w:spacing w:after="0"/>
        <w:tabs>
          <w:tab w:leader="none" w:pos="4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collaborating with the Chairman of the Board regarding the information sent to the Board;</w:t>
      </w:r>
    </w:p>
    <w:p>
      <w:pPr>
        <w:spacing w:after="0" w:line="175" w:lineRule="exact"/>
        <w:rPr>
          <w:rFonts w:ascii="Arial" w:cs="Arial" w:eastAsia="Arial" w:hAnsi="Arial"/>
          <w:sz w:val="15"/>
          <w:szCs w:val="15"/>
          <w:color w:val="auto"/>
        </w:rPr>
      </w:pPr>
    </w:p>
    <w:p>
      <w:pPr>
        <w:ind w:left="420" w:hanging="197"/>
        <w:spacing w:after="0"/>
        <w:tabs>
          <w:tab w:leader="none" w:pos="4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collaborating with the Chairman of the Board regarding the agendas and schedules for the meetings of the Board;</w:t>
      </w:r>
    </w:p>
    <w:p>
      <w:pPr>
        <w:spacing w:after="0" w:line="175" w:lineRule="exact"/>
        <w:rPr>
          <w:rFonts w:ascii="Arial" w:cs="Arial" w:eastAsia="Arial" w:hAnsi="Arial"/>
          <w:sz w:val="15"/>
          <w:szCs w:val="15"/>
          <w:color w:val="auto"/>
        </w:rPr>
      </w:pPr>
    </w:p>
    <w:p>
      <w:pPr>
        <w:ind w:left="420" w:hanging="197"/>
        <w:spacing w:after="0"/>
        <w:tabs>
          <w:tab w:leader="none" w:pos="4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assisting in scheduling Board meetings and approving meeting schedules to ensure that there is sufficient time for discussion of agenda items;</w:t>
      </w:r>
    </w:p>
    <w:p>
      <w:pPr>
        <w:spacing w:after="0" w:line="175" w:lineRule="exact"/>
        <w:rPr>
          <w:rFonts w:ascii="Arial" w:cs="Arial" w:eastAsia="Arial" w:hAnsi="Arial"/>
          <w:sz w:val="15"/>
          <w:szCs w:val="15"/>
          <w:color w:val="auto"/>
        </w:rPr>
      </w:pPr>
    </w:p>
    <w:p>
      <w:pPr>
        <w:ind w:left="420" w:hanging="197"/>
        <w:spacing w:after="0"/>
        <w:tabs>
          <w:tab w:leader="none" w:pos="4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serving as liaison between the Chairman of the Board and the independent directors and/or with management, as appropriate;</w:t>
      </w:r>
    </w:p>
    <w:p>
      <w:pPr>
        <w:spacing w:after="0" w:line="175" w:lineRule="exact"/>
        <w:rPr>
          <w:rFonts w:ascii="Arial" w:cs="Arial" w:eastAsia="Arial" w:hAnsi="Arial"/>
          <w:sz w:val="15"/>
          <w:szCs w:val="15"/>
          <w:color w:val="auto"/>
        </w:rPr>
      </w:pPr>
    </w:p>
    <w:p>
      <w:pPr>
        <w:jc w:val="both"/>
        <w:ind w:left="440" w:right="100" w:hanging="217"/>
        <w:spacing w:after="0" w:line="293" w:lineRule="auto"/>
        <w:tabs>
          <w:tab w:leader="none" w:pos="41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working with the Board and its committees to oversee the Company’s engagement with stockholders, proxy advisory firms, and other interested parties, reviewing stockholder inquiries, and making recommendations to the Board regarding responding to those inquiries, and being available for consultation and communication with major stockholders, upon request;</w:t>
      </w:r>
    </w:p>
    <w:p>
      <w:pPr>
        <w:spacing w:after="0" w:line="114" w:lineRule="exact"/>
        <w:rPr>
          <w:rFonts w:ascii="Arial" w:cs="Arial" w:eastAsia="Arial" w:hAnsi="Arial"/>
          <w:sz w:val="15"/>
          <w:szCs w:val="15"/>
          <w:color w:val="auto"/>
        </w:rPr>
      </w:pPr>
    </w:p>
    <w:p>
      <w:pPr>
        <w:ind w:left="420" w:hanging="197"/>
        <w:spacing w:after="0"/>
        <w:tabs>
          <w:tab w:leader="none" w:pos="4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calling meetings/executive sessions of the independent directors, as appropriate;</w:t>
      </w:r>
    </w:p>
    <w:p>
      <w:pPr>
        <w:spacing w:after="0" w:line="175" w:lineRule="exact"/>
        <w:rPr>
          <w:rFonts w:ascii="Arial" w:cs="Arial" w:eastAsia="Arial" w:hAnsi="Arial"/>
          <w:sz w:val="15"/>
          <w:szCs w:val="15"/>
          <w:color w:val="auto"/>
        </w:rPr>
      </w:pPr>
    </w:p>
    <w:p>
      <w:pPr>
        <w:ind w:left="420" w:hanging="197"/>
        <w:spacing w:after="0"/>
        <w:tabs>
          <w:tab w:leader="none" w:pos="4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collaborating with the Chairman of the Board in determining the need for special meetings of the Board; and</w:t>
      </w:r>
    </w:p>
    <w:p>
      <w:pPr>
        <w:spacing w:after="0" w:line="175" w:lineRule="exact"/>
        <w:rPr>
          <w:rFonts w:ascii="Arial" w:cs="Arial" w:eastAsia="Arial" w:hAnsi="Arial"/>
          <w:sz w:val="15"/>
          <w:szCs w:val="15"/>
          <w:color w:val="auto"/>
        </w:rPr>
      </w:pPr>
    </w:p>
    <w:p>
      <w:pPr>
        <w:ind w:left="440" w:right="560" w:hanging="217"/>
        <w:spacing w:after="0" w:line="310" w:lineRule="auto"/>
        <w:tabs>
          <w:tab w:leader="none" w:pos="417"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recommending to the Board, in consultation with the applicable committee chairs, the retention of consultants and advisors who directly report to the Board, including independent legal, financial or compensation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730250</wp:posOffset>
            </wp:positionV>
            <wp:extent cx="7168515" cy="4127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434975</wp:posOffset>
            </wp:positionV>
            <wp:extent cx="789305" cy="18923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0"/>
        <w:spacing w:after="0" w:line="310" w:lineRule="auto"/>
        <w:rPr>
          <w:sz w:val="20"/>
          <w:szCs w:val="20"/>
          <w:color w:val="auto"/>
        </w:rPr>
      </w:pPr>
      <w:r>
        <w:rPr>
          <w:rFonts w:ascii="Arial" w:cs="Arial" w:eastAsia="Arial" w:hAnsi="Arial"/>
          <w:sz w:val="15"/>
          <w:szCs w:val="15"/>
          <w:color w:val="auto"/>
        </w:rPr>
        <w:t>We believe that the current Board leadership structure provides appropriate governance and risk oversight. The Board will continue to periodically review our leadership structure and may make such changes in the future as it deems appropriate.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Executive Sessions</w:t>
      </w:r>
    </w:p>
    <w:p>
      <w:pPr>
        <w:spacing w:after="0" w:line="144" w:lineRule="exact"/>
        <w:rPr>
          <w:sz w:val="20"/>
          <w:szCs w:val="20"/>
          <w:color w:val="auto"/>
        </w:rPr>
      </w:pPr>
    </w:p>
    <w:p>
      <w:pPr>
        <w:ind w:right="40"/>
        <w:spacing w:after="0" w:line="309" w:lineRule="auto"/>
        <w:rPr>
          <w:sz w:val="20"/>
          <w:szCs w:val="20"/>
          <w:color w:val="auto"/>
        </w:rPr>
      </w:pPr>
      <w:r>
        <w:rPr>
          <w:rFonts w:ascii="Arial" w:cs="Arial" w:eastAsia="Arial" w:hAnsi="Arial"/>
          <w:sz w:val="14"/>
          <w:szCs w:val="14"/>
          <w:color w:val="auto"/>
        </w:rPr>
        <w:t>To promote free and open discussion and communication among the non-management directors of the Board, the non-management directors meet in executive session with no members of management present from time to time. In addition and in accordance with the Nasdaq Listing Rules, to the extent that the non-management directors include any non-independent directors, the independent directors also meet separately at least twice a year (or more frequently as may be appropriate) in an executive session that excludes management and non-independent directors. The Lead Director presides at the executive sessions of both non-management and independent directors. In 2024, the independent directors separately met at least twice in executive sessions, that excluded management and non-independent directors.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Committees</w:t>
      </w:r>
    </w:p>
    <w:p>
      <w:pPr>
        <w:spacing w:after="0" w:line="194"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The Board has established an Audit Committee, a Compensation Committee and a Governance Committee, each of which is entirely comprised of independent directors. These committees are each described below. The Governance Committee is responsible for identifying Board members qualified to serve on each committee and recommending that the Board appoint members to each committee. Each committee reports regularly to the Board summarizing the committee’s actions, any significant issues considered by the committee, and recommends Board approval of certain actions, when necessary.</w:t>
      </w:r>
    </w:p>
    <w:p>
      <w:pPr>
        <w:spacing w:after="0" w:line="11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Each of the Board’s committees acts under a written charter, which was approved and adopted by the Board and describes the responsibilities of the committee. Copies of the Audit Committee, Compensation Committee, and Governance Committee charters are available on our investor relations website at investors.academy.com.</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current memberships of each of the Board’s committees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1776095" cy="36322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776095" cy="363220"/>
                    </a:xfrm>
                    <a:prstGeom prst="rect">
                      <a:avLst/>
                    </a:prstGeom>
                    <a:noFill/>
                  </pic:spPr>
                </pic:pic>
              </a:graphicData>
            </a:graphic>
          </wp:anchor>
        </w:drawing>
      </w:r>
    </w:p>
    <w:p>
      <w:pPr>
        <w:spacing w:after="0" w:line="180" w:lineRule="exact"/>
        <w:rPr>
          <w:sz w:val="20"/>
          <w:szCs w:val="20"/>
          <w:color w:val="auto"/>
        </w:rPr>
      </w:pPr>
    </w:p>
    <w:tbl>
      <w:tblPr>
        <w:tblLayout w:type="fixed"/>
        <w:tblInd w:w="2800" w:type="dxa"/>
        <w:tblCellMar>
          <w:top w:w="0" w:type="dxa"/>
          <w:left w:w="0" w:type="dxa"/>
          <w:bottom w:w="0" w:type="dxa"/>
          <w:right w:w="0" w:type="dxa"/>
        </w:tblCellMar>
      </w:tblPr>
      <w:tr>
        <w:trPr>
          <w:trHeight w:val="266"/>
        </w:trPr>
        <w:tc>
          <w:tcPr>
            <w:tcW w:w="2800" w:type="dxa"/>
            <w:vAlign w:val="bottom"/>
            <w:shd w:val="clear" w:color="auto" w:fill="E1D7AC"/>
          </w:tcPr>
          <w:p>
            <w:pPr>
              <w:spacing w:after="0"/>
              <w:rPr>
                <w:sz w:val="23"/>
                <w:szCs w:val="23"/>
                <w:color w:val="auto"/>
              </w:rPr>
            </w:pPr>
          </w:p>
        </w:tc>
        <w:tc>
          <w:tcPr>
            <w:tcW w:w="2780" w:type="dxa"/>
            <w:vAlign w:val="bottom"/>
            <w:shd w:val="clear" w:color="auto" w:fill="E1D7AC"/>
          </w:tcPr>
          <w:p>
            <w:pPr>
              <w:spacing w:after="0"/>
              <w:rPr>
                <w:sz w:val="23"/>
                <w:szCs w:val="23"/>
                <w:color w:val="auto"/>
              </w:rPr>
            </w:pPr>
          </w:p>
        </w:tc>
        <w:tc>
          <w:tcPr>
            <w:tcW w:w="2860" w:type="dxa"/>
            <w:vAlign w:val="bottom"/>
            <w:shd w:val="clear" w:color="auto" w:fill="E1D7AC"/>
          </w:tcPr>
          <w:p>
            <w:pPr>
              <w:jc w:val="center"/>
              <w:spacing w:after="0"/>
              <w:rPr>
                <w:sz w:val="20"/>
                <w:szCs w:val="20"/>
                <w:color w:val="auto"/>
              </w:rPr>
            </w:pPr>
            <w:r>
              <w:rPr>
                <w:rFonts w:ascii="Arial" w:cs="Arial" w:eastAsia="Arial" w:hAnsi="Arial"/>
                <w:sz w:val="13"/>
                <w:szCs w:val="13"/>
                <w:b w:val="1"/>
                <w:bCs w:val="1"/>
                <w:color w:val="auto"/>
              </w:rPr>
              <w:t>Nominating and Governance</w:t>
            </w:r>
          </w:p>
        </w:tc>
      </w:tr>
      <w:tr>
        <w:trPr>
          <w:trHeight w:val="180"/>
        </w:trPr>
        <w:tc>
          <w:tcPr>
            <w:tcW w:w="2800" w:type="dxa"/>
            <w:vAlign w:val="bottom"/>
            <w:shd w:val="clear" w:color="auto" w:fill="E1D7AC"/>
          </w:tcPr>
          <w:p>
            <w:pPr>
              <w:ind w:left="880"/>
              <w:spacing w:after="0"/>
              <w:rPr>
                <w:sz w:val="20"/>
                <w:szCs w:val="20"/>
                <w:color w:val="auto"/>
              </w:rPr>
            </w:pPr>
            <w:r>
              <w:rPr>
                <w:rFonts w:ascii="Arial" w:cs="Arial" w:eastAsia="Arial" w:hAnsi="Arial"/>
                <w:sz w:val="13"/>
                <w:szCs w:val="13"/>
                <w:b w:val="1"/>
                <w:bCs w:val="1"/>
                <w:color w:val="auto"/>
              </w:rPr>
              <w:t>Audit Committee</w:t>
            </w:r>
          </w:p>
        </w:tc>
        <w:tc>
          <w:tcPr>
            <w:tcW w:w="2780" w:type="dxa"/>
            <w:vAlign w:val="bottom"/>
            <w:shd w:val="clear" w:color="auto" w:fill="E1D7AC"/>
          </w:tcPr>
          <w:p>
            <w:pPr>
              <w:ind w:left="600"/>
              <w:spacing w:after="0"/>
              <w:rPr>
                <w:sz w:val="20"/>
                <w:szCs w:val="20"/>
                <w:color w:val="auto"/>
              </w:rPr>
            </w:pPr>
            <w:r>
              <w:rPr>
                <w:rFonts w:ascii="Arial" w:cs="Arial" w:eastAsia="Arial" w:hAnsi="Arial"/>
                <w:sz w:val="13"/>
                <w:szCs w:val="13"/>
                <w:b w:val="1"/>
                <w:bCs w:val="1"/>
                <w:color w:val="auto"/>
              </w:rPr>
              <w:t>Compensation Committee</w:t>
            </w:r>
          </w:p>
        </w:tc>
        <w:tc>
          <w:tcPr>
            <w:tcW w:w="2860" w:type="dxa"/>
            <w:vAlign w:val="bottom"/>
            <w:shd w:val="clear" w:color="auto" w:fill="E1D7AC"/>
          </w:tcPr>
          <w:p>
            <w:pPr>
              <w:jc w:val="center"/>
              <w:spacing w:after="0"/>
              <w:rPr>
                <w:sz w:val="20"/>
                <w:szCs w:val="20"/>
                <w:color w:val="auto"/>
              </w:rPr>
            </w:pPr>
            <w:r>
              <w:rPr>
                <w:rFonts w:ascii="Arial" w:cs="Arial" w:eastAsia="Arial" w:hAnsi="Arial"/>
                <w:sz w:val="13"/>
                <w:szCs w:val="13"/>
                <w:b w:val="1"/>
                <w:bCs w:val="1"/>
                <w:color w:val="auto"/>
              </w:rPr>
              <w:t>Committee</w:t>
            </w:r>
          </w:p>
        </w:tc>
      </w:tr>
      <w:tr>
        <w:trPr>
          <w:trHeight w:val="126"/>
        </w:trPr>
        <w:tc>
          <w:tcPr>
            <w:tcW w:w="2800" w:type="dxa"/>
            <w:vAlign w:val="bottom"/>
            <w:shd w:val="clear" w:color="auto" w:fill="E1D7AC"/>
          </w:tcPr>
          <w:p>
            <w:pPr>
              <w:spacing w:after="0"/>
              <w:rPr>
                <w:sz w:val="10"/>
                <w:szCs w:val="10"/>
                <w:color w:val="auto"/>
              </w:rPr>
            </w:pPr>
          </w:p>
        </w:tc>
        <w:tc>
          <w:tcPr>
            <w:tcW w:w="2780" w:type="dxa"/>
            <w:vAlign w:val="bottom"/>
            <w:shd w:val="clear" w:color="auto" w:fill="E1D7AC"/>
          </w:tcPr>
          <w:p>
            <w:pPr>
              <w:spacing w:after="0"/>
              <w:rPr>
                <w:sz w:val="10"/>
                <w:szCs w:val="10"/>
                <w:color w:val="auto"/>
              </w:rPr>
            </w:pPr>
          </w:p>
        </w:tc>
        <w:tc>
          <w:tcPr>
            <w:tcW w:w="2860" w:type="dxa"/>
            <w:vAlign w:val="bottom"/>
            <w:shd w:val="clear" w:color="auto" w:fill="E1D7AC"/>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3115" cy="2368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7143115" cy="236855"/>
                    </a:xfrm>
                    <a:prstGeom prst="rect">
                      <a:avLst/>
                    </a:prstGeom>
                    <a:noFill/>
                  </pic:spPr>
                </pic:pic>
              </a:graphicData>
            </a:graphic>
          </wp:anchor>
        </w:drawing>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Wendy Beck</w:t>
      </w:r>
      <w:r>
        <w:rPr>
          <w:rFonts w:ascii="Arial" w:cs="Arial" w:eastAsia="Arial" w:hAnsi="Arial"/>
          <w:sz w:val="17"/>
          <w:szCs w:val="17"/>
          <w:b w:val="1"/>
          <w:bCs w:val="1"/>
          <w:color w:val="auto"/>
          <w:vertAlign w:val="superscript"/>
        </w:rPr>
        <w:t>(I)</w:t>
      </w:r>
      <w:r>
        <w:rPr>
          <w:rFonts w:ascii="Arial" w:cs="Arial" w:eastAsia="Arial" w:hAnsi="Arial"/>
          <w:sz w:val="13"/>
          <w:szCs w:val="13"/>
          <w:b w:val="1"/>
          <w:bCs w:val="1"/>
          <w:color w:val="auto"/>
        </w:rPr>
        <w:t>*</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Scott Boatwright</w:t>
      </w:r>
      <w:r>
        <w:rPr>
          <w:rFonts w:ascii="Arial" w:cs="Arial" w:eastAsia="Arial" w:hAnsi="Arial"/>
          <w:sz w:val="8"/>
          <w:szCs w:val="8"/>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143115" cy="2368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7143115" cy="236855"/>
                    </a:xfrm>
                    <a:prstGeom prst="rect">
                      <a:avLst/>
                    </a:prstGeom>
                    <a:noFill/>
                  </pic:spPr>
                </pic:pic>
              </a:graphicData>
            </a:graphic>
          </wp:anchor>
        </w:drawing>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Brian Marley</w:t>
      </w:r>
      <w:r>
        <w:rPr>
          <w:rFonts w:ascii="Arial" w:cs="Arial" w:eastAsia="Arial" w:hAnsi="Arial"/>
          <w:sz w:val="17"/>
          <w:szCs w:val="17"/>
          <w:b w:val="1"/>
          <w:bCs w:val="1"/>
          <w:color w:val="auto"/>
          <w:vertAlign w:val="superscript"/>
        </w:rPr>
        <w:t>(I)</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88265</wp:posOffset>
            </wp:positionV>
            <wp:extent cx="110490" cy="14986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10490" cy="14986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88265</wp:posOffset>
            </wp:positionV>
            <wp:extent cx="110490" cy="14986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10490" cy="149860"/>
                    </a:xfrm>
                    <a:prstGeom prst="rect">
                      <a:avLst/>
                    </a:prstGeom>
                    <a:noFill/>
                  </pic:spPr>
                </pic:pic>
              </a:graphicData>
            </a:graphic>
          </wp:anchor>
        </w:drawing>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Tom Nealon</w:t>
      </w:r>
      <w:r>
        <w:rPr>
          <w:rFonts w:ascii="Arial" w:cs="Arial" w:eastAsia="Arial" w:hAnsi="Arial"/>
          <w:sz w:val="17"/>
          <w:szCs w:val="17"/>
          <w:b w:val="1"/>
          <w:bCs w:val="1"/>
          <w:color w:val="auto"/>
          <w:vertAlign w:val="superscript"/>
        </w:rPr>
        <w:t>(I)</w:t>
      </w:r>
      <w:r>
        <w:rPr>
          <w:rFonts w:ascii="Arial" w:cs="Arial" w:eastAsia="Arial" w:hAnsi="Arial"/>
          <w:sz w:val="13"/>
          <w:szCs w:val="13"/>
          <w:b w:val="1"/>
          <w:bCs w:val="1"/>
          <w:color w:val="auto"/>
        </w:rPr>
        <w:t xml:space="preserve">* </w:t>
      </w:r>
      <w:r>
        <w:rPr>
          <w:rFonts w:ascii="Arial" w:cs="Arial" w:eastAsia="Arial" w:hAnsi="Arial"/>
          <w:sz w:val="17"/>
          <w:szCs w:val="17"/>
          <w:b w:val="1"/>
          <w:bCs w:val="1"/>
          <w:color w:val="auto"/>
          <w:vertAlign w:val="superscript"/>
        </w:rPr>
        <w:t>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43115" cy="2368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7143115" cy="236855"/>
                    </a:xfrm>
                    <a:prstGeom prst="rect">
                      <a:avLst/>
                    </a:prstGeom>
                    <a:noFill/>
                  </pic:spPr>
                </pic:pic>
              </a:graphicData>
            </a:graphic>
          </wp:anchor>
        </w:drawing>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Theresa Palermo</w:t>
      </w:r>
      <w:r>
        <w:rPr>
          <w:rFonts w:ascii="Arial" w:cs="Arial" w:eastAsia="Arial" w:hAnsi="Arial"/>
          <w:sz w:val="17"/>
          <w:szCs w:val="17"/>
          <w:b w:val="1"/>
          <w:bCs w:val="1"/>
          <w:color w:val="auto"/>
          <w:vertAlign w:val="superscript"/>
        </w:rPr>
        <w:t>(I)</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Monique Picou</w:t>
      </w:r>
      <w:r>
        <w:rPr>
          <w:rFonts w:ascii="Arial" w:cs="Arial" w:eastAsia="Arial" w:hAnsi="Arial"/>
          <w:sz w:val="8"/>
          <w:szCs w:val="8"/>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143115" cy="2368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7143115" cy="236855"/>
                    </a:xfrm>
                    <a:prstGeom prst="rect">
                      <a:avLst/>
                    </a:prstGeom>
                    <a:noFill/>
                  </pic:spPr>
                </pic:pic>
              </a:graphicData>
            </a:graphic>
          </wp:anchor>
        </w:drawing>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Beryl Raff</w:t>
      </w:r>
      <w:r>
        <w:rPr>
          <w:rFonts w:ascii="Arial" w:cs="Arial" w:eastAsia="Arial" w:hAnsi="Arial"/>
          <w:sz w:val="17"/>
          <w:szCs w:val="17"/>
          <w:b w:val="1"/>
          <w:bCs w:val="1"/>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88265</wp:posOffset>
            </wp:positionV>
            <wp:extent cx="110490" cy="14986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10490" cy="149860"/>
                    </a:xfrm>
                    <a:prstGeom prst="rect">
                      <a:avLst/>
                    </a:prstGeom>
                    <a:noFill/>
                  </pic:spPr>
                </pic:pic>
              </a:graphicData>
            </a:graphic>
          </wp:anchor>
        </w:drawing>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Chris Turner</w:t>
      </w:r>
      <w:r>
        <w:rPr>
          <w:rFonts w:ascii="Arial" w:cs="Arial" w:eastAsia="Arial" w:hAnsi="Arial"/>
          <w:sz w:val="17"/>
          <w:szCs w:val="17"/>
          <w:b w:val="1"/>
          <w:bCs w:val="1"/>
          <w:color w:val="auto"/>
          <w:vertAlign w:val="superscript"/>
        </w:rPr>
        <w:t>(I)</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43115" cy="2368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7143115" cy="236855"/>
                    </a:xfrm>
                    <a:prstGeom prst="rect">
                      <a:avLst/>
                    </a:prstGeom>
                    <a:noFill/>
                  </pic:spPr>
                </pic:pic>
              </a:graphicData>
            </a:graphic>
          </wp:anchor>
        </w:drawing>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Jeff Tweedy</w:t>
      </w:r>
      <w:r>
        <w:rPr>
          <w:rFonts w:ascii="Arial" w:cs="Arial" w:eastAsia="Arial" w:hAnsi="Arial"/>
          <w:sz w:val="17"/>
          <w:szCs w:val="17"/>
          <w:b w:val="1"/>
          <w:bCs w:val="1"/>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151765</wp:posOffset>
            </wp:positionV>
            <wp:extent cx="71120" cy="10287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71120" cy="102870"/>
                    </a:xfrm>
                    <a:prstGeom prst="rect">
                      <a:avLst/>
                    </a:prstGeom>
                    <a:noFill/>
                  </pic:spPr>
                </pic:pic>
              </a:graphicData>
            </a:graphic>
          </wp:anchor>
        </w:drawing>
      </w:r>
    </w:p>
    <w:p>
      <w:pPr>
        <w:spacing w:after="0" w:line="219" w:lineRule="exact"/>
        <w:rPr>
          <w:sz w:val="20"/>
          <w:szCs w:val="20"/>
          <w:color w:val="auto"/>
        </w:rPr>
      </w:pPr>
    </w:p>
    <w:p>
      <w:pPr>
        <w:ind w:left="360"/>
        <w:spacing w:after="0"/>
        <w:tabs>
          <w:tab w:leader="none" w:pos="4120" w:val="left"/>
          <w:tab w:leader="none" w:pos="6280" w:val="left"/>
          <w:tab w:leader="none" w:pos="9700" w:val="left"/>
        </w:tabs>
        <w:rPr>
          <w:sz w:val="20"/>
          <w:szCs w:val="20"/>
          <w:color w:val="auto"/>
        </w:rPr>
      </w:pPr>
      <w:r>
        <w:rPr>
          <w:rFonts w:ascii="Arial" w:cs="Arial" w:eastAsia="Arial" w:hAnsi="Arial"/>
          <w:sz w:val="13"/>
          <w:szCs w:val="13"/>
          <w:b w:val="1"/>
          <w:bCs w:val="1"/>
          <w:color w:val="auto"/>
        </w:rPr>
        <w:t xml:space="preserve">Committee Chair         </w:t>
      </w:r>
      <w:r>
        <w:rPr>
          <w:sz w:val="1"/>
          <w:szCs w:val="1"/>
          <w:color w:val="auto"/>
        </w:rPr>
        <w:drawing>
          <wp:inline distT="0" distB="0" distL="0" distR="0">
            <wp:extent cx="71120" cy="102870"/>
            <wp:effectExtent l="0" t="0" r="0" b="0"/>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71120" cy="102870"/>
                    </a:xfrm>
                    <a:prstGeom prst="rect">
                      <a:avLst/>
                    </a:prstGeom>
                    <a:noFill/>
                    <a:ln>
                      <a:noFill/>
                    </a:ln>
                  </pic:spPr>
                </pic:pic>
              </a:graphicData>
            </a:graphic>
          </wp:inline>
        </w:drawing>
      </w:r>
      <w:r>
        <w:rPr>
          <w:rFonts w:ascii="Arial" w:cs="Arial" w:eastAsia="Arial" w:hAnsi="Arial"/>
          <w:sz w:val="13"/>
          <w:szCs w:val="13"/>
          <w:b w:val="1"/>
          <w:bCs w:val="1"/>
          <w:color w:val="auto"/>
        </w:rPr>
        <w:t xml:space="preserve">  Committee Member</w:t>
      </w:r>
      <w:r>
        <w:rPr>
          <w:sz w:val="20"/>
          <w:szCs w:val="20"/>
          <w:color w:val="auto"/>
        </w:rPr>
        <w:tab/>
      </w:r>
      <w:r>
        <w:rPr>
          <w:rFonts w:ascii="Arial" w:cs="Arial" w:eastAsia="Arial" w:hAnsi="Arial"/>
          <w:sz w:val="13"/>
          <w:szCs w:val="13"/>
          <w:b w:val="1"/>
          <w:bCs w:val="1"/>
          <w:color w:val="auto"/>
        </w:rPr>
        <w:t xml:space="preserve">(I) </w:t>
      </w:r>
      <w:r>
        <w:rPr>
          <w:rFonts w:ascii="Arial" w:cs="Arial" w:eastAsia="Arial" w:hAnsi="Arial"/>
          <w:sz w:val="13"/>
          <w:szCs w:val="13"/>
          <w:color w:val="auto"/>
        </w:rPr>
        <w:t>Independent Director</w:t>
      </w:r>
      <w:r>
        <w:rPr>
          <w:sz w:val="20"/>
          <w:szCs w:val="20"/>
          <w:color w:val="auto"/>
        </w:rPr>
        <w:tab/>
      </w:r>
      <w:r>
        <w:rPr>
          <w:rFonts w:ascii="Arial" w:cs="Arial" w:eastAsia="Arial" w:hAnsi="Arial"/>
          <w:sz w:val="13"/>
          <w:szCs w:val="13"/>
          <w:b w:val="1"/>
          <w:bCs w:val="1"/>
          <w:color w:val="auto"/>
        </w:rPr>
        <w:t xml:space="preserve">* </w:t>
      </w:r>
      <w:r>
        <w:rPr>
          <w:rFonts w:ascii="Arial" w:cs="Arial" w:eastAsia="Arial" w:hAnsi="Arial"/>
          <w:sz w:val="13"/>
          <w:szCs w:val="13"/>
          <w:color w:val="auto"/>
        </w:rPr>
        <w:t>SEC Audit Committee Financial Expert</w:t>
      </w:r>
      <w:r>
        <w:rPr>
          <w:sz w:val="20"/>
          <w:szCs w:val="20"/>
          <w:color w:val="auto"/>
        </w:rPr>
        <w:tab/>
      </w:r>
      <w:r>
        <w:rPr>
          <w:rFonts w:ascii="Arial" w:cs="Arial" w:eastAsia="Arial" w:hAnsi="Arial"/>
          <w:sz w:val="13"/>
          <w:szCs w:val="13"/>
          <w:b w:val="1"/>
          <w:bCs w:val="1"/>
          <w:color w:val="auto"/>
        </w:rPr>
        <w:t xml:space="preserve">LD </w:t>
      </w:r>
      <w:r>
        <w:rPr>
          <w:rFonts w:ascii="Arial" w:cs="Arial" w:eastAsia="Arial" w:hAnsi="Arial"/>
          <w:sz w:val="13"/>
          <w:szCs w:val="13"/>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758825</wp:posOffset>
            </wp:positionV>
            <wp:extent cx="7168515" cy="4127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464185</wp:posOffset>
            </wp:positionV>
            <wp:extent cx="789305" cy="18923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007EC4"/>
        </w:rPr>
        <w:t xml:space="preserve">28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7151370" cy="136525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7151370" cy="136525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FFFFFF"/>
        </w:rPr>
        <w:t>Audit</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FFFFFF"/>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50"/>
        <w:spacing w:after="0"/>
        <w:rPr>
          <w:sz w:val="20"/>
          <w:szCs w:val="20"/>
          <w:color w:val="auto"/>
        </w:rPr>
      </w:pPr>
      <w:r>
        <w:rPr>
          <w:rFonts w:ascii="Arial" w:cs="Arial" w:eastAsia="Arial" w:hAnsi="Arial"/>
          <w:sz w:val="14"/>
          <w:szCs w:val="14"/>
          <w:b w:val="1"/>
          <w:bCs w:val="1"/>
          <w:color w:val="1B4093"/>
        </w:rPr>
        <w:t>Members:</w:t>
      </w:r>
    </w:p>
    <w:p>
      <w:pPr>
        <w:spacing w:after="0" w:line="42" w:lineRule="exact"/>
        <w:rPr>
          <w:sz w:val="20"/>
          <w:szCs w:val="20"/>
          <w:color w:val="auto"/>
        </w:rPr>
      </w:pPr>
    </w:p>
    <w:p>
      <w:pPr>
        <w:ind w:left="130" w:hanging="130"/>
        <w:spacing w:after="0"/>
        <w:tabs>
          <w:tab w:leader="none" w:pos="13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Brian Marley (Chair)</w:t>
      </w:r>
    </w:p>
    <w:p>
      <w:pPr>
        <w:spacing w:after="0" w:line="31" w:lineRule="exact"/>
        <w:rPr>
          <w:rFonts w:ascii="Arial" w:cs="Arial" w:eastAsia="Arial" w:hAnsi="Arial"/>
          <w:sz w:val="14"/>
          <w:szCs w:val="14"/>
          <w:color w:val="auto"/>
        </w:rPr>
      </w:pPr>
    </w:p>
    <w:p>
      <w:pPr>
        <w:ind w:left="130" w:hanging="130"/>
        <w:spacing w:after="0"/>
        <w:tabs>
          <w:tab w:leader="none" w:pos="13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Wendy Beck</w:t>
      </w:r>
    </w:p>
    <w:p>
      <w:pPr>
        <w:spacing w:after="0" w:line="15" w:lineRule="exact"/>
        <w:rPr>
          <w:rFonts w:ascii="Arial" w:cs="Arial" w:eastAsia="Arial" w:hAnsi="Arial"/>
          <w:sz w:val="15"/>
          <w:szCs w:val="15"/>
          <w:color w:val="auto"/>
        </w:rPr>
      </w:pPr>
    </w:p>
    <w:p>
      <w:pPr>
        <w:ind w:left="130" w:hanging="130"/>
        <w:spacing w:after="0"/>
        <w:tabs>
          <w:tab w:leader="none" w:pos="13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Tom Nealon</w:t>
      </w:r>
    </w:p>
    <w:p>
      <w:pPr>
        <w:spacing w:after="0" w:line="24" w:lineRule="exact"/>
        <w:rPr>
          <w:rFonts w:ascii="Arial" w:cs="Arial" w:eastAsia="Arial" w:hAnsi="Arial"/>
          <w:sz w:val="15"/>
          <w:szCs w:val="15"/>
          <w:color w:val="auto"/>
        </w:rPr>
      </w:pPr>
    </w:p>
    <w:p>
      <w:pPr>
        <w:ind w:left="130" w:hanging="130"/>
        <w:spacing w:after="0"/>
        <w:tabs>
          <w:tab w:leader="none" w:pos="13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Chris Turner</w:t>
      </w:r>
    </w:p>
    <w:p>
      <w:pPr>
        <w:spacing w:after="0" w:line="200" w:lineRule="exact"/>
        <w:rPr>
          <w:sz w:val="20"/>
          <w:szCs w:val="20"/>
          <w:color w:val="auto"/>
        </w:rPr>
      </w:pPr>
    </w:p>
    <w:p>
      <w:pPr>
        <w:spacing w:after="0" w:line="288"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1B4093"/>
        </w:rPr>
        <w:t>Number of meetings</w:t>
      </w:r>
    </w:p>
    <w:p>
      <w:pPr>
        <w:spacing w:after="0" w:line="3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1B4093"/>
        </w:rPr>
        <w:t xml:space="preserve">in fiscal 2024: </w:t>
      </w:r>
      <w:r>
        <w:rPr>
          <w:rFonts w:ascii="Arial" w:cs="Arial" w:eastAsia="Arial" w:hAnsi="Arial"/>
          <w:sz w:val="15"/>
          <w:szCs w:val="15"/>
          <w:color w:val="000000"/>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1B4093"/>
        </w:rPr>
        <w:t xml:space="preserve">Independence: </w:t>
      </w:r>
      <w:r>
        <w:rPr>
          <w:rFonts w:ascii="Arial" w:cs="Arial" w:eastAsia="Arial" w:hAnsi="Arial"/>
          <w:sz w:val="13"/>
          <w:szCs w:val="13"/>
          <w:color w:val="000000"/>
        </w:rPr>
        <w:t>The Board has determined that each member of the Audit Committee is</w:t>
      </w:r>
    </w:p>
    <w:p>
      <w:pPr>
        <w:spacing w:after="0" w:line="31" w:lineRule="exact"/>
        <w:rPr>
          <w:sz w:val="20"/>
          <w:szCs w:val="20"/>
          <w:color w:val="auto"/>
        </w:rPr>
      </w:pPr>
    </w:p>
    <w:p>
      <w:pPr>
        <w:ind w:right="420"/>
        <w:spacing w:after="0" w:line="284" w:lineRule="auto"/>
        <w:rPr>
          <w:sz w:val="20"/>
          <w:szCs w:val="20"/>
          <w:color w:val="auto"/>
        </w:rPr>
      </w:pPr>
      <w:r>
        <w:rPr>
          <w:rFonts w:ascii="Arial" w:cs="Arial" w:eastAsia="Arial" w:hAnsi="Arial"/>
          <w:sz w:val="13"/>
          <w:szCs w:val="13"/>
          <w:color w:val="auto"/>
        </w:rPr>
        <w:t>“independent,” as required by Rule 10A-3 under the Exchange Act, and the Nasdaq Listing Rules applicable to directors and audit committee members, and meets the “financial sophistication” requirement within the meaning of the Nasdaq Listing Rules, and has also determined that Messrs. Marley, Nealon, and Turner and Ms. Beck each qualify as an “audit committee financial expert,” as defined in Item 407(d)(5) of Regulation S-K under the Securities Act.</w:t>
      </w:r>
    </w:p>
    <w:p>
      <w:pPr>
        <w:spacing w:after="0" w:line="506" w:lineRule="exact"/>
        <w:rPr>
          <w:sz w:val="20"/>
          <w:szCs w:val="20"/>
          <w:color w:val="auto"/>
        </w:rPr>
      </w:pPr>
    </w:p>
    <w:p>
      <w:pPr>
        <w:sectPr>
          <w:pgSz w:w="11900" w:h="16838" w:orient="portrait"/>
          <w:cols w:equalWidth="0" w:num="3">
            <w:col w:w="2130" w:space="720"/>
            <w:col w:w="1470" w:space="720"/>
            <w:col w:w="6200"/>
          </w:cols>
          <w:pgMar w:left="320" w:top="157" w:right="339" w:bottom="1440" w:gutter="0" w:footer="0" w:header="0"/>
          <w:type w:val="continuous"/>
        </w:sectPr>
      </w:pPr>
    </w:p>
    <w:p>
      <w:pPr>
        <w:spacing w:after="0" w:line="319" w:lineRule="exact"/>
        <w:rPr>
          <w:sz w:val="20"/>
          <w:szCs w:val="20"/>
          <w:color w:val="auto"/>
        </w:rPr>
      </w:pPr>
    </w:p>
    <w:p>
      <w:pPr>
        <w:ind w:right="520"/>
        <w:spacing w:after="0" w:line="310" w:lineRule="auto"/>
        <w:rPr>
          <w:sz w:val="20"/>
          <w:szCs w:val="20"/>
          <w:color w:val="auto"/>
        </w:rPr>
      </w:pPr>
      <w:r>
        <w:rPr>
          <w:rFonts w:ascii="Arial" w:cs="Arial" w:eastAsia="Arial" w:hAnsi="Arial"/>
          <w:sz w:val="15"/>
          <w:szCs w:val="15"/>
          <w:color w:val="auto"/>
        </w:rPr>
        <w:t>Under the Audit Committee’s charter, which is reviewed by the Audit Committee annually, the oversight responsibilities of the Audit Committee involve the following (among others):</w:t>
      </w:r>
    </w:p>
    <w:p>
      <w:pPr>
        <w:spacing w:after="0" w:line="39" w:lineRule="exact"/>
        <w:rPr>
          <w:sz w:val="20"/>
          <w:szCs w:val="20"/>
          <w:color w:val="auto"/>
        </w:rPr>
      </w:pPr>
    </w:p>
    <w:p>
      <w:pPr>
        <w:ind w:left="340" w:hanging="191"/>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overseeing our consolidated financial statements and the audits thereof, earnings press releases, and earnings guidance;</w:t>
      </w:r>
    </w:p>
    <w:p>
      <w:pPr>
        <w:spacing w:after="0" w:line="100" w:lineRule="exact"/>
        <w:rPr>
          <w:rFonts w:ascii="Arial" w:cs="Arial" w:eastAsia="Arial" w:hAnsi="Arial"/>
          <w:sz w:val="15"/>
          <w:szCs w:val="15"/>
          <w:color w:val="auto"/>
        </w:rPr>
      </w:pPr>
    </w:p>
    <w:p>
      <w:pPr>
        <w:ind w:left="380" w:right="760" w:hanging="231"/>
        <w:spacing w:after="0" w:line="276" w:lineRule="auto"/>
        <w:tabs>
          <w:tab w:leader="none" w:pos="357" w:val="left"/>
        </w:tabs>
        <w:numPr>
          <w:ilvl w:val="0"/>
          <w:numId w:val="39"/>
        </w:numPr>
        <w:rPr>
          <w:rFonts w:ascii="Arial" w:cs="Arial" w:eastAsia="Arial" w:hAnsi="Arial"/>
          <w:sz w:val="15"/>
          <w:szCs w:val="15"/>
          <w:color w:val="auto"/>
        </w:rPr>
      </w:pPr>
      <w:r>
        <w:rPr>
          <w:rFonts w:ascii="Arial" w:cs="Arial" w:eastAsia="Arial" w:hAnsi="Arial"/>
          <w:sz w:val="15"/>
          <w:szCs w:val="15"/>
          <w:color w:val="auto"/>
        </w:rPr>
        <w:t>engaging our independent registered public accounting firm and reviewing and approving or confirming its compensation, qualifications, performance, and independence;</w:t>
      </w:r>
    </w:p>
    <w:p>
      <w:pPr>
        <w:spacing w:after="0" w:line="63" w:lineRule="exact"/>
        <w:rPr>
          <w:rFonts w:ascii="Arial" w:cs="Arial" w:eastAsia="Arial" w:hAnsi="Arial"/>
          <w:sz w:val="15"/>
          <w:szCs w:val="15"/>
          <w:color w:val="auto"/>
        </w:rPr>
      </w:pPr>
    </w:p>
    <w:p>
      <w:pPr>
        <w:ind w:left="340" w:hanging="191"/>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overseeing our accounting, financial reporting, and disclosure processes, practices and controls, and the quality and integrity thereof;</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overseeing our systems of internal controls regarding financial reporting and the adequacy and soundness thereof;</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overseeing our internal audit function and its performance;</w:t>
      </w:r>
    </w:p>
    <w:p>
      <w:pPr>
        <w:spacing w:after="0" w:line="100" w:lineRule="exact"/>
        <w:rPr>
          <w:rFonts w:ascii="Arial" w:cs="Arial" w:eastAsia="Arial" w:hAnsi="Arial"/>
          <w:sz w:val="15"/>
          <w:szCs w:val="15"/>
          <w:color w:val="auto"/>
        </w:rPr>
      </w:pPr>
    </w:p>
    <w:p>
      <w:pPr>
        <w:ind w:left="380" w:right="160" w:hanging="231"/>
        <w:spacing w:after="0" w:line="276" w:lineRule="auto"/>
        <w:tabs>
          <w:tab w:leader="none" w:pos="357" w:val="left"/>
        </w:tabs>
        <w:numPr>
          <w:ilvl w:val="0"/>
          <w:numId w:val="39"/>
        </w:numPr>
        <w:rPr>
          <w:rFonts w:ascii="Arial" w:cs="Arial" w:eastAsia="Arial" w:hAnsi="Arial"/>
          <w:sz w:val="15"/>
          <w:szCs w:val="15"/>
          <w:color w:val="auto"/>
        </w:rPr>
      </w:pPr>
      <w:r>
        <w:rPr>
          <w:rFonts w:ascii="Arial" w:cs="Arial" w:eastAsia="Arial" w:hAnsi="Arial"/>
          <w:sz w:val="15"/>
          <w:szCs w:val="15"/>
          <w:color w:val="auto"/>
        </w:rPr>
        <w:t>overseeing our enterprise risk management and periodically reviewing and discussing with management and our independent registered public accounting firm our major enterprise risk exposure;</w:t>
      </w:r>
    </w:p>
    <w:p>
      <w:pPr>
        <w:spacing w:after="0" w:line="63" w:lineRule="exact"/>
        <w:rPr>
          <w:rFonts w:ascii="Arial" w:cs="Arial" w:eastAsia="Arial" w:hAnsi="Arial"/>
          <w:sz w:val="15"/>
          <w:szCs w:val="15"/>
          <w:color w:val="auto"/>
        </w:rPr>
      </w:pPr>
    </w:p>
    <w:p>
      <w:pPr>
        <w:ind w:left="380" w:hanging="231"/>
        <w:spacing w:after="0" w:line="276" w:lineRule="auto"/>
        <w:tabs>
          <w:tab w:leader="none" w:pos="357" w:val="left"/>
        </w:tabs>
        <w:numPr>
          <w:ilvl w:val="0"/>
          <w:numId w:val="39"/>
        </w:numPr>
        <w:rPr>
          <w:rFonts w:ascii="Arial" w:cs="Arial" w:eastAsia="Arial" w:hAnsi="Arial"/>
          <w:sz w:val="15"/>
          <w:szCs w:val="15"/>
          <w:color w:val="auto"/>
        </w:rPr>
      </w:pPr>
      <w:r>
        <w:rPr>
          <w:rFonts w:ascii="Arial" w:cs="Arial" w:eastAsia="Arial" w:hAnsi="Arial"/>
          <w:sz w:val="15"/>
          <w:szCs w:val="15"/>
          <w:color w:val="auto"/>
        </w:rPr>
        <w:t>overseeing our information technology and cybersecurity programs and periodically reviewing, evaluating, and discussing the adequacy of our information technology security program, compliance, and controls with our Chief Information Officer;</w:t>
      </w:r>
    </w:p>
    <w:p>
      <w:pPr>
        <w:spacing w:after="0" w:line="63" w:lineRule="exact"/>
        <w:rPr>
          <w:rFonts w:ascii="Arial" w:cs="Arial" w:eastAsia="Arial" w:hAnsi="Arial"/>
          <w:sz w:val="15"/>
          <w:szCs w:val="15"/>
          <w:color w:val="auto"/>
        </w:rPr>
      </w:pPr>
    </w:p>
    <w:p>
      <w:pPr>
        <w:ind w:left="340" w:hanging="191"/>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reviewing our legal, compliance, ethics and whistleblower programs and related matters;</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pre-approving, eligible audit and non-audit services to be performed by the independent registered public accounting firm;</w:t>
      </w:r>
    </w:p>
    <w:p>
      <w:pPr>
        <w:spacing w:after="0" w:line="100" w:lineRule="exact"/>
        <w:rPr>
          <w:rFonts w:ascii="Arial" w:cs="Arial" w:eastAsia="Arial" w:hAnsi="Arial"/>
          <w:sz w:val="15"/>
          <w:szCs w:val="15"/>
          <w:color w:val="auto"/>
        </w:rPr>
      </w:pPr>
    </w:p>
    <w:p>
      <w:pPr>
        <w:ind w:left="380" w:right="140" w:hanging="231"/>
        <w:spacing w:after="0" w:line="293" w:lineRule="auto"/>
        <w:tabs>
          <w:tab w:leader="none" w:pos="357"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reviewing with management, and as applicable, our independent registered public accounting firm, disclosure controls and procedures over corporate responsibility reporting data and related disclosures;</w:t>
      </w:r>
    </w:p>
    <w:p>
      <w:pPr>
        <w:spacing w:after="0" w:line="38" w:lineRule="exact"/>
        <w:rPr>
          <w:rFonts w:ascii="Arial" w:cs="Arial" w:eastAsia="Arial" w:hAnsi="Arial"/>
          <w:sz w:val="15"/>
          <w:szCs w:val="15"/>
          <w:color w:val="auto"/>
        </w:rPr>
      </w:pPr>
    </w:p>
    <w:p>
      <w:pPr>
        <w:ind w:left="340" w:hanging="191"/>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reviewing and approving, if applicable, related person transactions and overseeing other related person transactions under the accounting rules; and</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reviewing and approving the Report of the Audit Committee for inclusion in the Proxy Statement. For more information, see “Report of the Audit Committee.”</w:t>
      </w:r>
    </w:p>
    <w:p>
      <w:pPr>
        <w:spacing w:after="0" w:line="213"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Along with the Board, the Audit Committee receives regular reports from management to help ensure its effective and efficient oversight and to assist in its proper risk management and ongoing evaluation of management controls. Through its regular meetings with management, including the accounting, finance, legal, internal audit, risk management, business continuity, and information technology functions and discussions, as appropriate, with our independent registered public accounting firm and internal auditors, the Audit Committee reviews and discusses significant areas of our business, including areas of risk and appropriate mitigating factors. Our internal auditors report functionally and administratively to our Chief Financial Officer and directly to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773430</wp:posOffset>
            </wp:positionV>
            <wp:extent cx="7168515" cy="4127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478155</wp:posOffset>
            </wp:positionV>
            <wp:extent cx="789305" cy="18923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34" w:name="page35"/>
    <w:bookmarkEnd w:id="34"/>
    <w:p>
      <w:pPr>
        <w:ind w:left="754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873125</wp:posOffset>
            </wp:positionV>
            <wp:extent cx="7151370" cy="123952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7151370" cy="12395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right="320"/>
        <w:spacing w:after="0" w:line="298" w:lineRule="auto"/>
        <w:rPr>
          <w:sz w:val="20"/>
          <w:szCs w:val="20"/>
          <w:color w:val="auto"/>
        </w:rPr>
      </w:pPr>
      <w:r>
        <w:rPr>
          <w:rFonts w:ascii="Arial" w:cs="Arial" w:eastAsia="Arial" w:hAnsi="Arial"/>
          <w:sz w:val="23"/>
          <w:szCs w:val="23"/>
          <w:b w:val="1"/>
          <w:bCs w:val="1"/>
          <w:color w:val="FFFFFF"/>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1B4093"/>
        </w:rPr>
        <w:t>Members:</w:t>
      </w:r>
    </w:p>
    <w:p>
      <w:pPr>
        <w:spacing w:after="0" w:line="31" w:lineRule="exact"/>
        <w:rPr>
          <w:sz w:val="20"/>
          <w:szCs w:val="20"/>
          <w:color w:val="auto"/>
        </w:rPr>
      </w:pPr>
    </w:p>
    <w:p>
      <w:pPr>
        <w:ind w:left="140" w:hanging="138"/>
        <w:spacing w:after="0"/>
        <w:tabs>
          <w:tab w:leader="none" w:pos="1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Beryl Raff (Chair)</w:t>
      </w:r>
    </w:p>
    <w:p>
      <w:pPr>
        <w:spacing w:after="0" w:line="20" w:lineRule="exact"/>
        <w:rPr>
          <w:rFonts w:ascii="Arial" w:cs="Arial" w:eastAsia="Arial" w:hAnsi="Arial"/>
          <w:sz w:val="15"/>
          <w:szCs w:val="15"/>
          <w:color w:val="auto"/>
        </w:rPr>
      </w:pPr>
    </w:p>
    <w:p>
      <w:pPr>
        <w:ind w:left="140" w:hanging="138"/>
        <w:spacing w:after="0"/>
        <w:tabs>
          <w:tab w:leader="none" w:pos="1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Tom Nealon</w:t>
      </w:r>
    </w:p>
    <w:p>
      <w:pPr>
        <w:spacing w:after="0" w:line="15" w:lineRule="exact"/>
        <w:rPr>
          <w:rFonts w:ascii="Arial" w:cs="Arial" w:eastAsia="Arial" w:hAnsi="Arial"/>
          <w:sz w:val="15"/>
          <w:szCs w:val="15"/>
          <w:color w:val="auto"/>
        </w:rPr>
      </w:pPr>
    </w:p>
    <w:p>
      <w:pPr>
        <w:ind w:left="140" w:hanging="138"/>
        <w:spacing w:after="0"/>
        <w:tabs>
          <w:tab w:leader="none" w:pos="1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Jeff Tweedy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1B4093"/>
        </w:rPr>
        <w:t>Number of meetings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1B4093"/>
        </w:rPr>
        <w:t xml:space="preserve">in fiscal 2024: </w:t>
      </w:r>
      <w:r>
        <w:rPr>
          <w:rFonts w:ascii="Arial" w:cs="Arial" w:eastAsia="Arial" w:hAnsi="Arial"/>
          <w:sz w:val="15"/>
          <w:szCs w:val="15"/>
          <w:color w:val="000000"/>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color w:val="1B4093"/>
        </w:rPr>
        <w:t xml:space="preserve">Independence: </w:t>
      </w:r>
      <w:r>
        <w:rPr>
          <w:rFonts w:ascii="Arial" w:cs="Arial" w:eastAsia="Arial" w:hAnsi="Arial"/>
          <w:sz w:val="13"/>
          <w:szCs w:val="13"/>
          <w:color w:val="000000"/>
        </w:rPr>
        <w:t>The Board has determined that each member of the Compensation Committee is</w:t>
      </w:r>
    </w:p>
    <w:p>
      <w:pPr>
        <w:spacing w:after="0" w:line="31" w:lineRule="exact"/>
        <w:rPr>
          <w:sz w:val="20"/>
          <w:szCs w:val="20"/>
          <w:color w:val="auto"/>
        </w:rPr>
      </w:pPr>
    </w:p>
    <w:p>
      <w:pPr>
        <w:jc w:val="both"/>
        <w:ind w:right="360"/>
        <w:spacing w:after="0" w:line="288" w:lineRule="auto"/>
        <w:rPr>
          <w:sz w:val="20"/>
          <w:szCs w:val="20"/>
          <w:color w:val="auto"/>
        </w:rPr>
      </w:pPr>
      <w:r>
        <w:rPr>
          <w:rFonts w:ascii="Arial" w:cs="Arial" w:eastAsia="Arial" w:hAnsi="Arial"/>
          <w:sz w:val="13"/>
          <w:szCs w:val="13"/>
          <w:color w:val="auto"/>
        </w:rPr>
        <w:t>“independent” as required under the Nasdaq Listing Rules applicable to directors and members of a compensation committee and also qualifies as a “non-employee” director for purposes of Section 16 of the Exchange Act.</w:t>
      </w:r>
    </w:p>
    <w:p>
      <w:pPr>
        <w:spacing w:after="0" w:line="579" w:lineRule="exact"/>
        <w:rPr>
          <w:sz w:val="20"/>
          <w:szCs w:val="20"/>
          <w:color w:val="auto"/>
        </w:rPr>
      </w:pPr>
    </w:p>
    <w:p>
      <w:pPr>
        <w:sectPr>
          <w:pgSz w:w="11900" w:h="16838" w:orient="portrait"/>
          <w:cols w:equalWidth="0" w:num="3">
            <w:col w:w="2140" w:space="720"/>
            <w:col w:w="1460" w:space="720"/>
            <w:col w:w="6200"/>
          </w:cols>
          <w:pgMar w:left="320" w:top="132" w:right="339" w:bottom="1440" w:gutter="0" w:footer="0" w:header="0"/>
          <w:type w:val="continuous"/>
        </w:sectPr>
      </w:pP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Under the Compensation Committee’s charter, which is reviewed by the Compensation Committee annually, the oversight responsibilities of the Compensation Committee involve the following (among others):</w:t>
      </w:r>
    </w:p>
    <w:p>
      <w:pPr>
        <w:spacing w:after="0" w:line="63" w:lineRule="exact"/>
        <w:rPr>
          <w:sz w:val="20"/>
          <w:szCs w:val="20"/>
          <w:color w:val="auto"/>
        </w:rPr>
      </w:pPr>
    </w:p>
    <w:p>
      <w:pPr>
        <w:ind w:left="340" w:hanging="191"/>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overseeing, reviewing, and approving the overall compensation philosophy of the Company;</w:t>
      </w:r>
    </w:p>
    <w:p>
      <w:pPr>
        <w:spacing w:after="0" w:line="100" w:lineRule="exact"/>
        <w:rPr>
          <w:rFonts w:ascii="Arial" w:cs="Arial" w:eastAsia="Arial" w:hAnsi="Arial"/>
          <w:sz w:val="15"/>
          <w:szCs w:val="15"/>
          <w:color w:val="auto"/>
        </w:rPr>
      </w:pPr>
    </w:p>
    <w:p>
      <w:pPr>
        <w:ind w:left="380" w:right="100" w:hanging="231"/>
        <w:spacing w:after="0" w:line="293" w:lineRule="auto"/>
        <w:tabs>
          <w:tab w:leader="none" w:pos="357"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reviewing and recommending corporate goals and performance objectives of the Chief Executive Officer and approving corporate goals and performance objectives of other executive officers, relevant to their compensation;</w:t>
      </w:r>
    </w:p>
    <w:p>
      <w:pPr>
        <w:spacing w:after="0" w:line="38" w:lineRule="exact"/>
        <w:rPr>
          <w:rFonts w:ascii="Arial" w:cs="Arial" w:eastAsia="Arial" w:hAnsi="Arial"/>
          <w:sz w:val="15"/>
          <w:szCs w:val="15"/>
          <w:color w:val="auto"/>
        </w:rPr>
      </w:pPr>
    </w:p>
    <w:p>
      <w:pPr>
        <w:ind w:left="340" w:hanging="191"/>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reviewing and evaluating the performance of Chief Executive Officer;</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reviewing and recommending compensation of directors and the Chief Executive Officer and approving compensation of other executive officers;</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reviewing and recommending policies and practices concerning executive officer compensation programs, benefit plans, perquisites, and expense accounts;</w:t>
      </w:r>
    </w:p>
    <w:p>
      <w:pPr>
        <w:spacing w:after="0" w:line="100" w:lineRule="exact"/>
        <w:rPr>
          <w:rFonts w:ascii="Arial" w:cs="Arial" w:eastAsia="Arial" w:hAnsi="Arial"/>
          <w:sz w:val="15"/>
          <w:szCs w:val="15"/>
          <w:color w:val="auto"/>
        </w:rPr>
      </w:pPr>
    </w:p>
    <w:p>
      <w:pPr>
        <w:ind w:left="380" w:right="60" w:hanging="231"/>
        <w:spacing w:after="0" w:line="267" w:lineRule="auto"/>
        <w:tabs>
          <w:tab w:leader="none" w:pos="357" w:val="left"/>
        </w:tabs>
        <w:numPr>
          <w:ilvl w:val="0"/>
          <w:numId w:val="41"/>
        </w:numPr>
        <w:rPr>
          <w:rFonts w:ascii="Arial" w:cs="Arial" w:eastAsia="Arial" w:hAnsi="Arial"/>
          <w:sz w:val="15"/>
          <w:szCs w:val="15"/>
          <w:color w:val="auto"/>
        </w:rPr>
      </w:pPr>
      <w:r>
        <w:rPr>
          <w:rFonts w:ascii="Arial" w:cs="Arial" w:eastAsia="Arial" w:hAnsi="Arial"/>
          <w:sz w:val="15"/>
          <w:szCs w:val="15"/>
          <w:color w:val="auto"/>
        </w:rPr>
        <w:t>overseeing the Company’s strategies and policies related to human capital management (and working with the Lead Director and the Board’s other committees concerning matters overseen by such other committees), including with respect to corporate responsibility related matters such as talent development, retention and workplace environment and culture;</w:t>
      </w:r>
    </w:p>
    <w:p>
      <w:pPr>
        <w:spacing w:after="0" w:line="58" w:lineRule="exact"/>
        <w:rPr>
          <w:rFonts w:ascii="Arial" w:cs="Arial" w:eastAsia="Arial" w:hAnsi="Arial"/>
          <w:sz w:val="15"/>
          <w:szCs w:val="15"/>
          <w:color w:val="auto"/>
        </w:rPr>
      </w:pPr>
    </w:p>
    <w:p>
      <w:pPr>
        <w:ind w:left="380" w:right="80" w:hanging="231"/>
        <w:spacing w:after="0" w:line="293" w:lineRule="auto"/>
        <w:tabs>
          <w:tab w:leader="none" w:pos="357" w:val="left"/>
        </w:tabs>
        <w:numPr>
          <w:ilvl w:val="0"/>
          <w:numId w:val="41"/>
        </w:numPr>
        <w:rPr>
          <w:rFonts w:ascii="Arial" w:cs="Arial" w:eastAsia="Arial" w:hAnsi="Arial"/>
          <w:sz w:val="15"/>
          <w:szCs w:val="15"/>
          <w:color w:val="auto"/>
        </w:rPr>
      </w:pPr>
      <w:r>
        <w:rPr>
          <w:rFonts w:ascii="Arial" w:cs="Arial" w:eastAsia="Arial" w:hAnsi="Arial"/>
          <w:sz w:val="15"/>
          <w:szCs w:val="15"/>
          <w:color w:val="auto"/>
        </w:rPr>
        <w:t>administering or overseeing incentive compensation, stock incentive and stock purchase plans, including determining grants of equity awards under the stock-based plans;</w:t>
      </w:r>
    </w:p>
    <w:p>
      <w:pPr>
        <w:spacing w:after="0" w:line="38" w:lineRule="exact"/>
        <w:rPr>
          <w:rFonts w:ascii="Arial" w:cs="Arial" w:eastAsia="Arial" w:hAnsi="Arial"/>
          <w:sz w:val="15"/>
          <w:szCs w:val="15"/>
          <w:color w:val="auto"/>
        </w:rPr>
      </w:pPr>
    </w:p>
    <w:p>
      <w:pPr>
        <w:ind w:left="340" w:hanging="191"/>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undertaking annual review and risk assessment of compensation policies and practices;</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overseeing executive officer succession planning;</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reviewing and/or recommending any employment contracts or transactions involving directors or executive officers and any related compensation arrangements;</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assessing and monitoring the independence of its compensation consultant and legal counsel;</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assessing results of the Company’s most recent stockholder advisory votes on the Company’s named executive officers compensation;</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pre-approving services to be provided to the Company by its compensation consultant;</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reviewing and discussing with management the Company’s engagement efforts with stockholders on the subject of executive officer compensation;</w:t>
      </w:r>
    </w:p>
    <w:p>
      <w:pPr>
        <w:spacing w:after="0" w:line="100" w:lineRule="exact"/>
        <w:rPr>
          <w:rFonts w:ascii="Arial" w:cs="Arial" w:eastAsia="Arial" w:hAnsi="Arial"/>
          <w:sz w:val="15"/>
          <w:szCs w:val="15"/>
          <w:color w:val="auto"/>
        </w:rPr>
      </w:pPr>
    </w:p>
    <w:p>
      <w:pPr>
        <w:ind w:left="380" w:right="520" w:hanging="231"/>
        <w:spacing w:after="0" w:line="276" w:lineRule="auto"/>
        <w:tabs>
          <w:tab w:leader="none" w:pos="357"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reviewing, approving, and monitoring compliance with stock ownership guidelines for directors and executive officers and overseeing the administration of the Company’s clawback policy; and</w:t>
      </w:r>
    </w:p>
    <w:p>
      <w:pPr>
        <w:spacing w:after="0" w:line="63" w:lineRule="exact"/>
        <w:rPr>
          <w:rFonts w:ascii="Arial" w:cs="Arial" w:eastAsia="Arial" w:hAnsi="Arial"/>
          <w:sz w:val="15"/>
          <w:szCs w:val="15"/>
          <w:color w:val="auto"/>
        </w:rPr>
      </w:pPr>
    </w:p>
    <w:p>
      <w:pPr>
        <w:ind w:left="380" w:right="500" w:hanging="231"/>
        <w:spacing w:after="0" w:line="276" w:lineRule="auto"/>
        <w:tabs>
          <w:tab w:leader="none" w:pos="357"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reviewing and approving the Compensation and Discussion Analysis and the Compensation Committee Report for inclusion in the Proxy Statement. For more information, see “Compensation &amp; Discussion Analysis” and “Compensation Committee Report".</w:t>
      </w:r>
    </w:p>
    <w:p>
      <w:pPr>
        <w:spacing w:after="0" w:line="163"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auto"/>
        </w:rPr>
        <w:t>Along with the Board, the Compensation Committee receives regular reports from management to help ensure its effective and efficient oversight and to assist in its proper risk management and ongoing evaluation of compensation programs. Through its regular meetings with management, including the human resources, compensation, and legal functions and discussions, as appropriate, with its independent compensation consultant, the Compensation Committee reviews and discusses significant areas of our business, including areas of risk and appropriate mitigating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774065</wp:posOffset>
            </wp:positionV>
            <wp:extent cx="7168515" cy="4127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487045</wp:posOffset>
            </wp:positionV>
            <wp:extent cx="789305" cy="18923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3"/>
          <w:szCs w:val="13"/>
          <w:b w:val="1"/>
          <w:bCs w:val="1"/>
          <w:color w:val="007EC4"/>
        </w:rPr>
        <w:t xml:space="preserve">30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7151370" cy="123952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7151370" cy="1239520"/>
                    </a:xfrm>
                    <a:prstGeom prst="rect">
                      <a:avLst/>
                    </a:prstGeom>
                    <a:noFill/>
                  </pic:spPr>
                </pic:pic>
              </a:graphicData>
            </a:graphic>
          </wp:anchor>
        </w:drawing>
      </w:r>
    </w:p>
    <w:p>
      <w:pPr>
        <w:sectPr>
          <w:pgSz w:w="11900" w:h="16838" w:orient="portrait"/>
          <w:cols w:equalWidth="0" w:num="1">
            <w:col w:w="11140"/>
          </w:cols>
          <w:pgMar w:left="320" w:top="15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line="298" w:lineRule="auto"/>
        <w:rPr>
          <w:sz w:val="20"/>
          <w:szCs w:val="20"/>
          <w:color w:val="auto"/>
        </w:rPr>
      </w:pPr>
      <w:r>
        <w:rPr>
          <w:rFonts w:ascii="Arial" w:cs="Arial" w:eastAsia="Arial" w:hAnsi="Arial"/>
          <w:sz w:val="23"/>
          <w:szCs w:val="23"/>
          <w:b w:val="1"/>
          <w:bCs w:val="1"/>
          <w:color w:val="FFFFFF"/>
        </w:rPr>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1B4093"/>
        </w:rPr>
        <w:t>Members:</w:t>
      </w:r>
    </w:p>
    <w:p>
      <w:pPr>
        <w:spacing w:after="0" w:line="31" w:lineRule="exact"/>
        <w:rPr>
          <w:sz w:val="20"/>
          <w:szCs w:val="20"/>
          <w:color w:val="auto"/>
        </w:rPr>
      </w:pPr>
    </w:p>
    <w:p>
      <w:pPr>
        <w:ind w:left="160" w:hanging="144"/>
        <w:spacing w:after="0"/>
        <w:tabs>
          <w:tab w:leader="none" w:pos="1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Wendy Beck (Chair)</w:t>
      </w:r>
    </w:p>
    <w:p>
      <w:pPr>
        <w:spacing w:after="0" w:line="20" w:lineRule="exact"/>
        <w:rPr>
          <w:rFonts w:ascii="Arial" w:cs="Arial" w:eastAsia="Arial" w:hAnsi="Arial"/>
          <w:sz w:val="15"/>
          <w:szCs w:val="15"/>
          <w:color w:val="auto"/>
        </w:rPr>
      </w:pPr>
    </w:p>
    <w:p>
      <w:pPr>
        <w:ind w:left="160" w:hanging="144"/>
        <w:spacing w:after="0"/>
        <w:tabs>
          <w:tab w:leader="none" w:pos="1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Theresa Palermo</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ind w:left="20"/>
              <w:spacing w:after="0"/>
              <w:rPr>
                <w:sz w:val="20"/>
                <w:szCs w:val="20"/>
                <w:color w:val="auto"/>
              </w:rPr>
            </w:pPr>
            <w:r>
              <w:rPr>
                <w:rFonts w:ascii="Arial" w:cs="Arial" w:eastAsia="Arial" w:hAnsi="Arial"/>
                <w:sz w:val="15"/>
                <w:szCs w:val="15"/>
                <w:color w:val="auto"/>
              </w:rPr>
              <w:t>• Jeff Tweedy</w:t>
            </w:r>
          </w:p>
        </w:tc>
        <w:tc>
          <w:tcPr>
            <w:tcW w:w="6000" w:type="dxa"/>
            <w:vAlign w:val="bottom"/>
          </w:tcPr>
          <w:p>
            <w:pPr>
              <w:ind w:left="300"/>
              <w:spacing w:after="0"/>
              <w:rPr>
                <w:sz w:val="20"/>
                <w:szCs w:val="20"/>
                <w:color w:val="auto"/>
              </w:rPr>
            </w:pPr>
            <w:r>
              <w:rPr>
                <w:rFonts w:ascii="Arial" w:cs="Arial" w:eastAsia="Arial" w:hAnsi="Arial"/>
                <w:sz w:val="15"/>
                <w:szCs w:val="15"/>
                <w:b w:val="1"/>
                <w:bCs w:val="1"/>
                <w:color w:val="1B4093"/>
              </w:rPr>
              <w:t xml:space="preserve">Independence: </w:t>
            </w:r>
            <w:r>
              <w:rPr>
                <w:rFonts w:ascii="Arial" w:cs="Arial" w:eastAsia="Arial" w:hAnsi="Arial"/>
                <w:sz w:val="13"/>
                <w:szCs w:val="13"/>
                <w:color w:val="000000"/>
              </w:rPr>
              <w:t>The Board has determined that each member of the Governance Committee is</w:t>
            </w:r>
          </w:p>
        </w:tc>
      </w:tr>
      <w:tr>
        <w:trPr>
          <w:trHeight w:val="174"/>
        </w:trPr>
        <w:tc>
          <w:tcPr>
            <w:tcW w:w="1900" w:type="dxa"/>
            <w:vAlign w:val="bottom"/>
          </w:tcPr>
          <w:p>
            <w:pPr>
              <w:spacing w:after="0"/>
              <w:rPr>
                <w:sz w:val="15"/>
                <w:szCs w:val="15"/>
                <w:color w:val="auto"/>
              </w:rPr>
            </w:pPr>
          </w:p>
        </w:tc>
        <w:tc>
          <w:tcPr>
            <w:tcW w:w="6000" w:type="dxa"/>
            <w:vAlign w:val="bottom"/>
          </w:tcPr>
          <w:p>
            <w:pPr>
              <w:ind w:left="300"/>
              <w:spacing w:after="0"/>
              <w:rPr>
                <w:sz w:val="20"/>
                <w:szCs w:val="20"/>
                <w:color w:val="auto"/>
              </w:rPr>
            </w:pPr>
            <w:r>
              <w:rPr>
                <w:rFonts w:ascii="Arial" w:cs="Arial" w:eastAsia="Arial" w:hAnsi="Arial"/>
                <w:sz w:val="13"/>
                <w:szCs w:val="13"/>
                <w:color w:val="auto"/>
              </w:rPr>
              <w:t>“independent” as required under the Nasdaq Listing Rules applicable to directors.</w:t>
            </w:r>
          </w:p>
        </w:tc>
      </w:tr>
      <w:tr>
        <w:trPr>
          <w:trHeight w:val="20"/>
        </w:trPr>
        <w:tc>
          <w:tcPr>
            <w:tcW w:w="1900" w:type="dxa"/>
            <w:vAlign w:val="bottom"/>
            <w:tcBorders>
              <w:bottom w:val="single" w:sz="8" w:color="B6B6B6"/>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353"/>
        </w:trPr>
        <w:tc>
          <w:tcPr>
            <w:tcW w:w="1900" w:type="dxa"/>
            <w:vAlign w:val="bottom"/>
          </w:tcPr>
          <w:p>
            <w:pPr>
              <w:ind w:left="20"/>
              <w:spacing w:after="0"/>
              <w:rPr>
                <w:sz w:val="20"/>
                <w:szCs w:val="20"/>
                <w:color w:val="auto"/>
              </w:rPr>
            </w:pPr>
            <w:r>
              <w:rPr>
                <w:rFonts w:ascii="Arial" w:cs="Arial" w:eastAsia="Arial" w:hAnsi="Arial"/>
                <w:sz w:val="15"/>
                <w:szCs w:val="15"/>
                <w:b w:val="1"/>
                <w:bCs w:val="1"/>
                <w:color w:val="1B4093"/>
              </w:rPr>
              <w:t>Number of meetings</w:t>
            </w:r>
          </w:p>
        </w:tc>
        <w:tc>
          <w:tcPr>
            <w:tcW w:w="6000" w:type="dxa"/>
            <w:vAlign w:val="bottom"/>
          </w:tcPr>
          <w:p>
            <w:pPr>
              <w:spacing w:after="0"/>
              <w:rPr>
                <w:sz w:val="24"/>
                <w:szCs w:val="24"/>
                <w:color w:val="auto"/>
              </w:rPr>
            </w:pPr>
          </w:p>
        </w:tc>
      </w:tr>
      <w:tr>
        <w:trPr>
          <w:trHeight w:val="203"/>
        </w:trPr>
        <w:tc>
          <w:tcPr>
            <w:tcW w:w="1900" w:type="dxa"/>
            <w:vAlign w:val="bottom"/>
          </w:tcPr>
          <w:p>
            <w:pPr>
              <w:ind w:left="20"/>
              <w:spacing w:after="0"/>
              <w:rPr>
                <w:sz w:val="20"/>
                <w:szCs w:val="20"/>
                <w:color w:val="auto"/>
              </w:rPr>
            </w:pPr>
            <w:r>
              <w:rPr>
                <w:rFonts w:ascii="Arial" w:cs="Arial" w:eastAsia="Arial" w:hAnsi="Arial"/>
                <w:sz w:val="15"/>
                <w:szCs w:val="15"/>
                <w:b w:val="1"/>
                <w:bCs w:val="1"/>
                <w:color w:val="1B4093"/>
              </w:rPr>
              <w:t xml:space="preserve">in fiscal 2024: </w:t>
            </w:r>
            <w:r>
              <w:rPr>
                <w:rFonts w:ascii="Arial" w:cs="Arial" w:eastAsia="Arial" w:hAnsi="Arial"/>
                <w:sz w:val="15"/>
                <w:szCs w:val="15"/>
                <w:color w:val="000000"/>
              </w:rPr>
              <w:t>4</w:t>
            </w:r>
          </w:p>
        </w:tc>
        <w:tc>
          <w:tcPr>
            <w:tcW w:w="60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2800" w:space="320"/>
            <w:col w:w="8020"/>
          </w:cols>
          <w:pgMar w:left="320" w:top="157" w:right="439" w:bottom="1440" w:gutter="0" w:footer="0" w:header="0"/>
          <w:type w:val="continuous"/>
        </w:sectPr>
      </w:pPr>
    </w:p>
    <w:p>
      <w:pPr>
        <w:spacing w:after="0" w:line="281"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Under the Governance Committee’s charter, which is reviewed by the Governance Committee annually, the oversight responsibilities of the Governance Committee involve the following (among others):</w:t>
      </w:r>
    </w:p>
    <w:p>
      <w:pPr>
        <w:spacing w:after="0" w:line="113" w:lineRule="exact"/>
        <w:rPr>
          <w:sz w:val="20"/>
          <w:szCs w:val="20"/>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developing the Company’s corporate governance practices, policies, and documents and overseeing the related risks;</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reviewing and monitoring the composition, size, structure, functioning, and performance of the Board and its committees;</w:t>
      </w:r>
    </w:p>
    <w:p>
      <w:pPr>
        <w:spacing w:after="0" w:line="113"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establishing criteria for the selection of candidates and nominees for appointment or election as directors to serve on the Board and its committees;</w:t>
      </w:r>
    </w:p>
    <w:p>
      <w:pPr>
        <w:spacing w:after="0" w:line="100" w:lineRule="exact"/>
        <w:rPr>
          <w:rFonts w:ascii="Arial" w:cs="Arial" w:eastAsia="Arial" w:hAnsi="Arial"/>
          <w:sz w:val="15"/>
          <w:szCs w:val="15"/>
          <w:color w:val="auto"/>
        </w:rPr>
      </w:pPr>
    </w:p>
    <w:p>
      <w:pPr>
        <w:ind w:left="440" w:right="100" w:hanging="217"/>
        <w:spacing w:after="0" w:line="293" w:lineRule="auto"/>
        <w:tabs>
          <w:tab w:leader="none" w:pos="417" w:val="left"/>
        </w:tabs>
        <w:numPr>
          <w:ilvl w:val="0"/>
          <w:numId w:val="43"/>
        </w:numPr>
        <w:rPr>
          <w:rFonts w:ascii="Arial" w:cs="Arial" w:eastAsia="Arial" w:hAnsi="Arial"/>
          <w:sz w:val="15"/>
          <w:szCs w:val="15"/>
          <w:color w:val="auto"/>
        </w:rPr>
      </w:pPr>
      <w:r>
        <w:rPr>
          <w:rFonts w:ascii="Arial" w:cs="Arial" w:eastAsia="Arial" w:hAnsi="Arial"/>
          <w:sz w:val="15"/>
          <w:szCs w:val="15"/>
          <w:color w:val="auto"/>
        </w:rPr>
        <w:t>identifying and recommending individuals believed to be qualified as director candidates or nominees, including recommendations as to whether current directors should stand for re-election, and the class of directors in which the candidate or nominee should serve;</w:t>
      </w:r>
    </w:p>
    <w:p>
      <w:pPr>
        <w:spacing w:after="0" w:line="38"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evaluating director candidates recommended by stockholders on a substantially similar basis as it considers other nominees;</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recommending directors to serve on the Board’s committees;</w:t>
      </w:r>
    </w:p>
    <w:p>
      <w:pPr>
        <w:spacing w:after="0" w:line="113"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reviewing the independence and possible conflicts of interest of directors;</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recommending an independent director to serve as Lead Director;</w:t>
      </w:r>
    </w:p>
    <w:p>
      <w:pPr>
        <w:spacing w:after="0" w:line="100" w:lineRule="exact"/>
        <w:rPr>
          <w:rFonts w:ascii="Arial" w:cs="Arial" w:eastAsia="Arial" w:hAnsi="Arial"/>
          <w:sz w:val="15"/>
          <w:szCs w:val="15"/>
          <w:color w:val="auto"/>
        </w:rPr>
      </w:pPr>
    </w:p>
    <w:p>
      <w:pPr>
        <w:ind w:left="440" w:right="120" w:hanging="217"/>
        <w:spacing w:after="0" w:line="331" w:lineRule="auto"/>
        <w:tabs>
          <w:tab w:leader="none" w:pos="417"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providing oversight and making recommendations for the Company’s corporate responsibility strategy and efforts, including the Company’s progress and public reporting on such initiatives, the long-and short-term impacts to the Company’s business of corporate responsibility issues and trends, and political contributions;</w:t>
      </w:r>
    </w:p>
    <w:p>
      <w:pPr>
        <w:spacing w:after="0" w:line="15" w:lineRule="exact"/>
        <w:rPr>
          <w:rFonts w:ascii="Arial" w:cs="Arial" w:eastAsia="Arial" w:hAnsi="Arial"/>
          <w:sz w:val="14"/>
          <w:szCs w:val="14"/>
          <w:color w:val="auto"/>
        </w:rPr>
      </w:pPr>
    </w:p>
    <w:p>
      <w:pPr>
        <w:ind w:left="440" w:right="400" w:hanging="217"/>
        <w:spacing w:after="0" w:line="293" w:lineRule="auto"/>
        <w:tabs>
          <w:tab w:leader="none" w:pos="417" w:val="left"/>
        </w:tabs>
        <w:numPr>
          <w:ilvl w:val="0"/>
          <w:numId w:val="43"/>
        </w:numPr>
        <w:rPr>
          <w:rFonts w:ascii="Arial" w:cs="Arial" w:eastAsia="Arial" w:hAnsi="Arial"/>
          <w:sz w:val="15"/>
          <w:szCs w:val="15"/>
          <w:color w:val="auto"/>
        </w:rPr>
      </w:pPr>
      <w:r>
        <w:rPr>
          <w:rFonts w:ascii="Arial" w:cs="Arial" w:eastAsia="Arial" w:hAnsi="Arial"/>
          <w:sz w:val="15"/>
          <w:szCs w:val="15"/>
          <w:color w:val="auto"/>
        </w:rPr>
        <w:t>periodically assessing directors’ time commitments, and as needed reviewing/approving directorships at other for-profit organizations offered to directors and executive officers;</w:t>
      </w:r>
    </w:p>
    <w:p>
      <w:pPr>
        <w:spacing w:after="0" w:line="38" w:lineRule="exact"/>
        <w:rPr>
          <w:rFonts w:ascii="Arial" w:cs="Arial" w:eastAsia="Arial" w:hAnsi="Arial"/>
          <w:sz w:val="15"/>
          <w:szCs w:val="15"/>
          <w:color w:val="auto"/>
        </w:rPr>
      </w:pPr>
    </w:p>
    <w:p>
      <w:pPr>
        <w:ind w:left="440" w:right="140" w:hanging="217"/>
        <w:spacing w:after="0" w:line="267" w:lineRule="auto"/>
        <w:tabs>
          <w:tab w:leader="none" w:pos="417" w:val="left"/>
        </w:tabs>
        <w:numPr>
          <w:ilvl w:val="0"/>
          <w:numId w:val="43"/>
        </w:numPr>
        <w:rPr>
          <w:rFonts w:ascii="Arial" w:cs="Arial" w:eastAsia="Arial" w:hAnsi="Arial"/>
          <w:sz w:val="15"/>
          <w:szCs w:val="15"/>
          <w:color w:val="auto"/>
        </w:rPr>
      </w:pPr>
      <w:r>
        <w:rPr>
          <w:rFonts w:ascii="Arial" w:cs="Arial" w:eastAsia="Arial" w:hAnsi="Arial"/>
          <w:sz w:val="15"/>
          <w:szCs w:val="15"/>
          <w:color w:val="auto"/>
        </w:rPr>
        <w:t>working with the Lead Director to oversee communications with stockholders, proxy advisory firms and other interested parties concerning governance and other related matters and reviewing stockholder proposals and making recommendations to address them (and work with other committees with respect to matters overseen by them);</w:t>
      </w:r>
    </w:p>
    <w:p>
      <w:pPr>
        <w:spacing w:after="0" w:line="58"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overseeing evaluations of the Board and its committees; and</w:t>
      </w:r>
    </w:p>
    <w:p>
      <w:pPr>
        <w:spacing w:after="0" w:line="113"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overseeing director engagement, education, and orientation activities.</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Along with the Board, the Governance Committee receives regular reports from management to help ensure its effective and efficient oversight and to assist in its proper risk management and ongoing evaluation of governance practices and policies. Through its regular meetings with management, including the legal, corporate responsibility, and investor relations functions and discussions, as appropriate, with its legal counsel, the Governance Committee reviews and discusses significant areas of our business, including areas of risk and appropriate mitigating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782320</wp:posOffset>
            </wp:positionV>
            <wp:extent cx="7168515" cy="4127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487045</wp:posOffset>
            </wp:positionV>
            <wp:extent cx="789305" cy="18923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40"/>
          </w:cols>
          <w:pgMar w:left="320" w:top="157" w:right="4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and Committee Meetings and Attendance</w:t>
      </w:r>
    </w:p>
    <w:p>
      <w:pPr>
        <w:spacing w:after="0" w:line="144"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auto"/>
        </w:rPr>
        <w:t>All directors are expected to attend all meetings of the Board, meetings of the committees of which they are members, and the annual meeting of stockholders. During 2024, the Board held six meetings, the Audit Committee held five meetings, the Compensation Committee held four meetings, and the Governance Committee held four meetings. In addition, the Board, the Audit Committee, the Compensation Committee, and the Governance Committee acted by unanimous written consent several times during 2024. In 2024, all of our incumbent directors attended at least 75% of the meetings of the Board of Directors and its committees during the time in which he or she served as a member of the Board or such committee. In addition, all ten of our then-serving directors attended the 2024 Annual Meeting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and Committee Evaluations</w:t>
      </w:r>
    </w:p>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In order to assess the functioning and effectiveness of the Board and its committees, the Corporate Governance Guidelines and the charters of each of the Board’s committees require the Board and each of its committees to conduct a formal performance evaluation on at least an annual basis, generally at the first regularly scheduled meetings of the Board or such committee in the fiscal year. This annual evaluation process is overseen by the Governance Committee in concert with the Lead Director and requires that the Board and its committees each review and evaluate their respective performances against the requirements of the Corporate Governance Guidelines and the appropriate committee charters, respectively.</w:t>
      </w:r>
    </w:p>
    <w:p>
      <w:pPr>
        <w:spacing w:after="0" w:line="169" w:lineRule="exact"/>
        <w:rPr>
          <w:sz w:val="20"/>
          <w:szCs w:val="20"/>
          <w:color w:val="auto"/>
        </w:rPr>
      </w:pPr>
    </w:p>
    <w:p>
      <w:pPr>
        <w:ind w:right="280"/>
        <w:spacing w:after="0" w:line="310" w:lineRule="auto"/>
        <w:rPr>
          <w:sz w:val="20"/>
          <w:szCs w:val="20"/>
          <w:color w:val="auto"/>
        </w:rPr>
      </w:pPr>
      <w:r>
        <w:rPr>
          <w:rFonts w:ascii="Arial" w:cs="Arial" w:eastAsia="Arial" w:hAnsi="Arial"/>
          <w:sz w:val="15"/>
          <w:szCs w:val="15"/>
          <w:color w:val="auto"/>
        </w:rPr>
        <w:t>To encourage directors to be candid in their evaluations with their feedback, evaluation results are aggregated and presented without attribution, covering the following topics (among others):</w:t>
      </w:r>
    </w:p>
    <w:p>
      <w:pPr>
        <w:spacing w:after="0" w:line="39" w:lineRule="exact"/>
        <w:rPr>
          <w:sz w:val="20"/>
          <w:szCs w:val="20"/>
          <w:color w:val="auto"/>
        </w:rPr>
      </w:pPr>
    </w:p>
    <w:p>
      <w:pPr>
        <w:ind w:left="440" w:right="20" w:hanging="217"/>
        <w:spacing w:after="0" w:line="276" w:lineRule="auto"/>
        <w:tabs>
          <w:tab w:leader="none" w:pos="417" w:val="left"/>
        </w:tabs>
        <w:numPr>
          <w:ilvl w:val="0"/>
          <w:numId w:val="44"/>
        </w:numPr>
        <w:rPr>
          <w:rFonts w:ascii="Arial" w:cs="Arial" w:eastAsia="Arial" w:hAnsi="Arial"/>
          <w:sz w:val="15"/>
          <w:szCs w:val="15"/>
          <w:color w:val="auto"/>
        </w:rPr>
      </w:pPr>
      <w:r>
        <w:rPr>
          <w:rFonts w:ascii="Arial" w:cs="Arial" w:eastAsia="Arial" w:hAnsi="Arial"/>
          <w:sz w:val="15"/>
          <w:szCs w:val="15"/>
          <w:color w:val="auto"/>
        </w:rPr>
        <w:t>Board/committee responsibilities and accountability (including with respect to strategy, operating performance, corporate governance, risk management, succession planning, senior management development, corporate responsibility, and corporate culture);</w:t>
      </w:r>
    </w:p>
    <w:p>
      <w:pPr>
        <w:spacing w:after="0" w:line="38" w:lineRule="exact"/>
        <w:rPr>
          <w:rFonts w:ascii="Arial" w:cs="Arial" w:eastAsia="Arial" w:hAnsi="Arial"/>
          <w:sz w:val="15"/>
          <w:szCs w:val="15"/>
          <w:color w:val="auto"/>
        </w:rPr>
      </w:pPr>
    </w:p>
    <w:p>
      <w:pPr>
        <w:ind w:left="420" w:hanging="197"/>
        <w:spacing w:after="0"/>
        <w:tabs>
          <w:tab w:leader="none" w:pos="4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Board/committee composition and structure (including the mix of director experience, skills, qualifications, viewpoints, and backgrounds);</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Board/committee meeting mechanics and conduct;</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Board/committee meeting information, materials and use of technology;</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Board/committee member’s conduct and culture;</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Board/committee engagement, orientation, and continuing education;</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Board/committee interaction/communication with management; and</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Overall performance/effectiveness of the Board/committee and its members.</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auto"/>
        </w:rPr>
        <w:t>In addition to the written evaluation, our Lead Director also conducts one-on-one interviews with each of the directors, and the chair of each committee shares the evaluation report with committee members and solicits additional feedback. These interviews address similar topics, with the one-on-one setting permitting more detailed feedback on Board and/or committee operations and individual director performance/contributions, as well as providing opportunities for mentoring newer directors. The results of the evaluations and feedback from these interviews is typically discussed in executive session with the full Board and by each committee.</w:t>
      </w:r>
    </w:p>
    <w:p>
      <w:pPr>
        <w:spacing w:after="0" w:line="166"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Outside of these formal annual performance evaluations, our directors share their perspectives, feedback and suggestions, year-round, both during and outside of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762000</wp:posOffset>
            </wp:positionV>
            <wp:extent cx="7168515" cy="4127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466725</wp:posOffset>
            </wp:positionV>
            <wp:extent cx="789305" cy="18923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007EC4"/>
        </w:rPr>
        <w:t xml:space="preserve">32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Director Nomination Process</w:t>
      </w:r>
    </w:p>
    <w:p>
      <w:pPr>
        <w:spacing w:after="0" w:line="119"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The Governance Committee is responsible for recommending director nominees to the Board for annual election by the stockholders. The Board seeks to promote refreshment of its directors, while also balancing the need for institutional knowledge and stability that comes from longer-term service on the Board. As part of the Board’s ongoing refreshment efforts, the Corporate Governance Guidelines prohibit a director from being nominated for re-election at any annual meeting following the later of their 75th birthday or after they achieve 15 years of service on the Board. As of the date of this Proxy Statement, the Board has not waived or made any exceptions to this prohibition. Current members of the Board whose class term is expiring are considered for nomination for reelection unless they have notified the Board that they do not wish to stand for re-election. Nevertheless, the Board believes that directors should not expect to be re-nominated at the end of their term. In determining whether to recommend a current director for re-election, the Governance Committee considers the director’s qualifications, other directorship commitments, participation in and contributions to the activities of the Board, the results of the annual Board evaluation, and past meeting attendance.</w:t>
      </w:r>
    </w:p>
    <w:p>
      <w:pPr>
        <w:spacing w:after="0" w:line="174"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The Governance Committee may also consider director candidates identified by other sources, including current members of the Board, members of management, external recruiters, search firms, and stockholders. From time to time, the Governance Committee may retain a third-party search firm to assist in the identification of possible Board candidates. Services provided by the search firms include identifying and assessing potential director candidates meeting criteria established by the Governance Committee, verifying information about the prospective candidate’s credentials, and obtaining a preliminary indication of interest and willingness to serve as a Board member.</w:t>
      </w:r>
    </w:p>
    <w:p>
      <w:pPr>
        <w:spacing w:after="0" w:line="169" w:lineRule="exact"/>
        <w:rPr>
          <w:sz w:val="20"/>
          <w:szCs w:val="20"/>
          <w:color w:val="auto"/>
        </w:rPr>
      </w:pPr>
    </w:p>
    <w:p>
      <w:pPr>
        <w:ind w:right="220"/>
        <w:spacing w:after="0" w:line="285" w:lineRule="auto"/>
        <w:rPr>
          <w:sz w:val="20"/>
          <w:szCs w:val="20"/>
          <w:color w:val="auto"/>
        </w:rPr>
      </w:pPr>
      <w:r>
        <w:rPr>
          <w:rFonts w:ascii="Arial" w:cs="Arial" w:eastAsia="Arial" w:hAnsi="Arial"/>
          <w:sz w:val="15"/>
          <w:szCs w:val="15"/>
          <w:color w:val="auto"/>
        </w:rPr>
        <w:t>The Board will consider director candidates recommended by stockholders on a substantially similar basis as it considers other nominees. Any such recommendation should be submitted to the Corporate Secretary in writing at Academy Sports and Outdoors, Inc., 1800 North Mason Road, Katy, Texas 77449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propose a candidate for consideration may do so by submitting the above information to the attention of the Corporate Secretary.</w:t>
      </w:r>
    </w:p>
    <w:p>
      <w:pPr>
        <w:spacing w:after="0" w:line="169"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In addition, all recommendations for nomination received by our Corporate Secretary that satisfy the Bylaws’ requirements relating to director nominations under the Bylaws’ advance notice provision will be presented to the Board for its consideration. Stockholders also must satisfy the notification, timeliness, consent, and information requirements set forth in the Bylaws. These requirements are also described in this Proxy Statement under “Stockholder Proposals for the 2026 Annual Meeting of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Director Qualification Criteria</w:t>
      </w:r>
    </w:p>
    <w:p>
      <w:pPr>
        <w:spacing w:after="0" w:line="144" w:lineRule="exact"/>
        <w:rPr>
          <w:sz w:val="20"/>
          <w:szCs w:val="20"/>
          <w:color w:val="auto"/>
        </w:rPr>
      </w:pPr>
    </w:p>
    <w:p>
      <w:pPr>
        <w:ind w:right="60"/>
        <w:spacing w:after="0" w:line="281" w:lineRule="auto"/>
        <w:rPr>
          <w:sz w:val="20"/>
          <w:szCs w:val="20"/>
          <w:color w:val="auto"/>
        </w:rPr>
      </w:pPr>
      <w:r>
        <w:rPr>
          <w:rFonts w:ascii="Arial" w:cs="Arial" w:eastAsia="Arial" w:hAnsi="Arial"/>
          <w:sz w:val="15"/>
          <w:szCs w:val="15"/>
          <w:color w:val="auto"/>
        </w:rPr>
        <w:t>The Board is responsible for considering the long-term make-up of the Board and monitoring the mix of specific experience, skills, qualifications, and attributes of its directors so that the Board, as a whole, has the necessary tools to perform its oversight function effectively in light of our business and structure. The Governance Committee is responsible for identifying director candidates, evaluating the qualifications of director candidates, and selecting and recommending director candidates to the full Board for initial appointment to the Board and/or nomination for annual election by our stockholders. When considering whether our current directors (including the director nominees) have the experience, skills, qualifications, or attributes, needed by the Board, the Board and the Governance Committee focus on each person’s background, primarily as reflected in the information discussed in each director’s individual biography set forth above. The Board and the Governance Committee believe that our current directors (including the director nominees) provide an appropriate mix of experience, skills, qualifications, attributes and perspectives necessary for the Board, as a whole, to perform its oversight function in light of our business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776605</wp:posOffset>
            </wp:positionV>
            <wp:extent cx="7168515" cy="4127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481330</wp:posOffset>
            </wp:positionV>
            <wp:extent cx="789305" cy="18923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The Governance Committee evaluates all candidates based on the same criteria, which is established by the Governance Committee and approved by the Board. The Governance Committee evaluates each director candidate on the basis of the length, breadth and quality of the candidate’s business experience, the applicability of the candidate’s skills and expertise to the Company’s business and strategic direction, the perspectives that the candidate will bring to the entire Board, and the personality or fit of the candidate with the existing members of the Board and management. As required by its charter and the Corporate Governance Guidelines, the Governance Committee seeks directors who are independent, have executive officer, consumer retail, and public board experience, and demonstrate strong character, mature judgment, an understanding of Academy’s business and industry, deep business acumen, independence of thought, and collegiality. In addition, the Governance Committee considers all other factors it considers appropriate, which may include the candidate’s personal familiarity with Academy, individual perspectives, backgrounds, and experiences, existing commitments/responsibilities to other businesses/associations, potential conflicts of interest, legal considerations, corporate governance background, career experience, relevant technical skills, governmental acumen, financial sophistication, and executive compensation experience, as well as the size, composition, combined expertise, and needs of the Board. The Board assesses the criteria for director candidates and nominees in connection with its annual evaluation of the Board and its committees.</w:t>
      </w:r>
    </w:p>
    <w:p>
      <w:pPr>
        <w:spacing w:after="0" w:line="173"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The Board recognizes the importance of selecting directors from various backgrounds and professions and ultimately makes all director selections based on merit. The Board recognizes the value in cultivating a board composition that reflects a broad range of perspectives and experiences, as this leads to more robust decision-making and improved board performance. The Corporate Governance Guidelines provide that, as part of the search process for each new non-employee director, the Governance Committee endeavors to include a broad pool of highly qualified candidates, seeking representation from a range of backgrounds, perspectives, and experiences to foster robust board decision-making. The Board assesses the effectiveness of these efforts in connection with its annual evaluation of the Board and its committees.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Director Orientation, Engagement, and Continuing Education</w:t>
      </w:r>
    </w:p>
    <w:p>
      <w:pPr>
        <w:spacing w:after="0" w:line="144" w:lineRule="exact"/>
        <w:rPr>
          <w:sz w:val="20"/>
          <w:szCs w:val="20"/>
          <w:color w:val="auto"/>
        </w:rPr>
      </w:pPr>
    </w:p>
    <w:p>
      <w:pPr>
        <w:ind w:right="160"/>
        <w:spacing w:after="0" w:line="281" w:lineRule="auto"/>
        <w:rPr>
          <w:sz w:val="20"/>
          <w:szCs w:val="20"/>
          <w:color w:val="auto"/>
        </w:rPr>
      </w:pPr>
      <w:r>
        <w:rPr>
          <w:rFonts w:ascii="Arial" w:cs="Arial" w:eastAsia="Arial" w:hAnsi="Arial"/>
          <w:sz w:val="15"/>
          <w:szCs w:val="15"/>
          <w:color w:val="auto"/>
        </w:rPr>
        <w:t>The Governance Committee oversees director orientation, ongoing director engagement, and the Board’s continuing education programs, which includes both internal activities and access to external programming. We have a structured director orientation program for new directors during their first year on the Board to accelerate their onboarding. This program includes information sessions with directors and senior management and visits to our stores and other facilities. Our director engagement and continuing education programs includes in-depth meetings with management and our outside advisors, covering topics such as Board fiduciary responsibilities, artificial intelligence, macro economic trends, legislative/regulatory developments, previews of new or updated product lines, retail media/networks, product sustainability, cybersecurity and data privacy, the responsible sale of firearms, retail theft/shrink, and visits to Company and competitor stores and our distribution facilities to expand their insight into retail business operations and activities. We provide all directors with membership in the National Association of Corporate Directors and relevant educational presentations and board-related periodicals.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Management Succession</w:t>
      </w:r>
    </w:p>
    <w:p>
      <w:pPr>
        <w:spacing w:after="0" w:line="144" w:lineRule="exact"/>
        <w:rPr>
          <w:sz w:val="20"/>
          <w:szCs w:val="20"/>
          <w:color w:val="auto"/>
        </w:rPr>
      </w:pPr>
    </w:p>
    <w:p>
      <w:pPr>
        <w:ind w:right="280"/>
        <w:spacing w:after="0" w:line="281" w:lineRule="auto"/>
        <w:rPr>
          <w:sz w:val="20"/>
          <w:szCs w:val="20"/>
          <w:color w:val="auto"/>
        </w:rPr>
      </w:pPr>
      <w:r>
        <w:rPr>
          <w:rFonts w:ascii="Arial" w:cs="Arial" w:eastAsia="Arial" w:hAnsi="Arial"/>
          <w:sz w:val="15"/>
          <w:szCs w:val="15"/>
          <w:color w:val="auto"/>
        </w:rPr>
        <w:t>The Board is responsible for the development and retention of senior leadership and ensuring that an appropriate succession plan is in place for our Chief Executive Officer and other executive officers. Both the Board and the Compensation Committee are regularly engaged in succession planning. The Compensation Committee primarily oversees the development and implementation of succession plans for senior leadership positions. This process includes review and discussion of the performance and development of senior leadership on a regular basis, along with management’s evaluation and recommendations for senior leadership succession, including both long-term succession plans and emergency succession plans. The Board also regularly reviews succession plans for senior management and the Chief Executive Officer. To assist the Board, our Chief Executive Officer annually provides his assessment of senior leaders and their potential to succeed at key senior management positions. The Board also meets potential leaders at many levels across the organization through formal presentations, informal events, one-on-one meetings, and store and other facility walks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776605</wp:posOffset>
            </wp:positionV>
            <wp:extent cx="7168515" cy="4127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481330</wp:posOffset>
            </wp:positionV>
            <wp:extent cx="789305" cy="18923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007EC4"/>
        </w:rPr>
        <w:t xml:space="preserve">34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Stockholder Engagement</w:t>
      </w:r>
    </w:p>
    <w:p>
      <w:pPr>
        <w:spacing w:after="0" w:line="144"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Our Board and management value and rely upon our stockholders’ perspectives. Understanding the topics that are important to our stockholders is critical so that we may consider their feedback in a meaningful way.</w:t>
      </w:r>
    </w:p>
    <w:p>
      <w:pPr>
        <w:spacing w:after="0" w:line="101"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Throughout the year, our Chief Executive Officer, Chief Financial Officer, and investor relations team engage with our top institutional stockholders on a quarterly basis regarding the Company’s performance, outlook, and strategic initiatives. In addition, during our proxy season, we and our third-party proxy solicitor may engage with our stockholders regarding the stockholder proposals presented in our proxy statement.</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In 2024, we established a cross-functional stockholder engagement team that included the Chair of the Governance Committee, our Chief Legal Officer, and members of our investor relations, legal, and compensation teams to conduct additional stockholder engagement outside of our regular quarterly engagement and our traditional proxy season, which we refer to as our off-season stockholder engagement program. The objective of our off-season stockholder engagement program is to establish and maintain annual stockholder engagement (typically during the fall of each year) with our top stockholders to gather their feedback and perspectives regarding our corporate governance, executive compensation, and other corporate responsibility practices and identify opportunities for potential improvement of these practices. Going forward, we expect to conduct our off-season stockholder engagement each year in the fall, in addition to conducting our regular engagement efforts throughout the year with our stockholders about the Company’s performance, outlook, strategic initiatives, and proxy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3948430</wp:posOffset>
            </wp:positionV>
            <wp:extent cx="7168515" cy="4127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187960</wp:posOffset>
            </wp:positionV>
            <wp:extent cx="5304155" cy="271526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5304155" cy="27152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3653155</wp:posOffset>
            </wp:positionV>
            <wp:extent cx="789305" cy="18923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bookmarkStart w:id="40" w:name="page41"/>
    <w:bookmarkEnd w:id="40"/>
    <w:p>
      <w:pPr>
        <w:jc w:val="right"/>
        <w:ind w:right="2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2024 Stockholder Engagement</w:t>
      </w:r>
    </w:p>
    <w:p>
      <w:pPr>
        <w:spacing w:after="0" w:line="70"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In fall 2024, we invited 30 of our top institutional stockholders, who represented approximately 80% of our outstanding shares as of September 3, 2024, to engage with us during our new off-season stockholder engagement program. Eight of the invited stockholders accepted and our stockholder engagement team and the Chair of our Governance Committee held meetings with them to discuss and gather their feedback on topics such as board composition, structure, and oversight, board and corporate governance, executive compensation, and corporate responsibility.</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200" w:type="dxa"/>
            <w:vAlign w:val="bottom"/>
            <w:shd w:val="clear" w:color="auto" w:fill="DFD7B1"/>
          </w:tcPr>
          <w:p>
            <w:pPr>
              <w:spacing w:after="0"/>
              <w:rPr>
                <w:sz w:val="23"/>
                <w:szCs w:val="23"/>
                <w:color w:val="auto"/>
              </w:rPr>
            </w:pPr>
          </w:p>
        </w:tc>
        <w:tc>
          <w:tcPr>
            <w:tcW w:w="720" w:type="dxa"/>
            <w:vAlign w:val="bottom"/>
            <w:vMerge w:val="restart"/>
            <w:shd w:val="clear" w:color="auto" w:fill="DFD7B1"/>
          </w:tcPr>
          <w:p>
            <w:pPr>
              <w:jc w:val="right"/>
              <w:spacing w:after="0"/>
              <w:rPr>
                <w:sz w:val="20"/>
                <w:szCs w:val="20"/>
                <w:color w:val="auto"/>
              </w:rPr>
            </w:pPr>
            <w:r>
              <w:rPr>
                <w:rFonts w:ascii="Arial" w:cs="Arial" w:eastAsia="Arial" w:hAnsi="Arial"/>
                <w:sz w:val="40"/>
                <w:szCs w:val="40"/>
                <w:b w:val="1"/>
                <w:bCs w:val="1"/>
                <w:color w:val="4B3702"/>
              </w:rPr>
              <w:t>30</w:t>
            </w:r>
          </w:p>
        </w:tc>
        <w:tc>
          <w:tcPr>
            <w:tcW w:w="2520" w:type="dxa"/>
            <w:vAlign w:val="bottom"/>
            <w:shd w:val="clear" w:color="auto" w:fill="DFD7B1"/>
          </w:tcPr>
          <w:p>
            <w:pPr>
              <w:ind w:left="140"/>
              <w:spacing w:after="0"/>
              <w:rPr>
                <w:sz w:val="20"/>
                <w:szCs w:val="20"/>
                <w:color w:val="auto"/>
              </w:rPr>
            </w:pPr>
            <w:r>
              <w:rPr>
                <w:rFonts w:ascii="Arial" w:cs="Arial" w:eastAsia="Arial" w:hAnsi="Arial"/>
                <w:sz w:val="13"/>
                <w:szCs w:val="13"/>
                <w:color w:val="4B3702"/>
              </w:rPr>
              <w:t># of top stockholders invited to</w:t>
            </w:r>
          </w:p>
        </w:tc>
        <w:tc>
          <w:tcPr>
            <w:tcW w:w="360" w:type="dxa"/>
            <w:vAlign w:val="bottom"/>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40" w:type="dxa"/>
            <w:vAlign w:val="bottom"/>
            <w:vMerge w:val="restart"/>
            <w:shd w:val="clear" w:color="auto" w:fill="DBDBDB"/>
          </w:tcPr>
          <w:p>
            <w:pPr>
              <w:jc w:val="right"/>
              <w:ind w:right="21"/>
              <w:spacing w:after="0"/>
              <w:rPr>
                <w:sz w:val="20"/>
                <w:szCs w:val="20"/>
                <w:color w:val="auto"/>
              </w:rPr>
            </w:pPr>
            <w:r>
              <w:rPr>
                <w:rFonts w:ascii="Arial" w:cs="Arial" w:eastAsia="Arial" w:hAnsi="Arial"/>
                <w:sz w:val="40"/>
                <w:szCs w:val="40"/>
                <w:b w:val="1"/>
                <w:bCs w:val="1"/>
                <w:color w:val="1B4093"/>
              </w:rPr>
              <w:t>~80%</w:t>
            </w:r>
          </w:p>
        </w:tc>
        <w:tc>
          <w:tcPr>
            <w:tcW w:w="1940" w:type="dxa"/>
            <w:vAlign w:val="bottom"/>
            <w:shd w:val="clear" w:color="auto" w:fill="DBDBDB"/>
          </w:tcPr>
          <w:p>
            <w:pPr>
              <w:ind w:left="120"/>
              <w:spacing w:after="0"/>
              <w:rPr>
                <w:sz w:val="20"/>
                <w:szCs w:val="20"/>
                <w:color w:val="auto"/>
              </w:rPr>
            </w:pPr>
            <w:r>
              <w:rPr>
                <w:rFonts w:ascii="Arial" w:cs="Arial" w:eastAsia="Arial" w:hAnsi="Arial"/>
                <w:sz w:val="13"/>
                <w:szCs w:val="13"/>
                <w:color w:val="1B4093"/>
              </w:rPr>
              <w:t>% of outstanding shares held</w:t>
            </w:r>
          </w:p>
        </w:tc>
        <w:tc>
          <w:tcPr>
            <w:tcW w:w="360" w:type="dxa"/>
            <w:vAlign w:val="bottom"/>
          </w:tcPr>
          <w:p>
            <w:pPr>
              <w:spacing w:after="0"/>
              <w:rPr>
                <w:sz w:val="23"/>
                <w:szCs w:val="23"/>
                <w:color w:val="auto"/>
              </w:rPr>
            </w:pPr>
          </w:p>
        </w:tc>
        <w:tc>
          <w:tcPr>
            <w:tcW w:w="360" w:type="dxa"/>
            <w:vAlign w:val="bottom"/>
            <w:shd w:val="clear" w:color="auto" w:fill="DFD7B1"/>
          </w:tcPr>
          <w:p>
            <w:pPr>
              <w:spacing w:after="0"/>
              <w:rPr>
                <w:sz w:val="23"/>
                <w:szCs w:val="23"/>
                <w:color w:val="auto"/>
              </w:rPr>
            </w:pPr>
          </w:p>
        </w:tc>
        <w:tc>
          <w:tcPr>
            <w:tcW w:w="420" w:type="dxa"/>
            <w:vAlign w:val="bottom"/>
            <w:vMerge w:val="restart"/>
            <w:shd w:val="clear" w:color="auto" w:fill="DFD7B1"/>
          </w:tcPr>
          <w:p>
            <w:pPr>
              <w:jc w:val="right"/>
              <w:spacing w:after="0"/>
              <w:rPr>
                <w:sz w:val="20"/>
                <w:szCs w:val="20"/>
                <w:color w:val="auto"/>
              </w:rPr>
            </w:pPr>
            <w:r>
              <w:rPr>
                <w:rFonts w:ascii="Arial" w:cs="Arial" w:eastAsia="Arial" w:hAnsi="Arial"/>
                <w:sz w:val="40"/>
                <w:szCs w:val="40"/>
                <w:b w:val="1"/>
                <w:bCs w:val="1"/>
                <w:color w:val="4B3702"/>
              </w:rPr>
              <w:t>8</w:t>
            </w:r>
          </w:p>
        </w:tc>
        <w:tc>
          <w:tcPr>
            <w:tcW w:w="2680" w:type="dxa"/>
            <w:vAlign w:val="bottom"/>
            <w:shd w:val="clear" w:color="auto" w:fill="DFD7B1"/>
          </w:tcPr>
          <w:p>
            <w:pPr>
              <w:ind w:left="140"/>
              <w:spacing w:after="0"/>
              <w:rPr>
                <w:sz w:val="20"/>
                <w:szCs w:val="20"/>
                <w:color w:val="auto"/>
              </w:rPr>
            </w:pPr>
            <w:r>
              <w:rPr>
                <w:rFonts w:ascii="Arial" w:cs="Arial" w:eastAsia="Arial" w:hAnsi="Arial"/>
                <w:sz w:val="13"/>
                <w:szCs w:val="13"/>
                <w:color w:val="4B3702"/>
              </w:rPr>
              <w:t>engagement meetings held with top</w:t>
            </w:r>
          </w:p>
        </w:tc>
        <w:tc>
          <w:tcPr>
            <w:tcW w:w="0" w:type="dxa"/>
            <w:vAlign w:val="bottom"/>
          </w:tcPr>
          <w:p>
            <w:pPr>
              <w:spacing w:after="0"/>
              <w:rPr>
                <w:sz w:val="1"/>
                <w:szCs w:val="1"/>
                <w:color w:val="auto"/>
              </w:rPr>
            </w:pPr>
          </w:p>
        </w:tc>
      </w:tr>
      <w:tr>
        <w:trPr>
          <w:trHeight w:val="174"/>
        </w:trPr>
        <w:tc>
          <w:tcPr>
            <w:tcW w:w="200" w:type="dxa"/>
            <w:vAlign w:val="bottom"/>
            <w:shd w:val="clear" w:color="auto" w:fill="DFD7B1"/>
          </w:tcPr>
          <w:p>
            <w:pPr>
              <w:spacing w:after="0"/>
              <w:rPr>
                <w:sz w:val="15"/>
                <w:szCs w:val="15"/>
                <w:color w:val="auto"/>
              </w:rPr>
            </w:pPr>
          </w:p>
        </w:tc>
        <w:tc>
          <w:tcPr>
            <w:tcW w:w="720" w:type="dxa"/>
            <w:vAlign w:val="bottom"/>
            <w:vMerge w:val="continue"/>
            <w:shd w:val="clear" w:color="auto" w:fill="DFD7B1"/>
          </w:tcPr>
          <w:p>
            <w:pPr>
              <w:spacing w:after="0"/>
              <w:rPr>
                <w:sz w:val="15"/>
                <w:szCs w:val="15"/>
                <w:color w:val="auto"/>
              </w:rPr>
            </w:pPr>
          </w:p>
        </w:tc>
        <w:tc>
          <w:tcPr>
            <w:tcW w:w="2520" w:type="dxa"/>
            <w:vAlign w:val="bottom"/>
            <w:vMerge w:val="restart"/>
            <w:shd w:val="clear" w:color="auto" w:fill="DFD7B1"/>
          </w:tcPr>
          <w:p>
            <w:pPr>
              <w:ind w:left="140"/>
              <w:spacing w:after="0"/>
              <w:rPr>
                <w:sz w:val="20"/>
                <w:szCs w:val="20"/>
                <w:color w:val="auto"/>
              </w:rPr>
            </w:pPr>
            <w:r>
              <w:rPr>
                <w:rFonts w:ascii="Arial" w:cs="Arial" w:eastAsia="Arial" w:hAnsi="Arial"/>
                <w:sz w:val="13"/>
                <w:szCs w:val="13"/>
                <w:color w:val="4B3702"/>
              </w:rPr>
              <w:t>engage during the off-season</w:t>
            </w:r>
          </w:p>
        </w:tc>
        <w:tc>
          <w:tcPr>
            <w:tcW w:w="360" w:type="dxa"/>
            <w:vAlign w:val="bottom"/>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40" w:type="dxa"/>
            <w:vAlign w:val="bottom"/>
            <w:vMerge w:val="continue"/>
            <w:shd w:val="clear" w:color="auto" w:fill="DBDBDB"/>
          </w:tcPr>
          <w:p>
            <w:pPr>
              <w:spacing w:after="0"/>
              <w:rPr>
                <w:sz w:val="15"/>
                <w:szCs w:val="15"/>
                <w:color w:val="auto"/>
              </w:rPr>
            </w:pPr>
          </w:p>
        </w:tc>
        <w:tc>
          <w:tcPr>
            <w:tcW w:w="1940" w:type="dxa"/>
            <w:vAlign w:val="bottom"/>
            <w:shd w:val="clear" w:color="auto" w:fill="DBDBDB"/>
          </w:tcPr>
          <w:p>
            <w:pPr>
              <w:ind w:left="120"/>
              <w:spacing w:after="0"/>
              <w:rPr>
                <w:sz w:val="20"/>
                <w:szCs w:val="20"/>
                <w:color w:val="auto"/>
              </w:rPr>
            </w:pPr>
            <w:r>
              <w:rPr>
                <w:rFonts w:ascii="Arial" w:cs="Arial" w:eastAsia="Arial" w:hAnsi="Arial"/>
                <w:sz w:val="13"/>
                <w:szCs w:val="13"/>
                <w:color w:val="1B4093"/>
              </w:rPr>
              <w:t>by top invited stockholders</w:t>
            </w:r>
          </w:p>
        </w:tc>
        <w:tc>
          <w:tcPr>
            <w:tcW w:w="360" w:type="dxa"/>
            <w:vAlign w:val="bottom"/>
          </w:tcPr>
          <w:p>
            <w:pPr>
              <w:spacing w:after="0"/>
              <w:rPr>
                <w:sz w:val="15"/>
                <w:szCs w:val="15"/>
                <w:color w:val="auto"/>
              </w:rPr>
            </w:pPr>
          </w:p>
        </w:tc>
        <w:tc>
          <w:tcPr>
            <w:tcW w:w="360" w:type="dxa"/>
            <w:vAlign w:val="bottom"/>
            <w:shd w:val="clear" w:color="auto" w:fill="DFD7B1"/>
          </w:tcPr>
          <w:p>
            <w:pPr>
              <w:spacing w:after="0"/>
              <w:rPr>
                <w:sz w:val="15"/>
                <w:szCs w:val="15"/>
                <w:color w:val="auto"/>
              </w:rPr>
            </w:pPr>
          </w:p>
        </w:tc>
        <w:tc>
          <w:tcPr>
            <w:tcW w:w="420" w:type="dxa"/>
            <w:vAlign w:val="bottom"/>
            <w:vMerge w:val="continue"/>
            <w:shd w:val="clear" w:color="auto" w:fill="DFD7B1"/>
          </w:tcPr>
          <w:p>
            <w:pPr>
              <w:spacing w:after="0"/>
              <w:rPr>
                <w:sz w:val="15"/>
                <w:szCs w:val="15"/>
                <w:color w:val="auto"/>
              </w:rPr>
            </w:pPr>
          </w:p>
        </w:tc>
        <w:tc>
          <w:tcPr>
            <w:tcW w:w="2680" w:type="dxa"/>
            <w:vAlign w:val="bottom"/>
            <w:vMerge w:val="restart"/>
            <w:shd w:val="clear" w:color="auto" w:fill="DFD7B1"/>
          </w:tcPr>
          <w:p>
            <w:pPr>
              <w:ind w:left="140"/>
              <w:spacing w:after="0"/>
              <w:rPr>
                <w:sz w:val="20"/>
                <w:szCs w:val="20"/>
                <w:color w:val="auto"/>
              </w:rPr>
            </w:pPr>
            <w:r>
              <w:rPr>
                <w:rFonts w:ascii="Arial" w:cs="Arial" w:eastAsia="Arial" w:hAnsi="Arial"/>
                <w:sz w:val="13"/>
                <w:szCs w:val="13"/>
                <w:color w:val="4B3702"/>
              </w:rPr>
              <w:t>invited stockholders</w:t>
            </w:r>
          </w:p>
        </w:tc>
        <w:tc>
          <w:tcPr>
            <w:tcW w:w="0" w:type="dxa"/>
            <w:vAlign w:val="bottom"/>
          </w:tcPr>
          <w:p>
            <w:pPr>
              <w:spacing w:after="0"/>
              <w:rPr>
                <w:sz w:val="1"/>
                <w:szCs w:val="1"/>
                <w:color w:val="auto"/>
              </w:rPr>
            </w:pPr>
          </w:p>
        </w:tc>
      </w:tr>
      <w:tr>
        <w:trPr>
          <w:trHeight w:val="107"/>
        </w:trPr>
        <w:tc>
          <w:tcPr>
            <w:tcW w:w="200" w:type="dxa"/>
            <w:vAlign w:val="bottom"/>
            <w:shd w:val="clear" w:color="auto" w:fill="DFD7B1"/>
          </w:tcPr>
          <w:p>
            <w:pPr>
              <w:spacing w:after="0"/>
              <w:rPr>
                <w:sz w:val="9"/>
                <w:szCs w:val="9"/>
                <w:color w:val="auto"/>
              </w:rPr>
            </w:pPr>
          </w:p>
        </w:tc>
        <w:tc>
          <w:tcPr>
            <w:tcW w:w="720" w:type="dxa"/>
            <w:vAlign w:val="bottom"/>
            <w:vMerge w:val="continue"/>
            <w:shd w:val="clear" w:color="auto" w:fill="DFD7B1"/>
          </w:tcPr>
          <w:p>
            <w:pPr>
              <w:spacing w:after="0"/>
              <w:rPr>
                <w:sz w:val="9"/>
                <w:szCs w:val="9"/>
                <w:color w:val="auto"/>
              </w:rPr>
            </w:pPr>
          </w:p>
        </w:tc>
        <w:tc>
          <w:tcPr>
            <w:tcW w:w="2520" w:type="dxa"/>
            <w:vAlign w:val="bottom"/>
            <w:vMerge w:val="continue"/>
            <w:shd w:val="clear" w:color="auto" w:fill="DFD7B1"/>
          </w:tcPr>
          <w:p>
            <w:pPr>
              <w:spacing w:after="0"/>
              <w:rPr>
                <w:sz w:val="9"/>
                <w:szCs w:val="9"/>
                <w:color w:val="auto"/>
              </w:rPr>
            </w:pPr>
          </w:p>
        </w:tc>
        <w:tc>
          <w:tcPr>
            <w:tcW w:w="360" w:type="dxa"/>
            <w:vAlign w:val="bottom"/>
            <w:vMerge w:val="restart"/>
          </w:tcPr>
          <w:p>
            <w:pPr>
              <w:spacing w:after="0"/>
              <w:rPr>
                <w:sz w:val="9"/>
                <w:szCs w:val="9"/>
                <w:color w:val="auto"/>
              </w:rPr>
            </w:pPr>
          </w:p>
        </w:tc>
        <w:tc>
          <w:tcPr>
            <w:tcW w:w="100" w:type="dxa"/>
            <w:vAlign w:val="bottom"/>
            <w:vMerge w:val="restart"/>
            <w:shd w:val="clear" w:color="auto" w:fill="DBDBDB"/>
          </w:tcPr>
          <w:p>
            <w:pPr>
              <w:spacing w:after="0"/>
              <w:rPr>
                <w:sz w:val="9"/>
                <w:szCs w:val="9"/>
                <w:color w:val="auto"/>
              </w:rPr>
            </w:pPr>
          </w:p>
        </w:tc>
        <w:tc>
          <w:tcPr>
            <w:tcW w:w="1440" w:type="dxa"/>
            <w:vAlign w:val="bottom"/>
            <w:vMerge w:val="continue"/>
            <w:shd w:val="clear" w:color="auto" w:fill="DBDBDB"/>
          </w:tcPr>
          <w:p>
            <w:pPr>
              <w:spacing w:after="0"/>
              <w:rPr>
                <w:sz w:val="9"/>
                <w:szCs w:val="9"/>
                <w:color w:val="auto"/>
              </w:rPr>
            </w:pPr>
          </w:p>
        </w:tc>
        <w:tc>
          <w:tcPr>
            <w:tcW w:w="1940" w:type="dxa"/>
            <w:vAlign w:val="bottom"/>
            <w:vMerge w:val="restart"/>
            <w:shd w:val="clear" w:color="auto" w:fill="DBDBDB"/>
          </w:tcPr>
          <w:p>
            <w:pPr>
              <w:ind w:left="120"/>
              <w:spacing w:after="0"/>
              <w:rPr>
                <w:sz w:val="20"/>
                <w:szCs w:val="20"/>
                <w:color w:val="auto"/>
              </w:rPr>
            </w:pPr>
            <w:r>
              <w:rPr>
                <w:rFonts w:ascii="Arial" w:cs="Arial" w:eastAsia="Arial" w:hAnsi="Arial"/>
                <w:sz w:val="13"/>
                <w:szCs w:val="13"/>
                <w:color w:val="1B4093"/>
              </w:rPr>
              <w:t>(as of Sept. 3, 2024)</w:t>
            </w:r>
          </w:p>
        </w:tc>
        <w:tc>
          <w:tcPr>
            <w:tcW w:w="360" w:type="dxa"/>
            <w:vAlign w:val="bottom"/>
            <w:vMerge w:val="restart"/>
          </w:tcPr>
          <w:p>
            <w:pPr>
              <w:spacing w:after="0"/>
              <w:rPr>
                <w:sz w:val="9"/>
                <w:szCs w:val="9"/>
                <w:color w:val="auto"/>
              </w:rPr>
            </w:pPr>
          </w:p>
        </w:tc>
        <w:tc>
          <w:tcPr>
            <w:tcW w:w="360" w:type="dxa"/>
            <w:vAlign w:val="bottom"/>
            <w:shd w:val="clear" w:color="auto" w:fill="DFD7B1"/>
          </w:tcPr>
          <w:p>
            <w:pPr>
              <w:spacing w:after="0"/>
              <w:rPr>
                <w:sz w:val="9"/>
                <w:szCs w:val="9"/>
                <w:color w:val="auto"/>
              </w:rPr>
            </w:pPr>
          </w:p>
        </w:tc>
        <w:tc>
          <w:tcPr>
            <w:tcW w:w="420" w:type="dxa"/>
            <w:vAlign w:val="bottom"/>
            <w:vMerge w:val="continue"/>
            <w:shd w:val="clear" w:color="auto" w:fill="DFD7B1"/>
          </w:tcPr>
          <w:p>
            <w:pPr>
              <w:spacing w:after="0"/>
              <w:rPr>
                <w:sz w:val="9"/>
                <w:szCs w:val="9"/>
                <w:color w:val="auto"/>
              </w:rPr>
            </w:pPr>
          </w:p>
        </w:tc>
        <w:tc>
          <w:tcPr>
            <w:tcW w:w="2680" w:type="dxa"/>
            <w:vAlign w:val="bottom"/>
            <w:vMerge w:val="continue"/>
            <w:shd w:val="clear" w:color="auto" w:fill="DFD7B1"/>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vMerge w:val="continue"/>
            <w:shd w:val="clear" w:color="auto" w:fill="DBDBDB"/>
          </w:tcPr>
          <w:p>
            <w:pPr>
              <w:spacing w:after="0"/>
              <w:rPr>
                <w:sz w:val="7"/>
                <w:szCs w:val="7"/>
                <w:color w:val="auto"/>
              </w:rPr>
            </w:pPr>
          </w:p>
        </w:tc>
        <w:tc>
          <w:tcPr>
            <w:tcW w:w="1440" w:type="dxa"/>
            <w:vAlign w:val="bottom"/>
            <w:vMerge w:val="continue"/>
            <w:shd w:val="clear" w:color="auto" w:fill="DBDBDB"/>
          </w:tcPr>
          <w:p>
            <w:pPr>
              <w:spacing w:after="0"/>
              <w:rPr>
                <w:sz w:val="7"/>
                <w:szCs w:val="7"/>
                <w:color w:val="auto"/>
              </w:rPr>
            </w:pPr>
          </w:p>
        </w:tc>
        <w:tc>
          <w:tcPr>
            <w:tcW w:w="1940" w:type="dxa"/>
            <w:vAlign w:val="bottom"/>
            <w:vMerge w:val="continue"/>
            <w:shd w:val="clear" w:color="auto" w:fill="DBDBDB"/>
          </w:tcPr>
          <w:p>
            <w:pPr>
              <w:spacing w:after="0"/>
              <w:rPr>
                <w:sz w:val="7"/>
                <w:szCs w:val="7"/>
                <w:color w:val="auto"/>
              </w:rPr>
            </w:pPr>
          </w:p>
        </w:tc>
        <w:tc>
          <w:tcPr>
            <w:tcW w:w="3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940" w:type="dxa"/>
            <w:vAlign w:val="bottom"/>
            <w:shd w:val="clear" w:color="auto" w:fill="DBDBDB"/>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4280" w:type="dxa"/>
            <w:vAlign w:val="bottom"/>
            <w:tcBorders>
              <w:left w:val="single" w:sz="8" w:color="1B4093"/>
            </w:tcBorders>
            <w:shd w:val="clear" w:color="auto" w:fill="1B4093"/>
          </w:tcPr>
          <w:p>
            <w:pPr>
              <w:spacing w:after="0"/>
              <w:rPr>
                <w:sz w:val="22"/>
                <w:szCs w:val="22"/>
                <w:color w:val="auto"/>
              </w:rPr>
            </w:pPr>
          </w:p>
        </w:tc>
        <w:tc>
          <w:tcPr>
            <w:tcW w:w="6980" w:type="dxa"/>
            <w:vAlign w:val="bottom"/>
            <w:tcBorders>
              <w:right w:val="single" w:sz="8" w:color="1B4093"/>
            </w:tcBorders>
            <w:gridSpan w:val="2"/>
            <w:shd w:val="clear" w:color="auto" w:fill="1B4093"/>
          </w:tcPr>
          <w:p>
            <w:pPr>
              <w:ind w:left="160"/>
              <w:spacing w:after="0"/>
              <w:rPr>
                <w:sz w:val="20"/>
                <w:szCs w:val="20"/>
                <w:color w:val="auto"/>
              </w:rPr>
            </w:pPr>
            <w:r>
              <w:rPr>
                <w:rFonts w:ascii="Arial" w:cs="Arial" w:eastAsia="Arial" w:hAnsi="Arial"/>
                <w:sz w:val="13"/>
                <w:szCs w:val="13"/>
                <w:b w:val="1"/>
                <w:bCs w:val="1"/>
                <w:color w:val="FFFFFF"/>
              </w:rPr>
              <w:t>2024 Stockholder Engagement Topics</w:t>
            </w:r>
          </w:p>
        </w:tc>
      </w:tr>
      <w:tr>
        <w:trPr>
          <w:trHeight w:val="89"/>
        </w:trPr>
        <w:tc>
          <w:tcPr>
            <w:tcW w:w="4280" w:type="dxa"/>
            <w:vAlign w:val="bottom"/>
            <w:tcBorders>
              <w:left w:val="single" w:sz="8" w:color="1B4093"/>
            </w:tcBorders>
            <w:shd w:val="clear" w:color="auto" w:fill="1B4093"/>
          </w:tcPr>
          <w:p>
            <w:pPr>
              <w:spacing w:after="0"/>
              <w:rPr>
                <w:sz w:val="7"/>
                <w:szCs w:val="7"/>
                <w:color w:val="auto"/>
              </w:rPr>
            </w:pPr>
          </w:p>
        </w:tc>
        <w:tc>
          <w:tcPr>
            <w:tcW w:w="1360" w:type="dxa"/>
            <w:vAlign w:val="bottom"/>
            <w:tcBorders>
              <w:right w:val="single" w:sz="8" w:color="1B4093"/>
            </w:tcBorders>
            <w:shd w:val="clear" w:color="auto" w:fill="1B4093"/>
          </w:tcPr>
          <w:p>
            <w:pPr>
              <w:spacing w:after="0"/>
              <w:rPr>
                <w:sz w:val="7"/>
                <w:szCs w:val="7"/>
                <w:color w:val="auto"/>
              </w:rPr>
            </w:pPr>
          </w:p>
        </w:tc>
        <w:tc>
          <w:tcPr>
            <w:tcW w:w="5620" w:type="dxa"/>
            <w:vAlign w:val="bottom"/>
            <w:tcBorders>
              <w:right w:val="single" w:sz="8" w:color="1B4093"/>
            </w:tcBorders>
            <w:shd w:val="clear" w:color="auto" w:fill="1B4093"/>
          </w:tcPr>
          <w:p>
            <w:pPr>
              <w:spacing w:after="0"/>
              <w:rPr>
                <w:sz w:val="7"/>
                <w:szCs w:val="7"/>
                <w:color w:val="auto"/>
              </w:rPr>
            </w:pPr>
          </w:p>
        </w:tc>
      </w:tr>
      <w:tr>
        <w:trPr>
          <w:trHeight w:val="241"/>
        </w:trPr>
        <w:tc>
          <w:tcPr>
            <w:tcW w:w="4280" w:type="dxa"/>
            <w:vAlign w:val="bottom"/>
            <w:tcBorders>
              <w:left w:val="single" w:sz="8" w:color="B6B6B6"/>
            </w:tcBorders>
          </w:tcPr>
          <w:p>
            <w:pPr>
              <w:jc w:val="center"/>
              <w:ind w:left="1294"/>
              <w:spacing w:after="0"/>
              <w:rPr>
                <w:sz w:val="20"/>
                <w:szCs w:val="20"/>
                <w:color w:val="auto"/>
              </w:rPr>
            </w:pPr>
            <w:r>
              <w:rPr>
                <w:rFonts w:ascii="Arial" w:cs="Arial" w:eastAsia="Arial" w:hAnsi="Arial"/>
                <w:sz w:val="13"/>
                <w:szCs w:val="13"/>
                <w:color w:val="auto"/>
              </w:rPr>
              <w:t>Board Composition, Structure and Oversight</w:t>
            </w:r>
          </w:p>
        </w:tc>
        <w:tc>
          <w:tcPr>
            <w:tcW w:w="1360" w:type="dxa"/>
            <w:vAlign w:val="bottom"/>
            <w:tcBorders>
              <w:right w:val="single" w:sz="8" w:color="B6B6B6"/>
            </w:tcBorders>
          </w:tcPr>
          <w:p>
            <w:pPr>
              <w:spacing w:after="0"/>
              <w:rPr>
                <w:sz w:val="20"/>
                <w:szCs w:val="20"/>
                <w:color w:val="auto"/>
              </w:rPr>
            </w:pPr>
          </w:p>
        </w:tc>
        <w:tc>
          <w:tcPr>
            <w:tcW w:w="562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rPr>
              <w:t>Board &amp; Corporate Governance</w:t>
            </w:r>
          </w:p>
        </w:tc>
      </w:tr>
      <w:tr>
        <w:trPr>
          <w:trHeight w:val="82"/>
        </w:trPr>
        <w:tc>
          <w:tcPr>
            <w:tcW w:w="4280" w:type="dxa"/>
            <w:vAlign w:val="bottom"/>
            <w:tcBorders>
              <w:left w:val="single" w:sz="8" w:color="B6B6B6"/>
              <w:bottom w:val="single" w:sz="8" w:color="B6B6B6"/>
            </w:tcBorders>
          </w:tcPr>
          <w:p>
            <w:pPr>
              <w:spacing w:after="0"/>
              <w:rPr>
                <w:sz w:val="7"/>
                <w:szCs w:val="7"/>
                <w:color w:val="auto"/>
              </w:rPr>
            </w:pPr>
          </w:p>
        </w:tc>
        <w:tc>
          <w:tcPr>
            <w:tcW w:w="1360" w:type="dxa"/>
            <w:vAlign w:val="bottom"/>
            <w:tcBorders>
              <w:bottom w:val="single" w:sz="8" w:color="B6B6B6"/>
              <w:right w:val="single" w:sz="8" w:color="B6B6B6"/>
            </w:tcBorders>
          </w:tcPr>
          <w:p>
            <w:pPr>
              <w:spacing w:after="0"/>
              <w:rPr>
                <w:sz w:val="7"/>
                <w:szCs w:val="7"/>
                <w:color w:val="auto"/>
              </w:rPr>
            </w:pPr>
          </w:p>
        </w:tc>
        <w:tc>
          <w:tcPr>
            <w:tcW w:w="5620" w:type="dxa"/>
            <w:vAlign w:val="bottom"/>
            <w:tcBorders>
              <w:bottom w:val="single" w:sz="8" w:color="B6B6B6"/>
              <w:right w:val="single" w:sz="8" w:color="B6B6B6"/>
            </w:tcBorders>
          </w:tcPr>
          <w:p>
            <w:pPr>
              <w:spacing w:after="0"/>
              <w:rPr>
                <w:sz w:val="7"/>
                <w:szCs w:val="7"/>
                <w:color w:val="auto"/>
              </w:rPr>
            </w:pPr>
          </w:p>
        </w:tc>
      </w:tr>
      <w:tr>
        <w:trPr>
          <w:trHeight w:val="233"/>
        </w:trPr>
        <w:tc>
          <w:tcPr>
            <w:tcW w:w="4280" w:type="dxa"/>
            <w:vAlign w:val="bottom"/>
            <w:tcBorders>
              <w:left w:val="single" w:sz="8" w:color="B6B6B6"/>
            </w:tcBorders>
          </w:tcPr>
          <w:p>
            <w:pPr>
              <w:jc w:val="center"/>
              <w:ind w:left="1274"/>
              <w:spacing w:after="0"/>
              <w:rPr>
                <w:sz w:val="20"/>
                <w:szCs w:val="20"/>
                <w:color w:val="auto"/>
              </w:rPr>
            </w:pPr>
            <w:r>
              <w:rPr>
                <w:rFonts w:ascii="Arial" w:cs="Arial" w:eastAsia="Arial" w:hAnsi="Arial"/>
                <w:sz w:val="13"/>
                <w:szCs w:val="13"/>
                <w:color w:val="auto"/>
              </w:rPr>
              <w:t>Executive Compensation</w:t>
            </w:r>
          </w:p>
        </w:tc>
        <w:tc>
          <w:tcPr>
            <w:tcW w:w="1360" w:type="dxa"/>
            <w:vAlign w:val="bottom"/>
            <w:tcBorders>
              <w:right w:val="single" w:sz="8" w:color="B6B6B6"/>
            </w:tcBorders>
          </w:tcPr>
          <w:p>
            <w:pPr>
              <w:spacing w:after="0"/>
              <w:rPr>
                <w:sz w:val="20"/>
                <w:szCs w:val="20"/>
                <w:color w:val="auto"/>
              </w:rPr>
            </w:pPr>
          </w:p>
        </w:tc>
        <w:tc>
          <w:tcPr>
            <w:tcW w:w="562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rPr>
              <w:t>Corporate Responsibility</w:t>
            </w:r>
          </w:p>
        </w:tc>
      </w:tr>
      <w:tr>
        <w:trPr>
          <w:trHeight w:val="82"/>
        </w:trPr>
        <w:tc>
          <w:tcPr>
            <w:tcW w:w="4280" w:type="dxa"/>
            <w:vAlign w:val="bottom"/>
            <w:tcBorders>
              <w:left w:val="single" w:sz="8" w:color="B6B6B6"/>
              <w:bottom w:val="single" w:sz="8" w:color="B6B6B6"/>
            </w:tcBorders>
          </w:tcPr>
          <w:p>
            <w:pPr>
              <w:spacing w:after="0"/>
              <w:rPr>
                <w:sz w:val="7"/>
                <w:szCs w:val="7"/>
                <w:color w:val="auto"/>
              </w:rPr>
            </w:pPr>
          </w:p>
        </w:tc>
        <w:tc>
          <w:tcPr>
            <w:tcW w:w="1360" w:type="dxa"/>
            <w:vAlign w:val="bottom"/>
            <w:tcBorders>
              <w:bottom w:val="single" w:sz="8" w:color="B6B6B6"/>
              <w:right w:val="single" w:sz="8" w:color="B6B6B6"/>
            </w:tcBorders>
          </w:tcPr>
          <w:p>
            <w:pPr>
              <w:spacing w:after="0"/>
              <w:rPr>
                <w:sz w:val="7"/>
                <w:szCs w:val="7"/>
                <w:color w:val="auto"/>
              </w:rPr>
            </w:pPr>
          </w:p>
        </w:tc>
        <w:tc>
          <w:tcPr>
            <w:tcW w:w="5620" w:type="dxa"/>
            <w:vAlign w:val="bottom"/>
            <w:tcBorders>
              <w:bottom w:val="single" w:sz="8" w:color="B6B6B6"/>
              <w:right w:val="single" w:sz="8" w:color="B6B6B6"/>
            </w:tcBorders>
          </w:tcPr>
          <w:p>
            <w:pPr>
              <w:spacing w:after="0"/>
              <w:rPr>
                <w:sz w:val="7"/>
                <w:szCs w:val="7"/>
                <w:color w:val="auto"/>
              </w:rPr>
            </w:pPr>
          </w:p>
        </w:tc>
      </w:tr>
    </w:tbl>
    <w:p>
      <w:pPr>
        <w:spacing w:after="0" w:line="28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7EC4"/>
        </w:rPr>
        <w:t>Actions Taken by the Company based on 2024 Stockholder Engagement Feedback</w:t>
      </w:r>
    </w:p>
    <w:p>
      <w:pPr>
        <w:spacing w:after="0" w:line="70"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Following the 2024 off-season stockholder engagement meetings, management reported and discussed the feedback we received regarding board composition, structure and oversight, board and corporate governance, and corporate responsibility with the Governance Committee, and regarding executive compensation with the Compensation Committee. We also shared and discussed this feedback with the Board.</w:t>
      </w:r>
    </w:p>
    <w:p>
      <w:pPr>
        <w:spacing w:after="0" w:line="15" w:lineRule="exact"/>
        <w:rPr>
          <w:sz w:val="20"/>
          <w:szCs w:val="20"/>
          <w:color w:val="auto"/>
        </w:rPr>
      </w:pPr>
    </w:p>
    <w:p>
      <w:pPr>
        <w:ind w:right="360"/>
        <w:spacing w:after="0" w:line="288" w:lineRule="auto"/>
        <w:rPr>
          <w:sz w:val="20"/>
          <w:szCs w:val="20"/>
          <w:color w:val="auto"/>
        </w:rPr>
      </w:pPr>
      <w:r>
        <w:rPr>
          <w:rFonts w:ascii="Arial" w:cs="Arial" w:eastAsia="Arial" w:hAnsi="Arial"/>
          <w:sz w:val="15"/>
          <w:szCs w:val="15"/>
          <w:color w:val="auto"/>
        </w:rPr>
        <w:t>In March 2025, as a result of the feedback we received from our stockholders during our 2024 off-season stockholder engagement, the Board approved, subject to stockholder approval at the Annual Meeting, an amendment of the Certificate of Incorporation to remove supermajority voting requirements for stockholders to amend certain provisions of the Certificate of Incorporation and the Bylaws (Proposal Four) and an amendment of the Certificate of Incorporation to declassify the Board and phase-in annual director elections by 2028 (Proposal Five).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Corporate Responsibility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Purpose Statement</w:t>
      </w:r>
    </w:p>
    <w:p>
      <w:pPr>
        <w:spacing w:after="0" w:line="70" w:lineRule="exact"/>
        <w:rPr>
          <w:sz w:val="20"/>
          <w:szCs w:val="20"/>
          <w:color w:val="auto"/>
        </w:rPr>
      </w:pPr>
    </w:p>
    <w:p>
      <w:pPr>
        <w:ind w:right="100"/>
        <w:spacing w:after="0" w:line="309" w:lineRule="auto"/>
        <w:rPr>
          <w:sz w:val="20"/>
          <w:szCs w:val="20"/>
          <w:color w:val="auto"/>
        </w:rPr>
      </w:pPr>
      <w:r>
        <w:rPr>
          <w:rFonts w:ascii="Arial" w:cs="Arial" w:eastAsia="Arial" w:hAnsi="Arial"/>
          <w:sz w:val="14"/>
          <w:szCs w:val="14"/>
          <w:color w:val="auto"/>
        </w:rPr>
        <w:t>At Academy, responsible leadership and integrity are values that are fundamental to the way we conduct our business. We believe that practicing corporate responsibility strengthens the accountability and performance of the Board and executive management team, supports the long-term interests of our stockholders and other stakeholders (including our team members, our customers, and their communities), and furthers the achievement of Our Vision to be the best sports + outdoors retailer in the country. We engage in responsible leadership by relying on our Corporate Responsibility Pillars: Empowering our Team Members, Operating with Integrity, and Supporting Our Communities. This approach guides operations at all levels, including our strategies, investments, internal and external engagement, and reporting.</w:t>
      </w:r>
    </w:p>
    <w:p>
      <w:pPr>
        <w:spacing w:after="0" w:line="157" w:lineRule="exact"/>
        <w:rPr>
          <w:sz w:val="20"/>
          <w:szCs w:val="20"/>
          <w:color w:val="auto"/>
        </w:rPr>
      </w:pPr>
    </w:p>
    <w:p>
      <w:pPr>
        <w:ind w:left="300" w:right="80" w:hanging="226"/>
        <w:spacing w:after="0" w:line="293" w:lineRule="auto"/>
        <w:tabs>
          <w:tab w:leader="none" w:pos="29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Empowering Our Team Members: </w:t>
      </w:r>
      <w:r>
        <w:rPr>
          <w:rFonts w:ascii="Arial" w:cs="Arial" w:eastAsia="Arial" w:hAnsi="Arial"/>
          <w:sz w:val="15"/>
          <w:szCs w:val="15"/>
          <w:color w:val="auto"/>
        </w:rPr>
        <w:t>At Academy, it’s our Mission to provide fun for all – which includes anyone and everyone who wants to enjoy sports and outdoors</w:t>
      </w:r>
      <w:r>
        <w:rPr>
          <w:rFonts w:ascii="Arial" w:cs="Arial" w:eastAsia="Arial" w:hAnsi="Arial"/>
          <w:sz w:val="15"/>
          <w:szCs w:val="15"/>
          <w:b w:val="1"/>
          <w:bCs w:val="1"/>
          <w:color w:val="auto"/>
        </w:rPr>
        <w:t xml:space="preserve"> </w:t>
      </w:r>
      <w:r>
        <w:rPr>
          <w:rFonts w:ascii="Arial" w:cs="Arial" w:eastAsia="Arial" w:hAnsi="Arial"/>
          <w:sz w:val="15"/>
          <w:szCs w:val="15"/>
          <w:color w:val="auto"/>
        </w:rPr>
        <w:t>activities. We strive to create safer and stronger workplaces for our Team Members, and shopping experiences and communities for our customers, and to create a sense of belonging for all those that engage with Academy. This includes: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 w:type="dxa"/>
            <w:vAlign w:val="bottom"/>
          </w:tcPr>
          <w:p>
            <w:pPr>
              <w:ind w:left="380"/>
              <w:spacing w:after="0"/>
              <w:rPr>
                <w:sz w:val="20"/>
                <w:szCs w:val="20"/>
                <w:color w:val="auto"/>
              </w:rPr>
            </w:pPr>
            <w:r>
              <w:rPr>
                <w:rFonts w:ascii="Arial" w:cs="Arial" w:eastAsia="Arial" w:hAnsi="Arial"/>
                <w:sz w:val="15"/>
                <w:szCs w:val="15"/>
                <w:color w:val="auto"/>
              </w:rPr>
              <w:t>•</w:t>
            </w:r>
          </w:p>
        </w:tc>
        <w:tc>
          <w:tcPr>
            <w:tcW w:w="3200" w:type="dxa"/>
            <w:vAlign w:val="bottom"/>
          </w:tcPr>
          <w:p>
            <w:pPr>
              <w:ind w:left="100"/>
              <w:spacing w:after="0"/>
              <w:rPr>
                <w:sz w:val="20"/>
                <w:szCs w:val="20"/>
                <w:color w:val="auto"/>
              </w:rPr>
            </w:pPr>
            <w:r>
              <w:rPr>
                <w:rFonts w:ascii="Arial" w:cs="Arial" w:eastAsia="Arial" w:hAnsi="Arial"/>
                <w:sz w:val="15"/>
                <w:szCs w:val="15"/>
                <w:color w:val="auto"/>
              </w:rPr>
              <w:t>Welcoming Stores</w:t>
            </w:r>
          </w:p>
        </w:tc>
        <w:tc>
          <w:tcPr>
            <w:tcW w:w="1940" w:type="dxa"/>
            <w:vAlign w:val="bottom"/>
          </w:tcPr>
          <w:p>
            <w:pPr>
              <w:ind w:left="1780"/>
              <w:spacing w:after="0"/>
              <w:rPr>
                <w:sz w:val="20"/>
                <w:szCs w:val="20"/>
                <w:color w:val="auto"/>
              </w:rPr>
            </w:pPr>
            <w:r>
              <w:rPr>
                <w:rFonts w:ascii="Arial" w:cs="Arial" w:eastAsia="Arial" w:hAnsi="Arial"/>
                <w:sz w:val="15"/>
                <w:szCs w:val="15"/>
                <w:color w:val="auto"/>
              </w:rPr>
              <w:t>•</w:t>
            </w:r>
          </w:p>
        </w:tc>
        <w:tc>
          <w:tcPr>
            <w:tcW w:w="5540" w:type="dxa"/>
            <w:vAlign w:val="bottom"/>
          </w:tcPr>
          <w:p>
            <w:pPr>
              <w:ind w:left="120"/>
              <w:spacing w:after="0"/>
              <w:rPr>
                <w:sz w:val="20"/>
                <w:szCs w:val="20"/>
                <w:color w:val="auto"/>
              </w:rPr>
            </w:pPr>
            <w:r>
              <w:rPr>
                <w:rFonts w:ascii="Arial" w:cs="Arial" w:eastAsia="Arial" w:hAnsi="Arial"/>
                <w:sz w:val="15"/>
                <w:szCs w:val="15"/>
                <w:color w:val="auto"/>
              </w:rPr>
              <w:t>Team Member Engagement</w:t>
            </w:r>
          </w:p>
        </w:tc>
      </w:tr>
      <w:tr>
        <w:trPr>
          <w:trHeight w:val="236"/>
        </w:trPr>
        <w:tc>
          <w:tcPr>
            <w:tcW w:w="560" w:type="dxa"/>
            <w:vAlign w:val="bottom"/>
          </w:tcPr>
          <w:p>
            <w:pPr>
              <w:ind w:left="380"/>
              <w:spacing w:after="0"/>
              <w:rPr>
                <w:sz w:val="20"/>
                <w:szCs w:val="20"/>
                <w:color w:val="auto"/>
              </w:rPr>
            </w:pPr>
            <w:r>
              <w:rPr>
                <w:rFonts w:ascii="Arial" w:cs="Arial" w:eastAsia="Arial" w:hAnsi="Arial"/>
                <w:sz w:val="15"/>
                <w:szCs w:val="15"/>
                <w:color w:val="auto"/>
              </w:rPr>
              <w:t>•</w:t>
            </w:r>
          </w:p>
        </w:tc>
        <w:tc>
          <w:tcPr>
            <w:tcW w:w="3200" w:type="dxa"/>
            <w:vAlign w:val="bottom"/>
          </w:tcPr>
          <w:p>
            <w:pPr>
              <w:ind w:left="100"/>
              <w:spacing w:after="0"/>
              <w:rPr>
                <w:sz w:val="20"/>
                <w:szCs w:val="20"/>
                <w:color w:val="auto"/>
              </w:rPr>
            </w:pPr>
            <w:r>
              <w:rPr>
                <w:rFonts w:ascii="Arial" w:cs="Arial" w:eastAsia="Arial" w:hAnsi="Arial"/>
                <w:sz w:val="15"/>
                <w:szCs w:val="15"/>
                <w:color w:val="auto"/>
              </w:rPr>
              <w:t>Talent Management</w:t>
            </w:r>
          </w:p>
        </w:tc>
        <w:tc>
          <w:tcPr>
            <w:tcW w:w="7480" w:type="dxa"/>
            <w:vAlign w:val="bottom"/>
            <w:gridSpan w:val="2"/>
          </w:tcPr>
          <w:p>
            <w:pPr>
              <w:ind w:left="1780"/>
              <w:spacing w:after="0"/>
              <w:rPr>
                <w:sz w:val="20"/>
                <w:szCs w:val="20"/>
                <w:color w:val="auto"/>
              </w:rPr>
            </w:pPr>
            <w:r>
              <w:rPr>
                <w:rFonts w:ascii="Arial" w:cs="Arial" w:eastAsia="Arial" w:hAnsi="Arial"/>
                <w:sz w:val="15"/>
                <w:szCs w:val="15"/>
                <w:color w:val="auto"/>
              </w:rPr>
              <w:t>•   Training &amp; Job Opportunities</w:t>
            </w:r>
          </w:p>
        </w:tc>
      </w:tr>
      <w:tr>
        <w:trPr>
          <w:trHeight w:val="236"/>
        </w:trPr>
        <w:tc>
          <w:tcPr>
            <w:tcW w:w="560" w:type="dxa"/>
            <w:vAlign w:val="bottom"/>
          </w:tcPr>
          <w:p>
            <w:pPr>
              <w:ind w:left="380"/>
              <w:spacing w:after="0"/>
              <w:rPr>
                <w:sz w:val="20"/>
                <w:szCs w:val="20"/>
                <w:color w:val="auto"/>
              </w:rPr>
            </w:pPr>
            <w:r>
              <w:rPr>
                <w:rFonts w:ascii="Arial" w:cs="Arial" w:eastAsia="Arial" w:hAnsi="Arial"/>
                <w:sz w:val="15"/>
                <w:szCs w:val="15"/>
                <w:color w:val="auto"/>
              </w:rPr>
              <w:t>•</w:t>
            </w:r>
          </w:p>
        </w:tc>
        <w:tc>
          <w:tcPr>
            <w:tcW w:w="3200" w:type="dxa"/>
            <w:vAlign w:val="bottom"/>
          </w:tcPr>
          <w:p>
            <w:pPr>
              <w:ind w:left="100"/>
              <w:spacing w:after="0"/>
              <w:rPr>
                <w:sz w:val="20"/>
                <w:szCs w:val="20"/>
                <w:color w:val="auto"/>
              </w:rPr>
            </w:pPr>
            <w:r>
              <w:rPr>
                <w:rFonts w:ascii="Arial" w:cs="Arial" w:eastAsia="Arial" w:hAnsi="Arial"/>
                <w:sz w:val="15"/>
                <w:szCs w:val="15"/>
                <w:color w:val="auto"/>
              </w:rPr>
              <w:t>Benefits</w:t>
            </w:r>
          </w:p>
        </w:tc>
        <w:tc>
          <w:tcPr>
            <w:tcW w:w="1940" w:type="dxa"/>
            <w:vAlign w:val="bottom"/>
          </w:tcPr>
          <w:p>
            <w:pPr>
              <w:ind w:left="1780"/>
              <w:spacing w:after="0"/>
              <w:rPr>
                <w:sz w:val="20"/>
                <w:szCs w:val="20"/>
                <w:color w:val="auto"/>
              </w:rPr>
            </w:pPr>
            <w:r>
              <w:rPr>
                <w:rFonts w:ascii="Arial" w:cs="Arial" w:eastAsia="Arial" w:hAnsi="Arial"/>
                <w:sz w:val="15"/>
                <w:szCs w:val="15"/>
                <w:color w:val="auto"/>
              </w:rPr>
              <w:t>•</w:t>
            </w:r>
          </w:p>
        </w:tc>
        <w:tc>
          <w:tcPr>
            <w:tcW w:w="5540" w:type="dxa"/>
            <w:vAlign w:val="bottom"/>
          </w:tcPr>
          <w:p>
            <w:pPr>
              <w:ind w:left="120"/>
              <w:spacing w:after="0"/>
              <w:rPr>
                <w:sz w:val="20"/>
                <w:szCs w:val="20"/>
                <w:color w:val="auto"/>
              </w:rPr>
            </w:pPr>
            <w:r>
              <w:rPr>
                <w:rFonts w:ascii="Arial" w:cs="Arial" w:eastAsia="Arial" w:hAnsi="Arial"/>
                <w:sz w:val="15"/>
                <w:szCs w:val="15"/>
                <w:color w:val="auto"/>
              </w:rPr>
              <w:t>Workplace Health &amp; Safety</w:t>
            </w:r>
          </w:p>
        </w:tc>
      </w:tr>
      <w:tr>
        <w:trPr>
          <w:trHeight w:val="1386"/>
        </w:trPr>
        <w:tc>
          <w:tcPr>
            <w:tcW w:w="5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-323215</wp:posOffset>
            </wp:positionV>
            <wp:extent cx="789305" cy="18923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color w:val="007EC4"/>
        </w:rPr>
        <w:t xml:space="preserve">36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 w:hanging="226"/>
        <w:spacing w:after="0" w:line="310" w:lineRule="auto"/>
        <w:tabs>
          <w:tab w:leader="none" w:pos="29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with Integrity: </w:t>
      </w:r>
      <w:r>
        <w:rPr>
          <w:rFonts w:ascii="Arial" w:cs="Arial" w:eastAsia="Arial" w:hAnsi="Arial"/>
          <w:sz w:val="15"/>
          <w:szCs w:val="15"/>
          <w:color w:val="auto"/>
        </w:rPr>
        <w:t>Responsible leadership and integrity are important values at Academy that guide the operations of our Company and instill trust among our</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customers, Team Members, communities, and other stakeholders. This includes:</w:t>
      </w:r>
    </w:p>
    <w:p>
      <w:pPr>
        <w:spacing w:after="0" w:line="106"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4100" w:type="dxa"/>
            <w:vAlign w:val="bottom"/>
          </w:tcPr>
          <w:p>
            <w:pPr>
              <w:ind w:left="120"/>
              <w:spacing w:after="0"/>
              <w:rPr>
                <w:sz w:val="20"/>
                <w:szCs w:val="20"/>
                <w:color w:val="auto"/>
              </w:rPr>
            </w:pPr>
            <w:r>
              <w:rPr>
                <w:rFonts w:ascii="Arial" w:cs="Arial" w:eastAsia="Arial" w:hAnsi="Arial"/>
                <w:sz w:val="13"/>
                <w:szCs w:val="13"/>
                <w:color w:val="auto"/>
              </w:rPr>
              <w:t>Corporate Governance</w:t>
            </w:r>
          </w:p>
        </w:tc>
        <w:tc>
          <w:tcPr>
            <w:tcW w:w="1060" w:type="dxa"/>
            <w:vAlign w:val="bottom"/>
          </w:tcPr>
          <w:p>
            <w:pPr>
              <w:ind w:left="900"/>
              <w:spacing w:after="0"/>
              <w:rPr>
                <w:sz w:val="20"/>
                <w:szCs w:val="20"/>
                <w:color w:val="auto"/>
              </w:rPr>
            </w:pPr>
            <w:r>
              <w:rPr>
                <w:rFonts w:ascii="Arial" w:cs="Arial" w:eastAsia="Arial" w:hAnsi="Arial"/>
                <w:sz w:val="13"/>
                <w:szCs w:val="13"/>
                <w:color w:val="auto"/>
              </w:rPr>
              <w:t>•</w:t>
            </w:r>
          </w:p>
        </w:tc>
        <w:tc>
          <w:tcPr>
            <w:tcW w:w="1540" w:type="dxa"/>
            <w:vAlign w:val="bottom"/>
          </w:tcPr>
          <w:p>
            <w:pPr>
              <w:ind w:left="100"/>
              <w:spacing w:after="0"/>
              <w:rPr>
                <w:sz w:val="20"/>
                <w:szCs w:val="20"/>
                <w:color w:val="auto"/>
              </w:rPr>
            </w:pPr>
            <w:r>
              <w:rPr>
                <w:rFonts w:ascii="Arial" w:cs="Arial" w:eastAsia="Arial" w:hAnsi="Arial"/>
                <w:sz w:val="13"/>
                <w:szCs w:val="13"/>
                <w:color w:val="auto"/>
              </w:rPr>
              <w:t>Firearms Responsibility</w:t>
            </w:r>
          </w:p>
        </w:tc>
      </w:tr>
      <w:tr>
        <w:trPr>
          <w:trHeight w:val="224"/>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4100" w:type="dxa"/>
            <w:vAlign w:val="bottom"/>
          </w:tcPr>
          <w:p>
            <w:pPr>
              <w:ind w:left="120"/>
              <w:spacing w:after="0"/>
              <w:rPr>
                <w:sz w:val="20"/>
                <w:szCs w:val="20"/>
                <w:color w:val="auto"/>
              </w:rPr>
            </w:pPr>
            <w:r>
              <w:rPr>
                <w:rFonts w:ascii="Arial" w:cs="Arial" w:eastAsia="Arial" w:hAnsi="Arial"/>
                <w:sz w:val="13"/>
                <w:szCs w:val="13"/>
                <w:color w:val="auto"/>
              </w:rPr>
              <w:t>Stockholder Engagement</w:t>
            </w:r>
          </w:p>
        </w:tc>
        <w:tc>
          <w:tcPr>
            <w:tcW w:w="2600" w:type="dxa"/>
            <w:vAlign w:val="bottom"/>
            <w:gridSpan w:val="2"/>
          </w:tcPr>
          <w:p>
            <w:pPr>
              <w:ind w:left="900"/>
              <w:spacing w:after="0"/>
              <w:rPr>
                <w:sz w:val="20"/>
                <w:szCs w:val="20"/>
                <w:color w:val="auto"/>
              </w:rPr>
            </w:pPr>
            <w:r>
              <w:rPr>
                <w:rFonts w:ascii="Arial" w:cs="Arial" w:eastAsia="Arial" w:hAnsi="Arial"/>
                <w:sz w:val="13"/>
                <w:szCs w:val="13"/>
                <w:color w:val="auto"/>
              </w:rPr>
              <w:t>•   Product Quality &amp; Safety</w:t>
            </w:r>
          </w:p>
        </w:tc>
      </w:tr>
      <w:tr>
        <w:trPr>
          <w:trHeight w:val="236"/>
        </w:trPr>
        <w:tc>
          <w:tcPr>
            <w:tcW w:w="4260" w:type="dxa"/>
            <w:vAlign w:val="bottom"/>
            <w:gridSpan w:val="2"/>
          </w:tcPr>
          <w:p>
            <w:pPr>
              <w:spacing w:after="0"/>
              <w:rPr>
                <w:sz w:val="20"/>
                <w:szCs w:val="20"/>
                <w:color w:val="auto"/>
              </w:rPr>
            </w:pPr>
            <w:r>
              <w:rPr>
                <w:rFonts w:ascii="Arial" w:cs="Arial" w:eastAsia="Arial" w:hAnsi="Arial"/>
                <w:sz w:val="13"/>
                <w:szCs w:val="13"/>
                <w:color w:val="auto"/>
              </w:rPr>
              <w:t>•   Ethics &amp; Compliance, including Vendor Management</w:t>
            </w:r>
          </w:p>
        </w:tc>
        <w:tc>
          <w:tcPr>
            <w:tcW w:w="1060" w:type="dxa"/>
            <w:vAlign w:val="bottom"/>
          </w:tcPr>
          <w:p>
            <w:pPr>
              <w:ind w:left="900"/>
              <w:spacing w:after="0"/>
              <w:rPr>
                <w:sz w:val="20"/>
                <w:szCs w:val="20"/>
                <w:color w:val="auto"/>
              </w:rPr>
            </w:pPr>
            <w:r>
              <w:rPr>
                <w:rFonts w:ascii="Arial" w:cs="Arial" w:eastAsia="Arial" w:hAnsi="Arial"/>
                <w:sz w:val="13"/>
                <w:szCs w:val="13"/>
                <w:color w:val="auto"/>
              </w:rPr>
              <w:t>•</w:t>
            </w:r>
          </w:p>
        </w:tc>
        <w:tc>
          <w:tcPr>
            <w:tcW w:w="1540" w:type="dxa"/>
            <w:vAlign w:val="bottom"/>
          </w:tcPr>
          <w:p>
            <w:pPr>
              <w:ind w:left="100"/>
              <w:spacing w:after="0"/>
              <w:rPr>
                <w:sz w:val="20"/>
                <w:szCs w:val="20"/>
                <w:color w:val="auto"/>
              </w:rPr>
            </w:pPr>
            <w:r>
              <w:rPr>
                <w:rFonts w:ascii="Arial" w:cs="Arial" w:eastAsia="Arial" w:hAnsi="Arial"/>
                <w:sz w:val="13"/>
                <w:szCs w:val="13"/>
                <w:color w:val="auto"/>
              </w:rPr>
              <w:t>Data Security &amp; Privacy</w:t>
            </w:r>
          </w:p>
        </w:tc>
      </w:tr>
    </w:tbl>
    <w:p>
      <w:pPr>
        <w:spacing w:after="0" w:line="269" w:lineRule="exact"/>
        <w:rPr>
          <w:sz w:val="20"/>
          <w:szCs w:val="20"/>
          <w:color w:val="auto"/>
        </w:rPr>
      </w:pPr>
    </w:p>
    <w:p>
      <w:pPr>
        <w:ind w:left="300" w:right="160" w:hanging="226"/>
        <w:spacing w:after="0" w:line="310" w:lineRule="auto"/>
        <w:tabs>
          <w:tab w:leader="none" w:pos="29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Supporting Our Communities: </w:t>
      </w:r>
      <w:r>
        <w:rPr>
          <w:rFonts w:ascii="Arial" w:cs="Arial" w:eastAsia="Arial" w:hAnsi="Arial"/>
          <w:sz w:val="15"/>
          <w:szCs w:val="15"/>
          <w:color w:val="auto"/>
        </w:rPr>
        <w:t>We’re committed to keeping the outdoors fun for generations to come. That’s why we take a thoughtful approach to our community</w:t>
      </w:r>
      <w:r>
        <w:rPr>
          <w:rFonts w:ascii="Arial" w:cs="Arial" w:eastAsia="Arial" w:hAnsi="Arial"/>
          <w:sz w:val="15"/>
          <w:szCs w:val="15"/>
          <w:b w:val="1"/>
          <w:bCs w:val="1"/>
          <w:color w:val="auto"/>
        </w:rPr>
        <w:t xml:space="preserve"> </w:t>
      </w:r>
      <w:r>
        <w:rPr>
          <w:rFonts w:ascii="Arial" w:cs="Arial" w:eastAsia="Arial" w:hAnsi="Arial"/>
          <w:sz w:val="15"/>
          <w:szCs w:val="15"/>
          <w:color w:val="auto"/>
        </w:rPr>
        <w:t>impact — so you can feel good about gearing up for the great outdoors. This includes:</w:t>
      </w:r>
    </w:p>
    <w:p>
      <w:pPr>
        <w:spacing w:after="0" w:line="118" w:lineRule="exact"/>
        <w:rPr>
          <w:sz w:val="20"/>
          <w:szCs w:val="20"/>
          <w:color w:val="auto"/>
        </w:rPr>
      </w:pPr>
    </w:p>
    <w:tbl>
      <w:tblPr>
        <w:tblLayout w:type="fixed"/>
        <w:tblInd w:w="380" w:type="dxa"/>
        <w:tblCellMar>
          <w:top w:w="0" w:type="dxa"/>
          <w:left w:w="0" w:type="dxa"/>
          <w:bottom w:w="0" w:type="dxa"/>
          <w:right w:w="0" w:type="dxa"/>
        </w:tblCellMar>
      </w:tblPr>
      <w:tr>
        <w:trPr>
          <w:trHeight w:val="174"/>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3320" w:type="dxa"/>
            <w:vAlign w:val="bottom"/>
          </w:tcPr>
          <w:p>
            <w:pPr>
              <w:ind w:left="120"/>
              <w:spacing w:after="0"/>
              <w:rPr>
                <w:sz w:val="20"/>
                <w:szCs w:val="20"/>
                <w:color w:val="auto"/>
              </w:rPr>
            </w:pPr>
            <w:r>
              <w:rPr>
                <w:rFonts w:ascii="Arial" w:cs="Arial" w:eastAsia="Arial" w:hAnsi="Arial"/>
                <w:sz w:val="13"/>
                <w:szCs w:val="13"/>
                <w:color w:val="auto"/>
              </w:rPr>
              <w:t>Charitable Donations</w:t>
            </w:r>
          </w:p>
        </w:tc>
        <w:tc>
          <w:tcPr>
            <w:tcW w:w="1840" w:type="dxa"/>
            <w:vAlign w:val="bottom"/>
          </w:tcPr>
          <w:p>
            <w:pPr>
              <w:ind w:left="1680"/>
              <w:spacing w:after="0"/>
              <w:rPr>
                <w:sz w:val="20"/>
                <w:szCs w:val="20"/>
                <w:color w:val="auto"/>
              </w:rPr>
            </w:pPr>
            <w:r>
              <w:rPr>
                <w:rFonts w:ascii="Arial" w:cs="Arial" w:eastAsia="Arial" w:hAnsi="Arial"/>
                <w:sz w:val="13"/>
                <w:szCs w:val="13"/>
                <w:color w:val="auto"/>
              </w:rPr>
              <w:t>•</w:t>
            </w:r>
          </w:p>
        </w:tc>
        <w:tc>
          <w:tcPr>
            <w:tcW w:w="3440" w:type="dxa"/>
            <w:vAlign w:val="bottom"/>
          </w:tcPr>
          <w:p>
            <w:pPr>
              <w:ind w:left="100"/>
              <w:spacing w:after="0"/>
              <w:rPr>
                <w:sz w:val="20"/>
                <w:szCs w:val="20"/>
                <w:color w:val="auto"/>
              </w:rPr>
            </w:pPr>
            <w:r>
              <w:rPr>
                <w:rFonts w:ascii="Arial" w:cs="Arial" w:eastAsia="Arial" w:hAnsi="Arial"/>
                <w:sz w:val="13"/>
                <w:szCs w:val="13"/>
                <w:color w:val="auto"/>
              </w:rPr>
              <w:t>Climate &amp; Carbon Footprint</w:t>
            </w:r>
          </w:p>
        </w:tc>
      </w:tr>
      <w:tr>
        <w:trPr>
          <w:trHeight w:val="249"/>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3320" w:type="dxa"/>
            <w:vAlign w:val="bottom"/>
          </w:tcPr>
          <w:p>
            <w:pPr>
              <w:ind w:left="120"/>
              <w:spacing w:after="0"/>
              <w:rPr>
                <w:sz w:val="20"/>
                <w:szCs w:val="20"/>
                <w:color w:val="auto"/>
              </w:rPr>
            </w:pPr>
            <w:r>
              <w:rPr>
                <w:rFonts w:ascii="Arial" w:cs="Arial" w:eastAsia="Arial" w:hAnsi="Arial"/>
                <w:sz w:val="13"/>
                <w:szCs w:val="13"/>
                <w:color w:val="auto"/>
              </w:rPr>
              <w:t>Community Giving Events</w:t>
            </w:r>
          </w:p>
        </w:tc>
        <w:tc>
          <w:tcPr>
            <w:tcW w:w="1840" w:type="dxa"/>
            <w:vAlign w:val="bottom"/>
          </w:tcPr>
          <w:p>
            <w:pPr>
              <w:ind w:left="1680"/>
              <w:spacing w:after="0"/>
              <w:rPr>
                <w:sz w:val="20"/>
                <w:szCs w:val="20"/>
                <w:color w:val="auto"/>
              </w:rPr>
            </w:pPr>
            <w:r>
              <w:rPr>
                <w:rFonts w:ascii="Arial" w:cs="Arial" w:eastAsia="Arial" w:hAnsi="Arial"/>
                <w:sz w:val="13"/>
                <w:szCs w:val="13"/>
                <w:color w:val="auto"/>
              </w:rPr>
              <w:t>•</w:t>
            </w:r>
          </w:p>
        </w:tc>
        <w:tc>
          <w:tcPr>
            <w:tcW w:w="3440" w:type="dxa"/>
            <w:vAlign w:val="bottom"/>
          </w:tcPr>
          <w:p>
            <w:pPr>
              <w:ind w:left="100"/>
              <w:spacing w:after="0"/>
              <w:rPr>
                <w:sz w:val="20"/>
                <w:szCs w:val="20"/>
                <w:color w:val="auto"/>
              </w:rPr>
            </w:pPr>
            <w:r>
              <w:rPr>
                <w:rFonts w:ascii="Arial" w:cs="Arial" w:eastAsia="Arial" w:hAnsi="Arial"/>
                <w:sz w:val="13"/>
                <w:szCs w:val="13"/>
                <w:color w:val="auto"/>
              </w:rPr>
              <w:t>Sustainable Products &amp; Packaging</w:t>
            </w:r>
          </w:p>
        </w:tc>
      </w:tr>
      <w:tr>
        <w:trPr>
          <w:trHeight w:val="249"/>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3320" w:type="dxa"/>
            <w:vAlign w:val="bottom"/>
          </w:tcPr>
          <w:p>
            <w:pPr>
              <w:ind w:left="120"/>
              <w:spacing w:after="0"/>
              <w:rPr>
                <w:sz w:val="20"/>
                <w:szCs w:val="20"/>
                <w:color w:val="auto"/>
              </w:rPr>
            </w:pPr>
            <w:r>
              <w:rPr>
                <w:rFonts w:ascii="Arial" w:cs="Arial" w:eastAsia="Arial" w:hAnsi="Arial"/>
                <w:sz w:val="13"/>
                <w:szCs w:val="13"/>
                <w:color w:val="auto"/>
              </w:rPr>
              <w:t>Non-profit Partnerships</w:t>
            </w:r>
          </w:p>
        </w:tc>
        <w:tc>
          <w:tcPr>
            <w:tcW w:w="1840" w:type="dxa"/>
            <w:vAlign w:val="bottom"/>
          </w:tcPr>
          <w:p>
            <w:pPr>
              <w:ind w:left="1680"/>
              <w:spacing w:after="0"/>
              <w:rPr>
                <w:sz w:val="20"/>
                <w:szCs w:val="20"/>
                <w:color w:val="auto"/>
              </w:rPr>
            </w:pPr>
            <w:r>
              <w:rPr>
                <w:rFonts w:ascii="Arial" w:cs="Arial" w:eastAsia="Arial" w:hAnsi="Arial"/>
                <w:sz w:val="13"/>
                <w:szCs w:val="13"/>
                <w:color w:val="auto"/>
              </w:rPr>
              <w:t>•</w:t>
            </w:r>
          </w:p>
        </w:tc>
        <w:tc>
          <w:tcPr>
            <w:tcW w:w="3440" w:type="dxa"/>
            <w:vAlign w:val="bottom"/>
          </w:tcPr>
          <w:p>
            <w:pPr>
              <w:ind w:left="100"/>
              <w:spacing w:after="0"/>
              <w:rPr>
                <w:sz w:val="20"/>
                <w:szCs w:val="20"/>
                <w:color w:val="auto"/>
              </w:rPr>
            </w:pPr>
            <w:r>
              <w:rPr>
                <w:rFonts w:ascii="Arial" w:cs="Arial" w:eastAsia="Arial" w:hAnsi="Arial"/>
                <w:sz w:val="13"/>
                <w:szCs w:val="13"/>
                <w:color w:val="auto"/>
              </w:rPr>
              <w:t>Construction Efficiency, Recycling &amp; Waste Management</w:t>
            </w:r>
          </w:p>
        </w:tc>
      </w:tr>
      <w:tr>
        <w:trPr>
          <w:trHeight w:val="249"/>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3320" w:type="dxa"/>
            <w:vAlign w:val="bottom"/>
          </w:tcPr>
          <w:p>
            <w:pPr>
              <w:ind w:left="120"/>
              <w:spacing w:after="0"/>
              <w:rPr>
                <w:sz w:val="20"/>
                <w:szCs w:val="20"/>
                <w:color w:val="auto"/>
              </w:rPr>
            </w:pPr>
            <w:r>
              <w:rPr>
                <w:rFonts w:ascii="Arial" w:cs="Arial" w:eastAsia="Arial" w:hAnsi="Arial"/>
                <w:sz w:val="13"/>
                <w:szCs w:val="13"/>
                <w:color w:val="auto"/>
              </w:rPr>
              <w:t>Local Job Creation</w:t>
            </w:r>
          </w:p>
        </w:tc>
        <w:tc>
          <w:tcPr>
            <w:tcW w:w="1840" w:type="dxa"/>
            <w:vAlign w:val="bottom"/>
          </w:tcPr>
          <w:p>
            <w:pPr>
              <w:ind w:left="1680"/>
              <w:spacing w:after="0"/>
              <w:rPr>
                <w:sz w:val="20"/>
                <w:szCs w:val="20"/>
                <w:color w:val="auto"/>
              </w:rPr>
            </w:pPr>
            <w:r>
              <w:rPr>
                <w:rFonts w:ascii="Arial" w:cs="Arial" w:eastAsia="Arial" w:hAnsi="Arial"/>
                <w:sz w:val="13"/>
                <w:szCs w:val="13"/>
                <w:color w:val="auto"/>
              </w:rPr>
              <w:t>•</w:t>
            </w:r>
          </w:p>
        </w:tc>
        <w:tc>
          <w:tcPr>
            <w:tcW w:w="3440" w:type="dxa"/>
            <w:vAlign w:val="bottom"/>
          </w:tcPr>
          <w:p>
            <w:pPr>
              <w:ind w:left="100"/>
              <w:spacing w:after="0"/>
              <w:rPr>
                <w:sz w:val="20"/>
                <w:szCs w:val="20"/>
                <w:color w:val="auto"/>
              </w:rPr>
            </w:pPr>
            <w:r>
              <w:rPr>
                <w:rFonts w:ascii="Arial" w:cs="Arial" w:eastAsia="Arial" w:hAnsi="Arial"/>
                <w:sz w:val="13"/>
                <w:szCs w:val="13"/>
                <w:color w:val="auto"/>
              </w:rPr>
              <w:t>Environmental Conservation</w:t>
            </w:r>
          </w:p>
        </w:tc>
      </w:tr>
    </w:tbl>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Corporate responsibility oversight is performed by the Board and its committees. The Governance Committee is primarily responsible for monitoring our corporate responsibility strategy and initiatives. This includes management reviewing and reporting the Company's progress to the Board on a periodic basis and public reports related to such strategy and initiatives and the potential long-and short-term impacts to the Company’s business of corporate responsibility issues and trends. Additionally, the Governance Committee shares the feedback and perspectives of our stakeholders and makes recommendations to the Board, its other committees, and our executive leadership regarding our corporate responsibility strategy. The Governance Committee manages its oversight of our corporate responsibility strategy by having regular discussions with management and quarterly updates of our corporate responsibility initiatives and progress during committee meetings. The Governance Committee is also responsible for overseeing corporate responsibility matters related to Board and corporate governance, investor relations, and political contributions. The Compensation Committee oversees corporate responsibility matters related to our team members, including belonging, compensation, benefits, and wellness, engagement and training/talent development, and succession planning. The Audit Committee oversees corporate responsibility matters related to compliance (including ethics, whistleblower hotline, firearms, and safety), cybersecurity, data privacy, and enterprise risk management. The Board oversees corporate responsibility as part of its oversight of our business and strategy. Each committee provides an update to the Board on matters discussed and actions taken or recommended in its meeting held, including with respect to corporate responsibility matters. Each year, the Board receives a report on our corporate responsibility initiatives and progress, including a discussion of our corporate responsibility reporting and communications.</w:t>
      </w:r>
    </w:p>
    <w:p>
      <w:pPr>
        <w:spacing w:after="0" w:line="178"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At the management level, senior leaders comprise a cross-functional team that drives our corporate responsibility efforts. The corporate responsibility team focuses on identifying key corporate responsibility matters that are important to our business and stakeholders, developing initiatives that advance our corporate responsibility efforts, and reporting and communicating our corporate responsibility progress. The corporate responsibility team works with the major functions of the Company, including executive management, merchandising, global sourcing, supply and logistics, community relations, communications, human resources, legal and compliance, safety, information technology, store and distribution center operations, facilities management, and internal audit to align our efforts with corporate responsibility trends and the views of our stakeholders and report and communicate our progress on these efforts using the leading industry framework and standards.</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Our corporate responsibility efforts primarily relate to keeping our customers active and connected with experiences, investing in our team members, providing quality and safe products, workplaces and retail experience, supporting and giving to our communities, enhancing our governance practices, strengthening our compliance programs, augmenting our cybersecurity and data privacy programs, and being thoughtful about our environmental impact. Going forward, we will continue to review and appropriately enhance the scope of our evolving corporate responsibility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771525</wp:posOffset>
            </wp:positionV>
            <wp:extent cx="7168515" cy="4127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484505</wp:posOffset>
            </wp:positionV>
            <wp:extent cx="789305" cy="18923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On a periodic basis, we may issue updates describing our corporate responsibility initiatives and progress. In May 2024, we issued our latest Corporate Responsibility Report for 2023 (the “2023 CR Report”). The 2023 CR Report seeks to provide transparent and quantitative disclosures, reporting informed by the Sustainability Accounting Standard Board (“SASB”) standard and in reference to the Global Reporting Initiative (“GRI”) standard, and tear sheets that contain disclosures of certain standard metrics to improve the convenience of reviewing our progress, the tear sheets from the 2023 CR Report are available on our investor relations website at investors.academy.com. Later this spring, we expect to publish tear sheets for 2024, which will be available on our investor relations website at investors.academy.com. The distribution of information about our corporate responsibility efforts should not be construed as a characterization of the materiality or financial impact of the information with respect to us or for purposes of any of our SEC filings.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Oversight of Risk Management</w:t>
      </w:r>
    </w:p>
    <w:p>
      <w:pPr>
        <w:spacing w:after="0" w:line="144"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Management is responsible for the day-to-day management of risk, while the Board is primarily responsible for risk management oversight and delegates oversight of certain risk management to its committees. The Board oversees our long-range strategic and financial planning and execution, annual budget and capital plans, stockholder return principles, and financing risks. The Audit Committee oversees the administration of our enterprise risk management (“ERM”) program and risk management of financial exposures, statements, controls, systems and reporting; regulatory and compliance, including ethics, anti-corruption, firearms, safety, and whistleblower programs; information technology, including artificial intelligence, cybersecurity and data privacy; internal audit and related matters; shrink; and related-party transactions. The Compensation Committee oversees risk management of our compensation policies and practices; talent recruitment, management, and retention; succession planning; and non-employee director compensation. The Governance Committee oversees risk management of our corporate governance; Board composition, structure, and oversight; director succession planning; corporate responsibility strategy; and political contributions. Each committee submits reports and recommendations to the Board regarding risk-related matters.</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The Board and its committees receive regular reports from management and/or other third-party advisors regarding specific risks and trends to help ensure effective and efficient oversight of our activities and to assist in proper risk management and the ongoing evaluation of management controls. The Board and its committees discuss selected risks in greater detail throughout the year with management and in executive sessions of the Board and/or the independent directors.</w:t>
      </w:r>
    </w:p>
    <w:p>
      <w:pPr>
        <w:spacing w:after="0" w:line="164" w:lineRule="exact"/>
        <w:rPr>
          <w:sz w:val="20"/>
          <w:szCs w:val="20"/>
          <w:color w:val="auto"/>
        </w:rPr>
      </w:pPr>
    </w:p>
    <w:p>
      <w:pPr>
        <w:ind w:right="140"/>
        <w:spacing w:after="0" w:line="314" w:lineRule="auto"/>
        <w:rPr>
          <w:sz w:val="20"/>
          <w:szCs w:val="20"/>
          <w:color w:val="auto"/>
        </w:rPr>
      </w:pPr>
      <w:r>
        <w:rPr>
          <w:rFonts w:ascii="Arial" w:cs="Arial" w:eastAsia="Arial" w:hAnsi="Arial"/>
          <w:sz w:val="14"/>
          <w:szCs w:val="14"/>
          <w:color w:val="auto"/>
        </w:rPr>
        <w:t>The ERM program evaluates both risks that can have a catastrophic effect on Academy and risks that can impede Academy’s ability to execute its long-range plan and strategic objectives. Risks facing the Company include macroeconomic, global trade, supply chain, legal, regulatory and compliance, operational, information technology (including infrastructure, data, artificial intelligence, cybersecurity, and data privacy), climate, labor, business continuity, competitive, financial, safety, reputational, and other business risk exposures. For more information on the risks that affect our business, please see the “Part I, Item 1A. Risk Factors” of the Annual Report.</w:t>
      </w:r>
    </w:p>
    <w:p>
      <w:pPr>
        <w:spacing w:after="0" w:line="152"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Leaders from our Risk Management and Internal Audit functions (the “ERM Team”) administer our ERM program, which is designed to identify, assess and manage our top enterprise risks. Responsibility for managing each of top exposures driving our enterprise risks is assigned to one or more members of management, who we refer to as “risk owners.” The ERM Team’s responsibility is to regularly identify our top enterprise risks (including emerging risks); assess the likelihood of their occurrence, the significance of their potential impact, and the effectiveness of our existing strategies to mitigate their risk; and develop plans with risk owners to monitor, manage and mitigate these risks. The ERM Team holds regular risk discussions with enterprise risk owners and senior management, which inform the development, updating, and mitigation of the top enterprise risks. In addition, the ERM Team holds regular meetings to discuss key risks and their mitigation.</w:t>
      </w:r>
    </w:p>
    <w:p>
      <w:pPr>
        <w:spacing w:after="0" w:line="172"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The Company also maintains an Enterprise Risk Management Committee (or “ERM Committee”), composed of senior leaders from certain principal functional areas of the Company and charged with adequately identifying short-term (within twelve months) and long-term (beyond twelve months) key risks the Company faces in a timely manner. The ERM Committee meets monthly to discuss and address the Company’s enterprise risk profile and any new or emerging risks with our ERM Team and risk owners. The Company’s enterprise risks are assessed and ranked annually by the ERM Committee through leadership interviews, surveys, and calibrations based on risk management reviews conducted by the ERM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773430</wp:posOffset>
            </wp:positionV>
            <wp:extent cx="7168515" cy="4127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478155</wp:posOffset>
            </wp:positionV>
            <wp:extent cx="789305" cy="18923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007EC4"/>
        </w:rPr>
        <w:t xml:space="preserve">38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In its oversight of our ERM program, the Audit Committee reviews the Company’s processes governing management’s assessment and management of the Company’s exposure to risk, including the implementation of strategies management takes to monitor and control such exposures. The Audit Committee stays apprised of significant actual and potential risks in part through their review of quarterly reports of the Company’s top enterprise risks prepared and presented by management, including the Chief Legal Officer and the heads of Risk Management and/or Internal Audit.</w:t>
      </w:r>
    </w:p>
    <w:p>
      <w:pPr>
        <w:spacing w:after="0" w:line="166"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The Audit Committee has primary responsibility for overseeing risks related to cybersecurity, although the full Board retains ultimate oversight over these risks. Cybersecurity is a standing agenda item of the Audit Committee’s regular quarterly meetings, where the Audit Committee reviews and discusses cybersecurity risks along with the Company’s cybersecurity programs and strategy with management. The Audit Committee receives reports and presentations from our Chief Information Officer and our Chief Legal Officer at its quarterly meetings on a range of topics, including our cybersecurity and data privacy programs and processes, our information systems, risk identification and mitigation strategies, the evolving cybersecurity threat landscape, regulatory developments, board education, and notable incidents or threats affecting the Company. From time to time between quarterly meetings, our Chief Information Officer and Chief Legal Officer or other members of management may hold additional cybersecurity-related discussions with the Audit Committee. The Audit Committee regularly reports on its cybersecurity program oversight to the Board. In addition, our Internal Audit team performs audits on various aspects of cybersecurity and reports the results of these audits in its quarterly reports to the Audit Committee. For more information on our cybersecurity risk management, strategy and governance, see “Part I, Item 1C. Cybersecurity” of the Annual Report.</w:t>
      </w:r>
    </w:p>
    <w:p>
      <w:pPr>
        <w:spacing w:after="0" w:line="178"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The Audit Committee also has primary responsibility for overseeing risks related to compliance with regulations, policies, and our Ethics and Code of Conduct Policy, and Vendor Code of Conduct, including risks and concerns relating to ethics, gifts &amp; entertainment, conflicts of interest, fraud, corruption, violations, theft, misuse of assets, discrimination, harassment, retaliation, and safety, although the full Board also exercises oversight over these risks. On a quarterly basis or more frequently as needed, the Audit Committee and/or full Board receive detailed reports on these risks and on concerns reported through the Company’s whistleblower hotline from our Chief Legal Officer (who is our chief compliance officer).</w:t>
      </w:r>
    </w:p>
    <w:p>
      <w:pPr>
        <w:spacing w:after="0" w:line="169"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We believe that the leadership structure of the Board, along with the allocation of risk management responsibilities described above, provides appropriate risk oversight of our activities.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Code of Ethics</w:t>
      </w:r>
    </w:p>
    <w:p>
      <w:pPr>
        <w:spacing w:after="0" w:line="144" w:lineRule="exact"/>
        <w:rPr>
          <w:sz w:val="20"/>
          <w:szCs w:val="20"/>
          <w:color w:val="auto"/>
        </w:rPr>
      </w:pPr>
    </w:p>
    <w:p>
      <w:pPr>
        <w:ind w:right="100"/>
        <w:spacing w:after="0" w:line="314" w:lineRule="auto"/>
        <w:rPr>
          <w:sz w:val="20"/>
          <w:szCs w:val="20"/>
          <w:color w:val="auto"/>
        </w:rPr>
      </w:pPr>
      <w:r>
        <w:rPr>
          <w:rFonts w:ascii="Arial" w:cs="Arial" w:eastAsia="Arial" w:hAnsi="Arial"/>
          <w:sz w:val="14"/>
          <w:szCs w:val="14"/>
          <w:color w:val="auto"/>
        </w:rPr>
        <w:t>We maintain a written code of ethics (our “Ethics and Code of Conduct Policy”) that applies to our directors, officers and team members, including our principal executive officer, principal financial officer, principal accounting officer, controller, or persons performing similar functions. The Ethics and Code of Conduct Policy covers the following topics, among others: respectful work &amp; shopping environments, belonging, safety and health, discrimination and harassment, vendor expectations, bribes and improper payments, conflicts of interest, insider trading, antitrust and competition, political activity and contributions, and reporting ethical concerns.</w:t>
      </w:r>
    </w:p>
    <w:p>
      <w:pPr>
        <w:spacing w:after="0" w:line="152"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Our Ethics and Code of Conduct Policy is a “code of ethics,” as defined in Item 406(b) of Regulation S-K under the Securities Act, and can be viewed on our investor relations website at investors.academy.com. We intend to make any legally required disclosure regarding amendments to, or waivers of, provisions of our Ethics and Code of Conduct Policy on our investor relations website at investors.academy.com.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770255</wp:posOffset>
            </wp:positionV>
            <wp:extent cx="7168515" cy="4127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474980</wp:posOffset>
            </wp:positionV>
            <wp:extent cx="789305" cy="18923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Insider Trading Policy</w:t>
      </w:r>
    </w:p>
    <w:p>
      <w:pPr>
        <w:spacing w:after="0" w:line="144"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We have adopted an Insider Trading Policy governing the purchase, sale, and/or other dispositions of our securities by our directors, officers (including our executive officers), and team members, or by the Company itself, that we believe is reasonably designed to promote compliance with insider trading laws, rules and regulations, and the exchange listing standards applicable to us. Among other things, our Insider Trading Policy specifies our open quarterly windows during which our directors, executive officers, and certain team members are permitted to trade and requires that these persons to consult, and receive pre-clearance from our Legal Department prior to engaging in transactions involving the Company’s securities. In addition, under the Insider Trading Policy, directors, officers, and team members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Our Insider Trading Policy also prohibits our directors, officers and team members from purchasing the Company’s securities on margin, or borrowing against any account in which the Company’s securities are held, or pledging the Company’s securities as collateral for a loan. Our Insider Trading Policy also prohibits our directors, officers, and team members from heading and pledging Company’s securities as described in more detail in the section titled “Compensation Discussion and Analysis - Prohibition on Hedging and Pleading of Company Stock” below. A copy of our Insider Trading Policy is filed as Exhibit 19.1 to the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Communications with the Board</w:t>
      </w:r>
    </w:p>
    <w:p>
      <w:pPr>
        <w:spacing w:after="0" w:line="14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As described in the Corporate Governance Guidelines, anyone, including stockholders and any other interested parties, who would like to communicate with, or otherwise make his or her concerns known directly to the Chairman of the Board or the chairperson of the Audit, Governance, and/or Compensation Committees, any then-serving Lead Director or, if there is no Lead Director, the director designated by the non-management or independent directors as the presiding director, or to the non-management or independent directors as a group, may do so by addressing such communications or concerns to the attention of our Corporate Secretary at Academy Sports and Outdoors, Inc., 1800 North Mason Road, Katy, Texas 77449, who will forward such communications to the appropriate party, except that the Corporate Secretary reserves the right not to forward advertisements or solicitations, obscene or offensive items, communications unrelated to the Company’s affairs, business or governance, or otherwise inappropriate materials.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Compensation of Directors</w:t>
      </w:r>
    </w:p>
    <w:p>
      <w:pPr>
        <w:spacing w:after="0" w:line="132"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Under our director compensation program, non-employee directors receive the following compensation (note: references to non-employee directors mean our directors who are not currently employed by the Company), as provided by the Company’s Non-Employee Director Compensation Policy, a copy of which is filed as Exhibit 10.66 to the Annual Report (the “Non-Employee Director Compensation Policy”):</w:t>
      </w:r>
    </w:p>
    <w:p>
      <w:pPr>
        <w:spacing w:after="0" w:line="52" w:lineRule="exact"/>
        <w:rPr>
          <w:sz w:val="20"/>
          <w:szCs w:val="20"/>
          <w:color w:val="auto"/>
        </w:rPr>
      </w:pPr>
    </w:p>
    <w:p>
      <w:pPr>
        <w:ind w:left="420" w:hanging="197"/>
        <w:spacing w:after="0"/>
        <w:tabs>
          <w:tab w:leader="none" w:pos="4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an annual cash retainer of $100,000, which is payable each fiscal quarter in arrears in installments of $25,000.</w:t>
      </w:r>
    </w:p>
    <w:p>
      <w:pPr>
        <w:spacing w:after="0" w:line="113" w:lineRule="exact"/>
        <w:rPr>
          <w:rFonts w:ascii="Arial" w:cs="Arial" w:eastAsia="Arial" w:hAnsi="Arial"/>
          <w:sz w:val="15"/>
          <w:szCs w:val="15"/>
          <w:color w:val="auto"/>
        </w:rPr>
      </w:pPr>
    </w:p>
    <w:p>
      <w:pPr>
        <w:ind w:left="440" w:right="200" w:hanging="217"/>
        <w:spacing w:after="0" w:line="276" w:lineRule="auto"/>
        <w:tabs>
          <w:tab w:leader="none" w:pos="417"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 addition, each non-employee director serving in the following positions on the Board will receive the following additional annual cash retainers, each of which is also payable each fiscal quarter in arrears in installments:</w:t>
      </w:r>
    </w:p>
    <w:p>
      <w:pPr>
        <w:spacing w:after="0" w:line="63" w:lineRule="exact"/>
        <w:rPr>
          <w:rFonts w:ascii="Arial" w:cs="Arial" w:eastAsia="Arial" w:hAnsi="Arial"/>
          <w:sz w:val="15"/>
          <w:szCs w:val="15"/>
          <w:color w:val="auto"/>
        </w:rPr>
      </w:pPr>
    </w:p>
    <w:p>
      <w:pPr>
        <w:ind w:left="660" w:hanging="213"/>
        <w:spacing w:after="0"/>
        <w:tabs>
          <w:tab w:leader="none" w:pos="6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Chairman of the Board: $75,000;</w:t>
      </w:r>
    </w:p>
    <w:p>
      <w:pPr>
        <w:spacing w:after="0" w:line="51" w:lineRule="exact"/>
        <w:rPr>
          <w:rFonts w:ascii="Arial" w:cs="Arial" w:eastAsia="Arial" w:hAnsi="Arial"/>
          <w:sz w:val="15"/>
          <w:szCs w:val="15"/>
          <w:color w:val="auto"/>
        </w:rPr>
      </w:pPr>
    </w:p>
    <w:p>
      <w:pPr>
        <w:ind w:left="660" w:hanging="213"/>
        <w:spacing w:after="0"/>
        <w:tabs>
          <w:tab w:leader="none" w:pos="6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Lead (Independent) Director: $40,000;</w:t>
      </w:r>
    </w:p>
    <w:p>
      <w:pPr>
        <w:spacing w:after="0" w:line="51" w:lineRule="exact"/>
        <w:rPr>
          <w:rFonts w:ascii="Arial" w:cs="Arial" w:eastAsia="Arial" w:hAnsi="Arial"/>
          <w:sz w:val="15"/>
          <w:szCs w:val="15"/>
          <w:color w:val="auto"/>
        </w:rPr>
      </w:pPr>
    </w:p>
    <w:p>
      <w:pPr>
        <w:ind w:left="660" w:hanging="213"/>
        <w:spacing w:after="0"/>
        <w:tabs>
          <w:tab w:leader="none" w:pos="6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Audit Committee Chair: $30,000;</w:t>
      </w:r>
    </w:p>
    <w:p>
      <w:pPr>
        <w:spacing w:after="0" w:line="63" w:lineRule="exact"/>
        <w:rPr>
          <w:rFonts w:ascii="Arial" w:cs="Arial" w:eastAsia="Arial" w:hAnsi="Arial"/>
          <w:sz w:val="15"/>
          <w:szCs w:val="15"/>
          <w:color w:val="auto"/>
        </w:rPr>
      </w:pPr>
    </w:p>
    <w:p>
      <w:pPr>
        <w:ind w:left="660" w:hanging="213"/>
        <w:spacing w:after="0"/>
        <w:tabs>
          <w:tab w:leader="none" w:pos="6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Compensation Committee Chair: $25,000; and</w:t>
      </w:r>
    </w:p>
    <w:p>
      <w:pPr>
        <w:spacing w:after="0" w:line="51" w:lineRule="exact"/>
        <w:rPr>
          <w:rFonts w:ascii="Arial" w:cs="Arial" w:eastAsia="Arial" w:hAnsi="Arial"/>
          <w:sz w:val="15"/>
          <w:szCs w:val="15"/>
          <w:color w:val="auto"/>
        </w:rPr>
      </w:pPr>
    </w:p>
    <w:p>
      <w:pPr>
        <w:ind w:left="660" w:hanging="213"/>
        <w:spacing w:after="0"/>
        <w:tabs>
          <w:tab w:leader="none" w:pos="6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Nominating and Governance Committee Chair: $20,000.</w:t>
      </w:r>
    </w:p>
    <w:p>
      <w:pPr>
        <w:spacing w:after="0" w:line="64" w:lineRule="exact"/>
        <w:rPr>
          <w:sz w:val="20"/>
          <w:szCs w:val="20"/>
          <w:color w:val="auto"/>
        </w:rPr>
      </w:pPr>
    </w:p>
    <w:p>
      <w:pPr>
        <w:ind w:left="440" w:right="260"/>
        <w:spacing w:after="0" w:line="276" w:lineRule="auto"/>
        <w:rPr>
          <w:sz w:val="20"/>
          <w:szCs w:val="20"/>
          <w:color w:val="auto"/>
        </w:rPr>
      </w:pPr>
      <w:r>
        <w:rPr>
          <w:rFonts w:ascii="Arial" w:cs="Arial" w:eastAsia="Arial" w:hAnsi="Arial"/>
          <w:sz w:val="15"/>
          <w:szCs w:val="15"/>
          <w:color w:val="auto"/>
        </w:rPr>
        <w:t>A non-employee director who commences or terminates service during a fiscal quarter will receive a pro-rated retainer based on the number of calendar days of service provided in the fiscal quarter.</w:t>
      </w:r>
    </w:p>
    <w:p>
      <w:pPr>
        <w:spacing w:after="0" w:line="51" w:lineRule="exact"/>
        <w:rPr>
          <w:sz w:val="20"/>
          <w:szCs w:val="20"/>
          <w:color w:val="auto"/>
        </w:rPr>
      </w:pPr>
    </w:p>
    <w:p>
      <w:pPr>
        <w:ind w:left="440" w:right="20" w:hanging="217"/>
        <w:spacing w:after="0" w:line="259" w:lineRule="auto"/>
        <w:tabs>
          <w:tab w:leader="none" w:pos="417"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 annual grant of Restricted Stock Units, or “RSUs,” valued at $160,000 (or, for the Chairman of the Board commencing in 2024, an annualized grant value totaling $285,000) to be granted on the first business day of the Company’s first open trading window following our annual meeting of stockholders and which is converted into the number of RSUs to be granted based on the prior 30 calendar day average closing price of our common stock as of the grant date. These RSUs vest 100% on the earliest of (i) the first anniversary of the date of grant or the date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785495</wp:posOffset>
            </wp:positionV>
            <wp:extent cx="7168515" cy="4127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490220</wp:posOffset>
            </wp:positionV>
            <wp:extent cx="789305" cy="18923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5" w:name="page46"/>
    <w:bookmarkEnd w:id="45"/>
    <w:p>
      <w:pPr>
        <w:ind w:left="1"/>
        <w:spacing w:after="0"/>
        <w:rPr>
          <w:sz w:val="20"/>
          <w:szCs w:val="20"/>
          <w:color w:val="auto"/>
        </w:rPr>
      </w:pPr>
      <w:r>
        <w:rPr>
          <w:rFonts w:ascii="Arial" w:cs="Arial" w:eastAsia="Arial" w:hAnsi="Arial"/>
          <w:sz w:val="13"/>
          <w:szCs w:val="13"/>
          <w:b w:val="1"/>
          <w:bCs w:val="1"/>
          <w:color w:val="007EC4"/>
        </w:rPr>
        <w:t xml:space="preserve">40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441" w:right="100"/>
        <w:spacing w:after="0" w:line="267" w:lineRule="auto"/>
        <w:rPr>
          <w:sz w:val="20"/>
          <w:szCs w:val="20"/>
          <w:color w:val="auto"/>
        </w:rPr>
      </w:pPr>
      <w:r>
        <w:rPr>
          <w:rFonts w:ascii="Arial" w:cs="Arial" w:eastAsia="Arial" w:hAnsi="Arial"/>
          <w:sz w:val="15"/>
          <w:szCs w:val="15"/>
          <w:color w:val="auto"/>
        </w:rPr>
        <w:t>the business day immediately preceding the date of the next annual meeting of stockholders, (ii) the director’s termination due to death or Disability (as defined in the Company’s 2020 Omnibus Incentive Plan as amended and restated (the “2020 Omnibus Incentive Plan”), a copy of which is filed as Exhibit 10.1 to the Current Report on Form 8-K filed on June 1, 2023), or (iii) a Change of Control (as defined in the 2020 Omnibus Incentive Plan).</w:t>
      </w:r>
    </w:p>
    <w:p>
      <w:pPr>
        <w:spacing w:after="0" w:line="170" w:lineRule="exact"/>
        <w:rPr>
          <w:sz w:val="20"/>
          <w:szCs w:val="20"/>
          <w:color w:val="auto"/>
        </w:rPr>
      </w:pPr>
    </w:p>
    <w:p>
      <w:pPr>
        <w:ind w:left="1"/>
        <w:spacing w:after="0" w:line="282" w:lineRule="auto"/>
        <w:rPr>
          <w:sz w:val="20"/>
          <w:szCs w:val="20"/>
          <w:color w:val="auto"/>
        </w:rPr>
      </w:pPr>
      <w:r>
        <w:rPr>
          <w:rFonts w:ascii="Arial" w:cs="Arial" w:eastAsia="Arial" w:hAnsi="Arial"/>
          <w:sz w:val="15"/>
          <w:szCs w:val="15"/>
          <w:color w:val="auto"/>
        </w:rPr>
        <w:t>If a non-employee director is appointed to the Board after the first business day following an annual meeting of stockholders but more than 60 days prior to the next annual meeting of stockholders, such non-employee director will be granted a pro-rated portion of the above-described annual RSU grant. Such grant value will be determined based on the number of calendar days remaining before (a) the next annual meeting of stockholders, if scheduled, or (b) the date of the first anniversary of the last annual meeting of stockholders, if the next annual meeting of stockholders is not scheduled, divided by (x) the number of calendar days between the last and next scheduled annual meeting of stockholders, or (y) 365, if either the last or the next annual meeting of stockholders date does not exist and ending on the vesting date for such prorated grant (which vesting date will be the same vesting date on which the corresponding annual grant that was made to the other non-employee directors will vest). A non-employee director appointed within 60 days of the next annual meeting of stockholders will not receive any such pro-rated equity grant.</w:t>
      </w:r>
    </w:p>
    <w:p>
      <w:pPr>
        <w:spacing w:after="0" w:line="172" w:lineRule="exact"/>
        <w:rPr>
          <w:sz w:val="20"/>
          <w:szCs w:val="20"/>
          <w:color w:val="auto"/>
        </w:rPr>
      </w:pPr>
    </w:p>
    <w:p>
      <w:pPr>
        <w:ind w:left="1" w:right="140"/>
        <w:spacing w:after="0" w:line="310" w:lineRule="auto"/>
        <w:rPr>
          <w:sz w:val="20"/>
          <w:szCs w:val="20"/>
          <w:color w:val="auto"/>
        </w:rPr>
      </w:pPr>
      <w:r>
        <w:rPr>
          <w:rFonts w:ascii="Arial" w:cs="Arial" w:eastAsia="Arial" w:hAnsi="Arial"/>
          <w:sz w:val="15"/>
          <w:szCs w:val="15"/>
          <w:color w:val="auto"/>
        </w:rPr>
        <w:t>Our directors will also be reimbursed for reasonable out-of-pocket travel and lodging expenses associated with attendance at Board or committee meetings. Additionally, all directors are eligible to receive a discount of 20% on most of our merchandise, which is the same discount we offer to all our team members.</w:t>
      </w:r>
    </w:p>
    <w:p>
      <w:pPr>
        <w:spacing w:after="0" w:line="151" w:lineRule="exact"/>
        <w:rPr>
          <w:sz w:val="20"/>
          <w:szCs w:val="20"/>
          <w:color w:val="auto"/>
        </w:rPr>
      </w:pPr>
    </w:p>
    <w:p>
      <w:pPr>
        <w:ind w:left="1" w:right="140"/>
        <w:spacing w:after="0" w:line="282" w:lineRule="auto"/>
        <w:rPr>
          <w:sz w:val="20"/>
          <w:szCs w:val="20"/>
          <w:color w:val="auto"/>
        </w:rPr>
      </w:pPr>
      <w:r>
        <w:rPr>
          <w:rFonts w:ascii="Arial" w:cs="Arial" w:eastAsia="Arial" w:hAnsi="Arial"/>
          <w:sz w:val="15"/>
          <w:szCs w:val="15"/>
          <w:color w:val="auto"/>
        </w:rPr>
        <w:t>The following table contains information concerning the compensation of our non-employee directors in 2024; specifically, Mses. Beck, Palermo, Picou, Raff and Turney, and Messrs. Boatwright, Nealon, Marley, Turner and Tweedy. While Mr. Hicks served as Executive Chairman for a portion of 2024 he did not receive any additional compensation for his service as a director during this period. Starting June 1, 2024, with the planned transition of Mr. Hicks to the role of non-employee Chairman of the Board, Mr. Hicks began to receive cash and equity compensation as provided by the Non-Employee Director Compensation Policy as described above. All of Mr. Hicks’s 2024 compensation is disclosed in the Compensation Discussion and Analysis and related executive compensation tables in this Proxy Statement. Mr. Lawrence, our Chief Executive Officer, does not receive any additional compensation for his services as a director, and his compensation is also disclosed in the Compensation Discussion and Analysis and related executive compensation tables.</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Director Compensation Table for 2024</w:t>
      </w:r>
    </w:p>
    <w:p>
      <w:pPr>
        <w:spacing w:after="0" w:line="107" w:lineRule="exact"/>
        <w:rPr>
          <w:sz w:val="20"/>
          <w:szCs w:val="20"/>
          <w:color w:val="auto"/>
        </w:rPr>
      </w:pPr>
    </w:p>
    <w:tbl>
      <w:tblPr>
        <w:tblLayout w:type="fixed"/>
        <w:tblInd w:w="1" w:type="dxa"/>
        <w:tblCellMar>
          <w:top w:w="0" w:type="dxa"/>
          <w:left w:w="0" w:type="dxa"/>
          <w:bottom w:w="0" w:type="dxa"/>
          <w:right w:w="0" w:type="dxa"/>
        </w:tblCellMar>
      </w:tblPr>
      <w:tr>
        <w:trPr>
          <w:trHeight w:val="224"/>
        </w:trPr>
        <w:tc>
          <w:tcPr>
            <w:tcW w:w="80" w:type="dxa"/>
            <w:vAlign w:val="bottom"/>
            <w:shd w:val="clear" w:color="auto" w:fill="E1D7AC"/>
          </w:tcPr>
          <w:p>
            <w:pPr>
              <w:spacing w:after="0"/>
              <w:rPr>
                <w:sz w:val="19"/>
                <w:szCs w:val="19"/>
                <w:color w:val="auto"/>
              </w:rPr>
            </w:pPr>
          </w:p>
        </w:tc>
        <w:tc>
          <w:tcPr>
            <w:tcW w:w="360" w:type="dxa"/>
            <w:vAlign w:val="bottom"/>
            <w:shd w:val="clear" w:color="auto" w:fill="E1D7AC"/>
          </w:tcPr>
          <w:p>
            <w:pPr>
              <w:spacing w:after="0"/>
              <w:rPr>
                <w:sz w:val="19"/>
                <w:szCs w:val="19"/>
                <w:color w:val="auto"/>
              </w:rPr>
            </w:pPr>
          </w:p>
        </w:tc>
        <w:tc>
          <w:tcPr>
            <w:tcW w:w="2360" w:type="dxa"/>
            <w:vAlign w:val="bottom"/>
            <w:shd w:val="clear" w:color="auto" w:fill="E1D7AC"/>
          </w:tcPr>
          <w:p>
            <w:pPr>
              <w:spacing w:after="0"/>
              <w:rPr>
                <w:sz w:val="19"/>
                <w:szCs w:val="19"/>
                <w:color w:val="auto"/>
              </w:rPr>
            </w:pPr>
          </w:p>
        </w:tc>
        <w:tc>
          <w:tcPr>
            <w:tcW w:w="2800" w:type="dxa"/>
            <w:vAlign w:val="bottom"/>
            <w:gridSpan w:val="3"/>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Fees Earned or Paid in Cash</w:t>
            </w:r>
          </w:p>
        </w:tc>
        <w:tc>
          <w:tcPr>
            <w:tcW w:w="3940" w:type="dxa"/>
            <w:vAlign w:val="bottom"/>
            <w:shd w:val="clear" w:color="auto" w:fill="E1D7AC"/>
          </w:tcPr>
          <w:p>
            <w:pPr>
              <w:jc w:val="right"/>
              <w:ind w:right="1056"/>
              <w:spacing w:after="0"/>
              <w:rPr>
                <w:sz w:val="20"/>
                <w:szCs w:val="20"/>
                <w:color w:val="auto"/>
              </w:rPr>
            </w:pPr>
            <w:r>
              <w:rPr>
                <w:rFonts w:ascii="Arial" w:cs="Arial" w:eastAsia="Arial" w:hAnsi="Arial"/>
                <w:sz w:val="13"/>
                <w:szCs w:val="13"/>
                <w:b w:val="1"/>
                <w:bCs w:val="1"/>
                <w:color w:val="auto"/>
              </w:rPr>
              <w:t>Stock Awards</w:t>
            </w:r>
          </w:p>
        </w:tc>
        <w:tc>
          <w:tcPr>
            <w:tcW w:w="1700" w:type="dxa"/>
            <w:vAlign w:val="bottom"/>
            <w:shd w:val="clear" w:color="auto" w:fill="E1D7AC"/>
          </w:tcPr>
          <w:p>
            <w:pPr>
              <w:jc w:val="right"/>
              <w:ind w:right="3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80" w:type="dxa"/>
            <w:vAlign w:val="bottom"/>
            <w:shd w:val="clear" w:color="auto" w:fill="E1D7AC"/>
          </w:tcPr>
          <w:p>
            <w:pPr>
              <w:spacing w:after="0"/>
              <w:rPr>
                <w:sz w:val="11"/>
                <w:szCs w:val="11"/>
                <w:color w:val="auto"/>
              </w:rPr>
            </w:pPr>
          </w:p>
        </w:tc>
        <w:tc>
          <w:tcPr>
            <w:tcW w:w="360" w:type="dxa"/>
            <w:vAlign w:val="bottom"/>
            <w:vMerge w:val="restart"/>
            <w:shd w:val="clear" w:color="auto" w:fill="E1D7AC"/>
          </w:tcPr>
          <w:p>
            <w:pPr>
              <w:ind w:left="20"/>
              <w:spacing w:after="0"/>
              <w:rPr>
                <w:sz w:val="20"/>
                <w:szCs w:val="20"/>
                <w:color w:val="auto"/>
              </w:rPr>
            </w:pPr>
            <w:r>
              <w:rPr>
                <w:rFonts w:ascii="Arial" w:cs="Arial" w:eastAsia="Arial" w:hAnsi="Arial"/>
                <w:sz w:val="13"/>
                <w:szCs w:val="13"/>
                <w:b w:val="1"/>
                <w:bCs w:val="1"/>
                <w:color w:val="auto"/>
                <w:w w:val="90"/>
                <w:shd w:val="clear" w:color="auto" w:fill="E1D7AC"/>
              </w:rPr>
              <w:t>Name</w:t>
            </w:r>
          </w:p>
        </w:tc>
        <w:tc>
          <w:tcPr>
            <w:tcW w:w="2360" w:type="dxa"/>
            <w:vAlign w:val="bottom"/>
            <w:shd w:val="clear" w:color="auto" w:fill="E1D7AC"/>
          </w:tcPr>
          <w:p>
            <w:pPr>
              <w:spacing w:after="0"/>
              <w:rPr>
                <w:sz w:val="11"/>
                <w:szCs w:val="11"/>
                <w:color w:val="auto"/>
              </w:rPr>
            </w:pPr>
          </w:p>
        </w:tc>
        <w:tc>
          <w:tcPr>
            <w:tcW w:w="2540" w:type="dxa"/>
            <w:vAlign w:val="bottom"/>
            <w:shd w:val="clear" w:color="auto" w:fill="E1D7AC"/>
          </w:tcPr>
          <w:p>
            <w:pPr>
              <w:spacing w:after="0"/>
              <w:rPr>
                <w:sz w:val="11"/>
                <w:szCs w:val="11"/>
                <w:color w:val="auto"/>
              </w:rPr>
            </w:pPr>
          </w:p>
        </w:tc>
        <w:tc>
          <w:tcPr>
            <w:tcW w:w="16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w w:val="87"/>
                <w:shd w:val="clear" w:color="auto" w:fill="E1D7AC"/>
              </w:rPr>
              <w:t>($)</w:t>
            </w:r>
          </w:p>
        </w:tc>
        <w:tc>
          <w:tcPr>
            <w:tcW w:w="100" w:type="dxa"/>
            <w:vAlign w:val="bottom"/>
            <w:shd w:val="clear" w:color="auto" w:fill="E1D7AC"/>
          </w:tcPr>
          <w:p>
            <w:pPr>
              <w:jc w:val="right"/>
              <w:spacing w:after="0"/>
              <w:rPr>
                <w:sz w:val="20"/>
                <w:szCs w:val="20"/>
                <w:color w:val="auto"/>
              </w:rPr>
            </w:pPr>
            <w:r>
              <w:rPr>
                <w:rFonts w:ascii="Arial" w:cs="Arial" w:eastAsia="Arial" w:hAnsi="Arial"/>
                <w:sz w:val="9"/>
                <w:szCs w:val="9"/>
                <w:b w:val="1"/>
                <w:bCs w:val="1"/>
                <w:color w:val="auto"/>
                <w:w w:val="72"/>
                <w:shd w:val="clear" w:color="auto" w:fill="E1D7AC"/>
              </w:rPr>
              <w:t>(1)</w:t>
            </w:r>
          </w:p>
        </w:tc>
        <w:tc>
          <w:tcPr>
            <w:tcW w:w="3940" w:type="dxa"/>
            <w:vAlign w:val="bottom"/>
            <w:vMerge w:val="restart"/>
            <w:shd w:val="clear" w:color="auto" w:fill="E1D7AC"/>
          </w:tcPr>
          <w:p>
            <w:pPr>
              <w:jc w:val="right"/>
              <w:ind w:right="1056"/>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(2)(3)</w:t>
            </w:r>
          </w:p>
        </w:tc>
        <w:tc>
          <w:tcPr>
            <w:tcW w:w="1700" w:type="dxa"/>
            <w:vAlign w:val="bottom"/>
            <w:vMerge w:val="restart"/>
            <w:shd w:val="clear" w:color="auto" w:fill="E1D7AC"/>
          </w:tcPr>
          <w:p>
            <w:pPr>
              <w:jc w:val="right"/>
              <w:ind w:right="3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0"/>
        </w:trPr>
        <w:tc>
          <w:tcPr>
            <w:tcW w:w="80" w:type="dxa"/>
            <w:vAlign w:val="bottom"/>
            <w:shd w:val="clear" w:color="auto" w:fill="E1D7AC"/>
          </w:tcPr>
          <w:p>
            <w:pPr>
              <w:spacing w:after="0"/>
              <w:rPr>
                <w:sz w:val="2"/>
                <w:szCs w:val="2"/>
                <w:color w:val="auto"/>
              </w:rPr>
            </w:pPr>
          </w:p>
        </w:tc>
        <w:tc>
          <w:tcPr>
            <w:tcW w:w="360" w:type="dxa"/>
            <w:vAlign w:val="bottom"/>
            <w:vMerge w:val="continue"/>
            <w:shd w:val="clear" w:color="auto" w:fill="E1D7AC"/>
          </w:tcPr>
          <w:p>
            <w:pPr>
              <w:spacing w:after="0"/>
              <w:rPr>
                <w:sz w:val="2"/>
                <w:szCs w:val="2"/>
                <w:color w:val="auto"/>
              </w:rPr>
            </w:pPr>
          </w:p>
        </w:tc>
        <w:tc>
          <w:tcPr>
            <w:tcW w:w="2360" w:type="dxa"/>
            <w:vAlign w:val="bottom"/>
            <w:shd w:val="clear" w:color="auto" w:fill="E1D7AC"/>
          </w:tcPr>
          <w:p>
            <w:pPr>
              <w:spacing w:after="0"/>
              <w:rPr>
                <w:sz w:val="2"/>
                <w:szCs w:val="2"/>
                <w:color w:val="auto"/>
              </w:rPr>
            </w:pPr>
          </w:p>
        </w:tc>
        <w:tc>
          <w:tcPr>
            <w:tcW w:w="2540" w:type="dxa"/>
            <w:vAlign w:val="bottom"/>
            <w:shd w:val="clear" w:color="auto" w:fill="E1D7AC"/>
          </w:tcPr>
          <w:p>
            <w:pPr>
              <w:spacing w:after="0"/>
              <w:rPr>
                <w:sz w:val="2"/>
                <w:szCs w:val="2"/>
                <w:color w:val="auto"/>
              </w:rPr>
            </w:pPr>
          </w:p>
        </w:tc>
        <w:tc>
          <w:tcPr>
            <w:tcW w:w="160" w:type="dxa"/>
            <w:vAlign w:val="bottom"/>
            <w:vMerge w:val="continue"/>
            <w:shd w:val="clear" w:color="auto" w:fill="E1D7AC"/>
          </w:tcPr>
          <w:p>
            <w:pPr>
              <w:spacing w:after="0"/>
              <w:rPr>
                <w:sz w:val="2"/>
                <w:szCs w:val="2"/>
                <w:color w:val="auto"/>
              </w:rPr>
            </w:pPr>
          </w:p>
        </w:tc>
        <w:tc>
          <w:tcPr>
            <w:tcW w:w="100" w:type="dxa"/>
            <w:vAlign w:val="bottom"/>
            <w:shd w:val="clear" w:color="auto" w:fill="E1D7AC"/>
          </w:tcPr>
          <w:p>
            <w:pPr>
              <w:spacing w:after="0"/>
              <w:rPr>
                <w:sz w:val="2"/>
                <w:szCs w:val="2"/>
                <w:color w:val="auto"/>
              </w:rPr>
            </w:pPr>
          </w:p>
        </w:tc>
        <w:tc>
          <w:tcPr>
            <w:tcW w:w="3940" w:type="dxa"/>
            <w:vAlign w:val="bottom"/>
            <w:vMerge w:val="continue"/>
            <w:shd w:val="clear" w:color="auto" w:fill="E1D7AC"/>
          </w:tcPr>
          <w:p>
            <w:pPr>
              <w:spacing w:after="0"/>
              <w:rPr>
                <w:sz w:val="2"/>
                <w:szCs w:val="2"/>
                <w:color w:val="auto"/>
              </w:rPr>
            </w:pPr>
          </w:p>
        </w:tc>
        <w:tc>
          <w:tcPr>
            <w:tcW w:w="1700" w:type="dxa"/>
            <w:vAlign w:val="bottom"/>
            <w:vMerge w:val="continue"/>
            <w:shd w:val="clear" w:color="auto" w:fill="E1D7A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80" w:type="dxa"/>
            <w:vAlign w:val="bottom"/>
            <w:shd w:val="clear" w:color="auto" w:fill="E1D7AC"/>
          </w:tcPr>
          <w:p>
            <w:pPr>
              <w:spacing w:after="0"/>
              <w:rPr>
                <w:sz w:val="9"/>
                <w:szCs w:val="9"/>
                <w:color w:val="auto"/>
              </w:rPr>
            </w:pPr>
          </w:p>
        </w:tc>
        <w:tc>
          <w:tcPr>
            <w:tcW w:w="360" w:type="dxa"/>
            <w:vAlign w:val="bottom"/>
            <w:shd w:val="clear" w:color="auto" w:fill="E1D7AC"/>
          </w:tcPr>
          <w:p>
            <w:pPr>
              <w:spacing w:after="0"/>
              <w:rPr>
                <w:sz w:val="9"/>
                <w:szCs w:val="9"/>
                <w:color w:val="auto"/>
              </w:rPr>
            </w:pPr>
          </w:p>
        </w:tc>
        <w:tc>
          <w:tcPr>
            <w:tcW w:w="2360" w:type="dxa"/>
            <w:vAlign w:val="bottom"/>
            <w:shd w:val="clear" w:color="auto" w:fill="E1D7AC"/>
          </w:tcPr>
          <w:p>
            <w:pPr>
              <w:spacing w:after="0"/>
              <w:rPr>
                <w:sz w:val="9"/>
                <w:szCs w:val="9"/>
                <w:color w:val="auto"/>
              </w:rPr>
            </w:pPr>
          </w:p>
        </w:tc>
        <w:tc>
          <w:tcPr>
            <w:tcW w:w="2540" w:type="dxa"/>
            <w:vAlign w:val="bottom"/>
            <w:shd w:val="clear" w:color="auto" w:fill="E1D7AC"/>
          </w:tcPr>
          <w:p>
            <w:pPr>
              <w:spacing w:after="0"/>
              <w:rPr>
                <w:sz w:val="9"/>
                <w:szCs w:val="9"/>
                <w:color w:val="auto"/>
              </w:rPr>
            </w:pPr>
          </w:p>
        </w:tc>
        <w:tc>
          <w:tcPr>
            <w:tcW w:w="160" w:type="dxa"/>
            <w:vAlign w:val="bottom"/>
            <w:shd w:val="clear" w:color="auto" w:fill="E1D7AC"/>
          </w:tcPr>
          <w:p>
            <w:pPr>
              <w:spacing w:after="0"/>
              <w:rPr>
                <w:sz w:val="9"/>
                <w:szCs w:val="9"/>
                <w:color w:val="auto"/>
              </w:rPr>
            </w:pPr>
          </w:p>
        </w:tc>
        <w:tc>
          <w:tcPr>
            <w:tcW w:w="100" w:type="dxa"/>
            <w:vAlign w:val="bottom"/>
            <w:shd w:val="clear" w:color="auto" w:fill="E1D7AC"/>
          </w:tcPr>
          <w:p>
            <w:pPr>
              <w:spacing w:after="0"/>
              <w:rPr>
                <w:sz w:val="9"/>
                <w:szCs w:val="9"/>
                <w:color w:val="auto"/>
              </w:rPr>
            </w:pPr>
          </w:p>
        </w:tc>
        <w:tc>
          <w:tcPr>
            <w:tcW w:w="3940" w:type="dxa"/>
            <w:vAlign w:val="bottom"/>
            <w:shd w:val="clear" w:color="auto" w:fill="E1D7AC"/>
          </w:tcPr>
          <w:p>
            <w:pPr>
              <w:spacing w:after="0"/>
              <w:rPr>
                <w:sz w:val="9"/>
                <w:szCs w:val="9"/>
                <w:color w:val="auto"/>
              </w:rPr>
            </w:pPr>
          </w:p>
        </w:tc>
        <w:tc>
          <w:tcPr>
            <w:tcW w:w="1700" w:type="dxa"/>
            <w:vAlign w:val="bottom"/>
            <w:shd w:val="clear" w:color="auto" w:fill="E1D7AC"/>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Wendy Beck</w:t>
            </w:r>
          </w:p>
        </w:tc>
        <w:tc>
          <w:tcPr>
            <w:tcW w:w="2800" w:type="dxa"/>
            <w:vAlign w:val="bottom"/>
            <w:gridSpan w:val="3"/>
          </w:tcPr>
          <w:p>
            <w:pPr>
              <w:jc w:val="right"/>
              <w:spacing w:after="0"/>
              <w:rPr>
                <w:sz w:val="20"/>
                <w:szCs w:val="20"/>
                <w:color w:val="auto"/>
              </w:rPr>
            </w:pPr>
            <w:r>
              <w:rPr>
                <w:rFonts w:ascii="Arial" w:cs="Arial" w:eastAsia="Arial" w:hAnsi="Arial"/>
                <w:sz w:val="13"/>
                <w:szCs w:val="13"/>
                <w:color w:val="auto"/>
              </w:rPr>
              <w:t>120,000</w:t>
            </w:r>
          </w:p>
        </w:tc>
        <w:tc>
          <w:tcPr>
            <w:tcW w:w="3940" w:type="dxa"/>
            <w:vAlign w:val="bottom"/>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Pr>
          <w:p>
            <w:pPr>
              <w:jc w:val="right"/>
              <w:ind w:right="34"/>
              <w:spacing w:after="0"/>
              <w:rPr>
                <w:sz w:val="20"/>
                <w:szCs w:val="20"/>
                <w:color w:val="auto"/>
              </w:rPr>
            </w:pPr>
            <w:r>
              <w:rPr>
                <w:rFonts w:ascii="Arial" w:cs="Arial" w:eastAsia="Arial" w:hAnsi="Arial"/>
                <w:sz w:val="13"/>
                <w:szCs w:val="13"/>
                <w:color w:val="auto"/>
              </w:rPr>
              <w:t>271,693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2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Scott Boatwright</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3"/>
                <w:szCs w:val="13"/>
                <w:color w:val="auto"/>
              </w:rPr>
              <w:t>66,209</w:t>
            </w:r>
          </w:p>
        </w:tc>
        <w:tc>
          <w:tcPr>
            <w:tcW w:w="3940" w:type="dxa"/>
            <w:vAlign w:val="bottom"/>
            <w:tcBorders>
              <w:bottom w:val="single" w:sz="8" w:color="DBDBDB"/>
            </w:tcBorders>
            <w:shd w:val="clear" w:color="auto" w:fill="DBDBDB"/>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217,902</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Brian Marley</w:t>
            </w:r>
          </w:p>
        </w:tc>
        <w:tc>
          <w:tcPr>
            <w:tcW w:w="2800" w:type="dxa"/>
            <w:vAlign w:val="bottom"/>
            <w:gridSpan w:val="3"/>
          </w:tcPr>
          <w:p>
            <w:pPr>
              <w:jc w:val="right"/>
              <w:spacing w:after="0"/>
              <w:rPr>
                <w:sz w:val="20"/>
                <w:szCs w:val="20"/>
                <w:color w:val="auto"/>
              </w:rPr>
            </w:pPr>
            <w:r>
              <w:rPr>
                <w:rFonts w:ascii="Arial" w:cs="Arial" w:eastAsia="Arial" w:hAnsi="Arial"/>
                <w:sz w:val="13"/>
                <w:szCs w:val="13"/>
                <w:color w:val="auto"/>
              </w:rPr>
              <w:t>130,000</w:t>
            </w:r>
          </w:p>
        </w:tc>
        <w:tc>
          <w:tcPr>
            <w:tcW w:w="3940" w:type="dxa"/>
            <w:vAlign w:val="bottom"/>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Pr>
          <w:p>
            <w:pPr>
              <w:jc w:val="right"/>
              <w:ind w:right="34"/>
              <w:spacing w:after="0"/>
              <w:rPr>
                <w:sz w:val="20"/>
                <w:szCs w:val="20"/>
                <w:color w:val="auto"/>
              </w:rPr>
            </w:pPr>
            <w:r>
              <w:rPr>
                <w:rFonts w:ascii="Arial" w:cs="Arial" w:eastAsia="Arial" w:hAnsi="Arial"/>
                <w:sz w:val="13"/>
                <w:szCs w:val="13"/>
                <w:color w:val="auto"/>
              </w:rPr>
              <w:t>281,693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2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Tom Nealon</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3"/>
                <w:szCs w:val="13"/>
                <w:color w:val="auto"/>
              </w:rPr>
              <w:t>140,000</w:t>
            </w:r>
          </w:p>
        </w:tc>
        <w:tc>
          <w:tcPr>
            <w:tcW w:w="3940" w:type="dxa"/>
            <w:vAlign w:val="bottom"/>
            <w:tcBorders>
              <w:bottom w:val="single" w:sz="8" w:color="DBDBDB"/>
            </w:tcBorders>
            <w:shd w:val="clear" w:color="auto" w:fill="DBDBDB"/>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291,693</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Theresa Palermo</w:t>
            </w:r>
          </w:p>
        </w:tc>
        <w:tc>
          <w:tcPr>
            <w:tcW w:w="2800" w:type="dxa"/>
            <w:vAlign w:val="bottom"/>
            <w:gridSpan w:val="3"/>
          </w:tcPr>
          <w:p>
            <w:pPr>
              <w:jc w:val="right"/>
              <w:spacing w:after="0"/>
              <w:rPr>
                <w:sz w:val="20"/>
                <w:szCs w:val="20"/>
                <w:color w:val="auto"/>
              </w:rPr>
            </w:pPr>
            <w:r>
              <w:rPr>
                <w:rFonts w:ascii="Arial" w:cs="Arial" w:eastAsia="Arial" w:hAnsi="Arial"/>
                <w:sz w:val="13"/>
                <w:szCs w:val="13"/>
                <w:color w:val="auto"/>
              </w:rPr>
              <w:t>100,000</w:t>
            </w:r>
          </w:p>
        </w:tc>
        <w:tc>
          <w:tcPr>
            <w:tcW w:w="3940" w:type="dxa"/>
            <w:vAlign w:val="bottom"/>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Pr>
          <w:p>
            <w:pPr>
              <w:jc w:val="right"/>
              <w:ind w:right="34"/>
              <w:spacing w:after="0"/>
              <w:rPr>
                <w:sz w:val="20"/>
                <w:szCs w:val="20"/>
                <w:color w:val="auto"/>
              </w:rPr>
            </w:pPr>
            <w:r>
              <w:rPr>
                <w:rFonts w:ascii="Arial" w:cs="Arial" w:eastAsia="Arial" w:hAnsi="Arial"/>
                <w:sz w:val="13"/>
                <w:szCs w:val="13"/>
                <w:color w:val="auto"/>
              </w:rPr>
              <w:t>251,693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2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Monique Picou</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3"/>
                <w:szCs w:val="13"/>
                <w:color w:val="auto"/>
              </w:rPr>
              <w:t>88,187</w:t>
            </w:r>
          </w:p>
        </w:tc>
        <w:tc>
          <w:tcPr>
            <w:tcW w:w="3940" w:type="dxa"/>
            <w:vAlign w:val="bottom"/>
            <w:tcBorders>
              <w:bottom w:val="single" w:sz="8" w:color="DBDBDB"/>
            </w:tcBorders>
            <w:shd w:val="clear" w:color="auto" w:fill="DBDBDB"/>
          </w:tcPr>
          <w:p>
            <w:pPr>
              <w:jc w:val="right"/>
              <w:ind w:right="1056"/>
              <w:spacing w:after="0"/>
              <w:rPr>
                <w:sz w:val="20"/>
                <w:szCs w:val="20"/>
                <w:color w:val="auto"/>
              </w:rPr>
            </w:pPr>
            <w:r>
              <w:rPr>
                <w:rFonts w:ascii="Arial" w:cs="Arial" w:eastAsia="Arial" w:hAnsi="Arial"/>
                <w:sz w:val="13"/>
                <w:szCs w:val="13"/>
                <w:color w:val="auto"/>
              </w:rPr>
              <w:t>183,909</w:t>
            </w:r>
          </w:p>
        </w:tc>
        <w:tc>
          <w:tcPr>
            <w:tcW w:w="170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272,096</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Beryl Raff</w:t>
            </w:r>
          </w:p>
        </w:tc>
        <w:tc>
          <w:tcPr>
            <w:tcW w:w="2800" w:type="dxa"/>
            <w:vAlign w:val="bottom"/>
            <w:gridSpan w:val="3"/>
          </w:tcPr>
          <w:p>
            <w:pPr>
              <w:jc w:val="right"/>
              <w:spacing w:after="0"/>
              <w:rPr>
                <w:sz w:val="20"/>
                <w:szCs w:val="20"/>
                <w:color w:val="auto"/>
              </w:rPr>
            </w:pPr>
            <w:r>
              <w:rPr>
                <w:rFonts w:ascii="Arial" w:cs="Arial" w:eastAsia="Arial" w:hAnsi="Arial"/>
                <w:sz w:val="13"/>
                <w:szCs w:val="13"/>
                <w:color w:val="auto"/>
              </w:rPr>
              <w:t>125,000</w:t>
            </w:r>
          </w:p>
        </w:tc>
        <w:tc>
          <w:tcPr>
            <w:tcW w:w="3940" w:type="dxa"/>
            <w:vAlign w:val="bottom"/>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Pr>
          <w:p>
            <w:pPr>
              <w:jc w:val="right"/>
              <w:ind w:right="34"/>
              <w:spacing w:after="0"/>
              <w:rPr>
                <w:sz w:val="20"/>
                <w:szCs w:val="20"/>
                <w:color w:val="auto"/>
              </w:rPr>
            </w:pPr>
            <w:r>
              <w:rPr>
                <w:rFonts w:ascii="Arial" w:cs="Arial" w:eastAsia="Arial" w:hAnsi="Arial"/>
                <w:sz w:val="13"/>
                <w:szCs w:val="13"/>
                <w:color w:val="auto"/>
              </w:rPr>
              <w:t>276,693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2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Chris Turner</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3"/>
                <w:szCs w:val="13"/>
                <w:color w:val="auto"/>
              </w:rPr>
              <w:t>100,000</w:t>
            </w:r>
          </w:p>
        </w:tc>
        <w:tc>
          <w:tcPr>
            <w:tcW w:w="3940" w:type="dxa"/>
            <w:vAlign w:val="bottom"/>
            <w:tcBorders>
              <w:bottom w:val="single" w:sz="8" w:color="DBDBDB"/>
            </w:tcBorders>
            <w:shd w:val="clear" w:color="auto" w:fill="DBDBDB"/>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251,693</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Sharen Turney</w:t>
            </w:r>
            <w:r>
              <w:rPr>
                <w:rFonts w:ascii="Arial" w:cs="Arial" w:eastAsia="Arial" w:hAnsi="Arial"/>
                <w:sz w:val="17"/>
                <w:szCs w:val="17"/>
                <w:b w:val="1"/>
                <w:bCs w:val="1"/>
                <w:color w:val="auto"/>
                <w:vertAlign w:val="superscript"/>
              </w:rPr>
              <w:t>(4)</w:t>
            </w:r>
          </w:p>
        </w:tc>
        <w:tc>
          <w:tcPr>
            <w:tcW w:w="2800" w:type="dxa"/>
            <w:vAlign w:val="bottom"/>
            <w:gridSpan w:val="3"/>
          </w:tcPr>
          <w:p>
            <w:pPr>
              <w:jc w:val="right"/>
              <w:spacing w:after="0"/>
              <w:rPr>
                <w:sz w:val="20"/>
                <w:szCs w:val="20"/>
                <w:color w:val="auto"/>
              </w:rPr>
            </w:pPr>
            <w:r>
              <w:rPr>
                <w:rFonts w:ascii="Arial" w:cs="Arial" w:eastAsia="Arial" w:hAnsi="Arial"/>
                <w:sz w:val="13"/>
                <w:szCs w:val="13"/>
                <w:color w:val="auto"/>
              </w:rPr>
              <w:t>6,319</w:t>
            </w:r>
          </w:p>
        </w:tc>
        <w:tc>
          <w:tcPr>
            <w:tcW w:w="3940" w:type="dxa"/>
            <w:vAlign w:val="bottom"/>
          </w:tcPr>
          <w:p>
            <w:pPr>
              <w:jc w:val="right"/>
              <w:ind w:right="1056"/>
              <w:spacing w:after="0"/>
              <w:rPr>
                <w:sz w:val="20"/>
                <w:szCs w:val="20"/>
                <w:color w:val="auto"/>
              </w:rPr>
            </w:pPr>
            <w:r>
              <w:rPr>
                <w:rFonts w:ascii="Arial" w:cs="Arial" w:eastAsia="Arial" w:hAnsi="Arial"/>
                <w:sz w:val="13"/>
                <w:szCs w:val="13"/>
                <w:color w:val="auto"/>
              </w:rPr>
              <w:t>0</w:t>
            </w:r>
          </w:p>
        </w:tc>
        <w:tc>
          <w:tcPr>
            <w:tcW w:w="1700" w:type="dxa"/>
            <w:vAlign w:val="bottom"/>
          </w:tcPr>
          <w:p>
            <w:pPr>
              <w:jc w:val="right"/>
              <w:ind w:right="34"/>
              <w:spacing w:after="0"/>
              <w:rPr>
                <w:sz w:val="20"/>
                <w:szCs w:val="20"/>
                <w:color w:val="auto"/>
              </w:rPr>
            </w:pPr>
            <w:r>
              <w:rPr>
                <w:rFonts w:ascii="Arial" w:cs="Arial" w:eastAsia="Arial" w:hAnsi="Arial"/>
                <w:sz w:val="13"/>
                <w:szCs w:val="13"/>
                <w:color w:val="auto"/>
              </w:rPr>
              <w:t>6,319</w:t>
            </w:r>
          </w:p>
        </w:tc>
        <w:tc>
          <w:tcPr>
            <w:tcW w:w="0" w:type="dxa"/>
            <w:vAlign w:val="bottom"/>
          </w:tcPr>
          <w:p>
            <w:pPr>
              <w:spacing w:after="0"/>
              <w:rPr>
                <w:sz w:val="1"/>
                <w:szCs w:val="1"/>
                <w:color w:val="auto"/>
              </w:rPr>
            </w:pPr>
          </w:p>
        </w:tc>
      </w:tr>
      <w:tr>
        <w:trPr>
          <w:trHeight w:val="197"/>
        </w:trPr>
        <w:tc>
          <w:tcPr>
            <w:tcW w:w="80" w:type="dxa"/>
            <w:vAlign w:val="bottom"/>
            <w:shd w:val="clear" w:color="auto" w:fill="DBDBDB"/>
          </w:tcPr>
          <w:p>
            <w:pPr>
              <w:spacing w:after="0"/>
              <w:rPr>
                <w:sz w:val="17"/>
                <w:szCs w:val="17"/>
                <w:color w:val="auto"/>
              </w:rPr>
            </w:pPr>
          </w:p>
        </w:tc>
        <w:tc>
          <w:tcPr>
            <w:tcW w:w="2720" w:type="dxa"/>
            <w:vAlign w:val="bottom"/>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Jeff Tweedy</w:t>
            </w:r>
          </w:p>
        </w:tc>
        <w:tc>
          <w:tcPr>
            <w:tcW w:w="280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100,000</w:t>
            </w:r>
          </w:p>
        </w:tc>
        <w:tc>
          <w:tcPr>
            <w:tcW w:w="3940" w:type="dxa"/>
            <w:vAlign w:val="bottom"/>
            <w:shd w:val="clear" w:color="auto" w:fill="DBDBDB"/>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251,693</w:t>
            </w:r>
          </w:p>
        </w:tc>
        <w:tc>
          <w:tcPr>
            <w:tcW w:w="0" w:type="dxa"/>
            <w:vAlign w:val="bottom"/>
          </w:tcPr>
          <w:p>
            <w:pPr>
              <w:spacing w:after="0"/>
              <w:rPr>
                <w:sz w:val="1"/>
                <w:szCs w:val="1"/>
                <w:color w:val="auto"/>
              </w:rPr>
            </w:pPr>
          </w:p>
        </w:tc>
      </w:tr>
      <w:tr>
        <w:trPr>
          <w:trHeight w:val="27"/>
        </w:trPr>
        <w:tc>
          <w:tcPr>
            <w:tcW w:w="8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2360" w:type="dxa"/>
            <w:vAlign w:val="bottom"/>
            <w:shd w:val="clear" w:color="auto" w:fill="DBDBDB"/>
          </w:tcPr>
          <w:p>
            <w:pPr>
              <w:spacing w:after="0"/>
              <w:rPr>
                <w:sz w:val="2"/>
                <w:szCs w:val="2"/>
                <w:color w:val="auto"/>
              </w:rPr>
            </w:pPr>
          </w:p>
        </w:tc>
        <w:tc>
          <w:tcPr>
            <w:tcW w:w="25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94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01" w:right="60" w:hanging="301"/>
        <w:spacing w:after="0" w:line="281" w:lineRule="auto"/>
        <w:tabs>
          <w:tab w:leader="none" w:pos="298" w:val="left"/>
        </w:tabs>
        <w:numPr>
          <w:ilvl w:val="0"/>
          <w:numId w:val="50"/>
        </w:numPr>
        <w:rPr>
          <w:rFonts w:ascii="Arial" w:cs="Arial" w:eastAsia="Arial" w:hAnsi="Arial"/>
          <w:sz w:val="12"/>
          <w:szCs w:val="12"/>
          <w:color w:val="auto"/>
        </w:rPr>
      </w:pPr>
      <w:r>
        <w:rPr>
          <w:rFonts w:ascii="Arial" w:cs="Arial" w:eastAsia="Arial" w:hAnsi="Arial"/>
          <w:sz w:val="12"/>
          <w:szCs w:val="12"/>
          <w:color w:val="auto"/>
        </w:rPr>
        <w:t>Amounts reflect the aggregate amount of cash retainers earned during 2024. The amounts for Mses. Turney and Picou and Mr. Boatwright reflect a prorated amount since their service as a director was for a partial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715645</wp:posOffset>
            </wp:positionV>
            <wp:extent cx="7168515" cy="4127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427990</wp:posOffset>
            </wp:positionV>
            <wp:extent cx="789305" cy="18923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1" w:right="60" w:hanging="301"/>
        <w:spacing w:after="0" w:line="281" w:lineRule="auto"/>
        <w:tabs>
          <w:tab w:leader="none" w:pos="298" w:val="left"/>
        </w:tabs>
        <w:numPr>
          <w:ilvl w:val="0"/>
          <w:numId w:val="51"/>
        </w:numPr>
        <w:rPr>
          <w:rFonts w:ascii="Arial" w:cs="Arial" w:eastAsia="Arial" w:hAnsi="Arial"/>
          <w:sz w:val="12"/>
          <w:szCs w:val="12"/>
          <w:color w:val="auto"/>
        </w:rPr>
      </w:pPr>
      <w:r>
        <w:rPr>
          <w:rFonts w:ascii="Arial" w:cs="Arial" w:eastAsia="Arial" w:hAnsi="Arial"/>
          <w:sz w:val="12"/>
          <w:szCs w:val="12"/>
          <w:color w:val="auto"/>
        </w:rPr>
        <w:t>Amounts reflect the full grant-date fair value of RSUs granted during 2024 computed in accordance with ASC Topic 718, excluding the effect of estimated forfeitures. See Note 8, Share-Based Compensation to our consolidated financial statements included in the Annual Report for the assumptions used in calculating these values.</w:t>
      </w:r>
    </w:p>
    <w:p>
      <w:pPr>
        <w:spacing w:after="0" w:line="74" w:lineRule="exact"/>
        <w:rPr>
          <w:rFonts w:ascii="Arial" w:cs="Arial" w:eastAsia="Arial" w:hAnsi="Arial"/>
          <w:sz w:val="12"/>
          <w:szCs w:val="12"/>
          <w:color w:val="auto"/>
        </w:rPr>
      </w:pPr>
    </w:p>
    <w:p>
      <w:pPr>
        <w:ind w:left="301" w:hanging="301"/>
        <w:spacing w:after="0"/>
        <w:tabs>
          <w:tab w:leader="none" w:pos="301" w:val="left"/>
        </w:tabs>
        <w:numPr>
          <w:ilvl w:val="0"/>
          <w:numId w:val="51"/>
        </w:numPr>
        <w:rPr>
          <w:rFonts w:ascii="Arial" w:cs="Arial" w:eastAsia="Arial" w:hAnsi="Arial"/>
          <w:sz w:val="10"/>
          <w:szCs w:val="10"/>
          <w:color w:val="auto"/>
        </w:rPr>
      </w:pPr>
      <w:r>
        <w:rPr>
          <w:rFonts w:ascii="Arial" w:cs="Arial" w:eastAsia="Arial" w:hAnsi="Arial"/>
          <w:sz w:val="10"/>
          <w:szCs w:val="10"/>
          <w:color w:val="auto"/>
        </w:rPr>
        <w:t>Amounts reflect RSUs granted in 2024 under the 2020 Omnibus Incentive Plan. Grants under the 2020 Omnibus Incentive Plan contain the vesting terms described above under the Board compensation program.</w:t>
      </w:r>
    </w:p>
    <w:p>
      <w:pPr>
        <w:spacing w:after="0" w:line="83" w:lineRule="exact"/>
        <w:rPr>
          <w:rFonts w:ascii="Arial" w:cs="Arial" w:eastAsia="Arial" w:hAnsi="Arial"/>
          <w:sz w:val="10"/>
          <w:szCs w:val="10"/>
          <w:color w:val="auto"/>
        </w:rPr>
      </w:pPr>
    </w:p>
    <w:p>
      <w:pPr>
        <w:ind w:left="301" w:hanging="301"/>
        <w:spacing w:after="0"/>
        <w:tabs>
          <w:tab w:leader="none" w:pos="301" w:val="left"/>
        </w:tabs>
        <w:numPr>
          <w:ilvl w:val="0"/>
          <w:numId w:val="51"/>
        </w:numPr>
        <w:rPr>
          <w:rFonts w:ascii="Arial" w:cs="Arial" w:eastAsia="Arial" w:hAnsi="Arial"/>
          <w:sz w:val="12"/>
          <w:szCs w:val="12"/>
          <w:color w:val="auto"/>
        </w:rPr>
      </w:pPr>
      <w:r>
        <w:rPr>
          <w:rFonts w:ascii="Arial" w:cs="Arial" w:eastAsia="Arial" w:hAnsi="Arial"/>
          <w:sz w:val="12"/>
          <w:szCs w:val="12"/>
          <w:color w:val="auto"/>
        </w:rPr>
        <w:t>Ms. Turney resigned from the Board, effective February 26, 2024.</w:t>
      </w:r>
    </w:p>
    <w:p>
      <w:pPr>
        <w:spacing w:after="0" w:line="200" w:lineRule="exact"/>
        <w:rPr>
          <w:sz w:val="20"/>
          <w:szCs w:val="20"/>
          <w:color w:val="auto"/>
        </w:rPr>
      </w:pPr>
    </w:p>
    <w:p>
      <w:pPr>
        <w:spacing w:after="0" w:line="249" w:lineRule="exact"/>
        <w:rPr>
          <w:sz w:val="20"/>
          <w:szCs w:val="20"/>
          <w:color w:val="auto"/>
        </w:rPr>
      </w:pPr>
    </w:p>
    <w:p>
      <w:pPr>
        <w:ind w:left="1"/>
        <w:spacing w:after="0"/>
        <w:rPr>
          <w:sz w:val="20"/>
          <w:szCs w:val="20"/>
          <w:color w:val="auto"/>
        </w:rPr>
      </w:pPr>
      <w:r>
        <w:rPr>
          <w:rFonts w:ascii="Arial" w:cs="Arial" w:eastAsia="Arial" w:hAnsi="Arial"/>
          <w:sz w:val="15"/>
          <w:szCs w:val="15"/>
          <w:color w:val="auto"/>
        </w:rPr>
        <w:t>As of February 1, 2025, each of the above-named individuals held the following number of RSUs:</w:t>
      </w:r>
    </w:p>
    <w:p>
      <w:pPr>
        <w:spacing w:after="0" w:line="101"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522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shd w:val="clear" w:color="auto" w:fill="E1D7AC"/>
              </w:rPr>
              <w:t>Name</w:t>
            </w:r>
          </w:p>
        </w:tc>
        <w:tc>
          <w:tcPr>
            <w:tcW w:w="6020" w:type="dxa"/>
            <w:vAlign w:val="bottom"/>
            <w:tcBorders>
              <w:bottom w:val="single" w:sz="8" w:color="E1D7AC"/>
            </w:tcBorders>
            <w:shd w:val="clear" w:color="auto" w:fill="E1D7AC"/>
          </w:tcPr>
          <w:p>
            <w:pPr>
              <w:jc w:val="right"/>
              <w:ind w:right="34"/>
              <w:spacing w:after="0"/>
              <w:rPr>
                <w:sz w:val="20"/>
                <w:szCs w:val="20"/>
                <w:color w:val="auto"/>
              </w:rPr>
            </w:pPr>
            <w:r>
              <w:rPr>
                <w:rFonts w:ascii="Arial" w:cs="Arial" w:eastAsia="Arial" w:hAnsi="Arial"/>
                <w:sz w:val="13"/>
                <w:szCs w:val="13"/>
                <w:b w:val="1"/>
                <w:bCs w:val="1"/>
                <w:color w:val="auto"/>
              </w:rPr>
              <w:t>Number of RSUs Outstanding</w:t>
            </w:r>
          </w:p>
        </w:tc>
      </w:tr>
      <w:tr>
        <w:trPr>
          <w:trHeight w:val="197"/>
        </w:trPr>
        <w:tc>
          <w:tcPr>
            <w:tcW w:w="5220" w:type="dxa"/>
            <w:vAlign w:val="bottom"/>
          </w:tcPr>
          <w:p>
            <w:pPr>
              <w:ind w:left="100"/>
              <w:spacing w:after="0"/>
              <w:rPr>
                <w:sz w:val="20"/>
                <w:szCs w:val="20"/>
                <w:color w:val="auto"/>
              </w:rPr>
            </w:pPr>
            <w:r>
              <w:rPr>
                <w:rFonts w:ascii="Arial" w:cs="Arial" w:eastAsia="Arial" w:hAnsi="Arial"/>
                <w:sz w:val="13"/>
                <w:szCs w:val="13"/>
                <w:b w:val="1"/>
                <w:bCs w:val="1"/>
                <w:color w:val="auto"/>
              </w:rPr>
              <w:t>Wendy Beck</w:t>
            </w:r>
          </w:p>
        </w:tc>
        <w:tc>
          <w:tcPr>
            <w:tcW w:w="6020" w:type="dxa"/>
            <w:vAlign w:val="bottom"/>
          </w:tcPr>
          <w:p>
            <w:pPr>
              <w:jc w:val="right"/>
              <w:ind w:right="34"/>
              <w:spacing w:after="0"/>
              <w:rPr>
                <w:sz w:val="20"/>
                <w:szCs w:val="20"/>
                <w:color w:val="auto"/>
              </w:rPr>
            </w:pPr>
            <w:r>
              <w:rPr>
                <w:rFonts w:ascii="Arial" w:cs="Arial" w:eastAsia="Arial" w:hAnsi="Arial"/>
                <w:sz w:val="13"/>
                <w:szCs w:val="13"/>
                <w:color w:val="auto"/>
              </w:rPr>
              <w:t>2,929</w:t>
            </w:r>
          </w:p>
        </w:tc>
      </w:tr>
      <w:tr>
        <w:trPr>
          <w:trHeight w:val="27"/>
        </w:trPr>
        <w:tc>
          <w:tcPr>
            <w:tcW w:w="522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04"/>
        </w:trPr>
        <w:tc>
          <w:tcPr>
            <w:tcW w:w="5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Scott Boatwright</w:t>
            </w:r>
          </w:p>
        </w:tc>
        <w:tc>
          <w:tcPr>
            <w:tcW w:w="602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2,929</w:t>
            </w:r>
          </w:p>
        </w:tc>
      </w:tr>
      <w:tr>
        <w:trPr>
          <w:trHeight w:val="197"/>
        </w:trPr>
        <w:tc>
          <w:tcPr>
            <w:tcW w:w="5220" w:type="dxa"/>
            <w:vAlign w:val="bottom"/>
          </w:tcPr>
          <w:p>
            <w:pPr>
              <w:ind w:left="100"/>
              <w:spacing w:after="0"/>
              <w:rPr>
                <w:sz w:val="20"/>
                <w:szCs w:val="20"/>
                <w:color w:val="auto"/>
              </w:rPr>
            </w:pPr>
            <w:r>
              <w:rPr>
                <w:rFonts w:ascii="Arial" w:cs="Arial" w:eastAsia="Arial" w:hAnsi="Arial"/>
                <w:sz w:val="13"/>
                <w:szCs w:val="13"/>
                <w:b w:val="1"/>
                <w:bCs w:val="1"/>
                <w:color w:val="auto"/>
              </w:rPr>
              <w:t>Brian Marley</w:t>
            </w:r>
          </w:p>
        </w:tc>
        <w:tc>
          <w:tcPr>
            <w:tcW w:w="6020" w:type="dxa"/>
            <w:vAlign w:val="bottom"/>
          </w:tcPr>
          <w:p>
            <w:pPr>
              <w:jc w:val="right"/>
              <w:ind w:right="34"/>
              <w:spacing w:after="0"/>
              <w:rPr>
                <w:sz w:val="20"/>
                <w:szCs w:val="20"/>
                <w:color w:val="auto"/>
              </w:rPr>
            </w:pPr>
            <w:r>
              <w:rPr>
                <w:rFonts w:ascii="Arial" w:cs="Arial" w:eastAsia="Arial" w:hAnsi="Arial"/>
                <w:sz w:val="13"/>
                <w:szCs w:val="13"/>
                <w:color w:val="auto"/>
              </w:rPr>
              <w:t>2,929</w:t>
            </w:r>
          </w:p>
        </w:tc>
      </w:tr>
      <w:tr>
        <w:trPr>
          <w:trHeight w:val="27"/>
        </w:trPr>
        <w:tc>
          <w:tcPr>
            <w:tcW w:w="522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04"/>
        </w:trPr>
        <w:tc>
          <w:tcPr>
            <w:tcW w:w="5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Tom Nealon</w:t>
            </w:r>
          </w:p>
        </w:tc>
        <w:tc>
          <w:tcPr>
            <w:tcW w:w="602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2,929</w:t>
            </w:r>
          </w:p>
        </w:tc>
      </w:tr>
      <w:tr>
        <w:trPr>
          <w:trHeight w:val="197"/>
        </w:trPr>
        <w:tc>
          <w:tcPr>
            <w:tcW w:w="5220" w:type="dxa"/>
            <w:vAlign w:val="bottom"/>
          </w:tcPr>
          <w:p>
            <w:pPr>
              <w:ind w:left="100"/>
              <w:spacing w:after="0"/>
              <w:rPr>
                <w:sz w:val="20"/>
                <w:szCs w:val="20"/>
                <w:color w:val="auto"/>
              </w:rPr>
            </w:pPr>
            <w:r>
              <w:rPr>
                <w:rFonts w:ascii="Arial" w:cs="Arial" w:eastAsia="Arial" w:hAnsi="Arial"/>
                <w:sz w:val="13"/>
                <w:szCs w:val="13"/>
                <w:b w:val="1"/>
                <w:bCs w:val="1"/>
                <w:color w:val="auto"/>
              </w:rPr>
              <w:t>Theresa Palermo</w:t>
            </w:r>
          </w:p>
        </w:tc>
        <w:tc>
          <w:tcPr>
            <w:tcW w:w="6020" w:type="dxa"/>
            <w:vAlign w:val="bottom"/>
          </w:tcPr>
          <w:p>
            <w:pPr>
              <w:jc w:val="right"/>
              <w:ind w:right="34"/>
              <w:spacing w:after="0"/>
              <w:rPr>
                <w:sz w:val="20"/>
                <w:szCs w:val="20"/>
                <w:color w:val="auto"/>
              </w:rPr>
            </w:pPr>
            <w:r>
              <w:rPr>
                <w:rFonts w:ascii="Arial" w:cs="Arial" w:eastAsia="Arial" w:hAnsi="Arial"/>
                <w:sz w:val="13"/>
                <w:szCs w:val="13"/>
                <w:color w:val="auto"/>
              </w:rPr>
              <w:t>2,929</w:t>
            </w:r>
          </w:p>
        </w:tc>
      </w:tr>
      <w:tr>
        <w:trPr>
          <w:trHeight w:val="27"/>
        </w:trPr>
        <w:tc>
          <w:tcPr>
            <w:tcW w:w="522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04"/>
        </w:trPr>
        <w:tc>
          <w:tcPr>
            <w:tcW w:w="5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Monique Picou</w:t>
            </w:r>
          </w:p>
        </w:tc>
        <w:tc>
          <w:tcPr>
            <w:tcW w:w="602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2,929</w:t>
            </w:r>
          </w:p>
        </w:tc>
      </w:tr>
      <w:tr>
        <w:trPr>
          <w:trHeight w:val="197"/>
        </w:trPr>
        <w:tc>
          <w:tcPr>
            <w:tcW w:w="5220" w:type="dxa"/>
            <w:vAlign w:val="bottom"/>
          </w:tcPr>
          <w:p>
            <w:pPr>
              <w:ind w:left="100"/>
              <w:spacing w:after="0"/>
              <w:rPr>
                <w:sz w:val="20"/>
                <w:szCs w:val="20"/>
                <w:color w:val="auto"/>
              </w:rPr>
            </w:pPr>
            <w:r>
              <w:rPr>
                <w:rFonts w:ascii="Arial" w:cs="Arial" w:eastAsia="Arial" w:hAnsi="Arial"/>
                <w:sz w:val="13"/>
                <w:szCs w:val="13"/>
                <w:b w:val="1"/>
                <w:bCs w:val="1"/>
                <w:color w:val="auto"/>
              </w:rPr>
              <w:t>Beryl Raff</w:t>
            </w:r>
          </w:p>
        </w:tc>
        <w:tc>
          <w:tcPr>
            <w:tcW w:w="6020" w:type="dxa"/>
            <w:vAlign w:val="bottom"/>
          </w:tcPr>
          <w:p>
            <w:pPr>
              <w:jc w:val="right"/>
              <w:ind w:right="34"/>
              <w:spacing w:after="0"/>
              <w:rPr>
                <w:sz w:val="20"/>
                <w:szCs w:val="20"/>
                <w:color w:val="auto"/>
              </w:rPr>
            </w:pPr>
            <w:r>
              <w:rPr>
                <w:rFonts w:ascii="Arial" w:cs="Arial" w:eastAsia="Arial" w:hAnsi="Arial"/>
                <w:sz w:val="13"/>
                <w:szCs w:val="13"/>
                <w:color w:val="auto"/>
              </w:rPr>
              <w:t>2,929</w:t>
            </w:r>
          </w:p>
        </w:tc>
      </w:tr>
      <w:tr>
        <w:trPr>
          <w:trHeight w:val="27"/>
        </w:trPr>
        <w:tc>
          <w:tcPr>
            <w:tcW w:w="522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04"/>
        </w:trPr>
        <w:tc>
          <w:tcPr>
            <w:tcW w:w="5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Chris Turner</w:t>
            </w:r>
          </w:p>
        </w:tc>
        <w:tc>
          <w:tcPr>
            <w:tcW w:w="602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2,929</w:t>
            </w:r>
          </w:p>
        </w:tc>
      </w:tr>
      <w:tr>
        <w:trPr>
          <w:trHeight w:val="224"/>
        </w:trPr>
        <w:tc>
          <w:tcPr>
            <w:tcW w:w="5220" w:type="dxa"/>
            <w:vAlign w:val="bottom"/>
          </w:tcPr>
          <w:p>
            <w:pPr>
              <w:ind w:left="100"/>
              <w:spacing w:after="0"/>
              <w:rPr>
                <w:sz w:val="20"/>
                <w:szCs w:val="20"/>
                <w:color w:val="auto"/>
              </w:rPr>
            </w:pPr>
            <w:r>
              <w:rPr>
                <w:rFonts w:ascii="Arial" w:cs="Arial" w:eastAsia="Arial" w:hAnsi="Arial"/>
                <w:sz w:val="13"/>
                <w:szCs w:val="13"/>
                <w:b w:val="1"/>
                <w:bCs w:val="1"/>
                <w:color w:val="auto"/>
              </w:rPr>
              <w:t>Sharen Turney</w:t>
            </w:r>
            <w:r>
              <w:rPr>
                <w:rFonts w:ascii="Arial" w:cs="Arial" w:eastAsia="Arial" w:hAnsi="Arial"/>
                <w:sz w:val="17"/>
                <w:szCs w:val="17"/>
                <w:b w:val="1"/>
                <w:bCs w:val="1"/>
                <w:color w:val="auto"/>
                <w:vertAlign w:val="superscript"/>
              </w:rPr>
              <w:t>(1)</w:t>
            </w:r>
          </w:p>
        </w:tc>
        <w:tc>
          <w:tcPr>
            <w:tcW w:w="6020" w:type="dxa"/>
            <w:vAlign w:val="bottom"/>
          </w:tcPr>
          <w:p>
            <w:pPr>
              <w:jc w:val="right"/>
              <w:ind w:right="34"/>
              <w:spacing w:after="0"/>
              <w:rPr>
                <w:sz w:val="20"/>
                <w:szCs w:val="20"/>
                <w:color w:val="auto"/>
              </w:rPr>
            </w:pPr>
            <w:r>
              <w:rPr>
                <w:rFonts w:ascii="Arial" w:cs="Arial" w:eastAsia="Arial" w:hAnsi="Arial"/>
                <w:sz w:val="13"/>
                <w:szCs w:val="13"/>
                <w:color w:val="auto"/>
              </w:rPr>
              <w:t>0</w:t>
            </w:r>
          </w:p>
        </w:tc>
      </w:tr>
      <w:tr>
        <w:trPr>
          <w:trHeight w:val="197"/>
        </w:trPr>
        <w:tc>
          <w:tcPr>
            <w:tcW w:w="522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Jeff Tweedy</w:t>
            </w:r>
          </w:p>
        </w:tc>
        <w:tc>
          <w:tcPr>
            <w:tcW w:w="602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2,929</w:t>
            </w:r>
          </w:p>
        </w:tc>
      </w:tr>
      <w:tr>
        <w:trPr>
          <w:trHeight w:val="27"/>
        </w:trPr>
        <w:tc>
          <w:tcPr>
            <w:tcW w:w="5220" w:type="dxa"/>
            <w:vAlign w:val="bottom"/>
            <w:shd w:val="clear" w:color="auto" w:fill="DBDBDB"/>
          </w:tcPr>
          <w:p>
            <w:pPr>
              <w:spacing w:after="0"/>
              <w:rPr>
                <w:sz w:val="2"/>
                <w:szCs w:val="2"/>
                <w:color w:val="auto"/>
              </w:rPr>
            </w:pPr>
          </w:p>
        </w:tc>
        <w:tc>
          <w:tcPr>
            <w:tcW w:w="6020" w:type="dxa"/>
            <w:vAlign w:val="bottom"/>
            <w:shd w:val="clear" w:color="auto" w:fill="DBDBDB"/>
          </w:tcPr>
          <w:p>
            <w:pPr>
              <w:spacing w:after="0"/>
              <w:rPr>
                <w:sz w:val="2"/>
                <w:szCs w:val="2"/>
                <w:color w:val="auto"/>
              </w:rPr>
            </w:pPr>
          </w:p>
        </w:tc>
      </w:tr>
    </w:tbl>
    <w:p>
      <w:pPr>
        <w:spacing w:after="0" w:line="109" w:lineRule="exact"/>
        <w:rPr>
          <w:sz w:val="20"/>
          <w:szCs w:val="20"/>
          <w:color w:val="auto"/>
        </w:rPr>
      </w:pPr>
    </w:p>
    <w:p>
      <w:pPr>
        <w:ind w:left="301" w:hanging="301"/>
        <w:spacing w:after="0"/>
        <w:tabs>
          <w:tab w:leader="none" w:pos="301" w:val="left"/>
        </w:tabs>
        <w:numPr>
          <w:ilvl w:val="0"/>
          <w:numId w:val="52"/>
        </w:numPr>
        <w:rPr>
          <w:rFonts w:ascii="Arial" w:cs="Arial" w:eastAsia="Arial" w:hAnsi="Arial"/>
          <w:sz w:val="12"/>
          <w:szCs w:val="12"/>
          <w:color w:val="auto"/>
        </w:rPr>
      </w:pPr>
      <w:r>
        <w:rPr>
          <w:rFonts w:ascii="Arial" w:cs="Arial" w:eastAsia="Arial" w:hAnsi="Arial"/>
          <w:sz w:val="12"/>
          <w:szCs w:val="12"/>
          <w:color w:val="auto"/>
        </w:rPr>
        <w:t>Ms. Turney resigned from the Board, effective February 26, 2024, and forfeited her unvested RSUs at such date.</w:t>
      </w:r>
    </w:p>
    <w:p>
      <w:pPr>
        <w:spacing w:after="0" w:line="338" w:lineRule="exact"/>
        <w:rPr>
          <w:sz w:val="20"/>
          <w:szCs w:val="20"/>
          <w:color w:val="auto"/>
        </w:rPr>
      </w:pPr>
    </w:p>
    <w:p>
      <w:pPr>
        <w:ind w:left="1"/>
        <w:spacing w:after="0" w:line="285" w:lineRule="auto"/>
        <w:rPr>
          <w:sz w:val="20"/>
          <w:szCs w:val="20"/>
          <w:color w:val="auto"/>
        </w:rPr>
      </w:pPr>
      <w:r>
        <w:rPr>
          <w:rFonts w:ascii="Arial" w:cs="Arial" w:eastAsia="Arial" w:hAnsi="Arial"/>
          <w:sz w:val="15"/>
          <w:szCs w:val="15"/>
          <w:color w:val="auto"/>
        </w:rPr>
        <w:t>The Compensation Committee reviews and assesses non-employee director pay levels annually. This process involves a review of competitive market data, including an assessment of the Non-Employee Director Compensation Policy against the director compensation programs of companies in our executive compensation peer group and updates on recent trends in director compensation. In June 2024, the Compensation Committee and its compensation consultant, Frederic W. Cook &amp; Co, Inc. (“FW Cook”), conducted a thorough analysis of the non-employee directors' compensation, and following this review the Compensation Committee recommended and the Board approved no changes to the current non-employee director compensation program for remainder of 2024.</w:t>
      </w:r>
    </w:p>
    <w:p>
      <w:pPr>
        <w:spacing w:after="0" w:line="70" w:lineRule="exact"/>
        <w:rPr>
          <w:sz w:val="20"/>
          <w:szCs w:val="20"/>
          <w:color w:val="auto"/>
        </w:rPr>
      </w:pPr>
    </w:p>
    <w:p>
      <w:pPr>
        <w:ind w:left="1" w:right="120"/>
        <w:spacing w:after="0" w:line="288" w:lineRule="auto"/>
        <w:rPr>
          <w:sz w:val="20"/>
          <w:szCs w:val="20"/>
          <w:color w:val="auto"/>
        </w:rPr>
      </w:pPr>
      <w:r>
        <w:rPr>
          <w:rFonts w:ascii="Arial" w:cs="Arial" w:eastAsia="Arial" w:hAnsi="Arial"/>
          <w:sz w:val="15"/>
          <w:szCs w:val="15"/>
          <w:color w:val="auto"/>
        </w:rPr>
        <w:t>The Board has adopted Stock Ownership Guidelines applicable to the non-employee directors, the Chief Executive Officer, and the other covered executives (see “Stock Ownership Guidelines” for more information). For non-employee directors, their requirement is to hold stock valued at 3.0x (three times) the value of their annual cash retainer, not inclusive of any additional fees. The Stock Ownership Guidelines allow covered directors and executives up to five years from the date each first becomes a director to comply with the Stock Ownership Guidelines. The following holdings are counted as eligible securities under the Stock Ownership Guidelines:</w:t>
      </w:r>
    </w:p>
    <w:p>
      <w:pPr>
        <w:spacing w:after="0" w:line="104" w:lineRule="exact"/>
        <w:rPr>
          <w:sz w:val="20"/>
          <w:szCs w:val="20"/>
          <w:color w:val="auto"/>
        </w:rPr>
      </w:pPr>
    </w:p>
    <w:p>
      <w:pPr>
        <w:ind w:left="421" w:hanging="197"/>
        <w:spacing w:after="0"/>
        <w:tabs>
          <w:tab w:leader="none" w:pos="421" w:val="left"/>
        </w:tabs>
        <w:numPr>
          <w:ilvl w:val="0"/>
          <w:numId w:val="53"/>
        </w:numPr>
        <w:rPr>
          <w:rFonts w:ascii="Arial" w:cs="Arial" w:eastAsia="Arial" w:hAnsi="Arial"/>
          <w:sz w:val="15"/>
          <w:szCs w:val="15"/>
          <w:color w:val="auto"/>
        </w:rPr>
      </w:pPr>
      <w:r>
        <w:rPr>
          <w:rFonts w:ascii="Arial" w:cs="Arial" w:eastAsia="Arial" w:hAnsi="Arial"/>
          <w:sz w:val="15"/>
          <w:szCs w:val="15"/>
          <w:color w:val="auto"/>
        </w:rPr>
        <w:t>shares of common stock owned outright by the individual, or jointly with or separately by the individual’s spouse;</w:t>
      </w:r>
    </w:p>
    <w:p>
      <w:pPr>
        <w:spacing w:after="0" w:line="113" w:lineRule="exact"/>
        <w:rPr>
          <w:rFonts w:ascii="Arial" w:cs="Arial" w:eastAsia="Arial" w:hAnsi="Arial"/>
          <w:sz w:val="15"/>
          <w:szCs w:val="15"/>
          <w:color w:val="auto"/>
        </w:rPr>
      </w:pPr>
    </w:p>
    <w:p>
      <w:pPr>
        <w:ind w:left="421" w:hanging="197"/>
        <w:spacing w:after="0"/>
        <w:tabs>
          <w:tab w:leader="none" w:pos="421" w:val="left"/>
        </w:tabs>
        <w:numPr>
          <w:ilvl w:val="0"/>
          <w:numId w:val="53"/>
        </w:numPr>
        <w:rPr>
          <w:rFonts w:ascii="Arial" w:cs="Arial" w:eastAsia="Arial" w:hAnsi="Arial"/>
          <w:sz w:val="15"/>
          <w:szCs w:val="15"/>
          <w:color w:val="auto"/>
        </w:rPr>
      </w:pPr>
      <w:r>
        <w:rPr>
          <w:rFonts w:ascii="Arial" w:cs="Arial" w:eastAsia="Arial" w:hAnsi="Arial"/>
          <w:sz w:val="15"/>
          <w:szCs w:val="15"/>
          <w:color w:val="auto"/>
        </w:rPr>
        <w:t>shares of common stock held in trust for the benefit of the individual;</w:t>
      </w:r>
    </w:p>
    <w:p>
      <w:pPr>
        <w:spacing w:after="0" w:line="100" w:lineRule="exact"/>
        <w:rPr>
          <w:rFonts w:ascii="Arial" w:cs="Arial" w:eastAsia="Arial" w:hAnsi="Arial"/>
          <w:sz w:val="15"/>
          <w:szCs w:val="15"/>
          <w:color w:val="auto"/>
        </w:rPr>
      </w:pPr>
    </w:p>
    <w:p>
      <w:pPr>
        <w:ind w:left="421" w:hanging="197"/>
        <w:spacing w:after="0"/>
        <w:tabs>
          <w:tab w:leader="none" w:pos="421" w:val="left"/>
        </w:tabs>
        <w:numPr>
          <w:ilvl w:val="0"/>
          <w:numId w:val="53"/>
        </w:numPr>
        <w:rPr>
          <w:rFonts w:ascii="Arial" w:cs="Arial" w:eastAsia="Arial" w:hAnsi="Arial"/>
          <w:sz w:val="15"/>
          <w:szCs w:val="15"/>
          <w:color w:val="auto"/>
        </w:rPr>
      </w:pPr>
      <w:r>
        <w:rPr>
          <w:rFonts w:ascii="Arial" w:cs="Arial" w:eastAsia="Arial" w:hAnsi="Arial"/>
          <w:sz w:val="15"/>
          <w:szCs w:val="15"/>
          <w:color w:val="auto"/>
        </w:rPr>
        <w:t>shares of common stock held in the Company’s 401(k) Plan (if offered);</w:t>
      </w:r>
    </w:p>
    <w:p>
      <w:pPr>
        <w:spacing w:after="0" w:line="113" w:lineRule="exact"/>
        <w:rPr>
          <w:rFonts w:ascii="Arial" w:cs="Arial" w:eastAsia="Arial" w:hAnsi="Arial"/>
          <w:sz w:val="15"/>
          <w:szCs w:val="15"/>
          <w:color w:val="auto"/>
        </w:rPr>
      </w:pPr>
    </w:p>
    <w:p>
      <w:pPr>
        <w:ind w:left="441" w:right="20" w:hanging="217"/>
        <w:spacing w:after="0" w:line="276" w:lineRule="auto"/>
        <w:tabs>
          <w:tab w:leader="none" w:pos="418" w:val="left"/>
        </w:tabs>
        <w:numPr>
          <w:ilvl w:val="0"/>
          <w:numId w:val="53"/>
        </w:numPr>
        <w:rPr>
          <w:rFonts w:ascii="Arial" w:cs="Arial" w:eastAsia="Arial" w:hAnsi="Arial"/>
          <w:sz w:val="15"/>
          <w:szCs w:val="15"/>
          <w:color w:val="auto"/>
        </w:rPr>
      </w:pPr>
      <w:r>
        <w:rPr>
          <w:rFonts w:ascii="Arial" w:cs="Arial" w:eastAsia="Arial" w:hAnsi="Arial"/>
          <w:sz w:val="15"/>
          <w:szCs w:val="15"/>
          <w:color w:val="auto"/>
        </w:rPr>
        <w:t>performance-based restricted stock and restricted stock units that have met the performance criteria but have not yet satisfied time-based vesting and/or settled (for clarity, unearned performance-based equity awards are not counted for these purposes); and</w:t>
      </w:r>
    </w:p>
    <w:p>
      <w:pPr>
        <w:spacing w:after="0" w:line="50" w:lineRule="exact"/>
        <w:rPr>
          <w:rFonts w:ascii="Arial" w:cs="Arial" w:eastAsia="Arial" w:hAnsi="Arial"/>
          <w:sz w:val="15"/>
          <w:szCs w:val="15"/>
          <w:color w:val="auto"/>
        </w:rPr>
      </w:pPr>
    </w:p>
    <w:p>
      <w:pPr>
        <w:ind w:left="421" w:hanging="197"/>
        <w:spacing w:after="0"/>
        <w:tabs>
          <w:tab w:leader="none" w:pos="421" w:val="left"/>
        </w:tabs>
        <w:numPr>
          <w:ilvl w:val="0"/>
          <w:numId w:val="53"/>
        </w:numPr>
        <w:rPr>
          <w:rFonts w:ascii="Arial" w:cs="Arial" w:eastAsia="Arial" w:hAnsi="Arial"/>
          <w:sz w:val="15"/>
          <w:szCs w:val="15"/>
          <w:color w:val="auto"/>
        </w:rPr>
      </w:pPr>
      <w:r>
        <w:rPr>
          <w:rFonts w:ascii="Arial" w:cs="Arial" w:eastAsia="Arial" w:hAnsi="Arial"/>
          <w:sz w:val="15"/>
          <w:szCs w:val="15"/>
          <w:color w:val="auto"/>
        </w:rPr>
        <w:t>time-based restricted stock and restricted stock units.</w:t>
      </w:r>
    </w:p>
    <w:p>
      <w:pPr>
        <w:spacing w:after="0" w:line="225" w:lineRule="exact"/>
        <w:rPr>
          <w:sz w:val="20"/>
          <w:szCs w:val="20"/>
          <w:color w:val="auto"/>
        </w:rPr>
      </w:pPr>
    </w:p>
    <w:p>
      <w:pPr>
        <w:ind w:left="1" w:right="420"/>
        <w:spacing w:after="0" w:line="323" w:lineRule="auto"/>
        <w:rPr>
          <w:sz w:val="20"/>
          <w:szCs w:val="20"/>
          <w:color w:val="auto"/>
        </w:rPr>
      </w:pPr>
      <w:r>
        <w:rPr>
          <w:rFonts w:ascii="Arial" w:cs="Arial" w:eastAsia="Arial" w:hAnsi="Arial"/>
          <w:sz w:val="14"/>
          <w:szCs w:val="14"/>
          <w:color w:val="auto"/>
        </w:rPr>
        <w:t>Covered directors who do not achieve the required levels of ownership within the prescribed amount of time will be required to retain 100% of any Company equity acquired (net of taxes) until the next compliance date on which their ownership of eligible securities meets applicable required guidelines. Each of our non-employee directors is either in compliance with the Stock Ownership Guidelines or within the prescribed time period for complying with the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758190</wp:posOffset>
            </wp:positionV>
            <wp:extent cx="7168515" cy="4127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463550</wp:posOffset>
            </wp:positionV>
            <wp:extent cx="789305" cy="18923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007EC4"/>
        </w:rPr>
        <w:t xml:space="preserve">42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Two</w:t>
      </w:r>
    </w:p>
    <w:p>
      <w:pPr>
        <w:spacing w:after="0" w:line="99" w:lineRule="exact"/>
        <w:rPr>
          <w:sz w:val="20"/>
          <w:szCs w:val="20"/>
          <w:color w:val="auto"/>
        </w:rPr>
      </w:pPr>
    </w:p>
    <w:p>
      <w:pPr>
        <w:ind w:right="1980"/>
        <w:spacing w:after="0" w:line="314" w:lineRule="auto"/>
        <w:rPr>
          <w:sz w:val="20"/>
          <w:szCs w:val="20"/>
          <w:color w:val="auto"/>
        </w:rPr>
      </w:pPr>
      <w:r>
        <w:rPr>
          <w:rFonts w:ascii="Arial" w:cs="Arial" w:eastAsia="Arial" w:hAnsi="Arial"/>
          <w:sz w:val="44"/>
          <w:szCs w:val="44"/>
          <w:b w:val="1"/>
          <w:bCs w:val="1"/>
          <w:color w:val="1B4093"/>
        </w:rPr>
        <w:t>Ratification of Appointment of Independent Registered Public Accounting Firm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has appointed Deloitte &amp; Touche LLP to serve as our independent registered public accounting firm for fiscal 2025.</w:t>
      </w:r>
    </w:p>
    <w:p>
      <w:pPr>
        <w:spacing w:after="0" w:line="225"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Although ratification is not required by the Bylaws or otherwise, the Board is submitting the appointment of Deloitte &amp; Touche LLP to our stockholders for ratification because we value our stockholders’ views on the Company’s independent registered public accounting firm. If our stockholders fail to ratify the appointment, it will be considered as notice to the Board and the Audit Committee to consider the selection of a different firm. Further, if the appointment is ratified, the Audit Committee, in its discretion, may appoint a different independent registered public accounting firm at any time during the year if it determines that such a change would be in the best interests of the Company and our stockholders. A representative of Deloitte &amp; Touche LLP is expected to be present at the Annual Meeting. The representative will have an opportunity to make a statement if they desire and will be available to respond to questions from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shares represented by your proxy will be voted “FOR” the ratification of the appointment of Deloitte &amp; Touche LLP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7127240" cy="1587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7127240" cy="158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0"/>
        <w:spacing w:after="0"/>
        <w:rPr>
          <w:sz w:val="20"/>
          <w:szCs w:val="20"/>
          <w:color w:val="auto"/>
        </w:rPr>
      </w:pPr>
      <w:r>
        <w:rPr>
          <w:rFonts w:ascii="Arial" w:cs="Arial" w:eastAsia="Arial" w:hAnsi="Arial"/>
          <w:sz w:val="13"/>
          <w:szCs w:val="13"/>
          <w:b w:val="1"/>
          <w:bCs w:val="1"/>
          <w:color w:val="EF3B35"/>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-18415</wp:posOffset>
            </wp:positionV>
            <wp:extent cx="260350" cy="26035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260350" cy="260350"/>
                    </a:xfrm>
                    <a:prstGeom prst="rect">
                      <a:avLst/>
                    </a:prstGeom>
                    <a:noFill/>
                  </pic:spPr>
                </pic:pic>
              </a:graphicData>
            </a:graphic>
          </wp:anchor>
        </w:drawing>
      </w:r>
    </w:p>
    <w:p>
      <w:pPr>
        <w:spacing w:after="0" w:line="48" w:lineRule="exact"/>
        <w:rPr>
          <w:sz w:val="20"/>
          <w:szCs w:val="20"/>
          <w:color w:val="auto"/>
        </w:rPr>
      </w:pPr>
    </w:p>
    <w:p>
      <w:pPr>
        <w:ind w:left="3000"/>
        <w:spacing w:after="0" w:line="347" w:lineRule="auto"/>
        <w:rPr>
          <w:sz w:val="20"/>
          <w:szCs w:val="20"/>
          <w:color w:val="auto"/>
        </w:rPr>
      </w:pPr>
      <w:r>
        <w:rPr>
          <w:rFonts w:ascii="Arial" w:cs="Arial" w:eastAsia="Arial" w:hAnsi="Arial"/>
          <w:sz w:val="19"/>
          <w:szCs w:val="19"/>
          <w:b w:val="1"/>
          <w:bCs w:val="1"/>
          <w:color w:val="093165"/>
        </w:rPr>
        <w:t>The Board recommends that you vote “FOR” the ratification of appointment of Deloitte &amp; Touche LLP as our independent registered public accounting firm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1441450</wp:posOffset>
            </wp:positionV>
            <wp:extent cx="7168515" cy="4127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-20955</wp:posOffset>
            </wp:positionV>
            <wp:extent cx="15875" cy="1587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-20955</wp:posOffset>
            </wp:positionV>
            <wp:extent cx="15875" cy="1587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-20955</wp:posOffset>
            </wp:positionV>
            <wp:extent cx="15875" cy="1587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-20955</wp:posOffset>
            </wp:positionV>
            <wp:extent cx="15875" cy="1587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-20955</wp:posOffset>
            </wp:positionV>
            <wp:extent cx="15875" cy="1587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-20955</wp:posOffset>
            </wp:positionV>
            <wp:extent cx="15875" cy="1587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-20955</wp:posOffset>
            </wp:positionV>
            <wp:extent cx="15875" cy="1587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-20955</wp:posOffset>
            </wp:positionV>
            <wp:extent cx="15875" cy="1587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-20955</wp:posOffset>
            </wp:positionV>
            <wp:extent cx="15875" cy="1587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-20955</wp:posOffset>
            </wp:positionV>
            <wp:extent cx="15875" cy="1587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-20955</wp:posOffset>
            </wp:positionV>
            <wp:extent cx="15875" cy="1587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-20955</wp:posOffset>
            </wp:positionV>
            <wp:extent cx="15875" cy="1587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-20955</wp:posOffset>
            </wp:positionV>
            <wp:extent cx="15875" cy="1587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-20955</wp:posOffset>
            </wp:positionV>
            <wp:extent cx="15875" cy="1587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-20955</wp:posOffset>
            </wp:positionV>
            <wp:extent cx="15875" cy="1587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-20955</wp:posOffset>
            </wp:positionV>
            <wp:extent cx="15875" cy="1587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-20955</wp:posOffset>
            </wp:positionV>
            <wp:extent cx="15875" cy="1587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-20955</wp:posOffset>
            </wp:positionV>
            <wp:extent cx="15875" cy="1587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-20955</wp:posOffset>
            </wp:positionV>
            <wp:extent cx="15875" cy="1587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-20955</wp:posOffset>
            </wp:positionV>
            <wp:extent cx="15875" cy="1587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-20955</wp:posOffset>
            </wp:positionV>
            <wp:extent cx="15875" cy="1587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-20955</wp:posOffset>
            </wp:positionV>
            <wp:extent cx="15875" cy="1587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-20955</wp:posOffset>
            </wp:positionV>
            <wp:extent cx="15875" cy="1587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-20955</wp:posOffset>
            </wp:positionV>
            <wp:extent cx="15875" cy="1587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-20955</wp:posOffset>
            </wp:positionV>
            <wp:extent cx="15875" cy="1587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-20955</wp:posOffset>
            </wp:positionV>
            <wp:extent cx="15875" cy="1587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-20955</wp:posOffset>
            </wp:positionV>
            <wp:extent cx="15875" cy="1587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-20955</wp:posOffset>
            </wp:positionV>
            <wp:extent cx="15875" cy="1587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-20955</wp:posOffset>
            </wp:positionV>
            <wp:extent cx="15875" cy="1587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-20955</wp:posOffset>
            </wp:positionV>
            <wp:extent cx="15875" cy="1587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-20955</wp:posOffset>
            </wp:positionV>
            <wp:extent cx="15875" cy="1587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-20955</wp:posOffset>
            </wp:positionV>
            <wp:extent cx="15875" cy="1587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-20955</wp:posOffset>
            </wp:positionV>
            <wp:extent cx="15875" cy="1587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-20955</wp:posOffset>
            </wp:positionV>
            <wp:extent cx="15875" cy="1587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-20955</wp:posOffset>
            </wp:positionV>
            <wp:extent cx="15875" cy="1587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-20955</wp:posOffset>
            </wp:positionV>
            <wp:extent cx="15875" cy="1587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-20955</wp:posOffset>
            </wp:positionV>
            <wp:extent cx="15875" cy="1587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-20955</wp:posOffset>
            </wp:positionV>
            <wp:extent cx="15875" cy="1587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-20955</wp:posOffset>
            </wp:positionV>
            <wp:extent cx="15875" cy="1587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-20955</wp:posOffset>
            </wp:positionV>
            <wp:extent cx="15875" cy="1587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-20955</wp:posOffset>
            </wp:positionV>
            <wp:extent cx="15875" cy="1587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-20955</wp:posOffset>
            </wp:positionV>
            <wp:extent cx="15875" cy="1587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-20955</wp:posOffset>
            </wp:positionV>
            <wp:extent cx="15875" cy="1587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-20955</wp:posOffset>
            </wp:positionV>
            <wp:extent cx="15875" cy="1587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-20955</wp:posOffset>
            </wp:positionV>
            <wp:extent cx="15875" cy="1587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-20955</wp:posOffset>
            </wp:positionV>
            <wp:extent cx="15875" cy="1587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-20955</wp:posOffset>
            </wp:positionV>
            <wp:extent cx="15875" cy="1587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-20955</wp:posOffset>
            </wp:positionV>
            <wp:extent cx="15875" cy="1587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-20955</wp:posOffset>
            </wp:positionV>
            <wp:extent cx="15875" cy="1587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-20955</wp:posOffset>
            </wp:positionV>
            <wp:extent cx="15875" cy="1587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-20955</wp:posOffset>
            </wp:positionV>
            <wp:extent cx="15875" cy="1587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-20955</wp:posOffset>
            </wp:positionV>
            <wp:extent cx="15875" cy="1587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-20955</wp:posOffset>
            </wp:positionV>
            <wp:extent cx="15875" cy="1587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-20955</wp:posOffset>
            </wp:positionV>
            <wp:extent cx="15875" cy="1587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-20955</wp:posOffset>
            </wp:positionV>
            <wp:extent cx="15875" cy="1587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-20955</wp:posOffset>
            </wp:positionV>
            <wp:extent cx="15875" cy="1587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-20955</wp:posOffset>
            </wp:positionV>
            <wp:extent cx="15875" cy="1587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3733165</wp:posOffset>
            </wp:positionH>
            <wp:positionV relativeFrom="paragraph">
              <wp:posOffset>-20955</wp:posOffset>
            </wp:positionV>
            <wp:extent cx="15875" cy="1587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-20955</wp:posOffset>
            </wp:positionV>
            <wp:extent cx="15875" cy="1587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-20955</wp:posOffset>
            </wp:positionV>
            <wp:extent cx="15875" cy="1587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-20955</wp:posOffset>
            </wp:positionV>
            <wp:extent cx="15875" cy="1587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3859530</wp:posOffset>
            </wp:positionH>
            <wp:positionV relativeFrom="paragraph">
              <wp:posOffset>-20955</wp:posOffset>
            </wp:positionV>
            <wp:extent cx="15875" cy="1587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-20955</wp:posOffset>
            </wp:positionV>
            <wp:extent cx="15875" cy="1587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-20955</wp:posOffset>
            </wp:positionV>
            <wp:extent cx="15875" cy="1587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-20955</wp:posOffset>
            </wp:positionV>
            <wp:extent cx="15875" cy="1587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-20955</wp:posOffset>
            </wp:positionV>
            <wp:extent cx="15875" cy="1587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-20955</wp:posOffset>
            </wp:positionV>
            <wp:extent cx="15875" cy="1587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-20955</wp:posOffset>
            </wp:positionV>
            <wp:extent cx="15875" cy="1587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-20955</wp:posOffset>
            </wp:positionV>
            <wp:extent cx="15875" cy="1587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-20955</wp:posOffset>
            </wp:positionV>
            <wp:extent cx="15875" cy="1587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-20955</wp:posOffset>
            </wp:positionV>
            <wp:extent cx="15875" cy="1587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-20955</wp:posOffset>
            </wp:positionV>
            <wp:extent cx="15875" cy="1587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-20955</wp:posOffset>
            </wp:positionV>
            <wp:extent cx="15875" cy="1587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4237990</wp:posOffset>
            </wp:positionH>
            <wp:positionV relativeFrom="paragraph">
              <wp:posOffset>-20955</wp:posOffset>
            </wp:positionV>
            <wp:extent cx="15875" cy="1587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-20955</wp:posOffset>
            </wp:positionV>
            <wp:extent cx="15875" cy="1587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-20955</wp:posOffset>
            </wp:positionV>
            <wp:extent cx="15875" cy="1587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-20955</wp:posOffset>
            </wp:positionV>
            <wp:extent cx="15875" cy="1587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-20955</wp:posOffset>
            </wp:positionV>
            <wp:extent cx="15875" cy="1587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-20955</wp:posOffset>
            </wp:positionV>
            <wp:extent cx="15875" cy="1587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-20955</wp:posOffset>
            </wp:positionV>
            <wp:extent cx="15875" cy="1587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-20955</wp:posOffset>
            </wp:positionV>
            <wp:extent cx="15875" cy="1587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4490720</wp:posOffset>
            </wp:positionH>
            <wp:positionV relativeFrom="paragraph">
              <wp:posOffset>-20955</wp:posOffset>
            </wp:positionV>
            <wp:extent cx="15875" cy="1587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-20955</wp:posOffset>
            </wp:positionV>
            <wp:extent cx="15875" cy="1587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4554220</wp:posOffset>
            </wp:positionH>
            <wp:positionV relativeFrom="paragraph">
              <wp:posOffset>-20955</wp:posOffset>
            </wp:positionV>
            <wp:extent cx="15875" cy="1587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-20955</wp:posOffset>
            </wp:positionV>
            <wp:extent cx="15875" cy="1587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-20955</wp:posOffset>
            </wp:positionV>
            <wp:extent cx="15875" cy="1587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-20955</wp:posOffset>
            </wp:positionV>
            <wp:extent cx="15875" cy="1587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-20955</wp:posOffset>
            </wp:positionV>
            <wp:extent cx="15875" cy="1587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-20955</wp:posOffset>
            </wp:positionV>
            <wp:extent cx="15875" cy="1587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-20955</wp:posOffset>
            </wp:positionV>
            <wp:extent cx="15875" cy="1587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-20955</wp:posOffset>
            </wp:positionV>
            <wp:extent cx="15875" cy="1587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-20955</wp:posOffset>
            </wp:positionV>
            <wp:extent cx="15875" cy="1587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4838065</wp:posOffset>
            </wp:positionH>
            <wp:positionV relativeFrom="paragraph">
              <wp:posOffset>-20955</wp:posOffset>
            </wp:positionV>
            <wp:extent cx="15875" cy="1587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-20955</wp:posOffset>
            </wp:positionV>
            <wp:extent cx="15875" cy="1587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-20955</wp:posOffset>
            </wp:positionV>
            <wp:extent cx="15875" cy="1587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-20955</wp:posOffset>
            </wp:positionV>
            <wp:extent cx="15875" cy="1587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-20955</wp:posOffset>
            </wp:positionV>
            <wp:extent cx="15875" cy="1587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-20955</wp:posOffset>
            </wp:positionV>
            <wp:extent cx="15875" cy="1587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5027295</wp:posOffset>
            </wp:positionH>
            <wp:positionV relativeFrom="paragraph">
              <wp:posOffset>-20955</wp:posOffset>
            </wp:positionV>
            <wp:extent cx="15875" cy="1587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-20955</wp:posOffset>
            </wp:positionV>
            <wp:extent cx="15875" cy="1587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-20955</wp:posOffset>
            </wp:positionV>
            <wp:extent cx="15875" cy="1587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-20955</wp:posOffset>
            </wp:positionV>
            <wp:extent cx="15875" cy="1587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-20955</wp:posOffset>
            </wp:positionV>
            <wp:extent cx="15875" cy="1587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-20955</wp:posOffset>
            </wp:positionV>
            <wp:extent cx="15875" cy="1587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-20955</wp:posOffset>
            </wp:positionV>
            <wp:extent cx="15875" cy="1587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-20955</wp:posOffset>
            </wp:positionV>
            <wp:extent cx="15875" cy="1587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-20955</wp:posOffset>
            </wp:positionV>
            <wp:extent cx="15875" cy="1587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-20955</wp:posOffset>
            </wp:positionV>
            <wp:extent cx="15875" cy="1587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-20955</wp:posOffset>
            </wp:positionV>
            <wp:extent cx="15875" cy="1587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-20955</wp:posOffset>
            </wp:positionV>
            <wp:extent cx="15875" cy="1587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-20955</wp:posOffset>
            </wp:positionV>
            <wp:extent cx="15875" cy="1587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-20955</wp:posOffset>
            </wp:positionV>
            <wp:extent cx="15875" cy="1587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-20955</wp:posOffset>
            </wp:positionV>
            <wp:extent cx="15875" cy="1587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-20955</wp:posOffset>
            </wp:positionV>
            <wp:extent cx="15875" cy="1587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-20955</wp:posOffset>
            </wp:positionV>
            <wp:extent cx="15875" cy="1587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5564505</wp:posOffset>
            </wp:positionH>
            <wp:positionV relativeFrom="paragraph">
              <wp:posOffset>-20955</wp:posOffset>
            </wp:positionV>
            <wp:extent cx="15875" cy="1587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-20955</wp:posOffset>
            </wp:positionV>
            <wp:extent cx="15875" cy="1587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-20955</wp:posOffset>
            </wp:positionV>
            <wp:extent cx="15875" cy="1587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-20955</wp:posOffset>
            </wp:positionV>
            <wp:extent cx="15875" cy="1587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-20955</wp:posOffset>
            </wp:positionV>
            <wp:extent cx="15875" cy="1587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-20955</wp:posOffset>
            </wp:positionV>
            <wp:extent cx="15875" cy="1587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-20955</wp:posOffset>
            </wp:positionV>
            <wp:extent cx="15875" cy="1587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-20955</wp:posOffset>
            </wp:positionV>
            <wp:extent cx="15875" cy="1587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-20955</wp:posOffset>
            </wp:positionV>
            <wp:extent cx="15875" cy="1587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-20955</wp:posOffset>
            </wp:positionV>
            <wp:extent cx="15875" cy="1587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-20955</wp:posOffset>
            </wp:positionV>
            <wp:extent cx="15875" cy="1587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-20955</wp:posOffset>
            </wp:positionV>
            <wp:extent cx="15875" cy="1587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-20955</wp:posOffset>
            </wp:positionV>
            <wp:extent cx="15875" cy="1587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-20955</wp:posOffset>
            </wp:positionV>
            <wp:extent cx="15875" cy="1587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-20955</wp:posOffset>
            </wp:positionV>
            <wp:extent cx="15875" cy="1587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-20955</wp:posOffset>
            </wp:positionV>
            <wp:extent cx="15875" cy="1587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-20955</wp:posOffset>
            </wp:positionV>
            <wp:extent cx="15875" cy="1587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-20955</wp:posOffset>
            </wp:positionV>
            <wp:extent cx="15875" cy="1587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15875" cy="1587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-20955</wp:posOffset>
            </wp:positionV>
            <wp:extent cx="15875" cy="1587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-20955</wp:posOffset>
            </wp:positionV>
            <wp:extent cx="15875" cy="1587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-20955</wp:posOffset>
            </wp:positionV>
            <wp:extent cx="15875" cy="1587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-20955</wp:posOffset>
            </wp:positionV>
            <wp:extent cx="15875" cy="1587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-20955</wp:posOffset>
            </wp:positionV>
            <wp:extent cx="15875" cy="1587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6322060</wp:posOffset>
            </wp:positionH>
            <wp:positionV relativeFrom="paragraph">
              <wp:posOffset>-20955</wp:posOffset>
            </wp:positionV>
            <wp:extent cx="15875" cy="1587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-20955</wp:posOffset>
            </wp:positionV>
            <wp:extent cx="15875" cy="1587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-20955</wp:posOffset>
            </wp:positionV>
            <wp:extent cx="15875" cy="1587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-20955</wp:posOffset>
            </wp:positionV>
            <wp:extent cx="15875" cy="1587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-20955</wp:posOffset>
            </wp:positionV>
            <wp:extent cx="15875" cy="1587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-20955</wp:posOffset>
            </wp:positionV>
            <wp:extent cx="15875" cy="1587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-20955</wp:posOffset>
            </wp:positionV>
            <wp:extent cx="15875" cy="1587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6543040</wp:posOffset>
            </wp:positionH>
            <wp:positionV relativeFrom="paragraph">
              <wp:posOffset>-20955</wp:posOffset>
            </wp:positionV>
            <wp:extent cx="15875" cy="1587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-20955</wp:posOffset>
            </wp:positionV>
            <wp:extent cx="15875" cy="1587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-20955</wp:posOffset>
            </wp:positionV>
            <wp:extent cx="15875" cy="1587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-20955</wp:posOffset>
            </wp:positionV>
            <wp:extent cx="15875" cy="1587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-20955</wp:posOffset>
            </wp:positionV>
            <wp:extent cx="15875" cy="1587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-20955</wp:posOffset>
            </wp:positionV>
            <wp:extent cx="15875" cy="1587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6732270</wp:posOffset>
            </wp:positionH>
            <wp:positionV relativeFrom="paragraph">
              <wp:posOffset>-20955</wp:posOffset>
            </wp:positionV>
            <wp:extent cx="15875" cy="1587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6764020</wp:posOffset>
            </wp:positionH>
            <wp:positionV relativeFrom="paragraph">
              <wp:posOffset>-20955</wp:posOffset>
            </wp:positionV>
            <wp:extent cx="15875" cy="1587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6795770</wp:posOffset>
            </wp:positionH>
            <wp:positionV relativeFrom="paragraph">
              <wp:posOffset>-20955</wp:posOffset>
            </wp:positionV>
            <wp:extent cx="15875" cy="1587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6826885</wp:posOffset>
            </wp:positionH>
            <wp:positionV relativeFrom="paragraph">
              <wp:posOffset>-20955</wp:posOffset>
            </wp:positionV>
            <wp:extent cx="15875" cy="1587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6858635</wp:posOffset>
            </wp:positionH>
            <wp:positionV relativeFrom="paragraph">
              <wp:posOffset>-20955</wp:posOffset>
            </wp:positionV>
            <wp:extent cx="15875" cy="1587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6890385</wp:posOffset>
            </wp:positionH>
            <wp:positionV relativeFrom="paragraph">
              <wp:posOffset>-20955</wp:posOffset>
            </wp:positionV>
            <wp:extent cx="15875" cy="1587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6922135</wp:posOffset>
            </wp:positionH>
            <wp:positionV relativeFrom="paragraph">
              <wp:posOffset>-20955</wp:posOffset>
            </wp:positionV>
            <wp:extent cx="15875" cy="1587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-20955</wp:posOffset>
            </wp:positionV>
            <wp:extent cx="15875" cy="1587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-20955</wp:posOffset>
            </wp:positionV>
            <wp:extent cx="15875" cy="1587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7016750</wp:posOffset>
            </wp:positionH>
            <wp:positionV relativeFrom="paragraph">
              <wp:posOffset>-20955</wp:posOffset>
            </wp:positionV>
            <wp:extent cx="15875" cy="1587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-20955</wp:posOffset>
            </wp:positionV>
            <wp:extent cx="15875" cy="1587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7079615</wp:posOffset>
            </wp:positionH>
            <wp:positionV relativeFrom="paragraph">
              <wp:posOffset>-20955</wp:posOffset>
            </wp:positionV>
            <wp:extent cx="15875" cy="1587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-20955</wp:posOffset>
            </wp:positionV>
            <wp:extent cx="15875" cy="1587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-20955</wp:posOffset>
            </wp:positionV>
            <wp:extent cx="1910080" cy="1587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9100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1146810</wp:posOffset>
            </wp:positionV>
            <wp:extent cx="789305" cy="18923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80"/>
          </w:cols>
          <w:pgMar w:left="320" w:top="157" w:right="399" w:bottom="1440" w:gutter="0" w:footer="0" w:header="0"/>
        </w:sectPr>
      </w:pPr>
    </w:p>
    <w:bookmarkStart w:id="48" w:name="page49"/>
    <w:bookmarkEnd w:id="4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Audit and Non-Audit Fees</w:t>
      </w:r>
    </w:p>
    <w:p>
      <w:pPr>
        <w:spacing w:after="0" w:line="144" w:lineRule="exact"/>
        <w:rPr>
          <w:sz w:val="20"/>
          <w:szCs w:val="20"/>
          <w:color w:val="auto"/>
        </w:rPr>
      </w:pPr>
    </w:p>
    <w:p>
      <w:pPr>
        <w:ind w:left="1" w:right="440"/>
        <w:spacing w:after="0" w:line="310" w:lineRule="auto"/>
        <w:rPr>
          <w:sz w:val="20"/>
          <w:szCs w:val="20"/>
          <w:color w:val="auto"/>
        </w:rPr>
      </w:pPr>
      <w:r>
        <w:rPr>
          <w:rFonts w:ascii="Arial" w:cs="Arial" w:eastAsia="Arial" w:hAnsi="Arial"/>
          <w:sz w:val="15"/>
          <w:szCs w:val="15"/>
          <w:color w:val="auto"/>
        </w:rPr>
        <w:t>The following table presents fees for professional services rendered by our independent registered public accounting firm, Deloitte &amp; Touche LLP, for the audit of our financial statements for 2024 and 2023 and for fees billed for other services rendered by affiliates of Deloitte &amp; Touche LLP during those periods.</w:t>
      </w:r>
    </w:p>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4020" w:type="dxa"/>
            <w:vAlign w:val="bottom"/>
            <w:tcBorders>
              <w:bottom w:val="single" w:sz="8" w:color="E1D7AC"/>
            </w:tcBorders>
            <w:shd w:val="clear" w:color="auto" w:fill="E1D7AC"/>
          </w:tcPr>
          <w:p>
            <w:pPr>
              <w:spacing w:after="0"/>
              <w:rPr>
                <w:sz w:val="17"/>
                <w:szCs w:val="17"/>
                <w:color w:val="auto"/>
              </w:rPr>
            </w:pPr>
          </w:p>
        </w:tc>
        <w:tc>
          <w:tcPr>
            <w:tcW w:w="5000" w:type="dxa"/>
            <w:vAlign w:val="bottom"/>
            <w:tcBorders>
              <w:bottom w:val="single" w:sz="8" w:color="E1D7AC"/>
            </w:tcBorders>
            <w:shd w:val="clear" w:color="auto" w:fill="E1D7AC"/>
          </w:tcPr>
          <w:p>
            <w:pPr>
              <w:jc w:val="right"/>
              <w:ind w:right="1474"/>
              <w:spacing w:after="0"/>
              <w:rPr>
                <w:sz w:val="20"/>
                <w:szCs w:val="20"/>
                <w:color w:val="auto"/>
              </w:rPr>
            </w:pPr>
            <w:r>
              <w:rPr>
                <w:rFonts w:ascii="Arial" w:cs="Arial" w:eastAsia="Arial" w:hAnsi="Arial"/>
                <w:sz w:val="13"/>
                <w:szCs w:val="13"/>
                <w:b w:val="1"/>
                <w:bCs w:val="1"/>
                <w:color w:val="auto"/>
              </w:rPr>
              <w:t>2024</w:t>
            </w:r>
          </w:p>
        </w:tc>
        <w:tc>
          <w:tcPr>
            <w:tcW w:w="22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2023</w:t>
            </w:r>
          </w:p>
        </w:tc>
      </w:tr>
      <w:tr>
        <w:trPr>
          <w:trHeight w:val="224"/>
        </w:trPr>
        <w:tc>
          <w:tcPr>
            <w:tcW w:w="40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Audit fees</w:t>
            </w:r>
            <w:r>
              <w:rPr>
                <w:rFonts w:ascii="Arial" w:cs="Arial" w:eastAsia="Arial" w:hAnsi="Arial"/>
                <w:sz w:val="17"/>
                <w:szCs w:val="17"/>
                <w:color w:val="auto"/>
                <w:vertAlign w:val="superscript"/>
              </w:rPr>
              <w:t>(1)</w:t>
            </w:r>
          </w:p>
        </w:tc>
        <w:tc>
          <w:tcPr>
            <w:tcW w:w="5000" w:type="dxa"/>
            <w:vAlign w:val="bottom"/>
            <w:shd w:val="clear" w:color="auto" w:fill="DBDBDB"/>
          </w:tcPr>
          <w:p>
            <w:pPr>
              <w:jc w:val="right"/>
              <w:ind w:right="1474"/>
              <w:spacing w:after="0"/>
              <w:rPr>
                <w:sz w:val="20"/>
                <w:szCs w:val="20"/>
                <w:color w:val="auto"/>
              </w:rPr>
            </w:pPr>
            <w:r>
              <w:rPr>
                <w:rFonts w:ascii="Arial" w:cs="Arial" w:eastAsia="Arial" w:hAnsi="Arial"/>
                <w:sz w:val="13"/>
                <w:szCs w:val="13"/>
                <w:color w:val="auto"/>
              </w:rPr>
              <w:t>$2,105,303</w:t>
            </w:r>
          </w:p>
        </w:tc>
        <w:tc>
          <w:tcPr>
            <w:tcW w:w="2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$2,136,875</w:t>
            </w:r>
          </w:p>
        </w:tc>
      </w:tr>
      <w:tr>
        <w:trPr>
          <w:trHeight w:val="224"/>
        </w:trPr>
        <w:tc>
          <w:tcPr>
            <w:tcW w:w="4020" w:type="dxa"/>
            <w:vAlign w:val="bottom"/>
          </w:tcPr>
          <w:p>
            <w:pPr>
              <w:ind w:left="100"/>
              <w:spacing w:after="0"/>
              <w:rPr>
                <w:sz w:val="20"/>
                <w:szCs w:val="20"/>
                <w:color w:val="auto"/>
              </w:rPr>
            </w:pPr>
            <w:r>
              <w:rPr>
                <w:rFonts w:ascii="Arial" w:cs="Arial" w:eastAsia="Arial" w:hAnsi="Arial"/>
                <w:sz w:val="13"/>
                <w:szCs w:val="13"/>
                <w:color w:val="auto"/>
              </w:rPr>
              <w:t>Audit-related fees</w:t>
            </w:r>
            <w:r>
              <w:rPr>
                <w:rFonts w:ascii="Arial" w:cs="Arial" w:eastAsia="Arial" w:hAnsi="Arial"/>
                <w:sz w:val="17"/>
                <w:szCs w:val="17"/>
                <w:color w:val="auto"/>
                <w:vertAlign w:val="superscript"/>
              </w:rPr>
              <w:t>(2)</w:t>
            </w:r>
          </w:p>
        </w:tc>
        <w:tc>
          <w:tcPr>
            <w:tcW w:w="5000" w:type="dxa"/>
            <w:vAlign w:val="bottom"/>
          </w:tcPr>
          <w:p>
            <w:pPr>
              <w:jc w:val="right"/>
              <w:ind w:right="1474"/>
              <w:spacing w:after="0"/>
              <w:rPr>
                <w:sz w:val="20"/>
                <w:szCs w:val="20"/>
                <w:color w:val="auto"/>
              </w:rPr>
            </w:pPr>
            <w:r>
              <w:rPr>
                <w:rFonts w:ascii="Arial" w:cs="Arial" w:eastAsia="Arial" w:hAnsi="Arial"/>
                <w:sz w:val="13"/>
                <w:szCs w:val="13"/>
                <w:color w:val="auto"/>
              </w:rPr>
              <w:t>$30,570</w:t>
            </w:r>
          </w:p>
        </w:tc>
        <w:tc>
          <w:tcPr>
            <w:tcW w:w="2220" w:type="dxa"/>
            <w:vAlign w:val="bottom"/>
          </w:tcPr>
          <w:p>
            <w:pPr>
              <w:jc w:val="right"/>
              <w:spacing w:after="0"/>
              <w:rPr>
                <w:sz w:val="20"/>
                <w:szCs w:val="20"/>
                <w:color w:val="auto"/>
              </w:rPr>
            </w:pPr>
            <w:r>
              <w:rPr>
                <w:rFonts w:ascii="Arial" w:cs="Arial" w:eastAsia="Arial" w:hAnsi="Arial"/>
                <w:sz w:val="13"/>
                <w:szCs w:val="13"/>
                <w:color w:val="auto"/>
              </w:rPr>
              <w:t>$188,210</w:t>
            </w:r>
          </w:p>
        </w:tc>
      </w:tr>
      <w:tr>
        <w:trPr>
          <w:trHeight w:val="224"/>
        </w:trPr>
        <w:tc>
          <w:tcPr>
            <w:tcW w:w="40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Tax fees</w:t>
            </w:r>
            <w:r>
              <w:rPr>
                <w:rFonts w:ascii="Arial" w:cs="Arial" w:eastAsia="Arial" w:hAnsi="Arial"/>
                <w:sz w:val="17"/>
                <w:szCs w:val="17"/>
                <w:color w:val="auto"/>
                <w:vertAlign w:val="superscript"/>
              </w:rPr>
              <w:t>(3)</w:t>
            </w:r>
          </w:p>
        </w:tc>
        <w:tc>
          <w:tcPr>
            <w:tcW w:w="5000" w:type="dxa"/>
            <w:vAlign w:val="bottom"/>
            <w:shd w:val="clear" w:color="auto" w:fill="DBDBDB"/>
          </w:tcPr>
          <w:p>
            <w:pPr>
              <w:jc w:val="right"/>
              <w:ind w:right="1474"/>
              <w:spacing w:after="0"/>
              <w:rPr>
                <w:sz w:val="20"/>
                <w:szCs w:val="20"/>
                <w:color w:val="auto"/>
              </w:rPr>
            </w:pPr>
            <w:r>
              <w:rPr>
                <w:rFonts w:ascii="Arial" w:cs="Arial" w:eastAsia="Arial" w:hAnsi="Arial"/>
                <w:sz w:val="13"/>
                <w:szCs w:val="13"/>
                <w:color w:val="auto"/>
              </w:rPr>
              <w:t>$792,844</w:t>
            </w:r>
          </w:p>
        </w:tc>
        <w:tc>
          <w:tcPr>
            <w:tcW w:w="2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$416,437</w:t>
            </w:r>
          </w:p>
        </w:tc>
      </w:tr>
      <w:tr>
        <w:trPr>
          <w:trHeight w:val="224"/>
        </w:trPr>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All other fees</w:t>
            </w:r>
            <w:r>
              <w:rPr>
                <w:rFonts w:ascii="Arial" w:cs="Arial" w:eastAsia="Arial" w:hAnsi="Arial"/>
                <w:sz w:val="17"/>
                <w:szCs w:val="17"/>
                <w:color w:val="auto"/>
                <w:vertAlign w:val="superscript"/>
              </w:rPr>
              <w:t>(4)</w:t>
            </w:r>
          </w:p>
        </w:tc>
        <w:tc>
          <w:tcPr>
            <w:tcW w:w="5000" w:type="dxa"/>
            <w:vAlign w:val="bottom"/>
            <w:tcBorders>
              <w:bottom w:val="single" w:sz="8" w:color="auto"/>
            </w:tcBorders>
          </w:tcPr>
          <w:p>
            <w:pPr>
              <w:jc w:val="right"/>
              <w:ind w:right="1474"/>
              <w:spacing w:after="0"/>
              <w:rPr>
                <w:sz w:val="20"/>
                <w:szCs w:val="20"/>
                <w:color w:val="auto"/>
              </w:rPr>
            </w:pPr>
            <w:r>
              <w:rPr>
                <w:rFonts w:ascii="Arial" w:cs="Arial" w:eastAsia="Arial" w:hAnsi="Arial"/>
                <w:sz w:val="13"/>
                <w:szCs w:val="13"/>
                <w:color w:val="auto"/>
              </w:rPr>
              <w:t>$4,103</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$4,000</w:t>
            </w:r>
          </w:p>
        </w:tc>
      </w:tr>
      <w:tr>
        <w:trPr>
          <w:trHeight w:val="196"/>
        </w:trPr>
        <w:tc>
          <w:tcPr>
            <w:tcW w:w="40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Total</w:t>
            </w:r>
          </w:p>
        </w:tc>
        <w:tc>
          <w:tcPr>
            <w:tcW w:w="5000" w:type="dxa"/>
            <w:vAlign w:val="bottom"/>
            <w:tcBorders>
              <w:bottom w:val="single" w:sz="8" w:color="DBDBDB"/>
            </w:tcBorders>
            <w:shd w:val="clear" w:color="auto" w:fill="DBDBDB"/>
          </w:tcPr>
          <w:p>
            <w:pPr>
              <w:jc w:val="right"/>
              <w:ind w:right="1474"/>
              <w:spacing w:after="0"/>
              <w:rPr>
                <w:sz w:val="20"/>
                <w:szCs w:val="20"/>
                <w:color w:val="auto"/>
              </w:rPr>
            </w:pPr>
            <w:r>
              <w:rPr>
                <w:rFonts w:ascii="Arial" w:cs="Arial" w:eastAsia="Arial" w:hAnsi="Arial"/>
                <w:sz w:val="13"/>
                <w:szCs w:val="13"/>
                <w:b w:val="1"/>
                <w:bCs w:val="1"/>
                <w:color w:val="auto"/>
              </w:rPr>
              <w:t>$2,932,820</w:t>
            </w:r>
          </w:p>
        </w:tc>
        <w:tc>
          <w:tcPr>
            <w:tcW w:w="2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$2,745,522</w:t>
            </w:r>
          </w:p>
        </w:tc>
      </w:tr>
      <w:tr>
        <w:trPr>
          <w:trHeight w:val="20"/>
        </w:trPr>
        <w:tc>
          <w:tcPr>
            <w:tcW w:w="4020" w:type="dxa"/>
            <w:vAlign w:val="bottom"/>
            <w:shd w:val="clear" w:color="auto" w:fill="000000"/>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bl>
    <w:p>
      <w:pPr>
        <w:spacing w:after="0" w:line="109" w:lineRule="exact"/>
        <w:rPr>
          <w:sz w:val="20"/>
          <w:szCs w:val="20"/>
          <w:color w:val="auto"/>
        </w:rPr>
      </w:pPr>
    </w:p>
    <w:p>
      <w:pPr>
        <w:ind w:left="301" w:right="280" w:hanging="301"/>
        <w:spacing w:after="0" w:line="281" w:lineRule="auto"/>
        <w:tabs>
          <w:tab w:leader="none" w:pos="298" w:val="left"/>
        </w:tabs>
        <w:numPr>
          <w:ilvl w:val="0"/>
          <w:numId w:val="54"/>
        </w:numPr>
        <w:rPr>
          <w:rFonts w:ascii="Arial" w:cs="Arial" w:eastAsia="Arial" w:hAnsi="Arial"/>
          <w:sz w:val="12"/>
          <w:szCs w:val="12"/>
          <w:color w:val="auto"/>
        </w:rPr>
      </w:pPr>
      <w:r>
        <w:rPr>
          <w:rFonts w:ascii="Arial" w:cs="Arial" w:eastAsia="Arial" w:hAnsi="Arial"/>
          <w:sz w:val="12"/>
          <w:szCs w:val="12"/>
          <w:color w:val="auto"/>
        </w:rPr>
        <w:t>Audit fees consist of fees for the annual audit of the Company’s annual consolidated financial statements, interim reviews of the quarterly consolidated financial statements, and auditing the Company’s internal control over financial reporting, as required by Section 404 of the Sarbanes-Oxley Act of 2002.</w:t>
      </w:r>
    </w:p>
    <w:p>
      <w:pPr>
        <w:spacing w:after="0" w:line="12" w:lineRule="exact"/>
        <w:rPr>
          <w:rFonts w:ascii="Arial" w:cs="Arial" w:eastAsia="Arial" w:hAnsi="Arial"/>
          <w:sz w:val="12"/>
          <w:szCs w:val="12"/>
          <w:color w:val="auto"/>
        </w:rPr>
      </w:pPr>
    </w:p>
    <w:p>
      <w:pPr>
        <w:ind w:left="301" w:right="360" w:hanging="301"/>
        <w:spacing w:after="0" w:line="260" w:lineRule="auto"/>
        <w:tabs>
          <w:tab w:leader="none" w:pos="298" w:val="left"/>
        </w:tabs>
        <w:numPr>
          <w:ilvl w:val="0"/>
          <w:numId w:val="54"/>
        </w:numPr>
        <w:rPr>
          <w:rFonts w:ascii="Arial" w:cs="Arial" w:eastAsia="Arial" w:hAnsi="Arial"/>
          <w:sz w:val="12"/>
          <w:szCs w:val="12"/>
          <w:color w:val="auto"/>
        </w:rPr>
      </w:pPr>
      <w:r>
        <w:rPr>
          <w:rFonts w:ascii="Arial" w:cs="Arial" w:eastAsia="Arial" w:hAnsi="Arial"/>
          <w:sz w:val="12"/>
          <w:szCs w:val="12"/>
          <w:color w:val="auto"/>
        </w:rPr>
        <w:t>Audit-related fees consist principally of services performed in connection with registration statements filed with the SEC, statutory audits, and assurance and related services that are reasonably related to the performance of the audit or review of the Company’s consolidated financial statements.</w:t>
      </w:r>
    </w:p>
    <w:p>
      <w:pPr>
        <w:spacing w:after="0" w:line="24" w:lineRule="exact"/>
        <w:rPr>
          <w:rFonts w:ascii="Arial" w:cs="Arial" w:eastAsia="Arial" w:hAnsi="Arial"/>
          <w:sz w:val="12"/>
          <w:szCs w:val="12"/>
          <w:color w:val="auto"/>
        </w:rPr>
      </w:pPr>
    </w:p>
    <w:p>
      <w:pPr>
        <w:ind w:left="301" w:hanging="301"/>
        <w:spacing w:after="0"/>
        <w:tabs>
          <w:tab w:leader="none" w:pos="301"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the aggregate fees for professional services rendered for tax compliance, and tax consultation and planning.</w:t>
      </w:r>
    </w:p>
    <w:p>
      <w:pPr>
        <w:spacing w:after="0" w:line="48" w:lineRule="exact"/>
        <w:rPr>
          <w:rFonts w:ascii="Arial" w:cs="Arial" w:eastAsia="Arial" w:hAnsi="Arial"/>
          <w:sz w:val="12"/>
          <w:szCs w:val="12"/>
          <w:color w:val="auto"/>
        </w:rPr>
      </w:pPr>
    </w:p>
    <w:p>
      <w:pPr>
        <w:ind w:left="301" w:hanging="301"/>
        <w:spacing w:after="0"/>
        <w:tabs>
          <w:tab w:leader="none" w:pos="301" w:val="left"/>
        </w:tabs>
        <w:numPr>
          <w:ilvl w:val="0"/>
          <w:numId w:val="54"/>
        </w:numPr>
        <w:rPr>
          <w:rFonts w:ascii="Arial" w:cs="Arial" w:eastAsia="Arial" w:hAnsi="Arial"/>
          <w:sz w:val="12"/>
          <w:szCs w:val="12"/>
          <w:color w:val="auto"/>
        </w:rPr>
      </w:pPr>
      <w:r>
        <w:rPr>
          <w:rFonts w:ascii="Arial" w:cs="Arial" w:eastAsia="Arial" w:hAnsi="Arial"/>
          <w:sz w:val="12"/>
          <w:szCs w:val="12"/>
          <w:color w:val="auto"/>
        </w:rPr>
        <w:t>All other fees relate to accounting research tool fees and permitted services other than those that meet the criteria above, which are primarily related to consulting and advisory services.</w:t>
      </w:r>
    </w:p>
    <w:p>
      <w:pPr>
        <w:spacing w:after="0" w:line="3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Audit Committee Pre-Approval Policy</w:t>
      </w:r>
    </w:p>
    <w:p>
      <w:pPr>
        <w:spacing w:after="0" w:line="119" w:lineRule="exact"/>
        <w:rPr>
          <w:sz w:val="20"/>
          <w:szCs w:val="20"/>
          <w:color w:val="auto"/>
        </w:rPr>
      </w:pPr>
    </w:p>
    <w:p>
      <w:pPr>
        <w:ind w:left="1" w:right="100"/>
        <w:spacing w:after="0" w:line="280" w:lineRule="auto"/>
        <w:rPr>
          <w:sz w:val="20"/>
          <w:szCs w:val="20"/>
          <w:color w:val="auto"/>
        </w:rPr>
      </w:pPr>
      <w:r>
        <w:rPr>
          <w:rFonts w:ascii="Arial" w:cs="Arial" w:eastAsia="Arial" w:hAnsi="Arial"/>
          <w:sz w:val="15"/>
          <w:szCs w:val="15"/>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or for services in excess of the originally pre-approved amount. In those instances, the Audit Committee requires specific pre-approval before engaging the independent registered public accounting firm. If pre-approval is required between Audit Committee meetings, the Chair of the Audit Committee may pre-approve the services, provided that notice of such pre-approval is given to the other members of the Audit Committee and presented to the Audit Committee at its next regularly scheduled meeting for approval by the full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1298575</wp:posOffset>
            </wp:positionV>
            <wp:extent cx="7168515" cy="4127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1003300</wp:posOffset>
            </wp:positionV>
            <wp:extent cx="789305" cy="18923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color w:val="007EC4"/>
        </w:rPr>
        <w:t xml:space="preserve">44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The Audit Committee operates pursuant to a charter which is reviewed annually by the Audit Committee. Additionally, a brief description of the primary responsibilities of the Audit Committee is included in this Proxy Statement under “Board Governance - Board Committees - Audit Committee.” Under the Audit Committee’s charter,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7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and the SEC.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spacing w:after="0" w:line="172"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Based upon the review and discussions described in the preceding paragraph, the Audit Committee recommended to the Board that the audited financial statements of the Company be included in the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Submitted by the Audit Committee of the Company’s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Audit Committee</w:t>
      </w:r>
    </w:p>
    <w:p>
      <w:pPr>
        <w:spacing w:after="0" w:line="58" w:lineRule="exact"/>
        <w:rPr>
          <w:sz w:val="20"/>
          <w:szCs w:val="20"/>
          <w:color w:val="auto"/>
        </w:rPr>
      </w:pPr>
    </w:p>
    <w:p>
      <w:pPr>
        <w:ind w:left="420" w:hanging="197"/>
        <w:spacing w:after="0"/>
        <w:tabs>
          <w:tab w:leader="none" w:pos="4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Brian Marley, Chair</w:t>
      </w:r>
    </w:p>
    <w:p>
      <w:pPr>
        <w:spacing w:after="0" w:line="24" w:lineRule="exact"/>
        <w:rPr>
          <w:rFonts w:ascii="Arial" w:cs="Arial" w:eastAsia="Arial" w:hAnsi="Arial"/>
          <w:sz w:val="15"/>
          <w:szCs w:val="15"/>
          <w:color w:val="auto"/>
        </w:rPr>
      </w:pPr>
    </w:p>
    <w:p>
      <w:pPr>
        <w:ind w:left="420" w:hanging="197"/>
        <w:spacing w:after="0"/>
        <w:tabs>
          <w:tab w:leader="none" w:pos="4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Wendy Beck</w:t>
      </w:r>
    </w:p>
    <w:p>
      <w:pPr>
        <w:spacing w:after="0" w:line="4" w:lineRule="exact"/>
        <w:rPr>
          <w:rFonts w:ascii="Arial" w:cs="Arial" w:eastAsia="Arial" w:hAnsi="Arial"/>
          <w:sz w:val="15"/>
          <w:szCs w:val="15"/>
          <w:color w:val="auto"/>
        </w:rPr>
      </w:pPr>
    </w:p>
    <w:p>
      <w:pPr>
        <w:ind w:left="420" w:hanging="197"/>
        <w:spacing w:after="0"/>
        <w:tabs>
          <w:tab w:leader="none" w:pos="4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Tom Nealon</w:t>
      </w:r>
    </w:p>
    <w:p>
      <w:pPr>
        <w:spacing w:after="0" w:line="1" w:lineRule="exact"/>
        <w:rPr>
          <w:rFonts w:ascii="Arial" w:cs="Arial" w:eastAsia="Arial" w:hAnsi="Arial"/>
          <w:sz w:val="15"/>
          <w:szCs w:val="15"/>
          <w:color w:val="auto"/>
        </w:rPr>
      </w:pPr>
    </w:p>
    <w:p>
      <w:pPr>
        <w:ind w:left="420" w:hanging="197"/>
        <w:spacing w:after="0"/>
        <w:tabs>
          <w:tab w:leader="none" w:pos="4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Chris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1115695</wp:posOffset>
            </wp:positionV>
            <wp:extent cx="7168515" cy="4127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821055</wp:posOffset>
            </wp:positionV>
            <wp:extent cx="789305" cy="18923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80"/>
          </w:cols>
          <w:pgMar w:left="320" w:top="157" w:right="399" w:bottom="1440" w:gutter="0" w:footer="0" w:header="0"/>
        </w:sectPr>
      </w:pPr>
    </w:p>
    <w:bookmarkStart w:id="50" w:name="page51"/>
    <w:bookmarkEnd w:id="5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Three</w:t>
      </w:r>
    </w:p>
    <w:p>
      <w:pPr>
        <w:spacing w:after="0" w:line="99" w:lineRule="exact"/>
        <w:rPr>
          <w:sz w:val="20"/>
          <w:szCs w:val="20"/>
          <w:color w:val="auto"/>
        </w:rPr>
      </w:pPr>
    </w:p>
    <w:p>
      <w:pPr>
        <w:jc w:val="both"/>
        <w:ind w:right="1480"/>
        <w:spacing w:after="0" w:line="283" w:lineRule="auto"/>
        <w:rPr>
          <w:sz w:val="20"/>
          <w:szCs w:val="20"/>
          <w:color w:val="auto"/>
        </w:rPr>
      </w:pPr>
      <w:r>
        <w:rPr>
          <w:rFonts w:ascii="Arial" w:cs="Arial" w:eastAsia="Arial" w:hAnsi="Arial"/>
          <w:sz w:val="45"/>
          <w:szCs w:val="45"/>
          <w:b w:val="1"/>
          <w:bCs w:val="1"/>
          <w:color w:val="1B4093"/>
        </w:rPr>
        <w:t>Non-Binding Advisory Vote, of the Fiscal 2024 Compensation Paid to the Company’s Named Executive Officers</w:t>
      </w:r>
    </w:p>
    <w:p>
      <w:pPr>
        <w:spacing w:after="0" w:line="200" w:lineRule="exact"/>
        <w:rPr>
          <w:sz w:val="20"/>
          <w:szCs w:val="20"/>
          <w:color w:val="auto"/>
        </w:rPr>
      </w:pPr>
    </w:p>
    <w:p>
      <w:pPr>
        <w:spacing w:after="0" w:line="290"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Pursuant to Section 14A of the Exchange Act, our stockholders are being asked to approve, on a non-binding advisory basis, the compensation of the Company’s named executive officers as disclosed pursuant to Item 402 of Regulation S-K under the Securities Act in the Compensation Discussion and Analysis and related compensation tables and narrative discussion included in this Proxy Statement. While the results of this “say-on-pay” vote are non-binding and advisory in nature, the Compensation Committee intends to carefully consider the results of this vote.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The text of the resolution in respect of Proposal Three is as follows:</w:t>
      </w:r>
    </w:p>
    <w:p>
      <w:pPr>
        <w:spacing w:after="0" w:line="225"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“RESOLVED, that the compensation paid to the Company’s named executive officers in fiscal 2024, as disclosed in this Proxy Statement pursuant to the rules of the SEC, including the Compensation Discussion and Analysis, compensation tables and any related narrative discussion, is hereby APPROVED.”</w:t>
      </w:r>
    </w:p>
    <w:p>
      <w:pPr>
        <w:spacing w:after="0" w:line="151"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In considering their vote, stockholders should review the information on our compensation policies and decisions regarding the named executive officers presented in the Compensation Discussion and Analysis and related compensation tables and narrative discussion on pages 46 to 69.</w:t>
      </w:r>
    </w:p>
    <w:p>
      <w:pPr>
        <w:spacing w:after="0" w:line="151"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In accordance with our policy of holding annual “say-on-pay” advisory votes, the next “say-on-pay” advisory vote following the Annual Meeting is expected to occur at our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127240" cy="1587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7127240" cy="15875"/>
                    </a:xfrm>
                    <a:prstGeom prst="rect">
                      <a:avLst/>
                    </a:prstGeom>
                    <a:noFill/>
                  </pic:spPr>
                </pic:pic>
              </a:graphicData>
            </a:graphic>
          </wp:anchor>
        </w:drawing>
      </w:r>
    </w:p>
    <w:p>
      <w:pPr>
        <w:spacing w:after="0" w:line="297" w:lineRule="exact"/>
        <w:rPr>
          <w:sz w:val="20"/>
          <w:szCs w:val="20"/>
          <w:color w:val="auto"/>
        </w:rPr>
      </w:pPr>
    </w:p>
    <w:p>
      <w:pPr>
        <w:ind w:left="3000"/>
        <w:spacing w:after="0"/>
        <w:rPr>
          <w:sz w:val="20"/>
          <w:szCs w:val="20"/>
          <w:color w:val="auto"/>
        </w:rPr>
      </w:pPr>
      <w:r>
        <w:rPr>
          <w:rFonts w:ascii="Arial" w:cs="Arial" w:eastAsia="Arial" w:hAnsi="Arial"/>
          <w:sz w:val="13"/>
          <w:szCs w:val="13"/>
          <w:b w:val="1"/>
          <w:bCs w:val="1"/>
          <w:color w:val="EF3B35"/>
        </w:rPr>
        <w:t>BOARD RECOMMENDATION</w:t>
      </w:r>
    </w:p>
    <w:p>
      <w:pPr>
        <w:spacing w:after="0" w:line="68" w:lineRule="exact"/>
        <w:rPr>
          <w:sz w:val="20"/>
          <w:szCs w:val="20"/>
          <w:color w:val="auto"/>
        </w:rPr>
      </w:pPr>
    </w:p>
    <w:p>
      <w:pPr>
        <w:ind w:left="3000" w:right="860"/>
        <w:spacing w:after="0" w:line="295" w:lineRule="auto"/>
        <w:rPr>
          <w:sz w:val="20"/>
          <w:szCs w:val="20"/>
          <w:color w:val="auto"/>
        </w:rPr>
      </w:pPr>
      <w:r>
        <w:rPr>
          <w:rFonts w:ascii="Arial" w:cs="Arial" w:eastAsia="Arial" w:hAnsi="Arial"/>
          <w:sz w:val="20"/>
          <w:szCs w:val="20"/>
          <w:b w:val="1"/>
          <w:bCs w:val="1"/>
          <w:color w:val="093165"/>
        </w:rPr>
        <w:t>The Board recommends that you vote “FOR” the approval, on a non-binding advisory basis, of the fiscal 2024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1644015</wp:posOffset>
            </wp:positionV>
            <wp:extent cx="7168515" cy="4127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6985</wp:posOffset>
            </wp:positionV>
            <wp:extent cx="15875" cy="1587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6985</wp:posOffset>
            </wp:positionV>
            <wp:extent cx="15875" cy="1587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6985</wp:posOffset>
            </wp:positionV>
            <wp:extent cx="15875" cy="1587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6985</wp:posOffset>
            </wp:positionV>
            <wp:extent cx="15875" cy="1587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6985</wp:posOffset>
            </wp:positionV>
            <wp:extent cx="15875" cy="1587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6985</wp:posOffset>
            </wp:positionV>
            <wp:extent cx="15875" cy="1587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6985</wp:posOffset>
            </wp:positionV>
            <wp:extent cx="15875" cy="1587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6985</wp:posOffset>
            </wp:positionV>
            <wp:extent cx="15875" cy="1587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6985</wp:posOffset>
            </wp:positionV>
            <wp:extent cx="15875" cy="1587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6985</wp:posOffset>
            </wp:positionV>
            <wp:extent cx="15875" cy="1587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6985</wp:posOffset>
            </wp:positionV>
            <wp:extent cx="15875" cy="1587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6985</wp:posOffset>
            </wp:positionV>
            <wp:extent cx="15875" cy="1587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6985</wp:posOffset>
            </wp:positionV>
            <wp:extent cx="15875" cy="1587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6985</wp:posOffset>
            </wp:positionV>
            <wp:extent cx="15875" cy="1587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6985</wp:posOffset>
            </wp:positionV>
            <wp:extent cx="15875" cy="1587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6985</wp:posOffset>
            </wp:positionV>
            <wp:extent cx="15875" cy="1587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6985</wp:posOffset>
            </wp:positionV>
            <wp:extent cx="15875" cy="1587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6985</wp:posOffset>
            </wp:positionV>
            <wp:extent cx="15875" cy="1587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6985</wp:posOffset>
            </wp:positionV>
            <wp:extent cx="15875" cy="1587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6985</wp:posOffset>
            </wp:positionV>
            <wp:extent cx="15875" cy="1587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6985</wp:posOffset>
            </wp:positionV>
            <wp:extent cx="15875" cy="1587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6985</wp:posOffset>
            </wp:positionV>
            <wp:extent cx="15875" cy="1587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6985</wp:posOffset>
            </wp:positionV>
            <wp:extent cx="15875" cy="1587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6985</wp:posOffset>
            </wp:positionV>
            <wp:extent cx="15875" cy="1587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6985</wp:posOffset>
            </wp:positionV>
            <wp:extent cx="15875" cy="1587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6985</wp:posOffset>
            </wp:positionV>
            <wp:extent cx="15875" cy="1587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6985</wp:posOffset>
            </wp:positionV>
            <wp:extent cx="15875" cy="1587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6985</wp:posOffset>
            </wp:positionV>
            <wp:extent cx="15875" cy="1587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6985</wp:posOffset>
            </wp:positionV>
            <wp:extent cx="15875" cy="1587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6985</wp:posOffset>
            </wp:positionV>
            <wp:extent cx="15875" cy="1587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6985</wp:posOffset>
            </wp:positionV>
            <wp:extent cx="15875" cy="1587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6985</wp:posOffset>
            </wp:positionV>
            <wp:extent cx="15875" cy="1587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6985</wp:posOffset>
            </wp:positionV>
            <wp:extent cx="15875" cy="1587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6985</wp:posOffset>
            </wp:positionV>
            <wp:extent cx="15875" cy="1587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6985</wp:posOffset>
            </wp:positionV>
            <wp:extent cx="15875" cy="1587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6985</wp:posOffset>
            </wp:positionV>
            <wp:extent cx="15875" cy="1587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6985</wp:posOffset>
            </wp:positionV>
            <wp:extent cx="15875" cy="1587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6985</wp:posOffset>
            </wp:positionV>
            <wp:extent cx="15875" cy="1587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6985</wp:posOffset>
            </wp:positionV>
            <wp:extent cx="15875" cy="1587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6985</wp:posOffset>
            </wp:positionV>
            <wp:extent cx="15875" cy="1587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6985</wp:posOffset>
            </wp:positionV>
            <wp:extent cx="15875" cy="1587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6985</wp:posOffset>
            </wp:positionV>
            <wp:extent cx="15875" cy="1587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6985</wp:posOffset>
            </wp:positionV>
            <wp:extent cx="15875" cy="1587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6985</wp:posOffset>
            </wp:positionV>
            <wp:extent cx="15875" cy="1587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6985</wp:posOffset>
            </wp:positionV>
            <wp:extent cx="15875" cy="1587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6985</wp:posOffset>
            </wp:positionV>
            <wp:extent cx="15875" cy="1587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6985</wp:posOffset>
            </wp:positionV>
            <wp:extent cx="15875" cy="1587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6985</wp:posOffset>
            </wp:positionV>
            <wp:extent cx="15875" cy="1587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6985</wp:posOffset>
            </wp:positionV>
            <wp:extent cx="15875" cy="1587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6985</wp:posOffset>
            </wp:positionV>
            <wp:extent cx="15875" cy="1587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6985</wp:posOffset>
            </wp:positionV>
            <wp:extent cx="15875" cy="1587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6985</wp:posOffset>
            </wp:positionV>
            <wp:extent cx="15875" cy="1587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6985</wp:posOffset>
            </wp:positionV>
            <wp:extent cx="15875" cy="1587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6985</wp:posOffset>
            </wp:positionV>
            <wp:extent cx="15875" cy="1587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6985</wp:posOffset>
            </wp:positionV>
            <wp:extent cx="15875" cy="1587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6985</wp:posOffset>
            </wp:positionV>
            <wp:extent cx="15875" cy="1587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6985</wp:posOffset>
            </wp:positionV>
            <wp:extent cx="15875" cy="1587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3733165</wp:posOffset>
            </wp:positionH>
            <wp:positionV relativeFrom="paragraph">
              <wp:posOffset>6985</wp:posOffset>
            </wp:positionV>
            <wp:extent cx="15875" cy="1587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6985</wp:posOffset>
            </wp:positionV>
            <wp:extent cx="15875" cy="1587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6985</wp:posOffset>
            </wp:positionV>
            <wp:extent cx="15875" cy="1587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6985</wp:posOffset>
            </wp:positionV>
            <wp:extent cx="15875" cy="1587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3859530</wp:posOffset>
            </wp:positionH>
            <wp:positionV relativeFrom="paragraph">
              <wp:posOffset>6985</wp:posOffset>
            </wp:positionV>
            <wp:extent cx="15875" cy="1587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6985</wp:posOffset>
            </wp:positionV>
            <wp:extent cx="15875" cy="1587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6985</wp:posOffset>
            </wp:positionV>
            <wp:extent cx="15875" cy="1587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6985</wp:posOffset>
            </wp:positionV>
            <wp:extent cx="15875" cy="1587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6985</wp:posOffset>
            </wp:positionV>
            <wp:extent cx="15875" cy="1587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6985</wp:posOffset>
            </wp:positionV>
            <wp:extent cx="15875" cy="1587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6985</wp:posOffset>
            </wp:positionV>
            <wp:extent cx="15875" cy="1587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6985</wp:posOffset>
            </wp:positionV>
            <wp:extent cx="15875" cy="1587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6985</wp:posOffset>
            </wp:positionV>
            <wp:extent cx="15875" cy="1587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6985</wp:posOffset>
            </wp:positionV>
            <wp:extent cx="15875" cy="1587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6985</wp:posOffset>
            </wp:positionV>
            <wp:extent cx="15875" cy="1587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6985</wp:posOffset>
            </wp:positionV>
            <wp:extent cx="15875" cy="1587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4237990</wp:posOffset>
            </wp:positionH>
            <wp:positionV relativeFrom="paragraph">
              <wp:posOffset>6985</wp:posOffset>
            </wp:positionV>
            <wp:extent cx="15875" cy="1587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6985</wp:posOffset>
            </wp:positionV>
            <wp:extent cx="15875" cy="1587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6985</wp:posOffset>
            </wp:positionV>
            <wp:extent cx="15875" cy="1587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6985</wp:posOffset>
            </wp:positionV>
            <wp:extent cx="15875" cy="1587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6985</wp:posOffset>
            </wp:positionV>
            <wp:extent cx="15875" cy="1587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6985</wp:posOffset>
            </wp:positionV>
            <wp:extent cx="15875" cy="1587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6985</wp:posOffset>
            </wp:positionV>
            <wp:extent cx="15875" cy="1587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6985</wp:posOffset>
            </wp:positionV>
            <wp:extent cx="15875" cy="1587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4490720</wp:posOffset>
            </wp:positionH>
            <wp:positionV relativeFrom="paragraph">
              <wp:posOffset>6985</wp:posOffset>
            </wp:positionV>
            <wp:extent cx="15875" cy="1587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6985</wp:posOffset>
            </wp:positionV>
            <wp:extent cx="15875" cy="1587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4554220</wp:posOffset>
            </wp:positionH>
            <wp:positionV relativeFrom="paragraph">
              <wp:posOffset>6985</wp:posOffset>
            </wp:positionV>
            <wp:extent cx="15875" cy="1587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6985</wp:posOffset>
            </wp:positionV>
            <wp:extent cx="15875" cy="1587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6985</wp:posOffset>
            </wp:positionV>
            <wp:extent cx="15875" cy="1587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6985</wp:posOffset>
            </wp:positionV>
            <wp:extent cx="15875" cy="1587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6985</wp:posOffset>
            </wp:positionV>
            <wp:extent cx="15875" cy="1587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6985</wp:posOffset>
            </wp:positionV>
            <wp:extent cx="15875" cy="1587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6985</wp:posOffset>
            </wp:positionV>
            <wp:extent cx="15875" cy="1587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6985</wp:posOffset>
            </wp:positionV>
            <wp:extent cx="15875" cy="1587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6985</wp:posOffset>
            </wp:positionV>
            <wp:extent cx="15875" cy="1587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4838065</wp:posOffset>
            </wp:positionH>
            <wp:positionV relativeFrom="paragraph">
              <wp:posOffset>6985</wp:posOffset>
            </wp:positionV>
            <wp:extent cx="15875" cy="1587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6985</wp:posOffset>
            </wp:positionV>
            <wp:extent cx="15875" cy="1587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6985</wp:posOffset>
            </wp:positionV>
            <wp:extent cx="15875" cy="1587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6985</wp:posOffset>
            </wp:positionV>
            <wp:extent cx="15875" cy="1587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6985</wp:posOffset>
            </wp:positionV>
            <wp:extent cx="15875" cy="1587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6985</wp:posOffset>
            </wp:positionV>
            <wp:extent cx="15875" cy="1587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5027295</wp:posOffset>
            </wp:positionH>
            <wp:positionV relativeFrom="paragraph">
              <wp:posOffset>6985</wp:posOffset>
            </wp:positionV>
            <wp:extent cx="15875" cy="1587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6985</wp:posOffset>
            </wp:positionV>
            <wp:extent cx="15875" cy="1587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6985</wp:posOffset>
            </wp:positionV>
            <wp:extent cx="15875" cy="1587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6985</wp:posOffset>
            </wp:positionV>
            <wp:extent cx="15875" cy="1587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6985</wp:posOffset>
            </wp:positionV>
            <wp:extent cx="15875" cy="1587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6985</wp:posOffset>
            </wp:positionV>
            <wp:extent cx="15875" cy="1587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6985</wp:posOffset>
            </wp:positionV>
            <wp:extent cx="15875" cy="1587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6985</wp:posOffset>
            </wp:positionV>
            <wp:extent cx="15875" cy="1587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6985</wp:posOffset>
            </wp:positionV>
            <wp:extent cx="15875" cy="1587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6985</wp:posOffset>
            </wp:positionV>
            <wp:extent cx="15875" cy="1587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6985</wp:posOffset>
            </wp:positionV>
            <wp:extent cx="15875" cy="1587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6985</wp:posOffset>
            </wp:positionV>
            <wp:extent cx="15875" cy="1587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6985</wp:posOffset>
            </wp:positionV>
            <wp:extent cx="15875" cy="1587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6985</wp:posOffset>
            </wp:positionV>
            <wp:extent cx="15875" cy="1587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6985</wp:posOffset>
            </wp:positionV>
            <wp:extent cx="15875" cy="1587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6985</wp:posOffset>
            </wp:positionV>
            <wp:extent cx="15875" cy="1587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6985</wp:posOffset>
            </wp:positionV>
            <wp:extent cx="15875" cy="1587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5564505</wp:posOffset>
            </wp:positionH>
            <wp:positionV relativeFrom="paragraph">
              <wp:posOffset>6985</wp:posOffset>
            </wp:positionV>
            <wp:extent cx="15875" cy="1587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6985</wp:posOffset>
            </wp:positionV>
            <wp:extent cx="15875" cy="1587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6985</wp:posOffset>
            </wp:positionV>
            <wp:extent cx="15875" cy="1587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6985</wp:posOffset>
            </wp:positionV>
            <wp:extent cx="15875" cy="1587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6985</wp:posOffset>
            </wp:positionV>
            <wp:extent cx="15875" cy="1587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6985</wp:posOffset>
            </wp:positionV>
            <wp:extent cx="15875" cy="1587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6985</wp:posOffset>
            </wp:positionV>
            <wp:extent cx="15875" cy="1587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6985</wp:posOffset>
            </wp:positionV>
            <wp:extent cx="15875" cy="1587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6985</wp:posOffset>
            </wp:positionV>
            <wp:extent cx="15875" cy="1587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6985</wp:posOffset>
            </wp:positionV>
            <wp:extent cx="15875" cy="1587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6985</wp:posOffset>
            </wp:positionV>
            <wp:extent cx="15875" cy="1587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6985</wp:posOffset>
            </wp:positionV>
            <wp:extent cx="15875" cy="1587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6985</wp:posOffset>
            </wp:positionV>
            <wp:extent cx="15875" cy="1587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6985</wp:posOffset>
            </wp:positionV>
            <wp:extent cx="15875" cy="1587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6985</wp:posOffset>
            </wp:positionV>
            <wp:extent cx="15875" cy="1587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6985</wp:posOffset>
            </wp:positionV>
            <wp:extent cx="15875" cy="1587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6985</wp:posOffset>
            </wp:positionV>
            <wp:extent cx="15875" cy="1587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6985</wp:posOffset>
            </wp:positionV>
            <wp:extent cx="15875" cy="1587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6985</wp:posOffset>
            </wp:positionV>
            <wp:extent cx="15875" cy="1587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6985</wp:posOffset>
            </wp:positionV>
            <wp:extent cx="15875" cy="1587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6985</wp:posOffset>
            </wp:positionV>
            <wp:extent cx="15875" cy="1587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6985</wp:posOffset>
            </wp:positionV>
            <wp:extent cx="15875" cy="1587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6985</wp:posOffset>
            </wp:positionV>
            <wp:extent cx="15875" cy="1587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6985</wp:posOffset>
            </wp:positionV>
            <wp:extent cx="15875" cy="1587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6322060</wp:posOffset>
            </wp:positionH>
            <wp:positionV relativeFrom="paragraph">
              <wp:posOffset>6985</wp:posOffset>
            </wp:positionV>
            <wp:extent cx="15875" cy="1587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6985</wp:posOffset>
            </wp:positionV>
            <wp:extent cx="15875" cy="1587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6985</wp:posOffset>
            </wp:positionV>
            <wp:extent cx="15875" cy="1587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6985</wp:posOffset>
            </wp:positionV>
            <wp:extent cx="15875" cy="1587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6985</wp:posOffset>
            </wp:positionV>
            <wp:extent cx="15875" cy="1587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6985</wp:posOffset>
            </wp:positionV>
            <wp:extent cx="15875" cy="1587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6985</wp:posOffset>
            </wp:positionV>
            <wp:extent cx="15875" cy="1587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6543040</wp:posOffset>
            </wp:positionH>
            <wp:positionV relativeFrom="paragraph">
              <wp:posOffset>6985</wp:posOffset>
            </wp:positionV>
            <wp:extent cx="15875" cy="1587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6985</wp:posOffset>
            </wp:positionV>
            <wp:extent cx="15875" cy="1587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6985</wp:posOffset>
            </wp:positionV>
            <wp:extent cx="15875" cy="1587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6985</wp:posOffset>
            </wp:positionV>
            <wp:extent cx="15875" cy="1587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6985</wp:posOffset>
            </wp:positionV>
            <wp:extent cx="15875" cy="1587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6985</wp:posOffset>
            </wp:positionV>
            <wp:extent cx="15875" cy="1587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6732270</wp:posOffset>
            </wp:positionH>
            <wp:positionV relativeFrom="paragraph">
              <wp:posOffset>6985</wp:posOffset>
            </wp:positionV>
            <wp:extent cx="15875" cy="1587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6764020</wp:posOffset>
            </wp:positionH>
            <wp:positionV relativeFrom="paragraph">
              <wp:posOffset>6985</wp:posOffset>
            </wp:positionV>
            <wp:extent cx="15875" cy="1587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6795770</wp:posOffset>
            </wp:positionH>
            <wp:positionV relativeFrom="paragraph">
              <wp:posOffset>6985</wp:posOffset>
            </wp:positionV>
            <wp:extent cx="15875" cy="1587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6826885</wp:posOffset>
            </wp:positionH>
            <wp:positionV relativeFrom="paragraph">
              <wp:posOffset>6985</wp:posOffset>
            </wp:positionV>
            <wp:extent cx="15875" cy="1587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6858635</wp:posOffset>
            </wp:positionH>
            <wp:positionV relativeFrom="paragraph">
              <wp:posOffset>6985</wp:posOffset>
            </wp:positionV>
            <wp:extent cx="15875" cy="1587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6890385</wp:posOffset>
            </wp:positionH>
            <wp:positionV relativeFrom="paragraph">
              <wp:posOffset>6985</wp:posOffset>
            </wp:positionV>
            <wp:extent cx="15875" cy="1587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6922135</wp:posOffset>
            </wp:positionH>
            <wp:positionV relativeFrom="paragraph">
              <wp:posOffset>6985</wp:posOffset>
            </wp:positionV>
            <wp:extent cx="15875" cy="1587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6985</wp:posOffset>
            </wp:positionV>
            <wp:extent cx="15875" cy="1587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6985</wp:posOffset>
            </wp:positionV>
            <wp:extent cx="15875" cy="1587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7016750</wp:posOffset>
            </wp:positionH>
            <wp:positionV relativeFrom="paragraph">
              <wp:posOffset>6985</wp:posOffset>
            </wp:positionV>
            <wp:extent cx="15875" cy="1587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6985</wp:posOffset>
            </wp:positionV>
            <wp:extent cx="15875" cy="1587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7079615</wp:posOffset>
            </wp:positionH>
            <wp:positionV relativeFrom="paragraph">
              <wp:posOffset>6985</wp:posOffset>
            </wp:positionV>
            <wp:extent cx="15875" cy="1587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6985</wp:posOffset>
            </wp:positionV>
            <wp:extent cx="15875" cy="1587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1910080" cy="1587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910080" cy="1587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-497840</wp:posOffset>
            </wp:positionV>
            <wp:extent cx="260350" cy="26035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260350" cy="26035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1348740</wp:posOffset>
            </wp:positionV>
            <wp:extent cx="789305" cy="18923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1" w:name="page52"/>
    <w:bookmarkEnd w:id="51"/>
    <w:p>
      <w:pPr>
        <w:ind w:left="1"/>
        <w:spacing w:after="0"/>
        <w:rPr>
          <w:sz w:val="20"/>
          <w:szCs w:val="20"/>
          <w:color w:val="auto"/>
        </w:rPr>
      </w:pPr>
      <w:r>
        <w:rPr>
          <w:rFonts w:ascii="Arial" w:cs="Arial" w:eastAsia="Arial" w:hAnsi="Arial"/>
          <w:sz w:val="13"/>
          <w:szCs w:val="13"/>
          <w:b w:val="1"/>
          <w:bCs w:val="1"/>
          <w:color w:val="007EC4"/>
        </w:rPr>
        <w:t xml:space="preserve">46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
        <w:spacing w:after="0"/>
        <w:rPr>
          <w:sz w:val="20"/>
          <w:szCs w:val="20"/>
          <w:color w:val="auto"/>
        </w:rPr>
      </w:pPr>
      <w:r>
        <w:rPr>
          <w:rFonts w:ascii="Arial" w:cs="Arial" w:eastAsia="Arial" w:hAnsi="Arial"/>
          <w:sz w:val="45"/>
          <w:szCs w:val="45"/>
          <w:b w:val="1"/>
          <w:bCs w:val="1"/>
          <w:color w:val="1B4093"/>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 w:right="40"/>
        <w:spacing w:after="0" w:line="350" w:lineRule="auto"/>
        <w:rPr>
          <w:sz w:val="20"/>
          <w:szCs w:val="20"/>
          <w:color w:val="auto"/>
        </w:rPr>
      </w:pPr>
      <w:r>
        <w:rPr>
          <w:rFonts w:ascii="Arial" w:cs="Arial" w:eastAsia="Arial" w:hAnsi="Arial"/>
          <w:sz w:val="14"/>
          <w:szCs w:val="14"/>
          <w:color w:val="auto"/>
        </w:rPr>
        <w:t>This Compensation Discussion and Analysis describes our executive compensation program, including how the Compensation Committee (referred to as the “Committee” in this section) assessed performance and made compensation decisions for the fiscal year ended February 1, 2025 (also referred to in this section as 2024).</w:t>
      </w:r>
    </w:p>
    <w:p>
      <w:pPr>
        <w:spacing w:after="0" w:line="11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Named Executive Officers</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15"/>
          <w:szCs w:val="15"/>
          <w:color w:val="auto"/>
        </w:rPr>
        <w:t>Our Named Executive Officers (or “NEOs”) for 2024 are:</w:t>
      </w:r>
    </w:p>
    <w:p>
      <w:pPr>
        <w:spacing w:after="0" w:line="151"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236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Name</w:t>
            </w:r>
          </w:p>
        </w:tc>
        <w:tc>
          <w:tcPr>
            <w:tcW w:w="8880" w:type="dxa"/>
            <w:vAlign w:val="bottom"/>
            <w:tcBorders>
              <w:bottom w:val="single" w:sz="8" w:color="E1D7AC"/>
            </w:tcBorders>
            <w:shd w:val="clear" w:color="auto" w:fill="E1D7AC"/>
          </w:tcPr>
          <w:p>
            <w:pPr>
              <w:ind w:left="1280"/>
              <w:spacing w:after="0"/>
              <w:rPr>
                <w:sz w:val="20"/>
                <w:szCs w:val="20"/>
                <w:color w:val="auto"/>
              </w:rPr>
            </w:pPr>
            <w:r>
              <w:rPr>
                <w:rFonts w:ascii="Arial" w:cs="Arial" w:eastAsia="Arial" w:hAnsi="Arial"/>
                <w:sz w:val="13"/>
                <w:szCs w:val="13"/>
                <w:b w:val="1"/>
                <w:bCs w:val="1"/>
                <w:color w:val="auto"/>
              </w:rPr>
              <w:t>Title</w:t>
            </w:r>
          </w:p>
        </w:tc>
      </w:tr>
      <w:tr>
        <w:trPr>
          <w:trHeight w:val="204"/>
        </w:trPr>
        <w:tc>
          <w:tcPr>
            <w:tcW w:w="23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Steve Lawrence</w:t>
            </w:r>
          </w:p>
        </w:tc>
        <w:tc>
          <w:tcPr>
            <w:tcW w:w="8880" w:type="dxa"/>
            <w:vAlign w:val="bottom"/>
            <w:tcBorders>
              <w:bottom w:val="single" w:sz="8" w:color="DBDBDB"/>
            </w:tcBorders>
            <w:shd w:val="clear" w:color="auto" w:fill="DBDBDB"/>
          </w:tcPr>
          <w:p>
            <w:pPr>
              <w:ind w:left="1280"/>
              <w:spacing w:after="0"/>
              <w:rPr>
                <w:sz w:val="20"/>
                <w:szCs w:val="20"/>
                <w:color w:val="auto"/>
              </w:rPr>
            </w:pPr>
            <w:r>
              <w:rPr>
                <w:rFonts w:ascii="Arial" w:cs="Arial" w:eastAsia="Arial" w:hAnsi="Arial"/>
                <w:sz w:val="13"/>
                <w:szCs w:val="13"/>
                <w:color w:val="auto"/>
              </w:rPr>
              <w:t>Chief Executive Officer (“CEO”)</w:t>
            </w:r>
          </w:p>
        </w:tc>
      </w:tr>
      <w:tr>
        <w:trPr>
          <w:trHeight w:val="197"/>
        </w:trPr>
        <w:tc>
          <w:tcPr>
            <w:tcW w:w="2360" w:type="dxa"/>
            <w:vAlign w:val="bottom"/>
          </w:tcPr>
          <w:p>
            <w:pPr>
              <w:ind w:left="100"/>
              <w:spacing w:after="0"/>
              <w:rPr>
                <w:sz w:val="20"/>
                <w:szCs w:val="20"/>
                <w:color w:val="auto"/>
              </w:rPr>
            </w:pPr>
            <w:r>
              <w:rPr>
                <w:rFonts w:ascii="Arial" w:cs="Arial" w:eastAsia="Arial" w:hAnsi="Arial"/>
                <w:sz w:val="13"/>
                <w:szCs w:val="13"/>
                <w:b w:val="1"/>
                <w:bCs w:val="1"/>
                <w:color w:val="auto"/>
              </w:rPr>
              <w:t>Sam Johnson</w:t>
            </w:r>
          </w:p>
        </w:tc>
        <w:tc>
          <w:tcPr>
            <w:tcW w:w="8880" w:type="dxa"/>
            <w:vAlign w:val="bottom"/>
          </w:tcPr>
          <w:p>
            <w:pPr>
              <w:ind w:left="1280"/>
              <w:spacing w:after="0"/>
              <w:rPr>
                <w:sz w:val="20"/>
                <w:szCs w:val="20"/>
                <w:color w:val="auto"/>
              </w:rPr>
            </w:pPr>
            <w:r>
              <w:rPr>
                <w:rFonts w:ascii="Arial" w:cs="Arial" w:eastAsia="Arial" w:hAnsi="Arial"/>
                <w:sz w:val="13"/>
                <w:szCs w:val="13"/>
                <w:color w:val="auto"/>
              </w:rPr>
              <w:t>President</w:t>
            </w:r>
          </w:p>
        </w:tc>
      </w:tr>
      <w:tr>
        <w:trPr>
          <w:trHeight w:val="27"/>
        </w:trPr>
        <w:tc>
          <w:tcPr>
            <w:tcW w:w="236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04"/>
        </w:trPr>
        <w:tc>
          <w:tcPr>
            <w:tcW w:w="23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8880" w:type="dxa"/>
            <w:vAlign w:val="bottom"/>
            <w:tcBorders>
              <w:bottom w:val="single" w:sz="8" w:color="DBDBDB"/>
            </w:tcBorders>
            <w:shd w:val="clear" w:color="auto" w:fill="DBDBDB"/>
          </w:tcPr>
          <w:p>
            <w:pPr>
              <w:ind w:left="1280"/>
              <w:spacing w:after="0"/>
              <w:rPr>
                <w:sz w:val="20"/>
                <w:szCs w:val="20"/>
                <w:color w:val="auto"/>
              </w:rPr>
            </w:pPr>
            <w:r>
              <w:rPr>
                <w:rFonts w:ascii="Arial" w:cs="Arial" w:eastAsia="Arial" w:hAnsi="Arial"/>
                <w:sz w:val="13"/>
                <w:szCs w:val="13"/>
                <w:color w:val="auto"/>
              </w:rPr>
              <w:t>Executive Vice President (“EVP”), Chief Financial Officer (“CFO”)</w:t>
            </w:r>
          </w:p>
        </w:tc>
      </w:tr>
      <w:tr>
        <w:trPr>
          <w:trHeight w:val="197"/>
        </w:trPr>
        <w:tc>
          <w:tcPr>
            <w:tcW w:w="236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8880" w:type="dxa"/>
            <w:vAlign w:val="bottom"/>
          </w:tcPr>
          <w:p>
            <w:pPr>
              <w:ind w:left="1280"/>
              <w:spacing w:after="0"/>
              <w:rPr>
                <w:sz w:val="20"/>
                <w:szCs w:val="20"/>
                <w:color w:val="auto"/>
              </w:rPr>
            </w:pPr>
            <w:r>
              <w:rPr>
                <w:rFonts w:ascii="Arial" w:cs="Arial" w:eastAsia="Arial" w:hAnsi="Arial"/>
                <w:sz w:val="13"/>
                <w:szCs w:val="13"/>
                <w:color w:val="auto"/>
              </w:rPr>
              <w:t>EVP, Chief Merchandising Officer (“CMO”)</w:t>
            </w:r>
          </w:p>
        </w:tc>
      </w:tr>
      <w:tr>
        <w:trPr>
          <w:trHeight w:val="27"/>
        </w:trPr>
        <w:tc>
          <w:tcPr>
            <w:tcW w:w="236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197"/>
        </w:trPr>
        <w:tc>
          <w:tcPr>
            <w:tcW w:w="236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Ken Hicks</w:t>
            </w:r>
          </w:p>
        </w:tc>
        <w:tc>
          <w:tcPr>
            <w:tcW w:w="8880" w:type="dxa"/>
            <w:vAlign w:val="bottom"/>
            <w:shd w:val="clear" w:color="auto" w:fill="DBDBDB"/>
          </w:tcPr>
          <w:p>
            <w:pPr>
              <w:ind w:left="1280"/>
              <w:spacing w:after="0"/>
              <w:rPr>
                <w:sz w:val="20"/>
                <w:szCs w:val="20"/>
                <w:color w:val="auto"/>
              </w:rPr>
            </w:pPr>
            <w:r>
              <w:rPr>
                <w:rFonts w:ascii="Arial" w:cs="Arial" w:eastAsia="Arial" w:hAnsi="Arial"/>
                <w:sz w:val="13"/>
                <w:szCs w:val="13"/>
                <w:color w:val="auto"/>
              </w:rPr>
              <w:t>Chairman of the Board and Former Executive Chairman</w:t>
            </w:r>
            <w:r>
              <w:rPr>
                <w:rFonts w:ascii="Arial" w:cs="Arial" w:eastAsia="Arial" w:hAnsi="Arial"/>
                <w:sz w:val="8"/>
                <w:szCs w:val="8"/>
                <w:color w:val="auto"/>
              </w:rPr>
              <w:t>(1)</w:t>
            </w:r>
          </w:p>
        </w:tc>
      </w:tr>
      <w:tr>
        <w:trPr>
          <w:trHeight w:val="27"/>
        </w:trPr>
        <w:tc>
          <w:tcPr>
            <w:tcW w:w="2360" w:type="dxa"/>
            <w:vAlign w:val="bottom"/>
            <w:shd w:val="clear" w:color="auto" w:fill="DBDBDB"/>
          </w:tcPr>
          <w:p>
            <w:pPr>
              <w:spacing w:after="0"/>
              <w:rPr>
                <w:sz w:val="2"/>
                <w:szCs w:val="2"/>
                <w:color w:val="auto"/>
              </w:rPr>
            </w:pPr>
          </w:p>
        </w:tc>
        <w:tc>
          <w:tcPr>
            <w:tcW w:w="8880" w:type="dxa"/>
            <w:vAlign w:val="bottom"/>
            <w:shd w:val="clear" w:color="auto" w:fill="DBDBDB"/>
          </w:tcPr>
          <w:p>
            <w:pPr>
              <w:spacing w:after="0"/>
              <w:rPr>
                <w:sz w:val="2"/>
                <w:szCs w:val="2"/>
                <w:color w:val="auto"/>
              </w:rPr>
            </w:pPr>
          </w:p>
        </w:tc>
      </w:tr>
    </w:tbl>
    <w:p>
      <w:pPr>
        <w:spacing w:after="0" w:line="221" w:lineRule="exact"/>
        <w:rPr>
          <w:sz w:val="20"/>
          <w:szCs w:val="20"/>
          <w:color w:val="auto"/>
        </w:rPr>
      </w:pPr>
    </w:p>
    <w:p>
      <w:pPr>
        <w:ind w:left="301" w:hanging="301"/>
        <w:spacing w:after="0"/>
        <w:tabs>
          <w:tab w:leader="none" w:pos="301" w:val="left"/>
        </w:tabs>
        <w:numPr>
          <w:ilvl w:val="0"/>
          <w:numId w:val="56"/>
        </w:numPr>
        <w:rPr>
          <w:rFonts w:ascii="Arial" w:cs="Arial" w:eastAsia="Arial" w:hAnsi="Arial"/>
          <w:sz w:val="12"/>
          <w:szCs w:val="12"/>
          <w:color w:val="auto"/>
        </w:rPr>
      </w:pPr>
      <w:r>
        <w:rPr>
          <w:rFonts w:ascii="Arial" w:cs="Arial" w:eastAsia="Arial" w:hAnsi="Arial"/>
          <w:sz w:val="12"/>
          <w:szCs w:val="12"/>
          <w:color w:val="auto"/>
        </w:rPr>
        <w:t>Mr. Hicks transitioned from Executive Chairman of the Board to non-employee Chairman of the Board, effective on June 1, 2024. The other NEOs constitute all of our current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1275080</wp:posOffset>
            </wp:positionV>
            <wp:extent cx="7168515" cy="4127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979805</wp:posOffset>
            </wp:positionV>
            <wp:extent cx="789305" cy="18923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2024 Business Results Summary*</w:t>
      </w:r>
    </w:p>
    <w:p>
      <w:pPr>
        <w:spacing w:after="0" w:line="94" w:lineRule="exact"/>
        <w:rPr>
          <w:sz w:val="20"/>
          <w:szCs w:val="20"/>
          <w:color w:val="auto"/>
        </w:rPr>
      </w:pPr>
    </w:p>
    <w:p>
      <w:pPr>
        <w:ind w:left="1" w:right="100"/>
        <w:spacing w:after="0" w:line="288" w:lineRule="auto"/>
        <w:rPr>
          <w:sz w:val="20"/>
          <w:szCs w:val="20"/>
          <w:color w:val="auto"/>
        </w:rPr>
      </w:pPr>
      <w:r>
        <w:rPr>
          <w:rFonts w:ascii="Arial" w:cs="Arial" w:eastAsia="Arial" w:hAnsi="Arial"/>
          <w:sz w:val="15"/>
          <w:szCs w:val="15"/>
          <w:color w:val="auto"/>
        </w:rPr>
        <w:t>Fiscal 2024 was a challenging year for the retail industry and for Academy. While we accomplished much and performed well, including returning $396 million to shareholders and progressing key strategic objectives, overall financial results fell short of our ambitious targets. Consequently, the payouts under our annual bonus plan also fell short of our stretch goals, resulting in bonus payouts between 58.9% and 63.9% of target. The graphics below summarize some of our business results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121285</wp:posOffset>
            </wp:positionV>
            <wp:extent cx="631190" cy="1733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631190" cy="17335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121285</wp:posOffset>
            </wp:positionV>
            <wp:extent cx="915670" cy="1733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915670" cy="17335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121285</wp:posOffset>
            </wp:positionV>
            <wp:extent cx="789305" cy="1733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789305" cy="17335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FFFFFF"/>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-34290</wp:posOffset>
            </wp:positionV>
            <wp:extent cx="1704975" cy="11811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704975" cy="118110"/>
                    </a:xfrm>
                    <a:prstGeom prst="rect">
                      <a:avLst/>
                    </a:prstGeom>
                    <a:noFill/>
                  </pic:spPr>
                </pic:pic>
              </a:graphicData>
            </a:graphic>
          </wp:anchor>
        </w:drawing>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40"/>
          <w:szCs w:val="40"/>
          <w:b w:val="1"/>
          <w:bCs w:val="1"/>
          <w:color w:val="4B3702"/>
        </w:rPr>
        <w:t>$5.93B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-266065</wp:posOffset>
            </wp:positionV>
            <wp:extent cx="1704975" cy="55245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704975" cy="552450"/>
                    </a:xfrm>
                    <a:prstGeom prst="rect">
                      <a:avLst/>
                    </a:prstGeom>
                    <a:noFill/>
                  </pic:spPr>
                </pic:pic>
              </a:graphicData>
            </a:graphic>
          </wp:anchor>
        </w:drawing>
      </w:r>
    </w:p>
    <w:p>
      <w:pPr>
        <w:spacing w:after="0" w:line="111" w:lineRule="exact"/>
        <w:rPr>
          <w:sz w:val="20"/>
          <w:szCs w:val="20"/>
          <w:color w:val="auto"/>
        </w:rPr>
      </w:pPr>
    </w:p>
    <w:p>
      <w:pPr>
        <w:ind w:left="1361"/>
        <w:spacing w:after="0"/>
        <w:rPr>
          <w:sz w:val="20"/>
          <w:szCs w:val="20"/>
          <w:color w:val="auto"/>
        </w:rPr>
      </w:pPr>
      <w:r>
        <w:rPr>
          <w:rFonts w:ascii="Arial" w:cs="Arial" w:eastAsia="Arial" w:hAnsi="Arial"/>
          <w:sz w:val="13"/>
          <w:szCs w:val="13"/>
          <w:color w:val="4B3702"/>
        </w:rPr>
        <w:t>-3.7%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225425</wp:posOffset>
            </wp:positionV>
            <wp:extent cx="1207770" cy="1733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207770" cy="173355"/>
                    </a:xfrm>
                    <a:prstGeom prst="rect">
                      <a:avLst/>
                    </a:prstGeom>
                    <a:noFill/>
                  </pic:spPr>
                </pic:pic>
              </a:graphicData>
            </a:graphic>
          </wp:anchor>
        </w:drawing>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FFFFFF"/>
        </w:rPr>
        <w:t>ADJUSTED (“ADJ.”) 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-34290</wp:posOffset>
            </wp:positionV>
            <wp:extent cx="1696720" cy="11811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696720" cy="118110"/>
                    </a:xfrm>
                    <a:prstGeom prst="rect">
                      <a:avLst/>
                    </a:prstGeom>
                    <a:noFill/>
                  </pic:spPr>
                </pic:pic>
              </a:graphicData>
            </a:graphic>
          </wp:anchor>
        </w:drawing>
      </w:r>
    </w:p>
    <w:p>
      <w:pPr>
        <w:spacing w:after="0" w:line="72" w:lineRule="exact"/>
        <w:rPr>
          <w:sz w:val="20"/>
          <w:szCs w:val="20"/>
          <w:color w:val="auto"/>
        </w:rPr>
      </w:pPr>
    </w:p>
    <w:p>
      <w:pPr>
        <w:ind w:left="1201"/>
        <w:spacing w:after="0"/>
        <w:rPr>
          <w:sz w:val="20"/>
          <w:szCs w:val="20"/>
          <w:color w:val="auto"/>
        </w:rPr>
      </w:pPr>
      <w:r>
        <w:rPr>
          <w:rFonts w:ascii="Arial" w:cs="Arial" w:eastAsia="Arial" w:hAnsi="Arial"/>
          <w:sz w:val="40"/>
          <w:szCs w:val="40"/>
          <w:b w:val="1"/>
          <w:bCs w:val="1"/>
          <w:color w:val="1B4093"/>
        </w:rPr>
        <w:t>$602M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-266065</wp:posOffset>
            </wp:positionV>
            <wp:extent cx="1696720" cy="55245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696720" cy="552450"/>
                    </a:xfrm>
                    <a:prstGeom prst="rect">
                      <a:avLst/>
                    </a:prstGeom>
                    <a:noFill/>
                  </pic:spPr>
                </pic:pic>
              </a:graphicData>
            </a:graphic>
          </wp:anchor>
        </w:drawing>
      </w:r>
    </w:p>
    <w:p>
      <w:pPr>
        <w:spacing w:after="0" w:line="111" w:lineRule="exact"/>
        <w:rPr>
          <w:sz w:val="20"/>
          <w:szCs w:val="20"/>
          <w:color w:val="auto"/>
        </w:rPr>
      </w:pPr>
    </w:p>
    <w:p>
      <w:pPr>
        <w:ind w:left="1321"/>
        <w:spacing w:after="0"/>
        <w:rPr>
          <w:sz w:val="20"/>
          <w:szCs w:val="20"/>
          <w:color w:val="auto"/>
        </w:rPr>
      </w:pPr>
      <w:r>
        <w:rPr>
          <w:rFonts w:ascii="Arial" w:cs="Arial" w:eastAsia="Arial" w:hAnsi="Arial"/>
          <w:sz w:val="13"/>
          <w:szCs w:val="13"/>
          <w:color w:val="1B4093"/>
        </w:rPr>
        <w:t>-18.1%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225425</wp:posOffset>
            </wp:positionV>
            <wp:extent cx="1223645" cy="1733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223645" cy="173355"/>
                    </a:xfrm>
                    <a:prstGeom prst="rect">
                      <a:avLst/>
                    </a:prstGeom>
                    <a:noFill/>
                  </pic:spPr>
                </pic:pic>
              </a:graphicData>
            </a:graphic>
          </wp:anchor>
        </w:drawing>
      </w: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FFFFFF"/>
        </w:rPr>
        <w:t>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-34290</wp:posOffset>
            </wp:positionV>
            <wp:extent cx="1704975" cy="114427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1704975" cy="1144270"/>
                    </a:xfrm>
                    <a:prstGeom prst="rect">
                      <a:avLst/>
                    </a:prstGeom>
                    <a:noFill/>
                  </pic:spPr>
                </pic:pic>
              </a:graphicData>
            </a:graphic>
          </wp:anchor>
        </w:drawing>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40"/>
          <w:szCs w:val="40"/>
          <w:b w:val="1"/>
          <w:bCs w:val="1"/>
          <w:color w:val="4B3702"/>
        </w:rPr>
        <w:t>$396M</w:t>
      </w:r>
    </w:p>
    <w:p>
      <w:pPr>
        <w:spacing w:after="0" w:line="156" w:lineRule="exact"/>
        <w:rPr>
          <w:sz w:val="20"/>
          <w:szCs w:val="20"/>
          <w:color w:val="auto"/>
        </w:rPr>
      </w:pPr>
    </w:p>
    <w:p>
      <w:pPr>
        <w:jc w:val="center"/>
        <w:ind w:left="1" w:right="160"/>
        <w:spacing w:after="0" w:line="305" w:lineRule="auto"/>
        <w:rPr>
          <w:sz w:val="20"/>
          <w:szCs w:val="20"/>
          <w:color w:val="auto"/>
        </w:rPr>
      </w:pPr>
      <w:r>
        <w:rPr>
          <w:rFonts w:ascii="Arial" w:cs="Arial" w:eastAsia="Arial" w:hAnsi="Arial"/>
          <w:sz w:val="13"/>
          <w:szCs w:val="13"/>
          <w:color w:val="4B3702"/>
        </w:rPr>
        <w:t xml:space="preserve">Returned </w:t>
      </w:r>
      <w:r>
        <w:rPr>
          <w:rFonts w:ascii="Arial" w:cs="Arial" w:eastAsia="Arial" w:hAnsi="Arial"/>
          <w:sz w:val="13"/>
          <w:szCs w:val="13"/>
          <w:b w:val="1"/>
          <w:bCs w:val="1"/>
          <w:color w:val="4B3702"/>
        </w:rPr>
        <w:t>$396 million</w:t>
      </w:r>
      <w:r>
        <w:rPr>
          <w:rFonts w:ascii="Arial" w:cs="Arial" w:eastAsia="Arial" w:hAnsi="Arial"/>
          <w:sz w:val="13"/>
          <w:szCs w:val="13"/>
          <w:color w:val="4B3702"/>
        </w:rPr>
        <w:t xml:space="preserve"> to stakeholders, which consisted of shares repurchases totaling </w:t>
      </w:r>
      <w:r>
        <w:rPr>
          <w:rFonts w:ascii="Arial" w:cs="Arial" w:eastAsia="Arial" w:hAnsi="Arial"/>
          <w:sz w:val="13"/>
          <w:szCs w:val="13"/>
          <w:b w:val="1"/>
          <w:bCs w:val="1"/>
          <w:color w:val="4B3702"/>
        </w:rPr>
        <w:t>$365 million</w:t>
      </w:r>
      <w:r>
        <w:rPr>
          <w:rFonts w:ascii="Arial" w:cs="Arial" w:eastAsia="Arial" w:hAnsi="Arial"/>
          <w:sz w:val="13"/>
          <w:szCs w:val="13"/>
          <w:color w:val="4B3702"/>
        </w:rPr>
        <w:t xml:space="preserve"> and </w:t>
      </w:r>
      <w:r>
        <w:rPr>
          <w:rFonts w:ascii="Arial" w:cs="Arial" w:eastAsia="Arial" w:hAnsi="Arial"/>
          <w:sz w:val="13"/>
          <w:szCs w:val="13"/>
          <w:b w:val="1"/>
          <w:bCs w:val="1"/>
          <w:color w:val="4B3702"/>
        </w:rPr>
        <w:t>$31 million</w:t>
      </w:r>
      <w:r>
        <w:rPr>
          <w:rFonts w:ascii="Arial" w:cs="Arial" w:eastAsia="Arial" w:hAnsi="Arial"/>
          <w:sz w:val="13"/>
          <w:szCs w:val="13"/>
          <w:color w:val="4B3702"/>
        </w:rPr>
        <w:t xml:space="preserve"> in dividend payments</w:t>
      </w:r>
    </w:p>
    <w:p>
      <w:pPr>
        <w:spacing w:after="0" w:line="200" w:lineRule="exact"/>
        <w:rPr>
          <w:sz w:val="20"/>
          <w:szCs w:val="20"/>
          <w:color w:val="auto"/>
        </w:rPr>
      </w:pPr>
    </w:p>
    <w:p>
      <w:pPr>
        <w:spacing w:after="0" w:line="246"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 Note: 2024 included 52 weeks, compared to 53 weeks in 2023.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FFFFFF"/>
        </w:rPr>
        <w:t>GROSS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-34290</wp:posOffset>
            </wp:positionV>
            <wp:extent cx="1696720" cy="11811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696720" cy="118110"/>
                    </a:xfrm>
                    <a:prstGeom prst="rect">
                      <a:avLst/>
                    </a:prstGeom>
                    <a:noFill/>
                  </pic:spPr>
                </pic:pic>
              </a:graphicData>
            </a:graphic>
          </wp:anchor>
        </w:drawing>
      </w:r>
    </w:p>
    <w:p>
      <w:pPr>
        <w:spacing w:after="0" w:line="72" w:lineRule="exact"/>
        <w:rPr>
          <w:sz w:val="20"/>
          <w:szCs w:val="20"/>
          <w:color w:val="auto"/>
        </w:rPr>
      </w:pPr>
    </w:p>
    <w:p>
      <w:pPr>
        <w:ind w:left="580"/>
        <w:spacing w:after="0"/>
        <w:rPr>
          <w:sz w:val="20"/>
          <w:szCs w:val="20"/>
          <w:color w:val="auto"/>
        </w:rPr>
      </w:pPr>
      <w:r>
        <w:rPr>
          <w:rFonts w:ascii="Arial" w:cs="Arial" w:eastAsia="Arial" w:hAnsi="Arial"/>
          <w:sz w:val="40"/>
          <w:szCs w:val="40"/>
          <w:b w:val="1"/>
          <w:bCs w:val="1"/>
          <w:color w:val="1B4093"/>
        </w:rPr>
        <w:t>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-266065</wp:posOffset>
            </wp:positionV>
            <wp:extent cx="1696720" cy="55245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696720" cy="552450"/>
                    </a:xfrm>
                    <a:prstGeom prst="rect">
                      <a:avLst/>
                    </a:prstGeom>
                    <a:noFill/>
                  </pic:spPr>
                </pic:pic>
              </a:graphicData>
            </a:graphic>
          </wp:anchor>
        </w:drawing>
      </w:r>
    </w:p>
    <w:p>
      <w:pPr>
        <w:spacing w:after="0" w:line="111" w:lineRule="exact"/>
        <w:rPr>
          <w:sz w:val="20"/>
          <w:szCs w:val="20"/>
          <w:color w:val="auto"/>
        </w:rPr>
      </w:pPr>
    </w:p>
    <w:p>
      <w:pPr>
        <w:ind w:left="720"/>
        <w:spacing w:after="0"/>
        <w:rPr>
          <w:sz w:val="20"/>
          <w:szCs w:val="20"/>
          <w:color w:val="auto"/>
        </w:rPr>
      </w:pPr>
      <w:r>
        <w:rPr>
          <w:rFonts w:ascii="Arial" w:cs="Arial" w:eastAsia="Arial" w:hAnsi="Arial"/>
          <w:sz w:val="13"/>
          <w:szCs w:val="13"/>
          <w:color w:val="1B4093"/>
        </w:rPr>
        <w:t>34.3%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225425</wp:posOffset>
            </wp:positionV>
            <wp:extent cx="726440" cy="1733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726440" cy="173355"/>
                    </a:xfrm>
                    <a:prstGeom prst="rect">
                      <a:avLst/>
                    </a:prstGeom>
                    <a:noFill/>
                  </pic:spPr>
                </pic:pic>
              </a:graphicData>
            </a:graphic>
          </wp:anchor>
        </w:drawing>
      </w:r>
    </w:p>
    <w:p>
      <w:pPr>
        <w:spacing w:after="0" w:line="377"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FFFFFF"/>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-34290</wp:posOffset>
            </wp:positionV>
            <wp:extent cx="1704975" cy="11811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704975" cy="118110"/>
                    </a:xfrm>
                    <a:prstGeom prst="rect">
                      <a:avLst/>
                    </a:prstGeom>
                    <a:noFill/>
                  </pic:spPr>
                </pic:pic>
              </a:graphicData>
            </a:graphic>
          </wp:anchor>
        </w:drawing>
      </w:r>
    </w:p>
    <w:p>
      <w:pPr>
        <w:spacing w:after="0" w:line="72" w:lineRule="exact"/>
        <w:rPr>
          <w:sz w:val="20"/>
          <w:szCs w:val="20"/>
          <w:color w:val="auto"/>
        </w:rPr>
      </w:pPr>
    </w:p>
    <w:p>
      <w:pPr>
        <w:ind w:left="640"/>
        <w:spacing w:after="0"/>
        <w:rPr>
          <w:sz w:val="20"/>
          <w:szCs w:val="20"/>
          <w:color w:val="auto"/>
        </w:rPr>
      </w:pPr>
      <w:r>
        <w:rPr>
          <w:rFonts w:ascii="Arial" w:cs="Arial" w:eastAsia="Arial" w:hAnsi="Arial"/>
          <w:sz w:val="40"/>
          <w:szCs w:val="40"/>
          <w:b w:val="1"/>
          <w:bCs w:val="1"/>
          <w:color w:val="4B3702"/>
        </w:rPr>
        <w:t>$5.73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-266065</wp:posOffset>
            </wp:positionV>
            <wp:extent cx="1704975" cy="55245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704975" cy="552450"/>
                    </a:xfrm>
                    <a:prstGeom prst="rect">
                      <a:avLst/>
                    </a:prstGeom>
                    <a:noFill/>
                  </pic:spPr>
                </pic:pic>
              </a:graphicData>
            </a:graphic>
          </wp:anchor>
        </w:drawing>
      </w:r>
    </w:p>
    <w:p>
      <w:pPr>
        <w:spacing w:after="0" w:line="111" w:lineRule="exact"/>
        <w:rPr>
          <w:sz w:val="20"/>
          <w:szCs w:val="20"/>
          <w:color w:val="auto"/>
        </w:rPr>
      </w:pPr>
    </w:p>
    <w:p>
      <w:pPr>
        <w:ind w:left="740"/>
        <w:spacing w:after="0"/>
        <w:rPr>
          <w:sz w:val="20"/>
          <w:szCs w:val="20"/>
          <w:color w:val="auto"/>
        </w:rPr>
      </w:pPr>
      <w:r>
        <w:rPr>
          <w:rFonts w:ascii="Arial" w:cs="Arial" w:eastAsia="Arial" w:hAnsi="Arial"/>
          <w:sz w:val="13"/>
          <w:szCs w:val="13"/>
          <w:color w:val="4B3702"/>
        </w:rPr>
        <w:t>$6.70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225425</wp:posOffset>
            </wp:positionV>
            <wp:extent cx="805180" cy="1733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05180" cy="173355"/>
                    </a:xfrm>
                    <a:prstGeom prst="rect">
                      <a:avLst/>
                    </a:prstGeom>
                    <a:noFill/>
                  </pic:spPr>
                </pic:pic>
              </a:graphicData>
            </a:graphic>
          </wp:anchor>
        </w:drawing>
      </w:r>
    </w:p>
    <w:p>
      <w:pPr>
        <w:spacing w:after="0" w:line="377"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FFFFFF"/>
        </w:rPr>
        <w:t>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-34290</wp:posOffset>
            </wp:positionV>
            <wp:extent cx="1704975" cy="11811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704975" cy="118110"/>
                    </a:xfrm>
                    <a:prstGeom prst="rect">
                      <a:avLst/>
                    </a:prstGeom>
                    <a:noFill/>
                  </pic:spPr>
                </pic:pic>
              </a:graphicData>
            </a:graphic>
          </wp:anchor>
        </w:drawing>
      </w:r>
    </w:p>
    <w:p>
      <w:pPr>
        <w:spacing w:after="0" w:line="72" w:lineRule="exact"/>
        <w:rPr>
          <w:sz w:val="20"/>
          <w:szCs w:val="20"/>
          <w:color w:val="auto"/>
        </w:rPr>
      </w:pPr>
    </w:p>
    <w:p>
      <w:pPr>
        <w:jc w:val="center"/>
        <w:ind w:right="780"/>
        <w:spacing w:after="0"/>
        <w:rPr>
          <w:sz w:val="20"/>
          <w:szCs w:val="20"/>
          <w:color w:val="auto"/>
        </w:rPr>
      </w:pPr>
      <w:r>
        <w:rPr>
          <w:rFonts w:ascii="Arial" w:cs="Arial" w:eastAsia="Arial" w:hAnsi="Arial"/>
          <w:sz w:val="40"/>
          <w:szCs w:val="40"/>
          <w:b w:val="1"/>
          <w:bCs w:val="1"/>
          <w:color w:val="1B4093"/>
        </w:rPr>
        <w:t>$1.8M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-266065</wp:posOffset>
            </wp:positionV>
            <wp:extent cx="1704975" cy="104203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704975" cy="1042035"/>
                    </a:xfrm>
                    <a:prstGeom prst="rect">
                      <a:avLst/>
                    </a:prstGeom>
                    <a:noFill/>
                  </pic:spPr>
                </pic:pic>
              </a:graphicData>
            </a:graphic>
          </wp:anchor>
        </w:drawing>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color w:val="1B4093"/>
        </w:rPr>
        <w:t>Delivered industry leading store sales</w:t>
      </w:r>
    </w:p>
    <w:p>
      <w:pPr>
        <w:spacing w:after="0" w:line="37" w:lineRule="exact"/>
        <w:rPr>
          <w:sz w:val="20"/>
          <w:szCs w:val="20"/>
          <w:color w:val="auto"/>
        </w:rPr>
      </w:pPr>
    </w:p>
    <w:p>
      <w:pPr>
        <w:ind w:left="80"/>
        <w:spacing w:after="0"/>
        <w:rPr>
          <w:sz w:val="20"/>
          <w:szCs w:val="20"/>
          <w:color w:val="auto"/>
        </w:rPr>
      </w:pPr>
      <w:r>
        <w:rPr>
          <w:rFonts w:ascii="Arial" w:cs="Arial" w:eastAsia="Arial" w:hAnsi="Arial"/>
          <w:sz w:val="13"/>
          <w:szCs w:val="13"/>
          <w:color w:val="1B4093"/>
        </w:rPr>
        <w:t xml:space="preserve">and profitability of </w:t>
      </w:r>
      <w:r>
        <w:rPr>
          <w:rFonts w:ascii="Arial" w:cs="Arial" w:eastAsia="Arial" w:hAnsi="Arial"/>
          <w:sz w:val="13"/>
          <w:szCs w:val="13"/>
          <w:b w:val="1"/>
          <w:bCs w:val="1"/>
          <w:color w:val="1B4093"/>
        </w:rPr>
        <w:t>$288 average net</w:t>
      </w:r>
    </w:p>
    <w:p>
      <w:pPr>
        <w:spacing w:after="0" w:line="37" w:lineRule="exact"/>
        <w:rPr>
          <w:sz w:val="20"/>
          <w:szCs w:val="20"/>
          <w:color w:val="auto"/>
        </w:rPr>
      </w:pPr>
    </w:p>
    <w:p>
      <w:pPr>
        <w:jc w:val="center"/>
        <w:ind w:right="780"/>
        <w:spacing w:after="0" w:line="313" w:lineRule="auto"/>
        <w:rPr>
          <w:sz w:val="20"/>
          <w:szCs w:val="20"/>
          <w:color w:val="auto"/>
        </w:rPr>
      </w:pPr>
      <w:r>
        <w:rPr>
          <w:rFonts w:ascii="Arial" w:cs="Arial" w:eastAsia="Arial" w:hAnsi="Arial"/>
          <w:sz w:val="13"/>
          <w:szCs w:val="13"/>
          <w:b w:val="1"/>
          <w:bCs w:val="1"/>
          <w:color w:val="1B4093"/>
        </w:rPr>
        <w:t xml:space="preserve">sales per square foot </w:t>
      </w:r>
      <w:r>
        <w:rPr>
          <w:rFonts w:ascii="Arial" w:cs="Arial" w:eastAsia="Arial" w:hAnsi="Arial"/>
          <w:sz w:val="13"/>
          <w:szCs w:val="13"/>
          <w:color w:val="1B4093"/>
        </w:rPr>
        <w:t>and an average</w:t>
      </w:r>
      <w:r>
        <w:rPr>
          <w:rFonts w:ascii="Arial" w:cs="Arial" w:eastAsia="Arial" w:hAnsi="Arial"/>
          <w:sz w:val="13"/>
          <w:szCs w:val="13"/>
          <w:b w:val="1"/>
          <w:bCs w:val="1"/>
          <w:color w:val="1B4093"/>
        </w:rPr>
        <w:t xml:space="preserve"> </w:t>
      </w:r>
      <w:r>
        <w:rPr>
          <w:rFonts w:ascii="Arial" w:cs="Arial" w:eastAsia="Arial" w:hAnsi="Arial"/>
          <w:sz w:val="13"/>
          <w:szCs w:val="13"/>
          <w:color w:val="1B4093"/>
        </w:rPr>
        <w:t xml:space="preserve">of </w:t>
      </w:r>
      <w:r>
        <w:rPr>
          <w:rFonts w:ascii="Arial" w:cs="Arial" w:eastAsia="Arial" w:hAnsi="Arial"/>
          <w:sz w:val="13"/>
          <w:szCs w:val="13"/>
          <w:b w:val="1"/>
          <w:bCs w:val="1"/>
          <w:color w:val="1B4093"/>
        </w:rPr>
        <w:t>$1.8 million of operating income</w:t>
      </w:r>
      <w:r>
        <w:rPr>
          <w:rFonts w:ascii="Arial" w:cs="Arial" w:eastAsia="Arial" w:hAnsi="Arial"/>
          <w:sz w:val="13"/>
          <w:szCs w:val="13"/>
          <w:color w:val="1B4093"/>
        </w:rPr>
        <w:t xml:space="preserve"> </w:t>
      </w:r>
      <w:r>
        <w:rPr>
          <w:rFonts w:ascii="Arial" w:cs="Arial" w:eastAsia="Arial" w:hAnsi="Arial"/>
          <w:sz w:val="13"/>
          <w:szCs w:val="13"/>
          <w:b w:val="1"/>
          <w:bCs w:val="1"/>
          <w:color w:val="1B4093"/>
        </w:rPr>
        <w:t>per store as of February 1, 2025</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FFFFFF"/>
        </w:rPr>
        <w:t>NET INCOME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-34290</wp:posOffset>
            </wp:positionV>
            <wp:extent cx="1704975" cy="11811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704975" cy="118110"/>
                    </a:xfrm>
                    <a:prstGeom prst="rect">
                      <a:avLst/>
                    </a:prstGeom>
                    <a:noFill/>
                  </pic:spPr>
                </pic:pic>
              </a:graphicData>
            </a:graphic>
          </wp:anchor>
        </w:drawing>
      </w:r>
    </w:p>
    <w:p>
      <w:pPr>
        <w:spacing w:after="0" w:line="72"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4B3702"/>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-266065</wp:posOffset>
            </wp:positionV>
            <wp:extent cx="1704975" cy="55245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704975" cy="552450"/>
                    </a:xfrm>
                    <a:prstGeom prst="rect">
                      <a:avLst/>
                    </a:prstGeom>
                    <a:noFill/>
                  </pic:spPr>
                </pic:pic>
              </a:graphicData>
            </a:graphic>
          </wp:anchor>
        </w:drawing>
      </w:r>
    </w:p>
    <w:p>
      <w:pPr>
        <w:spacing w:after="0" w:line="111" w:lineRule="exact"/>
        <w:rPr>
          <w:sz w:val="20"/>
          <w:szCs w:val="20"/>
          <w:color w:val="auto"/>
        </w:rPr>
      </w:pPr>
    </w:p>
    <w:p>
      <w:pPr>
        <w:ind w:left="720"/>
        <w:spacing w:after="0"/>
        <w:rPr>
          <w:sz w:val="20"/>
          <w:szCs w:val="20"/>
          <w:color w:val="auto"/>
        </w:rPr>
      </w:pPr>
      <w:r>
        <w:rPr>
          <w:rFonts w:ascii="Arial" w:cs="Arial" w:eastAsia="Arial" w:hAnsi="Arial"/>
          <w:sz w:val="13"/>
          <w:szCs w:val="13"/>
          <w:color w:val="4B3702"/>
        </w:rPr>
        <w:t>8.4%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225425</wp:posOffset>
            </wp:positionV>
            <wp:extent cx="1499870" cy="1733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499870" cy="173355"/>
                    </a:xfrm>
                    <a:prstGeom prst="rect">
                      <a:avLst/>
                    </a:prstGeom>
                    <a:noFill/>
                  </pic:spPr>
                </pic:pic>
              </a:graphicData>
            </a:graphic>
          </wp:anchor>
        </w:drawing>
      </w:r>
    </w:p>
    <w:p>
      <w:pPr>
        <w:spacing w:after="0" w:line="377" w:lineRule="exact"/>
        <w:rPr>
          <w:sz w:val="20"/>
          <w:szCs w:val="20"/>
          <w:color w:val="auto"/>
        </w:rPr>
      </w:pPr>
    </w:p>
    <w:p>
      <w:pPr>
        <w:jc w:val="center"/>
        <w:ind w:right="820"/>
        <w:spacing w:after="0"/>
        <w:rPr>
          <w:sz w:val="20"/>
          <w:szCs w:val="20"/>
          <w:color w:val="auto"/>
        </w:rPr>
      </w:pPr>
      <w:r>
        <w:rPr>
          <w:rFonts w:ascii="Arial" w:cs="Arial" w:eastAsia="Arial" w:hAnsi="Arial"/>
          <w:sz w:val="13"/>
          <w:szCs w:val="13"/>
          <w:b w:val="1"/>
          <w:bCs w:val="1"/>
          <w:color w:val="FFFFFF"/>
        </w:rPr>
        <w:t>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-34290</wp:posOffset>
            </wp:positionV>
            <wp:extent cx="1696720" cy="67119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696720" cy="671195"/>
                    </a:xfrm>
                    <a:prstGeom prst="rect">
                      <a:avLst/>
                    </a:prstGeom>
                    <a:noFill/>
                  </pic:spPr>
                </pic:pic>
              </a:graphicData>
            </a:graphic>
          </wp:anchor>
        </w:drawing>
      </w:r>
    </w:p>
    <w:p>
      <w:pPr>
        <w:spacing w:after="0" w:line="72" w:lineRule="exact"/>
        <w:rPr>
          <w:sz w:val="20"/>
          <w:szCs w:val="20"/>
          <w:color w:val="auto"/>
        </w:rPr>
      </w:pPr>
    </w:p>
    <w:p>
      <w:pPr>
        <w:ind w:left="700"/>
        <w:spacing w:after="0"/>
        <w:rPr>
          <w:sz w:val="20"/>
          <w:szCs w:val="20"/>
          <w:color w:val="auto"/>
        </w:rPr>
      </w:pPr>
      <w:r>
        <w:rPr>
          <w:rFonts w:ascii="Arial" w:cs="Arial" w:eastAsia="Arial" w:hAnsi="Arial"/>
          <w:sz w:val="40"/>
          <w:szCs w:val="40"/>
          <w:b w:val="1"/>
          <w:bCs w:val="1"/>
          <w:color w:val="1B4093"/>
        </w:rPr>
        <w:t>23%</w:t>
      </w:r>
    </w:p>
    <w:p>
      <w:pPr>
        <w:spacing w:after="0" w:line="131" w:lineRule="exact"/>
        <w:rPr>
          <w:sz w:val="20"/>
          <w:szCs w:val="20"/>
          <w:color w:val="auto"/>
        </w:rPr>
      </w:pPr>
    </w:p>
    <w:p>
      <w:pPr>
        <w:ind w:left="740"/>
        <w:spacing w:after="0"/>
        <w:rPr>
          <w:sz w:val="20"/>
          <w:szCs w:val="20"/>
          <w:color w:val="auto"/>
        </w:rPr>
      </w:pPr>
      <w:r>
        <w:rPr>
          <w:rFonts w:ascii="Arial" w:cs="Arial" w:eastAsia="Arial" w:hAnsi="Arial"/>
          <w:sz w:val="13"/>
          <w:szCs w:val="13"/>
          <w:color w:val="1B4093"/>
        </w:rPr>
        <w:t>28%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225425</wp:posOffset>
            </wp:positionV>
            <wp:extent cx="773430" cy="1733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773430" cy="173355"/>
                    </a:xfrm>
                    <a:prstGeom prst="rect">
                      <a:avLst/>
                    </a:prstGeom>
                    <a:noFill/>
                  </pic:spPr>
                </pic:pic>
              </a:graphicData>
            </a:graphic>
          </wp:anchor>
        </w:drawing>
      </w:r>
    </w:p>
    <w:p>
      <w:pPr>
        <w:spacing w:after="0" w:line="377"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FFFFFF"/>
        </w:rPr>
        <w:t>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-34290</wp:posOffset>
            </wp:positionV>
            <wp:extent cx="1704975" cy="114427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704975" cy="1144270"/>
                    </a:xfrm>
                    <a:prstGeom prst="rect">
                      <a:avLst/>
                    </a:prstGeom>
                    <a:noFill/>
                  </pic:spPr>
                </pic:pic>
              </a:graphicData>
            </a:graphic>
          </wp:anchor>
        </w:drawing>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4B3702"/>
        </w:rPr>
        <w:t>10.5%</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3"/>
          <w:szCs w:val="13"/>
          <w:color w:val="4B3702"/>
        </w:rPr>
        <w:t>eCommerce penetration</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3"/>
          <w:szCs w:val="13"/>
          <w:color w:val="4B3702"/>
        </w:rPr>
        <w:t xml:space="preserve">was </w:t>
      </w:r>
      <w:r>
        <w:rPr>
          <w:rFonts w:ascii="Arial" w:cs="Arial" w:eastAsia="Arial" w:hAnsi="Arial"/>
          <w:sz w:val="13"/>
          <w:szCs w:val="13"/>
          <w:b w:val="1"/>
          <w:bCs w:val="1"/>
          <w:color w:val="4B3702"/>
        </w:rPr>
        <w:t>10.5% of net sales</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3"/>
          <w:szCs w:val="13"/>
          <w:color w:val="4B3702"/>
        </w:rPr>
        <w:t>(10.7% in 2023)</w:t>
      </w:r>
    </w:p>
    <w:p>
      <w:pPr>
        <w:spacing w:after="0" w:line="857" w:lineRule="exact"/>
        <w:rPr>
          <w:sz w:val="20"/>
          <w:szCs w:val="20"/>
          <w:color w:val="auto"/>
        </w:rPr>
      </w:pPr>
    </w:p>
    <w:p>
      <w:pPr>
        <w:sectPr>
          <w:pgSz w:w="11900" w:h="16838" w:orient="portrait"/>
          <w:cols w:equalWidth="0" w:num="3">
            <w:col w:w="3781" w:space="640"/>
            <w:col w:w="3080" w:space="720"/>
            <w:col w:w="3020"/>
          </w:cols>
          <w:pgMar w:left="319" w:top="132" w:right="339" w:bottom="1440" w:gutter="0" w:footer="0" w:header="0"/>
          <w:type w:val="continuous"/>
        </w:sectPr>
      </w:pPr>
    </w:p>
    <w:p>
      <w:pPr>
        <w:ind w:left="1" w:right="20" w:hanging="1"/>
        <w:spacing w:after="0" w:line="358" w:lineRule="auto"/>
        <w:tabs>
          <w:tab w:leader="none" w:pos="141" w:val="left"/>
        </w:tabs>
        <w:numPr>
          <w:ilvl w:val="0"/>
          <w:numId w:val="57"/>
        </w:numPr>
        <w:rPr>
          <w:rFonts w:ascii="Arial" w:cs="Arial" w:eastAsia="Arial" w:hAnsi="Arial"/>
          <w:sz w:val="13"/>
          <w:szCs w:val="13"/>
          <w:i w:val="1"/>
          <w:iCs w:val="1"/>
          <w:color w:val="auto"/>
        </w:rPr>
      </w:pPr>
      <w:r>
        <w:rPr>
          <w:rFonts w:ascii="Arial" w:cs="Arial" w:eastAsia="Arial" w:hAnsi="Arial"/>
          <w:sz w:val="13"/>
          <w:szCs w:val="13"/>
          <w:i w:val="1"/>
          <w:iCs w:val="1"/>
          <w:color w:val="auto"/>
        </w:rPr>
        <w:t>Adj. EBIT and Return On Invested Capital (or ROIC) are non-GAAP financial measures. See “Annex D - Reconciliations of GAAP to Non-GAAP Financial Measures” below for reconciliations of non-GAAP financial measures used in this Proxy Statement, including this Compensation Discussion &amp; Analysis,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1050925</wp:posOffset>
            </wp:positionV>
            <wp:extent cx="7168515" cy="4127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755650</wp:posOffset>
            </wp:positionV>
            <wp:extent cx="789305" cy="18923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3"/>
          <w:szCs w:val="13"/>
          <w:b w:val="1"/>
          <w:bCs w:val="1"/>
          <w:color w:val="007EC4"/>
        </w:rPr>
        <w:t xml:space="preserve">48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2024 Compensation Highlights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Base Salary</w:t>
      </w:r>
    </w:p>
    <w:p>
      <w:pPr>
        <w:spacing w:after="0" w:line="58" w:lineRule="exact"/>
        <w:rPr>
          <w:sz w:val="20"/>
          <w:szCs w:val="20"/>
          <w:color w:val="auto"/>
        </w:rPr>
      </w:pPr>
    </w:p>
    <w:p>
      <w:pPr>
        <w:ind w:left="440" w:hanging="217"/>
        <w:spacing w:after="0" w:line="259" w:lineRule="auto"/>
        <w:tabs>
          <w:tab w:leader="none" w:pos="417"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 March 2024, in consultation with FW Cook, the Committee undertook a review of the total annual compensation opportunities for our NEOs. As a result of the review, the Committee approved increases to the base salaries of each of Messrs. Lawrence, Johnson, Ford, and McCabe by 5.0%, 1.8%, 5.0%, and 5.0%, respectively, to provide each NEO with a market-competitive package designed to reward strong performance and retain their services for the Company’s long-term growth. As part of the leadership transition plan for Mr. Hicks to the non-employee Chairman of the Board, Mr. Hicks’s base salary was not increased in 2024.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Annual Cash Incentives</w:t>
      </w:r>
    </w:p>
    <w:p>
      <w:pPr>
        <w:spacing w:after="0" w:line="58" w:lineRule="exact"/>
        <w:rPr>
          <w:sz w:val="20"/>
          <w:szCs w:val="20"/>
          <w:color w:val="auto"/>
        </w:rPr>
      </w:pPr>
    </w:p>
    <w:p>
      <w:pPr>
        <w:ind w:left="420" w:hanging="197"/>
        <w:spacing w:after="0"/>
        <w:tabs>
          <w:tab w:leader="none" w:pos="4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 2024, our NEOs achieved the following financial annual incentive metrics results;</w:t>
      </w:r>
    </w:p>
    <w:p>
      <w:pPr>
        <w:spacing w:after="0" w:line="100" w:lineRule="exact"/>
        <w:rPr>
          <w:rFonts w:ascii="Arial" w:cs="Arial" w:eastAsia="Arial" w:hAnsi="Arial"/>
          <w:sz w:val="15"/>
          <w:szCs w:val="15"/>
          <w:color w:val="auto"/>
        </w:rPr>
      </w:pPr>
    </w:p>
    <w:p>
      <w:pPr>
        <w:ind w:left="1040" w:hanging="295"/>
        <w:spacing w:after="0"/>
        <w:tabs>
          <w:tab w:leader="none" w:pos="1040" w:val="left"/>
        </w:tabs>
        <w:numPr>
          <w:ilvl w:val="1"/>
          <w:numId w:val="59"/>
        </w:numPr>
        <w:rPr>
          <w:rFonts w:ascii="Arial" w:cs="Arial" w:eastAsia="Arial" w:hAnsi="Arial"/>
          <w:sz w:val="15"/>
          <w:szCs w:val="15"/>
          <w:color w:val="auto"/>
        </w:rPr>
      </w:pPr>
      <w:r>
        <w:rPr>
          <w:rFonts w:ascii="Arial" w:cs="Arial" w:eastAsia="Arial" w:hAnsi="Arial"/>
          <w:sz w:val="15"/>
          <w:szCs w:val="15"/>
          <w:color w:val="auto"/>
        </w:rPr>
        <w:t>85.5% of target Company Adjusted EBIT (“Adj. EBIT”), and</w:t>
      </w:r>
    </w:p>
    <w:p>
      <w:pPr>
        <w:spacing w:after="0" w:line="113" w:lineRule="exact"/>
        <w:rPr>
          <w:rFonts w:ascii="Arial" w:cs="Arial" w:eastAsia="Arial" w:hAnsi="Arial"/>
          <w:sz w:val="15"/>
          <w:szCs w:val="15"/>
          <w:color w:val="auto"/>
        </w:rPr>
      </w:pPr>
    </w:p>
    <w:p>
      <w:pPr>
        <w:ind w:left="1040" w:hanging="295"/>
        <w:spacing w:after="0"/>
        <w:tabs>
          <w:tab w:leader="none" w:pos="1040" w:val="left"/>
        </w:tabs>
        <w:numPr>
          <w:ilvl w:val="1"/>
          <w:numId w:val="59"/>
        </w:numPr>
        <w:rPr>
          <w:rFonts w:ascii="Arial" w:cs="Arial" w:eastAsia="Arial" w:hAnsi="Arial"/>
          <w:sz w:val="15"/>
          <w:szCs w:val="15"/>
          <w:color w:val="auto"/>
        </w:rPr>
      </w:pPr>
      <w:r>
        <w:rPr>
          <w:rFonts w:ascii="Arial" w:cs="Arial" w:eastAsia="Arial" w:hAnsi="Arial"/>
          <w:sz w:val="15"/>
          <w:szCs w:val="15"/>
          <w:color w:val="auto"/>
        </w:rPr>
        <w:t>95.5% of target Company net sales.</w:t>
      </w:r>
    </w:p>
    <w:p>
      <w:pPr>
        <w:spacing w:after="0" w:line="100" w:lineRule="exact"/>
        <w:rPr>
          <w:rFonts w:ascii="Arial" w:cs="Arial" w:eastAsia="Arial" w:hAnsi="Arial"/>
          <w:sz w:val="15"/>
          <w:szCs w:val="15"/>
          <w:color w:val="auto"/>
        </w:rPr>
      </w:pPr>
    </w:p>
    <w:p>
      <w:pPr>
        <w:ind w:left="440" w:right="20" w:hanging="217"/>
        <w:spacing w:after="0" w:line="259" w:lineRule="auto"/>
        <w:tabs>
          <w:tab w:leader="none" w:pos="417" w:val="left"/>
        </w:tabs>
        <w:numPr>
          <w:ilvl w:val="0"/>
          <w:numId w:val="59"/>
        </w:numPr>
        <w:rPr>
          <w:rFonts w:ascii="Arial" w:cs="Arial" w:eastAsia="Arial" w:hAnsi="Arial"/>
          <w:sz w:val="15"/>
          <w:szCs w:val="15"/>
          <w:color w:val="auto"/>
        </w:rPr>
      </w:pPr>
      <w:r>
        <w:rPr>
          <w:rFonts w:ascii="Arial" w:cs="Arial" w:eastAsia="Arial" w:hAnsi="Arial"/>
          <w:sz w:val="15"/>
          <w:szCs w:val="15"/>
          <w:color w:val="auto"/>
        </w:rPr>
        <w:t>Mr. Lawrence earned 58.9% of his total annual target bonus opportunity, while Messrs. Johnson, Ford, and McCabe earned 63.9% of their total annual target bonus opportunity, under the 2024 Executive Team Bonus Plan (“Executive Bonus Plan”), based on the Company’s financial results and achievement of individual performance strategic initiative goals. As part of the leadership transition plan for Mr. Hicks to non-employee Chairman of the Board, Mr. Hicks was not eligible to receive an annual cash incentive in 2024.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Long-Term Equity Incentives</w:t>
      </w:r>
    </w:p>
    <w:p>
      <w:pPr>
        <w:spacing w:after="0" w:line="58" w:lineRule="exact"/>
        <w:rPr>
          <w:sz w:val="20"/>
          <w:szCs w:val="20"/>
          <w:color w:val="auto"/>
        </w:rPr>
      </w:pPr>
    </w:p>
    <w:p>
      <w:pPr>
        <w:ind w:left="440" w:right="400" w:hanging="217"/>
        <w:spacing w:after="0" w:line="267" w:lineRule="auto"/>
        <w:tabs>
          <w:tab w:leader="none" w:pos="417"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 2024, the Committee modified the equity award program for our NEOs to eliminate stock options (“Options”). 50% of the target award value continued to be granted in the form of performance-based Restricted Stock Units (“RSUs”) subject to the same performance metrics that applied to the fiscal 2023 grants cumulatively measured and vesting after three fiscal years (fiscal 2024 to 2026);</w:t>
      </w:r>
    </w:p>
    <w:p>
      <w:pPr>
        <w:spacing w:after="0" w:line="58" w:lineRule="exact"/>
        <w:rPr>
          <w:rFonts w:ascii="Arial" w:cs="Arial" w:eastAsia="Arial" w:hAnsi="Arial"/>
          <w:sz w:val="15"/>
          <w:szCs w:val="15"/>
          <w:color w:val="auto"/>
        </w:rPr>
      </w:pPr>
    </w:p>
    <w:p>
      <w:pPr>
        <w:ind w:left="1040" w:hanging="295"/>
        <w:spacing w:after="0"/>
        <w:tabs>
          <w:tab w:leader="none" w:pos="1040" w:val="left"/>
        </w:tabs>
        <w:numPr>
          <w:ilvl w:val="1"/>
          <w:numId w:val="60"/>
        </w:numPr>
        <w:rPr>
          <w:rFonts w:ascii="Arial" w:cs="Arial" w:eastAsia="Arial" w:hAnsi="Arial"/>
          <w:sz w:val="15"/>
          <w:szCs w:val="15"/>
          <w:color w:val="auto"/>
        </w:rPr>
      </w:pPr>
      <w:r>
        <w:rPr>
          <w:rFonts w:ascii="Arial" w:cs="Arial" w:eastAsia="Arial" w:hAnsi="Arial"/>
          <w:sz w:val="15"/>
          <w:szCs w:val="15"/>
          <w:color w:val="auto"/>
        </w:rPr>
        <w:t>Adjusted Pre-Tax Net Income weighted approximately 75% of the equity award, and</w:t>
      </w:r>
    </w:p>
    <w:p>
      <w:pPr>
        <w:spacing w:after="0" w:line="113" w:lineRule="exact"/>
        <w:rPr>
          <w:rFonts w:ascii="Arial" w:cs="Arial" w:eastAsia="Arial" w:hAnsi="Arial"/>
          <w:sz w:val="15"/>
          <w:szCs w:val="15"/>
          <w:color w:val="auto"/>
        </w:rPr>
      </w:pPr>
    </w:p>
    <w:p>
      <w:pPr>
        <w:ind w:left="1040" w:hanging="295"/>
        <w:spacing w:after="0"/>
        <w:tabs>
          <w:tab w:leader="none" w:pos="1040" w:val="left"/>
        </w:tabs>
        <w:numPr>
          <w:ilvl w:val="1"/>
          <w:numId w:val="60"/>
        </w:numPr>
        <w:rPr>
          <w:rFonts w:ascii="Arial" w:cs="Arial" w:eastAsia="Arial" w:hAnsi="Arial"/>
          <w:sz w:val="15"/>
          <w:szCs w:val="15"/>
          <w:color w:val="auto"/>
        </w:rPr>
      </w:pPr>
      <w:r>
        <w:rPr>
          <w:rFonts w:ascii="Arial" w:cs="Arial" w:eastAsia="Arial" w:hAnsi="Arial"/>
          <w:sz w:val="15"/>
          <w:szCs w:val="15"/>
          <w:color w:val="auto"/>
        </w:rPr>
        <w:t>Return On Investment Capital (“ROIC”) weighted approximately 25% of the equity award.</w:t>
      </w:r>
    </w:p>
    <w:p>
      <w:pPr>
        <w:spacing w:after="0" w:line="101" w:lineRule="exact"/>
        <w:rPr>
          <w:sz w:val="20"/>
          <w:szCs w:val="20"/>
          <w:color w:val="auto"/>
        </w:rPr>
      </w:pPr>
    </w:p>
    <w:p>
      <w:pPr>
        <w:ind w:left="440" w:right="300"/>
        <w:spacing w:after="0" w:line="276" w:lineRule="auto"/>
        <w:rPr>
          <w:sz w:val="20"/>
          <w:szCs w:val="20"/>
          <w:color w:val="auto"/>
        </w:rPr>
      </w:pPr>
      <w:r>
        <w:rPr>
          <w:rFonts w:ascii="Arial" w:cs="Arial" w:eastAsia="Arial" w:hAnsi="Arial"/>
          <w:sz w:val="15"/>
          <w:szCs w:val="15"/>
          <w:color w:val="auto"/>
        </w:rPr>
        <w:t>Rather than divide the remaining 50% of the target award between Options and time-based RSUs, the Committee determined to grant the second half of target value of the annual equity to the NEOs as time-based RSUs that vest annually over three years from the date of grant subject to continued service.</w:t>
      </w:r>
    </w:p>
    <w:p>
      <w:pPr>
        <w:spacing w:after="0" w:line="63" w:lineRule="exact"/>
        <w:rPr>
          <w:sz w:val="20"/>
          <w:szCs w:val="20"/>
          <w:color w:val="auto"/>
        </w:rPr>
      </w:pPr>
    </w:p>
    <w:p>
      <w:pPr>
        <w:ind w:left="440" w:right="160" w:hanging="217"/>
        <w:spacing w:after="0" w:line="259" w:lineRule="auto"/>
        <w:tabs>
          <w:tab w:leader="none" w:pos="41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Committee approved annual long-term equity incentive awards in March 2024 to the NEOs, excluding Mr. Hicks, with the total target grant value allocated across a mix of 50% performance-based and 50% time-based RSUs using the new 2024 equity award structure described above. Although Mr. Hicks did not participate in the 2024 executive annual Long-Term Incentive program, in connection with his assumption of the role of non-employee Chairman of the Board, Mr. Hicks received an annual grant in June 2024 in accordance with the non-employee director compensation policy.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Say on Pay (“SOP”) Vote Results</w:t>
      </w:r>
    </w:p>
    <w:p>
      <w:pPr>
        <w:spacing w:after="0" w:line="83" w:lineRule="exact"/>
        <w:rPr>
          <w:sz w:val="20"/>
          <w:szCs w:val="20"/>
          <w:color w:val="auto"/>
        </w:rPr>
      </w:pPr>
    </w:p>
    <w:p>
      <w:pPr>
        <w:ind w:right="180"/>
        <w:spacing w:after="0" w:line="293" w:lineRule="auto"/>
        <w:rPr>
          <w:sz w:val="20"/>
          <w:szCs w:val="20"/>
          <w:color w:val="auto"/>
        </w:rPr>
      </w:pPr>
      <w:r>
        <w:rPr>
          <w:rFonts w:ascii="Arial" w:cs="Arial" w:eastAsia="Arial" w:hAnsi="Arial"/>
          <w:sz w:val="15"/>
          <w:szCs w:val="15"/>
          <w:color w:val="auto"/>
        </w:rPr>
        <w:t>At our 2024 Annual Meeting of Stockholders, over 98% of votes cast were in support of the SOP proposal related to our executive compensation program for 2023. The Committee values stockholder input and considered the results of this vote. Given the strong level of support, the Committee did not make any changes to the compensation program as a result of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1275080</wp:posOffset>
            </wp:positionV>
            <wp:extent cx="7168515" cy="4127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979805</wp:posOffset>
            </wp:positionV>
            <wp:extent cx="789305" cy="18923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What We Do/What We Don’t Do</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We have implemented a number of compensation best practices in our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7080250" cy="318071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7080250" cy="31807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80" w:lineRule="exact"/>
        <w:rPr>
          <w:sz w:val="20"/>
          <w:szCs w:val="20"/>
          <w:color w:val="auto"/>
        </w:rPr>
      </w:pPr>
    </w:p>
    <w:p>
      <w:pPr>
        <w:ind w:left="2340"/>
        <w:spacing w:after="0"/>
        <w:rPr>
          <w:sz w:val="20"/>
          <w:szCs w:val="20"/>
          <w:color w:val="auto"/>
        </w:rPr>
      </w:pPr>
      <w:r>
        <w:rPr>
          <w:rFonts w:ascii="Arial" w:cs="Arial" w:eastAsia="Arial" w:hAnsi="Arial"/>
          <w:sz w:val="13"/>
          <w:szCs w:val="13"/>
          <w:b w:val="1"/>
          <w:bCs w:val="1"/>
          <w:color w:val="auto"/>
        </w:rPr>
        <w:t>What We Do</w:t>
      </w:r>
    </w:p>
    <w:p>
      <w:pPr>
        <w:spacing w:after="0" w:line="169" w:lineRule="exact"/>
        <w:rPr>
          <w:sz w:val="20"/>
          <w:szCs w:val="20"/>
          <w:color w:val="auto"/>
        </w:rPr>
      </w:pPr>
    </w:p>
    <w:p>
      <w:pPr>
        <w:ind w:left="820" w:hanging="571"/>
        <w:spacing w:after="0" w:line="264" w:lineRule="auto"/>
        <w:tabs>
          <w:tab w:leader="none" w:pos="820" w:val="left"/>
        </w:tabs>
        <w:numPr>
          <w:ilvl w:val="0"/>
          <w:numId w:val="62"/>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Committee comprised solely of independent non-employee directors. Committee conducts annual review and approval of our</w:t>
      </w:r>
    </w:p>
    <w:p>
      <w:pPr>
        <w:spacing w:after="0" w:line="3" w:lineRule="exact"/>
        <w:rPr>
          <w:rFonts w:ascii="Wingdings" w:cs="Wingdings" w:eastAsia="Wingdings" w:hAnsi="Wingdings"/>
          <w:sz w:val="30"/>
          <w:szCs w:val="30"/>
          <w:b w:val="1"/>
          <w:bCs w:val="1"/>
          <w:color w:val="auto"/>
          <w:shd w:val="clear" w:color="auto" w:fill="007EC4"/>
        </w:rPr>
      </w:pPr>
    </w:p>
    <w:p>
      <w:pPr>
        <w:ind w:left="820" w:right="180" w:hanging="571"/>
        <w:spacing w:after="0" w:line="187" w:lineRule="auto"/>
        <w:tabs>
          <w:tab w:leader="none" w:pos="820" w:val="left"/>
        </w:tabs>
        <w:numPr>
          <w:ilvl w:val="0"/>
          <w:numId w:val="62"/>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compensation strategy and performs an annual compensation risk assessment.</w:t>
      </w:r>
    </w:p>
    <w:p>
      <w:pPr>
        <w:spacing w:after="0" w:line="53" w:lineRule="exact"/>
        <w:rPr>
          <w:rFonts w:ascii="Wingdings" w:cs="Wingdings" w:eastAsia="Wingdings" w:hAnsi="Wingdings"/>
          <w:sz w:val="30"/>
          <w:szCs w:val="30"/>
          <w:b w:val="1"/>
          <w:bCs w:val="1"/>
          <w:color w:val="auto"/>
          <w:shd w:val="clear" w:color="auto" w:fill="007EC4"/>
        </w:rPr>
      </w:pPr>
    </w:p>
    <w:p>
      <w:pPr>
        <w:ind w:left="820"/>
        <w:spacing w:after="0"/>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Majority of compensation for our executive officers is “at risk” based</w:t>
      </w:r>
    </w:p>
    <w:p>
      <w:pPr>
        <w:spacing w:after="0" w:line="26" w:lineRule="exact"/>
        <w:rPr>
          <w:rFonts w:ascii="Wingdings" w:cs="Wingdings" w:eastAsia="Wingdings" w:hAnsi="Wingdings"/>
          <w:sz w:val="30"/>
          <w:szCs w:val="30"/>
          <w:b w:val="1"/>
          <w:bCs w:val="1"/>
          <w:color w:val="auto"/>
          <w:shd w:val="clear" w:color="auto" w:fill="007EC4"/>
        </w:rPr>
      </w:pPr>
    </w:p>
    <w:p>
      <w:pPr>
        <w:ind w:left="820" w:right="100" w:hanging="571"/>
        <w:spacing w:after="0" w:line="180" w:lineRule="auto"/>
        <w:tabs>
          <w:tab w:leader="none" w:pos="820" w:val="left"/>
        </w:tabs>
        <w:numPr>
          <w:ilvl w:val="0"/>
          <w:numId w:val="62"/>
        </w:numPr>
        <w:rPr>
          <w:rFonts w:ascii="Wingdings" w:cs="Wingdings" w:eastAsia="Wingdings" w:hAnsi="Wingdings"/>
          <w:sz w:val="43"/>
          <w:szCs w:val="43"/>
          <w:b w:val="1"/>
          <w:bCs w:val="1"/>
          <w:color w:val="auto"/>
          <w:vertAlign w:val="subscript"/>
          <w:shd w:val="clear" w:color="auto" w:fill="007EC4"/>
        </w:rPr>
      </w:pPr>
      <w:r>
        <w:rPr>
          <w:rFonts w:ascii="Arial" w:cs="Arial" w:eastAsia="Arial" w:hAnsi="Arial"/>
          <w:sz w:val="13"/>
          <w:szCs w:val="13"/>
          <w:color w:val="auto"/>
        </w:rPr>
        <w:t>on the Company’s performance, in the form of both short-term cash and long-term equity incentives to align the interests of our executive officers and stockholders.</w:t>
      </w:r>
    </w:p>
    <w:p>
      <w:pPr>
        <w:spacing w:after="0" w:line="51" w:lineRule="exact"/>
        <w:rPr>
          <w:rFonts w:ascii="Wingdings" w:cs="Wingdings" w:eastAsia="Wingdings" w:hAnsi="Wingdings"/>
          <w:sz w:val="43"/>
          <w:szCs w:val="43"/>
          <w:b w:val="1"/>
          <w:bCs w:val="1"/>
          <w:color w:val="auto"/>
          <w:vertAlign w:val="subscript"/>
          <w:shd w:val="clear" w:color="auto" w:fill="007EC4"/>
        </w:rPr>
      </w:pPr>
    </w:p>
    <w:p>
      <w:pPr>
        <w:ind w:left="820"/>
        <w:spacing w:after="0"/>
        <w:rPr>
          <w:rFonts w:ascii="Wingdings" w:cs="Wingdings" w:eastAsia="Wingdings" w:hAnsi="Wingdings"/>
          <w:sz w:val="43"/>
          <w:szCs w:val="43"/>
          <w:b w:val="1"/>
          <w:bCs w:val="1"/>
          <w:color w:val="auto"/>
          <w:vertAlign w:val="subscript"/>
          <w:shd w:val="clear" w:color="auto" w:fill="007EC4"/>
        </w:rPr>
      </w:pPr>
      <w:r>
        <w:rPr>
          <w:rFonts w:ascii="Arial" w:cs="Arial" w:eastAsia="Arial" w:hAnsi="Arial"/>
          <w:sz w:val="15"/>
          <w:szCs w:val="15"/>
          <w:color w:val="auto"/>
        </w:rPr>
        <w:t>Executive officers generally participate in broad-based company-</w:t>
      </w:r>
    </w:p>
    <w:p>
      <w:pPr>
        <w:spacing w:after="0" w:line="26" w:lineRule="exact"/>
        <w:rPr>
          <w:rFonts w:ascii="Wingdings" w:cs="Wingdings" w:eastAsia="Wingdings" w:hAnsi="Wingdings"/>
          <w:sz w:val="43"/>
          <w:szCs w:val="43"/>
          <w:b w:val="1"/>
          <w:bCs w:val="1"/>
          <w:color w:val="auto"/>
          <w:vertAlign w:val="subscript"/>
          <w:shd w:val="clear" w:color="auto" w:fill="007EC4"/>
        </w:rPr>
      </w:pPr>
    </w:p>
    <w:p>
      <w:pPr>
        <w:ind w:left="820" w:right="100" w:hanging="571"/>
        <w:spacing w:after="0" w:line="187" w:lineRule="auto"/>
        <w:tabs>
          <w:tab w:leader="none" w:pos="820" w:val="left"/>
        </w:tabs>
        <w:numPr>
          <w:ilvl w:val="0"/>
          <w:numId w:val="62"/>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sponsored health and welfare benefits programs on the same basis as our other full-time, salaried team members.</w:t>
      </w:r>
    </w:p>
    <w:p>
      <w:pPr>
        <w:spacing w:after="0" w:line="53" w:lineRule="exact"/>
        <w:rPr>
          <w:rFonts w:ascii="Wingdings" w:cs="Wingdings" w:eastAsia="Wingdings" w:hAnsi="Wingdings"/>
          <w:sz w:val="30"/>
          <w:szCs w:val="30"/>
          <w:b w:val="1"/>
          <w:bCs w:val="1"/>
          <w:color w:val="auto"/>
          <w:shd w:val="clear" w:color="auto" w:fill="007EC4"/>
        </w:rPr>
      </w:pPr>
    </w:p>
    <w:p>
      <w:pPr>
        <w:ind w:left="820"/>
        <w:spacing w:after="0"/>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RSUs granted to executive officers vest over multi-year periods. In</w:t>
      </w:r>
    </w:p>
    <w:p>
      <w:pPr>
        <w:spacing w:after="0" w:line="26" w:lineRule="exact"/>
        <w:rPr>
          <w:rFonts w:ascii="Wingdings" w:cs="Wingdings" w:eastAsia="Wingdings" w:hAnsi="Wingdings"/>
          <w:sz w:val="30"/>
          <w:szCs w:val="30"/>
          <w:b w:val="1"/>
          <w:bCs w:val="1"/>
          <w:color w:val="auto"/>
          <w:shd w:val="clear" w:color="auto" w:fill="007EC4"/>
        </w:rPr>
      </w:pPr>
    </w:p>
    <w:p>
      <w:pPr>
        <w:ind w:left="820" w:right="140" w:hanging="571"/>
        <w:spacing w:after="0" w:line="187" w:lineRule="auto"/>
        <w:tabs>
          <w:tab w:leader="none" w:pos="820" w:val="left"/>
        </w:tabs>
        <w:numPr>
          <w:ilvl w:val="0"/>
          <w:numId w:val="62"/>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addition, certain RSUs granted to our executive officers are subject to performance-based vesting requirements.</w:t>
      </w:r>
    </w:p>
    <w:p>
      <w:pPr>
        <w:spacing w:after="0" w:line="4" w:lineRule="exact"/>
        <w:rPr>
          <w:rFonts w:ascii="Wingdings" w:cs="Wingdings" w:eastAsia="Wingdings" w:hAnsi="Wingdings"/>
          <w:sz w:val="30"/>
          <w:szCs w:val="30"/>
          <w:b w:val="1"/>
          <w:bCs w:val="1"/>
          <w:color w:val="auto"/>
          <w:shd w:val="clear" w:color="auto" w:fill="007EC4"/>
        </w:rPr>
      </w:pPr>
    </w:p>
    <w:p>
      <w:pPr>
        <w:ind w:left="820" w:hanging="571"/>
        <w:spacing w:after="0"/>
        <w:tabs>
          <w:tab w:leader="none" w:pos="820" w:val="left"/>
        </w:tabs>
        <w:numPr>
          <w:ilvl w:val="0"/>
          <w:numId w:val="62"/>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Maintain stock ownership requirements for our NEOs.</w:t>
      </w:r>
    </w:p>
    <w:p>
      <w:pPr>
        <w:spacing w:after="0" w:line="163" w:lineRule="exact"/>
        <w:rPr>
          <w:rFonts w:ascii="Wingdings" w:cs="Wingdings" w:eastAsia="Wingdings" w:hAnsi="Wingdings"/>
          <w:sz w:val="30"/>
          <w:szCs w:val="30"/>
          <w:b w:val="1"/>
          <w:bCs w:val="1"/>
          <w:color w:val="auto"/>
          <w:shd w:val="clear" w:color="auto" w:fill="007EC4"/>
        </w:rPr>
      </w:pPr>
    </w:p>
    <w:p>
      <w:pPr>
        <w:ind w:left="820"/>
        <w:spacing w:after="0"/>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Apply a Company financial performance threshold gate for annual</w:t>
      </w:r>
    </w:p>
    <w:p>
      <w:pPr>
        <w:spacing w:after="0" w:line="26" w:lineRule="exact"/>
        <w:rPr>
          <w:rFonts w:ascii="Wingdings" w:cs="Wingdings" w:eastAsia="Wingdings" w:hAnsi="Wingdings"/>
          <w:sz w:val="30"/>
          <w:szCs w:val="30"/>
          <w:b w:val="1"/>
          <w:bCs w:val="1"/>
          <w:color w:val="auto"/>
          <w:shd w:val="clear" w:color="auto" w:fill="007EC4"/>
        </w:rPr>
      </w:pPr>
    </w:p>
    <w:p>
      <w:pPr>
        <w:ind w:left="820" w:right="180" w:hanging="571"/>
        <w:spacing w:after="0" w:line="187" w:lineRule="auto"/>
        <w:tabs>
          <w:tab w:leader="none" w:pos="820" w:val="left"/>
        </w:tabs>
        <w:numPr>
          <w:ilvl w:val="0"/>
          <w:numId w:val="62"/>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bonus payouts – the Company must achieve 80% of the Adj. EBIT target for participants to receive any annual bonus payout.</w:t>
      </w:r>
    </w:p>
    <w:p>
      <w:pPr>
        <w:spacing w:after="0" w:line="53" w:lineRule="exact"/>
        <w:rPr>
          <w:rFonts w:ascii="Wingdings" w:cs="Wingdings" w:eastAsia="Wingdings" w:hAnsi="Wingdings"/>
          <w:sz w:val="30"/>
          <w:szCs w:val="30"/>
          <w:b w:val="1"/>
          <w:bCs w:val="1"/>
          <w:color w:val="auto"/>
          <w:shd w:val="clear" w:color="auto" w:fill="007EC4"/>
        </w:rPr>
      </w:pPr>
    </w:p>
    <w:p>
      <w:pPr>
        <w:ind w:left="820" w:right="680" w:hanging="571"/>
        <w:spacing w:after="0"/>
        <w:tabs>
          <w:tab w:leader="none" w:pos="820" w:val="left"/>
        </w:tabs>
        <w:numPr>
          <w:ilvl w:val="0"/>
          <w:numId w:val="62"/>
        </w:numPr>
        <w:rPr>
          <w:rFonts w:ascii="Wingdings" w:cs="Wingdings" w:eastAsia="Wingdings" w:hAnsi="Wingdings"/>
          <w:sz w:val="35"/>
          <w:szCs w:val="35"/>
          <w:b w:val="1"/>
          <w:bCs w:val="1"/>
          <w:color w:val="auto"/>
          <w:vertAlign w:val="subscript"/>
          <w:shd w:val="clear" w:color="auto" w:fill="007EC4"/>
        </w:rPr>
      </w:pPr>
      <w:r>
        <w:rPr>
          <w:rFonts w:ascii="Arial" w:cs="Arial" w:eastAsia="Arial" w:hAnsi="Arial"/>
          <w:sz w:val="12"/>
          <w:szCs w:val="12"/>
          <w:color w:val="auto"/>
        </w:rPr>
        <w:t>Maintain a clawback policy covering our key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1050925</wp:posOffset>
            </wp:positionV>
            <wp:extent cx="7168515" cy="4127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center"/>
        <w:ind w:right="348"/>
        <w:spacing w:after="0"/>
        <w:rPr>
          <w:sz w:val="20"/>
          <w:szCs w:val="20"/>
          <w:color w:val="auto"/>
        </w:rPr>
      </w:pPr>
      <w:r>
        <w:rPr>
          <w:rFonts w:ascii="Arial" w:cs="Arial" w:eastAsia="Arial" w:hAnsi="Arial"/>
          <w:sz w:val="13"/>
          <w:szCs w:val="13"/>
          <w:b w:val="1"/>
          <w:bCs w:val="1"/>
          <w:color w:val="auto"/>
        </w:rPr>
        <w:t>What We Don’t Do</w:t>
      </w:r>
    </w:p>
    <w:p>
      <w:pPr>
        <w:spacing w:after="0" w:line="42" w:lineRule="exact"/>
        <w:rPr>
          <w:sz w:val="20"/>
          <w:szCs w:val="20"/>
          <w:color w:val="auto"/>
        </w:rPr>
      </w:pPr>
    </w:p>
    <w:p>
      <w:pPr>
        <w:ind w:left="472"/>
        <w:spacing w:after="0"/>
        <w:rPr>
          <w:sz w:val="20"/>
          <w:szCs w:val="20"/>
          <w:color w:val="auto"/>
        </w:rPr>
      </w:pPr>
      <w:r>
        <w:rPr>
          <w:rFonts w:ascii="Arial" w:cs="Arial" w:eastAsia="Arial" w:hAnsi="Arial"/>
          <w:sz w:val="15"/>
          <w:szCs w:val="15"/>
          <w:color w:val="auto"/>
        </w:rPr>
        <w:t>We do not offer defined benefit pension arrangements or non-</w:t>
      </w:r>
    </w:p>
    <w:p>
      <w:pPr>
        <w:spacing w:after="0" w:line="66" w:lineRule="exact"/>
        <w:rPr>
          <w:sz w:val="20"/>
          <w:szCs w:val="20"/>
          <w:color w:val="auto"/>
        </w:rPr>
      </w:pPr>
    </w:p>
    <w:p>
      <w:pPr>
        <w:ind w:left="472" w:right="720" w:hanging="472"/>
        <w:spacing w:after="0" w:line="196" w:lineRule="auto"/>
        <w:tabs>
          <w:tab w:leader="none" w:pos="472" w:val="left"/>
        </w:tabs>
        <w:numPr>
          <w:ilvl w:val="0"/>
          <w:numId w:val="63"/>
        </w:numPr>
        <w:rPr>
          <w:rFonts w:ascii="Arial" w:cs="Arial" w:eastAsia="Arial" w:hAnsi="Arial"/>
          <w:sz w:val="27"/>
          <w:szCs w:val="27"/>
          <w:b w:val="1"/>
          <w:bCs w:val="1"/>
          <w:color w:val="EF3B35"/>
        </w:rPr>
      </w:pPr>
      <w:r>
        <w:rPr>
          <w:rFonts w:ascii="Arial" w:cs="Arial" w:eastAsia="Arial" w:hAnsi="Arial"/>
          <w:sz w:val="15"/>
          <w:szCs w:val="15"/>
          <w:color w:val="auto"/>
        </w:rPr>
        <w:t>qualified deferred compensation plans or arrangements to our executive officers.</w:t>
      </w:r>
    </w:p>
    <w:p>
      <w:pPr>
        <w:spacing w:after="0" w:line="53" w:lineRule="exact"/>
        <w:rPr>
          <w:rFonts w:ascii="Arial" w:cs="Arial" w:eastAsia="Arial" w:hAnsi="Arial"/>
          <w:sz w:val="27"/>
          <w:szCs w:val="27"/>
          <w:b w:val="1"/>
          <w:bCs w:val="1"/>
          <w:color w:val="EF3B35"/>
        </w:rPr>
      </w:pPr>
    </w:p>
    <w:p>
      <w:pPr>
        <w:jc w:val="both"/>
        <w:ind w:left="472" w:right="660" w:hanging="472"/>
        <w:spacing w:after="0" w:line="187" w:lineRule="auto"/>
        <w:tabs>
          <w:tab w:leader="none" w:pos="472" w:val="left"/>
        </w:tabs>
        <w:numPr>
          <w:ilvl w:val="0"/>
          <w:numId w:val="63"/>
        </w:numPr>
        <w:rPr>
          <w:rFonts w:ascii="Arial" w:cs="Arial" w:eastAsia="Arial" w:hAnsi="Arial"/>
          <w:sz w:val="32"/>
          <w:szCs w:val="32"/>
          <w:b w:val="1"/>
          <w:bCs w:val="1"/>
          <w:color w:val="EF3B35"/>
          <w:vertAlign w:val="subscript"/>
        </w:rPr>
      </w:pPr>
      <w:r>
        <w:rPr>
          <w:rFonts w:ascii="Arial" w:cs="Arial" w:eastAsia="Arial" w:hAnsi="Arial"/>
          <w:sz w:val="12"/>
          <w:szCs w:val="12"/>
          <w:color w:val="auto"/>
        </w:rPr>
        <w:t>We do not provide any tax reimbursement payments (including “gross-ups”) on any severance or change-in-control payments.</w:t>
      </w:r>
    </w:p>
    <w:p>
      <w:pPr>
        <w:spacing w:after="0" w:line="1" w:lineRule="exact"/>
        <w:rPr>
          <w:rFonts w:ascii="Arial" w:cs="Arial" w:eastAsia="Arial" w:hAnsi="Arial"/>
          <w:sz w:val="32"/>
          <w:szCs w:val="32"/>
          <w:b w:val="1"/>
          <w:bCs w:val="1"/>
          <w:color w:val="EF3B35"/>
          <w:vertAlign w:val="subscript"/>
        </w:rPr>
      </w:pPr>
    </w:p>
    <w:p>
      <w:pPr>
        <w:ind w:left="472" w:hanging="472"/>
        <w:spacing w:after="0"/>
        <w:tabs>
          <w:tab w:leader="none" w:pos="472" w:val="left"/>
        </w:tabs>
        <w:numPr>
          <w:ilvl w:val="0"/>
          <w:numId w:val="63"/>
        </w:numPr>
        <w:rPr>
          <w:rFonts w:ascii="Arial" w:cs="Arial" w:eastAsia="Arial" w:hAnsi="Arial"/>
          <w:sz w:val="27"/>
          <w:szCs w:val="27"/>
          <w:b w:val="1"/>
          <w:bCs w:val="1"/>
          <w:color w:val="EF3B35"/>
        </w:rPr>
      </w:pPr>
      <w:r>
        <w:rPr>
          <w:rFonts w:ascii="Arial" w:cs="Arial" w:eastAsia="Arial" w:hAnsi="Arial"/>
          <w:sz w:val="15"/>
          <w:szCs w:val="15"/>
          <w:color w:val="auto"/>
        </w:rPr>
        <w:t>We will not reprice Options without stockholder approval.</w:t>
      </w:r>
    </w:p>
    <w:p>
      <w:pPr>
        <w:spacing w:after="0" w:line="126" w:lineRule="exact"/>
        <w:rPr>
          <w:rFonts w:ascii="Arial" w:cs="Arial" w:eastAsia="Arial" w:hAnsi="Arial"/>
          <w:sz w:val="27"/>
          <w:szCs w:val="27"/>
          <w:b w:val="1"/>
          <w:bCs w:val="1"/>
          <w:color w:val="EF3B35"/>
        </w:rPr>
      </w:pPr>
    </w:p>
    <w:p>
      <w:pPr>
        <w:ind w:left="472"/>
        <w:spacing w:after="0"/>
        <w:rPr>
          <w:rFonts w:ascii="Arial" w:cs="Arial" w:eastAsia="Arial" w:hAnsi="Arial"/>
          <w:sz w:val="27"/>
          <w:szCs w:val="27"/>
          <w:b w:val="1"/>
          <w:bCs w:val="1"/>
          <w:color w:val="EF3B35"/>
        </w:rPr>
      </w:pPr>
      <w:r>
        <w:rPr>
          <w:rFonts w:ascii="Arial" w:cs="Arial" w:eastAsia="Arial" w:hAnsi="Arial"/>
          <w:sz w:val="14"/>
          <w:szCs w:val="14"/>
          <w:color w:val="auto"/>
        </w:rPr>
        <w:t>Our executive officers are prohibited from hedging our securities,</w:t>
      </w:r>
    </w:p>
    <w:p>
      <w:pPr>
        <w:spacing w:after="0" w:line="37" w:lineRule="exact"/>
        <w:rPr>
          <w:rFonts w:ascii="Arial" w:cs="Arial" w:eastAsia="Arial" w:hAnsi="Arial"/>
          <w:sz w:val="27"/>
          <w:szCs w:val="27"/>
          <w:b w:val="1"/>
          <w:bCs w:val="1"/>
          <w:color w:val="EF3B35"/>
        </w:rPr>
      </w:pPr>
    </w:p>
    <w:p>
      <w:pPr>
        <w:ind w:left="472" w:right="860" w:hanging="472"/>
        <w:spacing w:after="0" w:line="196" w:lineRule="auto"/>
        <w:tabs>
          <w:tab w:leader="none" w:pos="472" w:val="left"/>
        </w:tabs>
        <w:numPr>
          <w:ilvl w:val="0"/>
          <w:numId w:val="63"/>
        </w:numPr>
        <w:rPr>
          <w:rFonts w:ascii="Arial" w:cs="Arial" w:eastAsia="Arial" w:hAnsi="Arial"/>
          <w:sz w:val="27"/>
          <w:szCs w:val="27"/>
          <w:b w:val="1"/>
          <w:bCs w:val="1"/>
          <w:color w:val="EF3B35"/>
        </w:rPr>
      </w:pPr>
      <w:r>
        <w:rPr>
          <w:rFonts w:ascii="Arial" w:cs="Arial" w:eastAsia="Arial" w:hAnsi="Arial"/>
          <w:sz w:val="15"/>
          <w:szCs w:val="15"/>
          <w:color w:val="auto"/>
        </w:rPr>
        <w:t>pledging our securities as collateral for loans, or holding our securities in margins accounts.</w:t>
      </w:r>
    </w:p>
    <w:p>
      <w:pPr>
        <w:spacing w:after="0" w:line="53" w:lineRule="exact"/>
        <w:rPr>
          <w:rFonts w:ascii="Arial" w:cs="Arial" w:eastAsia="Arial" w:hAnsi="Arial"/>
          <w:sz w:val="27"/>
          <w:szCs w:val="27"/>
          <w:b w:val="1"/>
          <w:bCs w:val="1"/>
          <w:color w:val="EF3B35"/>
        </w:rPr>
      </w:pPr>
    </w:p>
    <w:p>
      <w:pPr>
        <w:ind w:left="472" w:right="680" w:hanging="472"/>
        <w:spacing w:after="0" w:line="187" w:lineRule="auto"/>
        <w:tabs>
          <w:tab w:leader="none" w:pos="472" w:val="left"/>
        </w:tabs>
        <w:numPr>
          <w:ilvl w:val="0"/>
          <w:numId w:val="63"/>
        </w:numPr>
        <w:rPr>
          <w:rFonts w:ascii="Arial" w:cs="Arial" w:eastAsia="Arial" w:hAnsi="Arial"/>
          <w:sz w:val="32"/>
          <w:szCs w:val="32"/>
          <w:b w:val="1"/>
          <w:bCs w:val="1"/>
          <w:color w:val="EF3B35"/>
          <w:vertAlign w:val="subscript"/>
        </w:rPr>
      </w:pPr>
      <w:r>
        <w:rPr>
          <w:rFonts w:ascii="Arial" w:cs="Arial" w:eastAsia="Arial" w:hAnsi="Arial"/>
          <w:sz w:val="12"/>
          <w:szCs w:val="12"/>
          <w:color w:val="auto"/>
        </w:rPr>
        <w:t>We do not apply single-trigger vesting to equity awards upon a change of control.</w:t>
      </w:r>
    </w:p>
    <w:p>
      <w:pPr>
        <w:spacing w:after="0" w:line="53" w:lineRule="exact"/>
        <w:rPr>
          <w:rFonts w:ascii="Arial" w:cs="Arial" w:eastAsia="Arial" w:hAnsi="Arial"/>
          <w:sz w:val="32"/>
          <w:szCs w:val="32"/>
          <w:b w:val="1"/>
          <w:bCs w:val="1"/>
          <w:color w:val="EF3B35"/>
          <w:vertAlign w:val="subscript"/>
        </w:rPr>
      </w:pPr>
    </w:p>
    <w:p>
      <w:pPr>
        <w:ind w:left="472" w:right="660" w:hanging="472"/>
        <w:spacing w:after="0" w:line="206" w:lineRule="auto"/>
        <w:tabs>
          <w:tab w:leader="none" w:pos="472" w:val="left"/>
        </w:tabs>
        <w:numPr>
          <w:ilvl w:val="0"/>
          <w:numId w:val="63"/>
        </w:numPr>
        <w:rPr>
          <w:rFonts w:ascii="Arial" w:cs="Arial" w:eastAsia="Arial" w:hAnsi="Arial"/>
          <w:sz w:val="40"/>
          <w:szCs w:val="40"/>
          <w:b w:val="1"/>
          <w:bCs w:val="1"/>
          <w:color w:val="EF3B35"/>
          <w:vertAlign w:val="subscript"/>
        </w:rPr>
      </w:pPr>
      <w:r>
        <w:rPr>
          <w:rFonts w:ascii="Arial" w:cs="Arial" w:eastAsia="Arial" w:hAnsi="Arial"/>
          <w:sz w:val="13"/>
          <w:szCs w:val="13"/>
          <w:color w:val="auto"/>
        </w:rPr>
        <w:t>We do not pay dividends or dividend equivalents on any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2564130</wp:posOffset>
            </wp:positionH>
            <wp:positionV relativeFrom="paragraph">
              <wp:posOffset>1864360</wp:posOffset>
            </wp:positionV>
            <wp:extent cx="789305" cy="18923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5360" w:space="608"/>
            <w:col w:w="5272"/>
          </w:cols>
          <w:pgMar w:left="320" w:top="132"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3"/>
          <w:szCs w:val="13"/>
          <w:b w:val="1"/>
          <w:bCs w:val="1"/>
          <w:color w:val="007EC4"/>
        </w:rPr>
        <w:t xml:space="preserve">50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2024 Executive Compensation Program Details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Executive Compensation Objectives and Philosophy</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goal of our executive officer compensation program is to create long-term value for our stockholders, reward our executive officers for superior financial and operating performance, and support retention in a competitive market environment. We believe the most effective way to achieve these objectives is to design an executive officer compensation program that drives the achievement of annual, long-term and strategic goals and that aligns executive officers’ interests with those of our stockholders. The following are the core elements of our executive officer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4686935</wp:posOffset>
            </wp:positionV>
            <wp:extent cx="7168515" cy="4127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1207135</wp:posOffset>
            </wp:positionH>
            <wp:positionV relativeFrom="paragraph">
              <wp:posOffset>168910</wp:posOffset>
            </wp:positionV>
            <wp:extent cx="4735830" cy="31965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4735830" cy="3196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4391660</wp:posOffset>
            </wp:positionV>
            <wp:extent cx="789305" cy="18923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Elements of 2024 NEO Compensation Program</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There are three key elements of our executive officer compensation program:</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0" w:type="dxa"/>
            <w:vAlign w:val="bottom"/>
            <w:shd w:val="clear" w:color="auto" w:fill="E1D7AC"/>
          </w:tcPr>
          <w:p>
            <w:pPr>
              <w:spacing w:after="0"/>
              <w:rPr>
                <w:sz w:val="23"/>
                <w:szCs w:val="23"/>
                <w:color w:val="auto"/>
              </w:rPr>
            </w:pPr>
          </w:p>
        </w:tc>
        <w:tc>
          <w:tcPr>
            <w:tcW w:w="760" w:type="dxa"/>
            <w:vAlign w:val="bottom"/>
            <w:shd w:val="clear" w:color="auto" w:fill="E1D7AC"/>
          </w:tcPr>
          <w:p>
            <w:pPr>
              <w:ind w:left="20"/>
              <w:spacing w:after="0"/>
              <w:rPr>
                <w:sz w:val="20"/>
                <w:szCs w:val="20"/>
                <w:color w:val="auto"/>
              </w:rPr>
            </w:pPr>
            <w:r>
              <w:rPr>
                <w:rFonts w:ascii="Arial" w:cs="Arial" w:eastAsia="Arial" w:hAnsi="Arial"/>
                <w:sz w:val="13"/>
                <w:szCs w:val="13"/>
                <w:b w:val="1"/>
                <w:bCs w:val="1"/>
                <w:color w:val="auto"/>
                <w:w w:val="99"/>
                <w:shd w:val="clear" w:color="auto" w:fill="E1D7AC"/>
              </w:rPr>
              <w:t>Component</w:t>
            </w:r>
          </w:p>
        </w:tc>
        <w:tc>
          <w:tcPr>
            <w:tcW w:w="4360" w:type="dxa"/>
            <w:vAlign w:val="bottom"/>
            <w:shd w:val="clear" w:color="auto" w:fill="E1D7AC"/>
          </w:tcPr>
          <w:p>
            <w:pPr>
              <w:ind w:left="960"/>
              <w:spacing w:after="0"/>
              <w:rPr>
                <w:sz w:val="20"/>
                <w:szCs w:val="20"/>
                <w:color w:val="auto"/>
              </w:rPr>
            </w:pPr>
            <w:r>
              <w:rPr>
                <w:rFonts w:ascii="Arial" w:cs="Arial" w:eastAsia="Arial" w:hAnsi="Arial"/>
                <w:sz w:val="13"/>
                <w:szCs w:val="13"/>
                <w:b w:val="1"/>
                <w:bCs w:val="1"/>
                <w:color w:val="auto"/>
              </w:rPr>
              <w:t>Purpose</w:t>
            </w:r>
          </w:p>
        </w:tc>
        <w:tc>
          <w:tcPr>
            <w:tcW w:w="6040" w:type="dxa"/>
            <w:vAlign w:val="bottom"/>
            <w:shd w:val="clear" w:color="auto" w:fill="E1D7AC"/>
          </w:tcPr>
          <w:p>
            <w:pPr>
              <w:ind w:left="740"/>
              <w:spacing w:after="0"/>
              <w:rPr>
                <w:sz w:val="20"/>
                <w:szCs w:val="20"/>
                <w:color w:val="auto"/>
              </w:rPr>
            </w:pPr>
            <w:r>
              <w:rPr>
                <w:rFonts w:ascii="Arial" w:cs="Arial" w:eastAsia="Arial" w:hAnsi="Arial"/>
                <w:sz w:val="13"/>
                <w:szCs w:val="13"/>
                <w:b w:val="1"/>
                <w:bCs w:val="1"/>
                <w:color w:val="auto"/>
              </w:rPr>
              <w:t>Overview</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760" w:type="dxa"/>
            <w:vAlign w:val="bottom"/>
            <w:shd w:val="clear" w:color="auto" w:fill="E1D7AC"/>
          </w:tcPr>
          <w:p>
            <w:pPr>
              <w:spacing w:after="0"/>
              <w:rPr>
                <w:sz w:val="12"/>
                <w:szCs w:val="12"/>
                <w:color w:val="auto"/>
              </w:rPr>
            </w:pPr>
          </w:p>
        </w:tc>
        <w:tc>
          <w:tcPr>
            <w:tcW w:w="4360" w:type="dxa"/>
            <w:vAlign w:val="bottom"/>
            <w:shd w:val="clear" w:color="auto" w:fill="E1D7AC"/>
          </w:tcPr>
          <w:p>
            <w:pPr>
              <w:spacing w:after="0"/>
              <w:rPr>
                <w:sz w:val="12"/>
                <w:szCs w:val="12"/>
                <w:color w:val="auto"/>
              </w:rPr>
            </w:pPr>
          </w:p>
        </w:tc>
        <w:tc>
          <w:tcPr>
            <w:tcW w:w="6040" w:type="dxa"/>
            <w:vAlign w:val="bottom"/>
            <w:shd w:val="clear" w:color="auto" w:fill="E1D7AC"/>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80" w:type="dxa"/>
            <w:vAlign w:val="bottom"/>
            <w:shd w:val="clear" w:color="auto" w:fill="DBDBDB"/>
          </w:tcPr>
          <w:p>
            <w:pPr>
              <w:spacing w:after="0"/>
              <w:rPr>
                <w:sz w:val="24"/>
                <w:szCs w:val="24"/>
                <w:color w:val="auto"/>
              </w:rPr>
            </w:pPr>
          </w:p>
        </w:tc>
        <w:tc>
          <w:tcPr>
            <w:tcW w:w="760" w:type="dxa"/>
            <w:vAlign w:val="bottom"/>
            <w:vMerge w:val="restart"/>
            <w:shd w:val="clear" w:color="auto" w:fill="DBDBDB"/>
          </w:tcPr>
          <w:p>
            <w:pPr>
              <w:ind w:left="20"/>
              <w:spacing w:after="0"/>
              <w:rPr>
                <w:sz w:val="20"/>
                <w:szCs w:val="20"/>
                <w:color w:val="auto"/>
              </w:rPr>
            </w:pPr>
            <w:r>
              <w:rPr>
                <w:rFonts w:ascii="Arial" w:cs="Arial" w:eastAsia="Arial" w:hAnsi="Arial"/>
                <w:sz w:val="13"/>
                <w:szCs w:val="13"/>
                <w:b w:val="1"/>
                <w:bCs w:val="1"/>
                <w:color w:val="auto"/>
                <w:w w:val="99"/>
              </w:rPr>
              <w:t>Base salary</w:t>
            </w:r>
          </w:p>
        </w:tc>
        <w:tc>
          <w:tcPr>
            <w:tcW w:w="4360" w:type="dxa"/>
            <w:vAlign w:val="bottom"/>
            <w:vMerge w:val="restart"/>
            <w:shd w:val="clear" w:color="auto" w:fill="DBDBDB"/>
          </w:tcPr>
          <w:p>
            <w:pPr>
              <w:ind w:left="960"/>
              <w:spacing w:after="0"/>
              <w:rPr>
                <w:sz w:val="20"/>
                <w:szCs w:val="20"/>
                <w:color w:val="auto"/>
              </w:rPr>
            </w:pPr>
            <w:r>
              <w:rPr>
                <w:rFonts w:ascii="Arial" w:cs="Arial" w:eastAsia="Arial" w:hAnsi="Arial"/>
                <w:sz w:val="13"/>
                <w:szCs w:val="13"/>
                <w:color w:val="auto"/>
              </w:rPr>
              <w:t>Compensate for services rendered each year</w:t>
            </w:r>
          </w:p>
        </w:tc>
        <w:tc>
          <w:tcPr>
            <w:tcW w:w="6040" w:type="dxa"/>
            <w:vAlign w:val="bottom"/>
            <w:shd w:val="clear" w:color="auto" w:fill="DBDBDB"/>
          </w:tcPr>
          <w:p>
            <w:pPr>
              <w:ind w:left="740"/>
              <w:spacing w:after="0"/>
              <w:rPr>
                <w:sz w:val="20"/>
                <w:szCs w:val="20"/>
                <w:color w:val="auto"/>
              </w:rPr>
            </w:pPr>
            <w:r>
              <w:rPr>
                <w:rFonts w:ascii="Arial" w:cs="Arial" w:eastAsia="Arial" w:hAnsi="Arial"/>
                <w:sz w:val="13"/>
                <w:szCs w:val="13"/>
                <w:color w:val="auto"/>
              </w:rPr>
              <w:t>Based on position, experience, job responsibilities, market, internal pay equity, and</w:t>
            </w:r>
          </w:p>
        </w:tc>
        <w:tc>
          <w:tcPr>
            <w:tcW w:w="0" w:type="dxa"/>
            <w:vAlign w:val="bottom"/>
          </w:tcPr>
          <w:p>
            <w:pPr>
              <w:spacing w:after="0"/>
              <w:rPr>
                <w:sz w:val="1"/>
                <w:szCs w:val="1"/>
                <w:color w:val="auto"/>
              </w:rPr>
            </w:pPr>
          </w:p>
        </w:tc>
      </w:tr>
      <w:tr>
        <w:trPr>
          <w:trHeight w:val="93"/>
        </w:trPr>
        <w:tc>
          <w:tcPr>
            <w:tcW w:w="80" w:type="dxa"/>
            <w:vAlign w:val="bottom"/>
            <w:shd w:val="clear" w:color="auto" w:fill="DBDBDB"/>
          </w:tcPr>
          <w:p>
            <w:pPr>
              <w:spacing w:after="0"/>
              <w:rPr>
                <w:sz w:val="8"/>
                <w:szCs w:val="8"/>
                <w:color w:val="auto"/>
              </w:rPr>
            </w:pPr>
          </w:p>
        </w:tc>
        <w:tc>
          <w:tcPr>
            <w:tcW w:w="760" w:type="dxa"/>
            <w:vAlign w:val="bottom"/>
            <w:vMerge w:val="continue"/>
            <w:shd w:val="clear" w:color="auto" w:fill="DBDBDB"/>
          </w:tcPr>
          <w:p>
            <w:pPr>
              <w:spacing w:after="0"/>
              <w:rPr>
                <w:sz w:val="8"/>
                <w:szCs w:val="8"/>
                <w:color w:val="auto"/>
              </w:rPr>
            </w:pPr>
          </w:p>
        </w:tc>
        <w:tc>
          <w:tcPr>
            <w:tcW w:w="4360" w:type="dxa"/>
            <w:vAlign w:val="bottom"/>
            <w:vMerge w:val="continue"/>
            <w:shd w:val="clear" w:color="auto" w:fill="DBDBDB"/>
          </w:tcPr>
          <w:p>
            <w:pPr>
              <w:spacing w:after="0"/>
              <w:rPr>
                <w:sz w:val="8"/>
                <w:szCs w:val="8"/>
                <w:color w:val="auto"/>
              </w:rPr>
            </w:pPr>
          </w:p>
        </w:tc>
        <w:tc>
          <w:tcPr>
            <w:tcW w:w="6040" w:type="dxa"/>
            <w:vAlign w:val="bottom"/>
            <w:vMerge w:val="restart"/>
            <w:shd w:val="clear" w:color="auto" w:fill="DBDBDB"/>
          </w:tcPr>
          <w:p>
            <w:pPr>
              <w:ind w:left="740"/>
              <w:spacing w:after="0"/>
              <w:rPr>
                <w:sz w:val="20"/>
                <w:szCs w:val="20"/>
                <w:color w:val="auto"/>
              </w:rPr>
            </w:pPr>
            <w:r>
              <w:rPr>
                <w:rFonts w:ascii="Arial" w:cs="Arial" w:eastAsia="Arial" w:hAnsi="Arial"/>
                <w:sz w:val="13"/>
                <w:szCs w:val="13"/>
                <w:color w:val="auto"/>
              </w:rPr>
              <w:t>individual performance</w:t>
            </w:r>
          </w:p>
        </w:tc>
        <w:tc>
          <w:tcPr>
            <w:tcW w:w="0" w:type="dxa"/>
            <w:vAlign w:val="bottom"/>
          </w:tcPr>
          <w:p>
            <w:pPr>
              <w:spacing w:after="0"/>
              <w:rPr>
                <w:sz w:val="1"/>
                <w:szCs w:val="1"/>
                <w:color w:val="auto"/>
              </w:rPr>
            </w:pPr>
          </w:p>
        </w:tc>
      </w:tr>
      <w:tr>
        <w:trPr>
          <w:trHeight w:val="81"/>
        </w:trPr>
        <w:tc>
          <w:tcPr>
            <w:tcW w:w="80" w:type="dxa"/>
            <w:vAlign w:val="bottom"/>
            <w:shd w:val="clear" w:color="auto" w:fill="DBDBDB"/>
          </w:tcPr>
          <w:p>
            <w:pPr>
              <w:spacing w:after="0"/>
              <w:rPr>
                <w:sz w:val="7"/>
                <w:szCs w:val="7"/>
                <w:color w:val="auto"/>
              </w:rPr>
            </w:pPr>
          </w:p>
        </w:tc>
        <w:tc>
          <w:tcPr>
            <w:tcW w:w="760" w:type="dxa"/>
            <w:vAlign w:val="bottom"/>
            <w:shd w:val="clear" w:color="auto" w:fill="DBDBDB"/>
          </w:tcPr>
          <w:p>
            <w:pPr>
              <w:spacing w:after="0"/>
              <w:rPr>
                <w:sz w:val="7"/>
                <w:szCs w:val="7"/>
                <w:color w:val="auto"/>
              </w:rPr>
            </w:pPr>
          </w:p>
        </w:tc>
        <w:tc>
          <w:tcPr>
            <w:tcW w:w="4360" w:type="dxa"/>
            <w:vAlign w:val="bottom"/>
            <w:shd w:val="clear" w:color="auto" w:fill="DBDBDB"/>
          </w:tcPr>
          <w:p>
            <w:pPr>
              <w:spacing w:after="0"/>
              <w:rPr>
                <w:sz w:val="7"/>
                <w:szCs w:val="7"/>
                <w:color w:val="auto"/>
              </w:rPr>
            </w:pPr>
          </w:p>
        </w:tc>
        <w:tc>
          <w:tcPr>
            <w:tcW w:w="604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80" w:type="dxa"/>
            <w:vAlign w:val="bottom"/>
            <w:shd w:val="clear" w:color="auto" w:fill="DBDBDB"/>
          </w:tcPr>
          <w:p>
            <w:pPr>
              <w:spacing w:after="0"/>
              <w:rPr>
                <w:sz w:val="11"/>
                <w:szCs w:val="11"/>
                <w:color w:val="auto"/>
              </w:rPr>
            </w:pPr>
          </w:p>
        </w:tc>
        <w:tc>
          <w:tcPr>
            <w:tcW w:w="760" w:type="dxa"/>
            <w:vAlign w:val="bottom"/>
            <w:shd w:val="clear" w:color="auto" w:fill="DBDBDB"/>
          </w:tcPr>
          <w:p>
            <w:pPr>
              <w:spacing w:after="0"/>
              <w:rPr>
                <w:sz w:val="11"/>
                <w:szCs w:val="11"/>
                <w:color w:val="auto"/>
              </w:rPr>
            </w:pPr>
          </w:p>
        </w:tc>
        <w:tc>
          <w:tcPr>
            <w:tcW w:w="4360" w:type="dxa"/>
            <w:vAlign w:val="bottom"/>
            <w:shd w:val="clear" w:color="auto" w:fill="DBDBDB"/>
          </w:tcPr>
          <w:p>
            <w:pPr>
              <w:spacing w:after="0"/>
              <w:rPr>
                <w:sz w:val="11"/>
                <w:szCs w:val="11"/>
                <w:color w:val="auto"/>
              </w:rPr>
            </w:pPr>
          </w:p>
        </w:tc>
        <w:tc>
          <w:tcPr>
            <w:tcW w:w="60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32" w:right="339" w:bottom="1440" w:gutter="0" w:footer="0" w:header="0"/>
        </w:sectPr>
      </w:pPr>
    </w:p>
    <w:p>
      <w:pPr>
        <w:spacing w:after="0" w:line="211" w:lineRule="exact"/>
        <w:rPr>
          <w:sz w:val="20"/>
          <w:szCs w:val="20"/>
          <w:color w:val="auto"/>
        </w:rPr>
      </w:pPr>
    </w:p>
    <w:p>
      <w:pPr>
        <w:ind w:left="100"/>
        <w:spacing w:after="0" w:line="328" w:lineRule="auto"/>
        <w:rPr>
          <w:sz w:val="20"/>
          <w:szCs w:val="20"/>
          <w:color w:val="auto"/>
        </w:rPr>
      </w:pPr>
      <w:r>
        <w:rPr>
          <w:rFonts w:ascii="Arial" w:cs="Arial" w:eastAsia="Arial" w:hAnsi="Arial"/>
          <w:sz w:val="13"/>
          <w:szCs w:val="13"/>
          <w:b w:val="1"/>
          <w:bCs w:val="1"/>
          <w:color w:val="auto"/>
        </w:rPr>
        <w:t>Annual cash incentive bonus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880" w:type="dxa"/>
            <w:vAlign w:val="bottom"/>
          </w:tcPr>
          <w:p>
            <w:pPr>
              <w:spacing w:after="0"/>
              <w:rPr>
                <w:sz w:val="20"/>
                <w:szCs w:val="20"/>
                <w:color w:val="auto"/>
              </w:rPr>
            </w:pPr>
            <w:r>
              <w:rPr>
                <w:rFonts w:ascii="Arial" w:cs="Arial" w:eastAsia="Arial" w:hAnsi="Arial"/>
                <w:sz w:val="13"/>
                <w:szCs w:val="13"/>
                <w:color w:val="auto"/>
              </w:rPr>
              <w:t>Encourage achievement of our corporate annual performance</w:t>
            </w:r>
          </w:p>
        </w:tc>
        <w:tc>
          <w:tcPr>
            <w:tcW w:w="2560" w:type="dxa"/>
            <w:vAlign w:val="bottom"/>
          </w:tcPr>
          <w:p>
            <w:pPr>
              <w:ind w:left="260"/>
              <w:spacing w:after="0"/>
              <w:rPr>
                <w:sz w:val="20"/>
                <w:szCs w:val="20"/>
                <w:color w:val="auto"/>
              </w:rPr>
            </w:pPr>
            <w:r>
              <w:rPr>
                <w:rFonts w:ascii="Arial" w:cs="Arial" w:eastAsia="Arial" w:hAnsi="Arial"/>
                <w:sz w:val="13"/>
                <w:szCs w:val="13"/>
                <w:color w:val="auto"/>
              </w:rPr>
              <w:t>Company performance (weighted 90%)</w:t>
            </w:r>
          </w:p>
        </w:tc>
        <w:tc>
          <w:tcPr>
            <w:tcW w:w="0" w:type="dxa"/>
            <w:vAlign w:val="bottom"/>
          </w:tcPr>
          <w:p>
            <w:pPr>
              <w:spacing w:after="0"/>
              <w:rPr>
                <w:sz w:val="1"/>
                <w:szCs w:val="1"/>
                <w:color w:val="auto"/>
              </w:rPr>
            </w:pPr>
          </w:p>
        </w:tc>
      </w:tr>
      <w:tr>
        <w:trPr>
          <w:trHeight w:val="174"/>
        </w:trPr>
        <w:tc>
          <w:tcPr>
            <w:tcW w:w="3880" w:type="dxa"/>
            <w:vAlign w:val="bottom"/>
          </w:tcPr>
          <w:p>
            <w:pPr>
              <w:spacing w:after="0"/>
              <w:rPr>
                <w:sz w:val="20"/>
                <w:szCs w:val="20"/>
                <w:color w:val="auto"/>
              </w:rPr>
            </w:pPr>
            <w:r>
              <w:rPr>
                <w:rFonts w:ascii="Arial" w:cs="Arial" w:eastAsia="Arial" w:hAnsi="Arial"/>
                <w:sz w:val="13"/>
                <w:szCs w:val="13"/>
                <w:color w:val="auto"/>
              </w:rPr>
              <w:t>objectives</w:t>
            </w:r>
          </w:p>
        </w:tc>
        <w:tc>
          <w:tcPr>
            <w:tcW w:w="2560" w:type="dxa"/>
            <w:vAlign w:val="bottom"/>
          </w:tcPr>
          <w:p>
            <w:pPr>
              <w:ind w:left="260"/>
              <w:spacing w:after="0"/>
              <w:rPr>
                <w:sz w:val="20"/>
                <w:szCs w:val="20"/>
                <w:color w:val="auto"/>
              </w:rPr>
            </w:pPr>
            <w:r>
              <w:rPr>
                <w:rFonts w:ascii="Arial" w:cs="Arial" w:eastAsia="Arial" w:hAnsi="Arial"/>
                <w:sz w:val="13"/>
                <w:szCs w:val="13"/>
                <w:color w:val="auto"/>
              </w:rPr>
              <w:t>-Adj. EBIT (weighted 45%)</w:t>
            </w:r>
          </w:p>
        </w:tc>
        <w:tc>
          <w:tcPr>
            <w:tcW w:w="0" w:type="dxa"/>
            <w:vAlign w:val="bottom"/>
          </w:tcPr>
          <w:p>
            <w:pPr>
              <w:spacing w:after="0"/>
              <w:rPr>
                <w:sz w:val="1"/>
                <w:szCs w:val="1"/>
                <w:color w:val="auto"/>
              </w:rPr>
            </w:pPr>
          </w:p>
        </w:tc>
      </w:tr>
      <w:tr>
        <w:trPr>
          <w:trHeight w:val="224"/>
        </w:trPr>
        <w:tc>
          <w:tcPr>
            <w:tcW w:w="3880" w:type="dxa"/>
            <w:vAlign w:val="bottom"/>
            <w:vMerge w:val="restart"/>
          </w:tcPr>
          <w:p>
            <w:pPr>
              <w:spacing w:after="0"/>
              <w:rPr>
                <w:sz w:val="20"/>
                <w:szCs w:val="20"/>
                <w:color w:val="auto"/>
              </w:rPr>
            </w:pPr>
            <w:r>
              <w:rPr>
                <w:rFonts w:ascii="Arial" w:cs="Arial" w:eastAsia="Arial" w:hAnsi="Arial"/>
                <w:sz w:val="13"/>
                <w:szCs w:val="13"/>
                <w:color w:val="auto"/>
              </w:rPr>
              <w:t>Reward those individuals who significantly</w:t>
            </w:r>
          </w:p>
        </w:tc>
        <w:tc>
          <w:tcPr>
            <w:tcW w:w="2560" w:type="dxa"/>
            <w:vAlign w:val="bottom"/>
          </w:tcPr>
          <w:p>
            <w:pPr>
              <w:ind w:left="260"/>
              <w:spacing w:after="0"/>
              <w:rPr>
                <w:sz w:val="20"/>
                <w:szCs w:val="20"/>
                <w:color w:val="auto"/>
              </w:rPr>
            </w:pPr>
            <w:r>
              <w:rPr>
                <w:rFonts w:ascii="Arial" w:cs="Arial" w:eastAsia="Arial" w:hAnsi="Arial"/>
                <w:sz w:val="13"/>
                <w:szCs w:val="13"/>
                <w:color w:val="auto"/>
              </w:rPr>
              <w:t>-Net Sales (weighted 45%)</w:t>
            </w:r>
          </w:p>
        </w:tc>
        <w:tc>
          <w:tcPr>
            <w:tcW w:w="0" w:type="dxa"/>
            <w:vAlign w:val="bottom"/>
          </w:tcPr>
          <w:p>
            <w:pPr>
              <w:spacing w:after="0"/>
              <w:rPr>
                <w:sz w:val="1"/>
                <w:szCs w:val="1"/>
                <w:color w:val="auto"/>
              </w:rPr>
            </w:pPr>
          </w:p>
        </w:tc>
      </w:tr>
      <w:tr>
        <w:trPr>
          <w:trHeight w:val="50"/>
        </w:trPr>
        <w:tc>
          <w:tcPr>
            <w:tcW w:w="3880" w:type="dxa"/>
            <w:vAlign w:val="bottom"/>
            <w:vMerge w:val="continue"/>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880" w:type="dxa"/>
            <w:vAlign w:val="bottom"/>
          </w:tcPr>
          <w:p>
            <w:pPr>
              <w:spacing w:after="0"/>
              <w:rPr>
                <w:sz w:val="20"/>
                <w:szCs w:val="20"/>
                <w:color w:val="auto"/>
              </w:rPr>
            </w:pPr>
            <w:r>
              <w:rPr>
                <w:rFonts w:ascii="Arial" w:cs="Arial" w:eastAsia="Arial" w:hAnsi="Arial"/>
                <w:sz w:val="13"/>
                <w:szCs w:val="13"/>
                <w:color w:val="auto"/>
              </w:rPr>
              <w:t>impact our corporate results</w:t>
            </w:r>
          </w:p>
        </w:tc>
        <w:tc>
          <w:tcPr>
            <w:tcW w:w="2560" w:type="dxa"/>
            <w:vAlign w:val="bottom"/>
          </w:tcPr>
          <w:p>
            <w:pPr>
              <w:ind w:left="260"/>
              <w:spacing w:after="0"/>
              <w:rPr>
                <w:sz w:val="20"/>
                <w:szCs w:val="20"/>
                <w:color w:val="auto"/>
              </w:rPr>
            </w:pPr>
            <w:r>
              <w:rPr>
                <w:rFonts w:ascii="Arial" w:cs="Arial" w:eastAsia="Arial" w:hAnsi="Arial"/>
                <w:sz w:val="13"/>
                <w:szCs w:val="13"/>
                <w:color w:val="auto"/>
              </w:rPr>
              <w:t>Individual performance (weighted 10%)</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2">
            <w:col w:w="1100" w:space="700"/>
            <w:col w:w="9440"/>
          </w:cols>
          <w:pgMar w:left="320" w:top="132" w:right="339" w:bottom="1440" w:gutter="0" w:footer="0" w:header="0"/>
          <w:type w:val="continuous"/>
        </w:sectPr>
      </w:pPr>
    </w:p>
    <w:tbl>
      <w:tblPr>
        <w:tblLayout w:type="fixed"/>
        <w:tblInd w:w="0" w:type="dxa"/>
        <w:tblCellMar>
          <w:top w:w="0" w:type="dxa"/>
          <w:left w:w="0" w:type="dxa"/>
          <w:bottom w:w="0" w:type="dxa"/>
          <w:right w:w="0" w:type="dxa"/>
        </w:tblCellMar>
      </w:tblPr>
      <w:tr>
        <w:trPr>
          <w:trHeight w:val="273"/>
        </w:trPr>
        <w:tc>
          <w:tcPr>
            <w:tcW w:w="1480" w:type="dxa"/>
            <w:vAlign w:val="bottom"/>
            <w:shd w:val="clear" w:color="auto" w:fill="DBDBDB"/>
          </w:tcPr>
          <w:p>
            <w:pPr>
              <w:spacing w:after="0"/>
              <w:rPr>
                <w:sz w:val="23"/>
                <w:szCs w:val="23"/>
                <w:color w:val="auto"/>
              </w:rPr>
            </w:pPr>
          </w:p>
        </w:tc>
        <w:tc>
          <w:tcPr>
            <w:tcW w:w="4420" w:type="dxa"/>
            <w:vAlign w:val="bottom"/>
            <w:shd w:val="clear" w:color="auto" w:fill="DBDBDB"/>
          </w:tcPr>
          <w:p>
            <w:pPr>
              <w:spacing w:after="0"/>
              <w:rPr>
                <w:sz w:val="23"/>
                <w:szCs w:val="23"/>
                <w:color w:val="auto"/>
              </w:rPr>
            </w:pPr>
          </w:p>
        </w:tc>
        <w:tc>
          <w:tcPr>
            <w:tcW w:w="5340" w:type="dxa"/>
            <w:vAlign w:val="bottom"/>
            <w:gridSpan w:val="2"/>
            <w:shd w:val="clear" w:color="auto" w:fill="DBDBDB"/>
          </w:tcPr>
          <w:p>
            <w:pPr>
              <w:ind w:left="40"/>
              <w:spacing w:after="0"/>
              <w:rPr>
                <w:sz w:val="20"/>
                <w:szCs w:val="20"/>
                <w:color w:val="auto"/>
              </w:rPr>
            </w:pPr>
            <w:r>
              <w:rPr>
                <w:rFonts w:ascii="Arial" w:cs="Arial" w:eastAsia="Arial" w:hAnsi="Arial"/>
                <w:sz w:val="13"/>
                <w:szCs w:val="13"/>
                <w:color w:val="auto"/>
                <w:highlight w:val="lightGray"/>
              </w:rPr>
              <w:t>Performance-based RSUs (approximately 50% of the target annual equity incentive</w:t>
            </w:r>
          </w:p>
        </w:tc>
        <w:tc>
          <w:tcPr>
            <w:tcW w:w="0" w:type="dxa"/>
            <w:vAlign w:val="bottom"/>
          </w:tcPr>
          <w:p>
            <w:pPr>
              <w:spacing w:after="0"/>
              <w:rPr>
                <w:sz w:val="1"/>
                <w:szCs w:val="1"/>
                <w:color w:val="auto"/>
              </w:rPr>
            </w:pPr>
          </w:p>
        </w:tc>
      </w:tr>
      <w:tr>
        <w:trPr>
          <w:trHeight w:val="174"/>
        </w:trPr>
        <w:tc>
          <w:tcPr>
            <w:tcW w:w="1480" w:type="dxa"/>
            <w:vAlign w:val="bottom"/>
            <w:shd w:val="clear" w:color="auto" w:fill="DBDBDB"/>
          </w:tcPr>
          <w:p>
            <w:pPr>
              <w:spacing w:after="0"/>
              <w:rPr>
                <w:sz w:val="15"/>
                <w:szCs w:val="15"/>
                <w:color w:val="auto"/>
              </w:rPr>
            </w:pPr>
          </w:p>
        </w:tc>
        <w:tc>
          <w:tcPr>
            <w:tcW w:w="4420" w:type="dxa"/>
            <w:vAlign w:val="bottom"/>
            <w:shd w:val="clear" w:color="auto" w:fill="DBDBDB"/>
          </w:tcPr>
          <w:p>
            <w:pPr>
              <w:spacing w:after="0"/>
              <w:rPr>
                <w:sz w:val="15"/>
                <w:szCs w:val="15"/>
                <w:color w:val="auto"/>
              </w:rPr>
            </w:pPr>
          </w:p>
        </w:tc>
        <w:tc>
          <w:tcPr>
            <w:tcW w:w="5340" w:type="dxa"/>
            <w:vAlign w:val="bottom"/>
            <w:gridSpan w:val="2"/>
            <w:shd w:val="clear" w:color="auto" w:fill="DBDBDB"/>
          </w:tcPr>
          <w:p>
            <w:pPr>
              <w:ind w:left="40"/>
              <w:spacing w:after="0"/>
              <w:rPr>
                <w:sz w:val="20"/>
                <w:szCs w:val="20"/>
                <w:color w:val="auto"/>
              </w:rPr>
            </w:pPr>
            <w:r>
              <w:rPr>
                <w:rFonts w:ascii="Arial" w:cs="Arial" w:eastAsia="Arial" w:hAnsi="Arial"/>
                <w:sz w:val="13"/>
                <w:szCs w:val="13"/>
                <w:color w:val="auto"/>
                <w:highlight w:val="lightGray"/>
              </w:rPr>
              <w:t>award) with a three year cliff vesting schedule</w:t>
            </w:r>
          </w:p>
        </w:tc>
        <w:tc>
          <w:tcPr>
            <w:tcW w:w="0" w:type="dxa"/>
            <w:vAlign w:val="bottom"/>
          </w:tcPr>
          <w:p>
            <w:pPr>
              <w:spacing w:after="0"/>
              <w:rPr>
                <w:sz w:val="1"/>
                <w:szCs w:val="1"/>
                <w:color w:val="auto"/>
              </w:rPr>
            </w:pPr>
          </w:p>
        </w:tc>
      </w:tr>
      <w:tr>
        <w:trPr>
          <w:trHeight w:val="174"/>
        </w:trPr>
        <w:tc>
          <w:tcPr>
            <w:tcW w:w="148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Long-term equity</w:t>
            </w:r>
          </w:p>
        </w:tc>
        <w:tc>
          <w:tcPr>
            <w:tcW w:w="4420" w:type="dxa"/>
            <w:vAlign w:val="bottom"/>
            <w:shd w:val="clear" w:color="auto" w:fill="DBDBDB"/>
          </w:tcPr>
          <w:p>
            <w:pPr>
              <w:ind w:left="320"/>
              <w:spacing w:after="0"/>
              <w:rPr>
                <w:sz w:val="20"/>
                <w:szCs w:val="20"/>
                <w:color w:val="auto"/>
              </w:rPr>
            </w:pPr>
            <w:r>
              <w:rPr>
                <w:rFonts w:ascii="Arial" w:cs="Arial" w:eastAsia="Arial" w:hAnsi="Arial"/>
                <w:sz w:val="13"/>
                <w:szCs w:val="13"/>
                <w:color w:val="auto"/>
              </w:rPr>
              <w:t>Align executive officer and stockholder interests</w:t>
            </w:r>
          </w:p>
        </w:tc>
        <w:tc>
          <w:tcPr>
            <w:tcW w:w="480" w:type="dxa"/>
            <w:vAlign w:val="bottom"/>
            <w:shd w:val="clear" w:color="auto" w:fill="DBDBDB"/>
          </w:tcPr>
          <w:p>
            <w:pPr>
              <w:ind w:left="40"/>
              <w:spacing w:after="0"/>
              <w:rPr>
                <w:sz w:val="20"/>
                <w:szCs w:val="20"/>
                <w:color w:val="auto"/>
              </w:rPr>
            </w:pPr>
            <w:r>
              <w:rPr>
                <w:rFonts w:ascii="Arial" w:cs="Arial" w:eastAsia="Arial" w:hAnsi="Arial"/>
                <w:sz w:val="13"/>
                <w:szCs w:val="13"/>
                <w:color w:val="auto"/>
              </w:rPr>
              <w:t>- 75%</w:t>
            </w:r>
          </w:p>
        </w:tc>
        <w:tc>
          <w:tcPr>
            <w:tcW w:w="4860" w:type="dxa"/>
            <w:vAlign w:val="bottom"/>
            <w:shd w:val="clear" w:color="auto" w:fill="DBDBDB"/>
          </w:tcPr>
          <w:p>
            <w:pPr>
              <w:spacing w:after="0"/>
              <w:rPr>
                <w:sz w:val="20"/>
                <w:szCs w:val="20"/>
                <w:color w:val="auto"/>
              </w:rPr>
            </w:pPr>
            <w:r>
              <w:rPr>
                <w:rFonts w:ascii="Arial" w:cs="Arial" w:eastAsia="Arial" w:hAnsi="Arial"/>
                <w:sz w:val="13"/>
                <w:szCs w:val="13"/>
                <w:color w:val="auto"/>
              </w:rPr>
              <w:t>earned-based on achievement of three year cumulative Adjusted Pre-Tax Income</w:t>
            </w:r>
          </w:p>
        </w:tc>
        <w:tc>
          <w:tcPr>
            <w:tcW w:w="0" w:type="dxa"/>
            <w:vAlign w:val="bottom"/>
          </w:tcPr>
          <w:p>
            <w:pPr>
              <w:spacing w:after="0"/>
              <w:rPr>
                <w:sz w:val="1"/>
                <w:szCs w:val="1"/>
                <w:color w:val="auto"/>
              </w:rPr>
            </w:pPr>
          </w:p>
        </w:tc>
      </w:tr>
      <w:tr>
        <w:trPr>
          <w:trHeight w:val="104"/>
        </w:trPr>
        <w:tc>
          <w:tcPr>
            <w:tcW w:w="1480" w:type="dxa"/>
            <w:vAlign w:val="bottom"/>
            <w:vMerge w:val="continue"/>
            <w:shd w:val="clear" w:color="auto" w:fill="DBDBDB"/>
          </w:tcPr>
          <w:p>
            <w:pPr>
              <w:spacing w:after="0"/>
              <w:rPr>
                <w:sz w:val="9"/>
                <w:szCs w:val="9"/>
                <w:color w:val="auto"/>
              </w:rPr>
            </w:pPr>
          </w:p>
        </w:tc>
        <w:tc>
          <w:tcPr>
            <w:tcW w:w="44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auto"/>
              </w:rPr>
              <w:t>by creating a link between executive compensation and our long-</w:t>
            </w:r>
          </w:p>
        </w:tc>
        <w:tc>
          <w:tcPr>
            <w:tcW w:w="480" w:type="dxa"/>
            <w:vAlign w:val="bottom"/>
            <w:shd w:val="clear" w:color="auto" w:fill="DBDBDB"/>
          </w:tcPr>
          <w:p>
            <w:pPr>
              <w:spacing w:after="0"/>
              <w:rPr>
                <w:sz w:val="9"/>
                <w:szCs w:val="9"/>
                <w:color w:val="auto"/>
              </w:rPr>
            </w:pPr>
          </w:p>
        </w:tc>
        <w:tc>
          <w:tcPr>
            <w:tcW w:w="48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48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incentives</w:t>
            </w:r>
          </w:p>
        </w:tc>
        <w:tc>
          <w:tcPr>
            <w:tcW w:w="4420" w:type="dxa"/>
            <w:vAlign w:val="bottom"/>
            <w:vMerge w:val="continue"/>
            <w:shd w:val="clear" w:color="auto" w:fill="DBDBDB"/>
          </w:tcPr>
          <w:p>
            <w:pPr>
              <w:spacing w:after="0"/>
              <w:rPr>
                <w:sz w:val="7"/>
                <w:szCs w:val="7"/>
                <w:color w:val="auto"/>
              </w:rPr>
            </w:pPr>
          </w:p>
        </w:tc>
        <w:tc>
          <w:tcPr>
            <w:tcW w:w="5340" w:type="dxa"/>
            <w:vAlign w:val="bottom"/>
            <w:gridSpan w:val="2"/>
            <w:vMerge w:val="restart"/>
            <w:shd w:val="clear" w:color="auto" w:fill="DBDBDB"/>
          </w:tcPr>
          <w:p>
            <w:pPr>
              <w:ind w:left="40"/>
              <w:spacing w:after="0"/>
              <w:rPr>
                <w:sz w:val="20"/>
                <w:szCs w:val="20"/>
                <w:color w:val="auto"/>
              </w:rPr>
            </w:pPr>
            <w:r>
              <w:rPr>
                <w:rFonts w:ascii="Arial" w:cs="Arial" w:eastAsia="Arial" w:hAnsi="Arial"/>
                <w:sz w:val="13"/>
                <w:szCs w:val="13"/>
                <w:color w:val="auto"/>
              </w:rPr>
              <w:t>- 25% earned-based on achievement of three year cumulative ROIC</w:t>
            </w:r>
          </w:p>
        </w:tc>
        <w:tc>
          <w:tcPr>
            <w:tcW w:w="0" w:type="dxa"/>
            <w:vAlign w:val="bottom"/>
          </w:tcPr>
          <w:p>
            <w:pPr>
              <w:spacing w:after="0"/>
              <w:rPr>
                <w:sz w:val="1"/>
                <w:szCs w:val="1"/>
                <w:color w:val="auto"/>
              </w:rPr>
            </w:pPr>
          </w:p>
        </w:tc>
      </w:tr>
      <w:tr>
        <w:trPr>
          <w:trHeight w:val="99"/>
        </w:trPr>
        <w:tc>
          <w:tcPr>
            <w:tcW w:w="1480" w:type="dxa"/>
            <w:vAlign w:val="bottom"/>
            <w:vMerge w:val="continue"/>
            <w:shd w:val="clear" w:color="auto" w:fill="DBDBDB"/>
          </w:tcPr>
          <w:p>
            <w:pPr>
              <w:spacing w:after="0"/>
              <w:rPr>
                <w:sz w:val="8"/>
                <w:szCs w:val="8"/>
                <w:color w:val="auto"/>
              </w:rPr>
            </w:pPr>
          </w:p>
        </w:tc>
        <w:tc>
          <w:tcPr>
            <w:tcW w:w="44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auto"/>
              </w:rPr>
              <w:t>term performance</w:t>
            </w:r>
          </w:p>
        </w:tc>
        <w:tc>
          <w:tcPr>
            <w:tcW w:w="5340" w:type="dxa"/>
            <w:vAlign w:val="bottom"/>
            <w:gridSpan w:val="2"/>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480" w:type="dxa"/>
            <w:vAlign w:val="bottom"/>
            <w:shd w:val="clear" w:color="auto" w:fill="DBDBDB"/>
          </w:tcPr>
          <w:p>
            <w:pPr>
              <w:spacing w:after="0"/>
              <w:rPr>
                <w:sz w:val="6"/>
                <w:szCs w:val="6"/>
                <w:color w:val="auto"/>
              </w:rPr>
            </w:pPr>
          </w:p>
        </w:tc>
        <w:tc>
          <w:tcPr>
            <w:tcW w:w="4420" w:type="dxa"/>
            <w:vAlign w:val="bottom"/>
            <w:vMerge w:val="continue"/>
            <w:shd w:val="clear" w:color="auto" w:fill="DBDBDB"/>
          </w:tcPr>
          <w:p>
            <w:pPr>
              <w:spacing w:after="0"/>
              <w:rPr>
                <w:sz w:val="6"/>
                <w:szCs w:val="6"/>
                <w:color w:val="auto"/>
              </w:rPr>
            </w:pPr>
          </w:p>
        </w:tc>
        <w:tc>
          <w:tcPr>
            <w:tcW w:w="480" w:type="dxa"/>
            <w:vAlign w:val="bottom"/>
            <w:shd w:val="clear" w:color="auto" w:fill="DBDBDB"/>
          </w:tcPr>
          <w:p>
            <w:pPr>
              <w:spacing w:after="0"/>
              <w:rPr>
                <w:sz w:val="6"/>
                <w:szCs w:val="6"/>
                <w:color w:val="auto"/>
              </w:rPr>
            </w:pPr>
          </w:p>
        </w:tc>
        <w:tc>
          <w:tcPr>
            <w:tcW w:w="486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480" w:type="dxa"/>
            <w:vAlign w:val="bottom"/>
            <w:shd w:val="clear" w:color="auto" w:fill="DBDBDB"/>
          </w:tcPr>
          <w:p>
            <w:pPr>
              <w:spacing w:after="0"/>
              <w:rPr>
                <w:sz w:val="15"/>
                <w:szCs w:val="15"/>
                <w:color w:val="auto"/>
              </w:rPr>
            </w:pPr>
          </w:p>
        </w:tc>
        <w:tc>
          <w:tcPr>
            <w:tcW w:w="4420" w:type="dxa"/>
            <w:vAlign w:val="bottom"/>
            <w:shd w:val="clear" w:color="auto" w:fill="DBDBDB"/>
          </w:tcPr>
          <w:p>
            <w:pPr>
              <w:spacing w:after="0"/>
              <w:rPr>
                <w:sz w:val="15"/>
                <w:szCs w:val="15"/>
                <w:color w:val="auto"/>
              </w:rPr>
            </w:pPr>
          </w:p>
        </w:tc>
        <w:tc>
          <w:tcPr>
            <w:tcW w:w="5340" w:type="dxa"/>
            <w:vAlign w:val="bottom"/>
            <w:gridSpan w:val="2"/>
            <w:shd w:val="clear" w:color="auto" w:fill="DBDBDB"/>
          </w:tcPr>
          <w:p>
            <w:pPr>
              <w:ind w:left="40"/>
              <w:spacing w:after="0"/>
              <w:rPr>
                <w:sz w:val="20"/>
                <w:szCs w:val="20"/>
                <w:color w:val="auto"/>
              </w:rPr>
            </w:pPr>
            <w:r>
              <w:rPr>
                <w:rFonts w:ascii="Arial" w:cs="Arial" w:eastAsia="Arial" w:hAnsi="Arial"/>
                <w:sz w:val="13"/>
                <w:szCs w:val="13"/>
                <w:color w:val="auto"/>
                <w:highlight w:val="lightGray"/>
              </w:rPr>
              <w:t>Time-based RSUs (approximately 50% of the target annual equity incentive award) that</w:t>
            </w:r>
          </w:p>
        </w:tc>
        <w:tc>
          <w:tcPr>
            <w:tcW w:w="0" w:type="dxa"/>
            <w:vAlign w:val="bottom"/>
          </w:tcPr>
          <w:p>
            <w:pPr>
              <w:spacing w:after="0"/>
              <w:rPr>
                <w:sz w:val="1"/>
                <w:szCs w:val="1"/>
                <w:color w:val="auto"/>
              </w:rPr>
            </w:pPr>
          </w:p>
        </w:tc>
      </w:tr>
      <w:tr>
        <w:trPr>
          <w:trHeight w:val="174"/>
        </w:trPr>
        <w:tc>
          <w:tcPr>
            <w:tcW w:w="1480" w:type="dxa"/>
            <w:vAlign w:val="bottom"/>
            <w:shd w:val="clear" w:color="auto" w:fill="DBDBDB"/>
          </w:tcPr>
          <w:p>
            <w:pPr>
              <w:spacing w:after="0"/>
              <w:rPr>
                <w:sz w:val="15"/>
                <w:szCs w:val="15"/>
                <w:color w:val="auto"/>
              </w:rPr>
            </w:pPr>
          </w:p>
        </w:tc>
        <w:tc>
          <w:tcPr>
            <w:tcW w:w="4420" w:type="dxa"/>
            <w:vAlign w:val="bottom"/>
            <w:shd w:val="clear" w:color="auto" w:fill="DBDBDB"/>
          </w:tcPr>
          <w:p>
            <w:pPr>
              <w:spacing w:after="0"/>
              <w:rPr>
                <w:sz w:val="15"/>
                <w:szCs w:val="15"/>
                <w:color w:val="auto"/>
              </w:rPr>
            </w:pPr>
          </w:p>
        </w:tc>
        <w:tc>
          <w:tcPr>
            <w:tcW w:w="5340" w:type="dxa"/>
            <w:vAlign w:val="bottom"/>
            <w:gridSpan w:val="2"/>
            <w:shd w:val="clear" w:color="auto" w:fill="DBDBDB"/>
          </w:tcPr>
          <w:p>
            <w:pPr>
              <w:ind w:left="40"/>
              <w:spacing w:after="0"/>
              <w:rPr>
                <w:sz w:val="20"/>
                <w:szCs w:val="20"/>
                <w:color w:val="auto"/>
              </w:rPr>
            </w:pPr>
            <w:r>
              <w:rPr>
                <w:rFonts w:ascii="Arial" w:cs="Arial" w:eastAsia="Arial" w:hAnsi="Arial"/>
                <w:sz w:val="13"/>
                <w:szCs w:val="13"/>
                <w:color w:val="auto"/>
                <w:highlight w:val="lightGray"/>
              </w:rPr>
              <w:t>vest ratably over three years</w:t>
            </w:r>
          </w:p>
        </w:tc>
        <w:tc>
          <w:tcPr>
            <w:tcW w:w="0" w:type="dxa"/>
            <w:vAlign w:val="bottom"/>
          </w:tcPr>
          <w:p>
            <w:pPr>
              <w:spacing w:after="0"/>
              <w:rPr>
                <w:sz w:val="1"/>
                <w:szCs w:val="1"/>
                <w:color w:val="auto"/>
              </w:rPr>
            </w:pPr>
          </w:p>
        </w:tc>
      </w:tr>
      <w:tr>
        <w:trPr>
          <w:trHeight w:val="137"/>
        </w:trPr>
        <w:tc>
          <w:tcPr>
            <w:tcW w:w="1480" w:type="dxa"/>
            <w:vAlign w:val="bottom"/>
            <w:shd w:val="clear" w:color="auto" w:fill="DBDBDB"/>
          </w:tcPr>
          <w:p>
            <w:pPr>
              <w:spacing w:after="0"/>
              <w:rPr>
                <w:sz w:val="11"/>
                <w:szCs w:val="11"/>
                <w:color w:val="auto"/>
              </w:rPr>
            </w:pPr>
          </w:p>
        </w:tc>
        <w:tc>
          <w:tcPr>
            <w:tcW w:w="4420" w:type="dxa"/>
            <w:vAlign w:val="bottom"/>
            <w:shd w:val="clear" w:color="auto" w:fill="DBDBDB"/>
          </w:tcPr>
          <w:p>
            <w:pPr>
              <w:spacing w:after="0"/>
              <w:rPr>
                <w:sz w:val="11"/>
                <w:szCs w:val="11"/>
                <w:color w:val="auto"/>
              </w:rPr>
            </w:pPr>
          </w:p>
        </w:tc>
        <w:tc>
          <w:tcPr>
            <w:tcW w:w="480" w:type="dxa"/>
            <w:vAlign w:val="bottom"/>
            <w:shd w:val="clear" w:color="auto" w:fill="DBDBDB"/>
          </w:tcPr>
          <w:p>
            <w:pPr>
              <w:spacing w:after="0"/>
              <w:rPr>
                <w:sz w:val="11"/>
                <w:szCs w:val="11"/>
                <w:color w:val="auto"/>
              </w:rPr>
            </w:pPr>
          </w:p>
        </w:tc>
        <w:tc>
          <w:tcPr>
            <w:tcW w:w="48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420"/>
        <w:spacing w:after="0" w:line="293" w:lineRule="auto"/>
        <w:rPr>
          <w:sz w:val="20"/>
          <w:szCs w:val="20"/>
          <w:color w:val="auto"/>
        </w:rPr>
      </w:pPr>
      <w:r>
        <w:rPr>
          <w:rFonts w:ascii="Arial" w:cs="Arial" w:eastAsia="Arial" w:hAnsi="Arial"/>
          <w:sz w:val="15"/>
          <w:szCs w:val="15"/>
          <w:color w:val="auto"/>
        </w:rPr>
        <w:t>The charts below illustrate that the majority of each NEO’s annual total target compensation</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for 2024 was performance-based and at-risk based on the Company’s performance:</w:t>
      </w:r>
    </w:p>
    <w:p>
      <w:pPr>
        <w:spacing w:after="0" w:line="277" w:lineRule="exact"/>
        <w:rPr>
          <w:sz w:val="20"/>
          <w:szCs w:val="20"/>
          <w:color w:val="auto"/>
        </w:rPr>
      </w:pPr>
    </w:p>
    <w:p>
      <w:pPr>
        <w:ind w:left="3160"/>
        <w:spacing w:after="0"/>
        <w:tabs>
          <w:tab w:leader="none" w:pos="6800" w:val="left"/>
        </w:tabs>
        <w:rPr>
          <w:sz w:val="20"/>
          <w:szCs w:val="20"/>
          <w:color w:val="auto"/>
        </w:rPr>
      </w:pPr>
      <w:r>
        <w:rPr>
          <w:rFonts w:ascii="Arial" w:cs="Arial" w:eastAsia="Arial" w:hAnsi="Arial"/>
          <w:sz w:val="15"/>
          <w:szCs w:val="15"/>
          <w:b w:val="1"/>
          <w:bCs w:val="1"/>
          <w:color w:val="auto"/>
        </w:rPr>
        <w:t>CEO Pay Mix</w:t>
      </w:r>
      <w:r>
        <w:rPr>
          <w:sz w:val="20"/>
          <w:szCs w:val="20"/>
          <w:color w:val="auto"/>
        </w:rPr>
        <w:tab/>
      </w:r>
      <w:r>
        <w:rPr>
          <w:rFonts w:ascii="Arial" w:cs="Arial" w:eastAsia="Arial" w:hAnsi="Arial"/>
          <w:sz w:val="14"/>
          <w:szCs w:val="14"/>
          <w:b w:val="1"/>
          <w:bCs w:val="1"/>
          <w:color w:val="auto"/>
        </w:rPr>
        <w:t>NEO Pay Mix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142875</wp:posOffset>
            </wp:positionV>
            <wp:extent cx="1436370" cy="143637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436370" cy="143637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142875</wp:posOffset>
            </wp:positionV>
            <wp:extent cx="1436370" cy="143637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436370" cy="143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320"/>
        <w:spacing w:after="0"/>
        <w:tabs>
          <w:tab w:leader="none" w:pos="3840" w:val="left"/>
          <w:tab w:leader="none" w:pos="6520" w:val="left"/>
        </w:tabs>
        <w:rPr>
          <w:sz w:val="20"/>
          <w:szCs w:val="20"/>
          <w:color w:val="auto"/>
        </w:rPr>
      </w:pPr>
      <w:r>
        <w:rPr>
          <w:rFonts w:ascii="Wingdings" w:cs="Wingdings" w:eastAsia="Wingdings" w:hAnsi="Wingdings"/>
          <w:sz w:val="13"/>
          <w:szCs w:val="13"/>
          <w:b w:val="1"/>
          <w:bCs w:val="1"/>
          <w:color w:val="AD9E6E"/>
        </w:rPr>
        <w:t xml:space="preserve">n </w:t>
      </w:r>
      <w:r>
        <w:rPr>
          <w:rFonts w:ascii="Arial" w:cs="Arial" w:eastAsia="Arial" w:hAnsi="Arial"/>
          <w:sz w:val="13"/>
          <w:szCs w:val="13"/>
          <w:color w:val="000000"/>
        </w:rPr>
        <w:t>Base Salary</w:t>
      </w:r>
      <w:r>
        <w:rPr>
          <w:sz w:val="20"/>
          <w:szCs w:val="20"/>
          <w:color w:val="auto"/>
        </w:rPr>
        <w:tab/>
      </w:r>
      <w:r>
        <w:rPr>
          <w:rFonts w:ascii="Wingdings" w:cs="Wingdings" w:eastAsia="Wingdings" w:hAnsi="Wingdings"/>
          <w:sz w:val="13"/>
          <w:szCs w:val="13"/>
          <w:b w:val="1"/>
          <w:bCs w:val="1"/>
          <w:color w:val="01024A"/>
        </w:rPr>
        <w:t xml:space="preserve">n </w:t>
      </w:r>
      <w:r>
        <w:rPr>
          <w:rFonts w:ascii="Arial" w:cs="Arial" w:eastAsia="Arial" w:hAnsi="Arial"/>
          <w:sz w:val="13"/>
          <w:szCs w:val="13"/>
          <w:color w:val="000000"/>
        </w:rPr>
        <w:t>Annual Incentives</w:t>
      </w:r>
      <w:r>
        <w:rPr>
          <w:sz w:val="20"/>
          <w:szCs w:val="20"/>
          <w:color w:val="auto"/>
        </w:rPr>
        <w:tab/>
      </w:r>
      <w:r>
        <w:rPr>
          <w:rFonts w:ascii="Wingdings" w:cs="Wingdings" w:eastAsia="Wingdings" w:hAnsi="Wingdings"/>
          <w:sz w:val="12"/>
          <w:szCs w:val="12"/>
          <w:b w:val="1"/>
          <w:bCs w:val="1"/>
          <w:color w:val="1B4093"/>
        </w:rPr>
        <w:t xml:space="preserve">n </w:t>
      </w:r>
      <w:r>
        <w:rPr>
          <w:rFonts w:ascii="Arial" w:cs="Arial" w:eastAsia="Arial" w:hAnsi="Arial"/>
          <w:sz w:val="12"/>
          <w:szCs w:val="12"/>
          <w:color w:val="000000"/>
        </w:rPr>
        <w:t>Performance RSUs</w:t>
      </w:r>
    </w:p>
    <w:p>
      <w:pPr>
        <w:spacing w:after="0" w:line="74" w:lineRule="exact"/>
        <w:rPr>
          <w:sz w:val="20"/>
          <w:szCs w:val="20"/>
          <w:color w:val="auto"/>
        </w:rPr>
      </w:pPr>
    </w:p>
    <w:p>
      <w:pPr>
        <w:ind w:left="2320"/>
        <w:spacing w:after="0"/>
        <w:tabs>
          <w:tab w:leader="none" w:pos="3840" w:val="left"/>
          <w:tab w:leader="none" w:pos="6520" w:val="left"/>
        </w:tabs>
        <w:rPr>
          <w:sz w:val="20"/>
          <w:szCs w:val="20"/>
          <w:color w:val="auto"/>
        </w:rPr>
      </w:pPr>
      <w:r>
        <w:rPr>
          <w:rFonts w:ascii="Wingdings" w:cs="Wingdings" w:eastAsia="Wingdings" w:hAnsi="Wingdings"/>
          <w:sz w:val="13"/>
          <w:szCs w:val="13"/>
          <w:b w:val="1"/>
          <w:bCs w:val="1"/>
          <w:color w:val="007EC4"/>
        </w:rPr>
        <w:t xml:space="preserve">n </w:t>
      </w:r>
      <w:r>
        <w:rPr>
          <w:rFonts w:ascii="Arial" w:cs="Arial" w:eastAsia="Arial" w:hAnsi="Arial"/>
          <w:sz w:val="13"/>
          <w:szCs w:val="13"/>
          <w:color w:val="000000"/>
        </w:rPr>
        <w:t>Time RSUs</w:t>
      </w:r>
      <w:r>
        <w:rPr>
          <w:sz w:val="20"/>
          <w:szCs w:val="20"/>
          <w:color w:val="auto"/>
        </w:rPr>
        <w:tab/>
      </w:r>
      <w:r>
        <w:rPr>
          <w:rFonts w:ascii="Wingdings" w:cs="Wingdings" w:eastAsia="Wingdings" w:hAnsi="Wingdings"/>
          <w:sz w:val="13"/>
          <w:szCs w:val="13"/>
          <w:b w:val="1"/>
          <w:bCs w:val="1"/>
          <w:color w:val="EE3B35"/>
        </w:rPr>
        <w:t xml:space="preserve">n </w:t>
      </w:r>
      <w:r>
        <w:rPr>
          <w:rFonts w:ascii="Arial" w:cs="Arial" w:eastAsia="Arial" w:hAnsi="Arial"/>
          <w:sz w:val="13"/>
          <w:szCs w:val="13"/>
          <w:color w:val="000000"/>
        </w:rPr>
        <w:t>Short-Term Compensation</w:t>
      </w:r>
      <w:r>
        <w:rPr>
          <w:sz w:val="20"/>
          <w:szCs w:val="20"/>
          <w:color w:val="auto"/>
        </w:rPr>
        <w:tab/>
      </w:r>
      <w:r>
        <w:rPr>
          <w:rFonts w:ascii="Wingdings" w:cs="Wingdings" w:eastAsia="Wingdings" w:hAnsi="Wingdings"/>
          <w:sz w:val="12"/>
          <w:szCs w:val="12"/>
          <w:b w:val="1"/>
          <w:bCs w:val="1"/>
          <w:color w:val="F59B9A"/>
        </w:rPr>
        <w:t xml:space="preserve">n </w:t>
      </w:r>
      <w:r>
        <w:rPr>
          <w:rFonts w:ascii="Arial" w:cs="Arial" w:eastAsia="Arial" w:hAnsi="Arial"/>
          <w:sz w:val="12"/>
          <w:szCs w:val="12"/>
          <w:color w:val="000000"/>
        </w:rPr>
        <w:t>Long-Term Compensation</w:t>
      </w:r>
    </w:p>
    <w:p>
      <w:pPr>
        <w:spacing w:after="0" w:line="240" w:lineRule="exact"/>
        <w:rPr>
          <w:sz w:val="20"/>
          <w:szCs w:val="20"/>
          <w:color w:val="auto"/>
        </w:rPr>
      </w:pPr>
    </w:p>
    <w:p>
      <w:pPr>
        <w:ind w:left="1140" w:right="580" w:hanging="129"/>
        <w:spacing w:after="0" w:line="189" w:lineRule="auto"/>
        <w:tabs>
          <w:tab w:leader="none" w:pos="1140" w:val="left"/>
        </w:tabs>
        <w:numPr>
          <w:ilvl w:val="0"/>
          <w:numId w:val="64"/>
        </w:numPr>
        <w:rPr>
          <w:rFonts w:ascii="Arial" w:cs="Arial" w:eastAsia="Arial" w:hAnsi="Arial"/>
          <w:sz w:val="22"/>
          <w:szCs w:val="22"/>
          <w:color w:val="auto"/>
          <w:vertAlign w:val="subscript"/>
        </w:rPr>
      </w:pPr>
      <w:r>
        <w:rPr>
          <w:rFonts w:ascii="Arial" w:cs="Arial" w:eastAsia="Arial" w:hAnsi="Arial"/>
          <w:sz w:val="11"/>
          <w:szCs w:val="11"/>
          <w:color w:val="auto"/>
        </w:rPr>
        <w:t>Reflects fiscal year-end base salary, year-end annual target bonus, and all equity awards granted in the year (assuming target performance for performance-based RSUs). “NEO Pay Mix (Average)” excludes Mr. Hicks’s compensation in light of his transition to non-employee Chairman of the Board in June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1038860</wp:posOffset>
            </wp:positionV>
            <wp:extent cx="7168515" cy="4127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743585</wp:posOffset>
            </wp:positionV>
            <wp:extent cx="789305" cy="18923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3"/>
          <w:szCs w:val="13"/>
          <w:b w:val="1"/>
          <w:bCs w:val="1"/>
          <w:color w:val="007EC4"/>
        </w:rPr>
        <w:t xml:space="preserve">52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Base Salary</w:t>
      </w:r>
    </w:p>
    <w:p>
      <w:pPr>
        <w:spacing w:after="0" w:line="70" w:lineRule="exact"/>
        <w:rPr>
          <w:sz w:val="20"/>
          <w:szCs w:val="20"/>
          <w:color w:val="auto"/>
        </w:rPr>
      </w:pPr>
    </w:p>
    <w:p>
      <w:pPr>
        <w:jc w:val="both"/>
        <w:ind w:right="160"/>
        <w:spacing w:after="0" w:line="293" w:lineRule="auto"/>
        <w:rPr>
          <w:sz w:val="20"/>
          <w:szCs w:val="20"/>
          <w:color w:val="auto"/>
        </w:rPr>
      </w:pPr>
      <w:r>
        <w:rPr>
          <w:rFonts w:ascii="Arial" w:cs="Arial" w:eastAsia="Arial" w:hAnsi="Arial"/>
          <w:sz w:val="15"/>
          <w:szCs w:val="15"/>
          <w:color w:val="auto"/>
        </w:rPr>
        <w:t>The base salaries of our NEOs are set based on position, experience, market, job responsibilities, individual performance, and internal pay equity. Adjustments to salary levels are considered annually as part of our performance review process, typically in the first quarter, but can also be made throughout the year, including in connection with a promotion or other change in job responsibilities.</w:t>
      </w:r>
    </w:p>
    <w:p>
      <w:pPr>
        <w:spacing w:after="0" w:line="164"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The following table summarizes the base salaries of the NEOs as in effect on the last day of fiscal 2023 and 2024 (or in the case of Mr. Hicks, his last day of employment, May 31, 2024). The actual salary amounts earned by the NEOs for 2024 are reported in the Summary Compensation Table. Each NEO, other than Mr. Hicks, received a base salary increase as part of their performance review and to improve market competitiveness. Mr. Hicks did not receive a 2024 base salary adjustment given his planned transition to non-employee Chairman of the Board in June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00" w:type="dxa"/>
            <w:vAlign w:val="bottom"/>
            <w:shd w:val="clear" w:color="auto" w:fill="E1D7AC"/>
          </w:tcPr>
          <w:p>
            <w:pPr>
              <w:spacing w:after="0"/>
              <w:rPr>
                <w:sz w:val="19"/>
                <w:szCs w:val="19"/>
                <w:color w:val="auto"/>
              </w:rPr>
            </w:pPr>
          </w:p>
        </w:tc>
        <w:tc>
          <w:tcPr>
            <w:tcW w:w="1840" w:type="dxa"/>
            <w:vAlign w:val="bottom"/>
            <w:shd w:val="clear" w:color="auto" w:fill="E1D7AC"/>
          </w:tcPr>
          <w:p>
            <w:pPr>
              <w:ind w:left="1100"/>
              <w:spacing w:after="0"/>
              <w:rPr>
                <w:sz w:val="20"/>
                <w:szCs w:val="20"/>
                <w:color w:val="auto"/>
              </w:rPr>
            </w:pPr>
            <w:r>
              <w:rPr>
                <w:rFonts w:ascii="Arial" w:cs="Arial" w:eastAsia="Arial" w:hAnsi="Arial"/>
                <w:sz w:val="13"/>
                <w:szCs w:val="13"/>
                <w:b w:val="1"/>
                <w:bCs w:val="1"/>
                <w:color w:val="auto"/>
                <w:w w:val="95"/>
                <w:shd w:val="clear" w:color="auto" w:fill="E1D7AC"/>
              </w:rPr>
              <w:t>Year-End 20</w:t>
            </w:r>
          </w:p>
        </w:tc>
        <w:tc>
          <w:tcPr>
            <w:tcW w:w="1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w w:val="96"/>
              </w:rPr>
              <w:t>23</w:t>
            </w:r>
          </w:p>
        </w:tc>
        <w:tc>
          <w:tcPr>
            <w:tcW w:w="380" w:type="dxa"/>
            <w:vAlign w:val="bottom"/>
            <w:shd w:val="clear" w:color="auto" w:fill="E1D7AC"/>
          </w:tcPr>
          <w:p>
            <w:pPr>
              <w:ind w:left="40"/>
              <w:spacing w:after="0"/>
              <w:rPr>
                <w:sz w:val="20"/>
                <w:szCs w:val="20"/>
                <w:color w:val="auto"/>
              </w:rPr>
            </w:pPr>
            <w:r>
              <w:rPr>
                <w:rFonts w:ascii="Arial" w:cs="Arial" w:eastAsia="Arial" w:hAnsi="Arial"/>
                <w:sz w:val="13"/>
                <w:szCs w:val="13"/>
                <w:b w:val="1"/>
                <w:bCs w:val="1"/>
                <w:color w:val="auto"/>
                <w:shd w:val="clear" w:color="auto" w:fill="E1D7AC"/>
              </w:rPr>
              <w:t>Base</w:t>
            </w:r>
          </w:p>
        </w:tc>
        <w:tc>
          <w:tcPr>
            <w:tcW w:w="42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w w:val="81"/>
                <w:shd w:val="clear" w:color="auto" w:fill="E1D7AC"/>
              </w:rPr>
              <w:t>Salary</w:t>
            </w:r>
          </w:p>
        </w:tc>
        <w:tc>
          <w:tcPr>
            <w:tcW w:w="2400" w:type="dxa"/>
            <w:vAlign w:val="bottom"/>
            <w:shd w:val="clear" w:color="auto" w:fill="E1D7AC"/>
          </w:tcPr>
          <w:p>
            <w:pPr>
              <w:ind w:left="1120"/>
              <w:spacing w:after="0"/>
              <w:rPr>
                <w:sz w:val="20"/>
                <w:szCs w:val="20"/>
                <w:color w:val="auto"/>
              </w:rPr>
            </w:pPr>
            <w:r>
              <w:rPr>
                <w:rFonts w:ascii="Arial" w:cs="Arial" w:eastAsia="Arial" w:hAnsi="Arial"/>
                <w:sz w:val="13"/>
                <w:szCs w:val="13"/>
                <w:b w:val="1"/>
                <w:bCs w:val="1"/>
                <w:color w:val="auto"/>
                <w:shd w:val="clear" w:color="auto" w:fill="E1D7AC"/>
              </w:rPr>
              <w:t>Year-End 2024 Base</w:t>
            </w:r>
          </w:p>
        </w:tc>
        <w:tc>
          <w:tcPr>
            <w:tcW w:w="4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Salary</w:t>
            </w:r>
          </w:p>
        </w:tc>
        <w:tc>
          <w:tcPr>
            <w:tcW w:w="28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Percentage Change</w:t>
            </w:r>
          </w:p>
        </w:tc>
      </w:tr>
      <w:tr>
        <w:trPr>
          <w:trHeight w:val="174"/>
        </w:trPr>
        <w:tc>
          <w:tcPr>
            <w:tcW w:w="280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shd w:val="clear" w:color="auto" w:fill="E1D7AC"/>
              </w:rPr>
              <w:t>Name</w:t>
            </w:r>
          </w:p>
        </w:tc>
        <w:tc>
          <w:tcPr>
            <w:tcW w:w="2380" w:type="dxa"/>
            <w:vAlign w:val="bottom"/>
            <w:gridSpan w:val="3"/>
            <w:shd w:val="clear" w:color="auto" w:fill="E1D7AC"/>
          </w:tcPr>
          <w:p>
            <w:pPr>
              <w:spacing w:after="0"/>
              <w:rPr>
                <w:sz w:val="15"/>
                <w:szCs w:val="15"/>
                <w:color w:val="auto"/>
              </w:rPr>
            </w:pPr>
          </w:p>
        </w:tc>
        <w:tc>
          <w:tcPr>
            <w:tcW w:w="4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w:t>
            </w:r>
          </w:p>
        </w:tc>
        <w:tc>
          <w:tcPr>
            <w:tcW w:w="2400" w:type="dxa"/>
            <w:vAlign w:val="bottom"/>
            <w:shd w:val="clear" w:color="auto" w:fill="E1D7AC"/>
          </w:tcPr>
          <w:p>
            <w:pPr>
              <w:spacing w:after="0"/>
              <w:rPr>
                <w:sz w:val="15"/>
                <w:szCs w:val="15"/>
                <w:color w:val="auto"/>
              </w:rPr>
            </w:pPr>
          </w:p>
        </w:tc>
        <w:tc>
          <w:tcPr>
            <w:tcW w:w="4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w:t>
            </w:r>
          </w:p>
        </w:tc>
        <w:tc>
          <w:tcPr>
            <w:tcW w:w="28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99"/>
        </w:trPr>
        <w:tc>
          <w:tcPr>
            <w:tcW w:w="2800" w:type="dxa"/>
            <w:vAlign w:val="bottom"/>
            <w:shd w:val="clear" w:color="auto" w:fill="E1D7AC"/>
          </w:tcPr>
          <w:p>
            <w:pPr>
              <w:spacing w:after="0"/>
              <w:rPr>
                <w:sz w:val="8"/>
                <w:szCs w:val="8"/>
                <w:color w:val="auto"/>
              </w:rPr>
            </w:pPr>
          </w:p>
        </w:tc>
        <w:tc>
          <w:tcPr>
            <w:tcW w:w="1840" w:type="dxa"/>
            <w:vAlign w:val="bottom"/>
            <w:shd w:val="clear" w:color="auto" w:fill="E1D7AC"/>
          </w:tcPr>
          <w:p>
            <w:pPr>
              <w:spacing w:after="0"/>
              <w:rPr>
                <w:sz w:val="8"/>
                <w:szCs w:val="8"/>
                <w:color w:val="auto"/>
              </w:rPr>
            </w:pPr>
          </w:p>
        </w:tc>
        <w:tc>
          <w:tcPr>
            <w:tcW w:w="160" w:type="dxa"/>
            <w:vAlign w:val="bottom"/>
            <w:shd w:val="clear" w:color="auto" w:fill="E1D7AC"/>
          </w:tcPr>
          <w:p>
            <w:pPr>
              <w:spacing w:after="0"/>
              <w:rPr>
                <w:sz w:val="8"/>
                <w:szCs w:val="8"/>
                <w:color w:val="auto"/>
              </w:rPr>
            </w:pPr>
          </w:p>
        </w:tc>
        <w:tc>
          <w:tcPr>
            <w:tcW w:w="380" w:type="dxa"/>
            <w:vAlign w:val="bottom"/>
            <w:shd w:val="clear" w:color="auto" w:fill="E1D7AC"/>
          </w:tcPr>
          <w:p>
            <w:pPr>
              <w:spacing w:after="0"/>
              <w:rPr>
                <w:sz w:val="8"/>
                <w:szCs w:val="8"/>
                <w:color w:val="auto"/>
              </w:rPr>
            </w:pPr>
          </w:p>
        </w:tc>
        <w:tc>
          <w:tcPr>
            <w:tcW w:w="420" w:type="dxa"/>
            <w:vAlign w:val="bottom"/>
            <w:shd w:val="clear" w:color="auto" w:fill="E1D7AC"/>
          </w:tcPr>
          <w:p>
            <w:pPr>
              <w:spacing w:after="0"/>
              <w:rPr>
                <w:sz w:val="8"/>
                <w:szCs w:val="8"/>
                <w:color w:val="auto"/>
              </w:rPr>
            </w:pPr>
          </w:p>
        </w:tc>
        <w:tc>
          <w:tcPr>
            <w:tcW w:w="2400" w:type="dxa"/>
            <w:vAlign w:val="bottom"/>
            <w:shd w:val="clear" w:color="auto" w:fill="E1D7AC"/>
          </w:tcPr>
          <w:p>
            <w:pPr>
              <w:spacing w:after="0"/>
              <w:rPr>
                <w:sz w:val="8"/>
                <w:szCs w:val="8"/>
                <w:color w:val="auto"/>
              </w:rPr>
            </w:pPr>
          </w:p>
        </w:tc>
        <w:tc>
          <w:tcPr>
            <w:tcW w:w="420" w:type="dxa"/>
            <w:vAlign w:val="bottom"/>
            <w:shd w:val="clear" w:color="auto" w:fill="E1D7AC"/>
          </w:tcPr>
          <w:p>
            <w:pPr>
              <w:spacing w:after="0"/>
              <w:rPr>
                <w:sz w:val="8"/>
                <w:szCs w:val="8"/>
                <w:color w:val="auto"/>
              </w:rPr>
            </w:pPr>
          </w:p>
        </w:tc>
        <w:tc>
          <w:tcPr>
            <w:tcW w:w="2820" w:type="dxa"/>
            <w:vAlign w:val="bottom"/>
            <w:shd w:val="clear" w:color="auto" w:fill="E1D7AC"/>
          </w:tcPr>
          <w:p>
            <w:pPr>
              <w:spacing w:after="0"/>
              <w:rPr>
                <w:sz w:val="8"/>
                <w:szCs w:val="8"/>
                <w:color w:val="auto"/>
              </w:rPr>
            </w:pPr>
          </w:p>
        </w:tc>
      </w:tr>
      <w:tr>
        <w:trPr>
          <w:trHeight w:val="204"/>
        </w:trPr>
        <w:tc>
          <w:tcPr>
            <w:tcW w:w="28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Steve Lawrence</w:t>
            </w:r>
          </w:p>
        </w:tc>
        <w:tc>
          <w:tcPr>
            <w:tcW w:w="2800" w:type="dxa"/>
            <w:vAlign w:val="bottom"/>
            <w:tcBorders>
              <w:bottom w:val="single" w:sz="8" w:color="DBDBDB"/>
            </w:tcBorders>
            <w:gridSpan w:val="4"/>
            <w:shd w:val="clear" w:color="auto" w:fill="DBDBDB"/>
          </w:tcPr>
          <w:p>
            <w:pPr>
              <w:jc w:val="right"/>
              <w:spacing w:after="0"/>
              <w:rPr>
                <w:sz w:val="20"/>
                <w:szCs w:val="20"/>
                <w:color w:val="auto"/>
              </w:rPr>
            </w:pPr>
            <w:r>
              <w:rPr>
                <w:rFonts w:ascii="Arial" w:cs="Arial" w:eastAsia="Arial" w:hAnsi="Arial"/>
                <w:sz w:val="13"/>
                <w:szCs w:val="13"/>
                <w:color w:val="auto"/>
              </w:rPr>
              <w:t>1,000,000</w:t>
            </w:r>
          </w:p>
        </w:tc>
        <w:tc>
          <w:tcPr>
            <w:tcW w:w="28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1,050,000</w:t>
            </w:r>
          </w:p>
        </w:tc>
        <w:tc>
          <w:tcPr>
            <w:tcW w:w="2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5.0</w:t>
            </w:r>
          </w:p>
        </w:tc>
      </w:tr>
      <w:tr>
        <w:trPr>
          <w:trHeight w:val="197"/>
        </w:trPr>
        <w:tc>
          <w:tcPr>
            <w:tcW w:w="2800" w:type="dxa"/>
            <w:vAlign w:val="bottom"/>
          </w:tcPr>
          <w:p>
            <w:pPr>
              <w:ind w:left="100"/>
              <w:spacing w:after="0"/>
              <w:rPr>
                <w:sz w:val="20"/>
                <w:szCs w:val="20"/>
                <w:color w:val="auto"/>
              </w:rPr>
            </w:pPr>
            <w:r>
              <w:rPr>
                <w:rFonts w:ascii="Arial" w:cs="Arial" w:eastAsia="Arial" w:hAnsi="Arial"/>
                <w:sz w:val="13"/>
                <w:szCs w:val="13"/>
                <w:b w:val="1"/>
                <w:bCs w:val="1"/>
                <w:color w:val="auto"/>
              </w:rPr>
              <w:t>Sam Johnson</w:t>
            </w:r>
          </w:p>
        </w:tc>
        <w:tc>
          <w:tcPr>
            <w:tcW w:w="2800" w:type="dxa"/>
            <w:vAlign w:val="bottom"/>
            <w:gridSpan w:val="4"/>
          </w:tcPr>
          <w:p>
            <w:pPr>
              <w:jc w:val="right"/>
              <w:spacing w:after="0"/>
              <w:rPr>
                <w:sz w:val="20"/>
                <w:szCs w:val="20"/>
                <w:color w:val="auto"/>
              </w:rPr>
            </w:pPr>
            <w:r>
              <w:rPr>
                <w:rFonts w:ascii="Arial" w:cs="Arial" w:eastAsia="Arial" w:hAnsi="Arial"/>
                <w:sz w:val="13"/>
                <w:szCs w:val="13"/>
                <w:color w:val="auto"/>
              </w:rPr>
              <w:t>825,000</w:t>
            </w:r>
          </w:p>
        </w:tc>
        <w:tc>
          <w:tcPr>
            <w:tcW w:w="2820" w:type="dxa"/>
            <w:vAlign w:val="bottom"/>
            <w:gridSpan w:val="2"/>
          </w:tcPr>
          <w:p>
            <w:pPr>
              <w:jc w:val="right"/>
              <w:spacing w:after="0"/>
              <w:rPr>
                <w:sz w:val="20"/>
                <w:szCs w:val="20"/>
                <w:color w:val="auto"/>
              </w:rPr>
            </w:pPr>
            <w:r>
              <w:rPr>
                <w:rFonts w:ascii="Arial" w:cs="Arial" w:eastAsia="Arial" w:hAnsi="Arial"/>
                <w:sz w:val="13"/>
                <w:szCs w:val="13"/>
                <w:color w:val="auto"/>
              </w:rPr>
              <w:t>840,000</w:t>
            </w:r>
          </w:p>
        </w:tc>
        <w:tc>
          <w:tcPr>
            <w:tcW w:w="28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27"/>
        </w:trPr>
        <w:tc>
          <w:tcPr>
            <w:tcW w:w="2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04"/>
        </w:trPr>
        <w:tc>
          <w:tcPr>
            <w:tcW w:w="28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2800" w:type="dxa"/>
            <w:vAlign w:val="bottom"/>
            <w:tcBorders>
              <w:bottom w:val="single" w:sz="8" w:color="DBDBDB"/>
            </w:tcBorders>
            <w:gridSpan w:val="4"/>
            <w:shd w:val="clear" w:color="auto" w:fill="DBDBDB"/>
          </w:tcPr>
          <w:p>
            <w:pPr>
              <w:jc w:val="right"/>
              <w:spacing w:after="0"/>
              <w:rPr>
                <w:sz w:val="20"/>
                <w:szCs w:val="20"/>
                <w:color w:val="auto"/>
              </w:rPr>
            </w:pPr>
            <w:r>
              <w:rPr>
                <w:rFonts w:ascii="Arial" w:cs="Arial" w:eastAsia="Arial" w:hAnsi="Arial"/>
                <w:sz w:val="13"/>
                <w:szCs w:val="13"/>
                <w:color w:val="auto"/>
              </w:rPr>
              <w:t>500,000</w:t>
            </w:r>
          </w:p>
        </w:tc>
        <w:tc>
          <w:tcPr>
            <w:tcW w:w="28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525,000</w:t>
            </w:r>
          </w:p>
        </w:tc>
        <w:tc>
          <w:tcPr>
            <w:tcW w:w="2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5.0</w:t>
            </w:r>
          </w:p>
        </w:tc>
      </w:tr>
      <w:tr>
        <w:trPr>
          <w:trHeight w:val="197"/>
        </w:trPr>
        <w:tc>
          <w:tcPr>
            <w:tcW w:w="280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2800" w:type="dxa"/>
            <w:vAlign w:val="bottom"/>
            <w:gridSpan w:val="4"/>
          </w:tcPr>
          <w:p>
            <w:pPr>
              <w:jc w:val="right"/>
              <w:spacing w:after="0"/>
              <w:rPr>
                <w:sz w:val="20"/>
                <w:szCs w:val="20"/>
                <w:color w:val="auto"/>
              </w:rPr>
            </w:pPr>
            <w:r>
              <w:rPr>
                <w:rFonts w:ascii="Arial" w:cs="Arial" w:eastAsia="Arial" w:hAnsi="Arial"/>
                <w:sz w:val="13"/>
                <w:szCs w:val="13"/>
                <w:color w:val="auto"/>
              </w:rPr>
              <w:t>500,000</w:t>
            </w:r>
          </w:p>
        </w:tc>
        <w:tc>
          <w:tcPr>
            <w:tcW w:w="2820" w:type="dxa"/>
            <w:vAlign w:val="bottom"/>
            <w:gridSpan w:val="2"/>
          </w:tcPr>
          <w:p>
            <w:pPr>
              <w:jc w:val="right"/>
              <w:spacing w:after="0"/>
              <w:rPr>
                <w:sz w:val="20"/>
                <w:szCs w:val="20"/>
                <w:color w:val="auto"/>
              </w:rPr>
            </w:pPr>
            <w:r>
              <w:rPr>
                <w:rFonts w:ascii="Arial" w:cs="Arial" w:eastAsia="Arial" w:hAnsi="Arial"/>
                <w:sz w:val="13"/>
                <w:szCs w:val="13"/>
                <w:color w:val="auto"/>
              </w:rPr>
              <w:t>525,000</w:t>
            </w:r>
          </w:p>
        </w:tc>
        <w:tc>
          <w:tcPr>
            <w:tcW w:w="282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27"/>
        </w:trPr>
        <w:tc>
          <w:tcPr>
            <w:tcW w:w="2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197"/>
        </w:trPr>
        <w:tc>
          <w:tcPr>
            <w:tcW w:w="280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Ken Hicks</w:t>
            </w:r>
          </w:p>
        </w:tc>
        <w:tc>
          <w:tcPr>
            <w:tcW w:w="2800" w:type="dxa"/>
            <w:vAlign w:val="bottom"/>
            <w:gridSpan w:val="4"/>
            <w:shd w:val="clear" w:color="auto" w:fill="DBDBDB"/>
          </w:tcPr>
          <w:p>
            <w:pPr>
              <w:jc w:val="right"/>
              <w:spacing w:after="0"/>
              <w:rPr>
                <w:sz w:val="20"/>
                <w:szCs w:val="20"/>
                <w:color w:val="auto"/>
              </w:rPr>
            </w:pPr>
            <w:r>
              <w:rPr>
                <w:rFonts w:ascii="Arial" w:cs="Arial" w:eastAsia="Arial" w:hAnsi="Arial"/>
                <w:sz w:val="13"/>
                <w:szCs w:val="13"/>
                <w:color w:val="auto"/>
              </w:rPr>
              <w:t>700,000</w:t>
            </w:r>
          </w:p>
        </w:tc>
        <w:tc>
          <w:tcPr>
            <w:tcW w:w="282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700,000</w:t>
            </w:r>
          </w:p>
        </w:tc>
        <w:tc>
          <w:tcPr>
            <w:tcW w:w="2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0.0</w:t>
            </w:r>
          </w:p>
        </w:tc>
      </w:tr>
      <w:tr>
        <w:trPr>
          <w:trHeight w:val="27"/>
        </w:trPr>
        <w:tc>
          <w:tcPr>
            <w:tcW w:w="2800" w:type="dxa"/>
            <w:vAlign w:val="bottom"/>
            <w:shd w:val="clear" w:color="auto" w:fill="DBDBDB"/>
          </w:tcPr>
          <w:p>
            <w:pPr>
              <w:spacing w:after="0"/>
              <w:rPr>
                <w:sz w:val="2"/>
                <w:szCs w:val="2"/>
                <w:color w:val="auto"/>
              </w:rPr>
            </w:pPr>
          </w:p>
        </w:tc>
        <w:tc>
          <w:tcPr>
            <w:tcW w:w="18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240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2820" w:type="dxa"/>
            <w:vAlign w:val="bottom"/>
            <w:shd w:val="clear" w:color="auto" w:fill="DBDBDB"/>
          </w:tcPr>
          <w:p>
            <w:pPr>
              <w:spacing w:after="0"/>
              <w:rPr>
                <w:sz w:val="2"/>
                <w:szCs w:val="2"/>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2024 Executive Team Bonus Plan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Bonus Plan Design</w:t>
      </w:r>
    </w:p>
    <w:p>
      <w:pPr>
        <w:spacing w:after="0" w:line="7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We seek to tie a significant portion of NEO compensation to performance. To accomplish this objective, we provide our NEOs the opportunity to earn annual cash bonuses tied to the achievement of both Company (weighted 90%) and individual (weighted 10%) performance metrics. Each NEO may earn from 0% to 200% of their target bonus opportunity. Any earned bonus payments are generally subject to the NEO’s continued employment through the payment date, which typically occurs in April following the end of the applicable fiscal year. Although Mr. Hicks initially participated in the 2024 Executive Bonus Plan, he was not eligible for a bonus payout in light of his planned transition to non-employee Chairman of the Board in June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Target Opportunities</w:t>
      </w:r>
    </w:p>
    <w:p>
      <w:pPr>
        <w:spacing w:after="0" w:line="7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Target bonus opportunities are expressed as a percentage of each NEO’s annual base salary. For fiscal 2024, each participating NEO’s target bonus opportunity remained unchanged from the end of fiscal 2023: 175% for Mr. Lawrence, 140% for Mr. Johnson, and 120% for each of Messrs. Hicks, Ford, and McCabe.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Performance Metrics</w:t>
      </w:r>
    </w:p>
    <w:p>
      <w:pPr>
        <w:spacing w:after="0" w:line="83" w:lineRule="exact"/>
        <w:rPr>
          <w:sz w:val="20"/>
          <w:szCs w:val="20"/>
          <w:color w:val="auto"/>
        </w:rPr>
      </w:pPr>
    </w:p>
    <w:p>
      <w:pPr>
        <w:ind w:right="340"/>
        <w:spacing w:after="0" w:line="293" w:lineRule="auto"/>
        <w:rPr>
          <w:sz w:val="20"/>
          <w:szCs w:val="20"/>
          <w:color w:val="auto"/>
        </w:rPr>
      </w:pPr>
      <w:r>
        <w:rPr>
          <w:rFonts w:ascii="Arial" w:cs="Arial" w:eastAsia="Arial" w:hAnsi="Arial"/>
          <w:sz w:val="15"/>
          <w:szCs w:val="15"/>
          <w:color w:val="auto"/>
        </w:rPr>
        <w:t>During first quarter 2024, the Committee finalized and approved the performance metrics for the Executive Bonus Plan. In setting the goals described below, the Committee established what it believed were stretch goals that would incentivize and reward exceptional employee performance without any guarantee that we would meet or exceed any such metrics in the prevailing business environment.</w:t>
      </w:r>
    </w:p>
    <w:p>
      <w:pPr>
        <w:spacing w:after="0" w:line="164"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For NEOs to be eligible to receive any payout under the Executive Bonus Plan, the Company must achieve a minimum Adj. EBIT result of at least 80% of the Adj. EBIT target set and approved by the Committee. If this threshold is not met, no bonuses will be paid under the Executive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68515" cy="4127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703580</wp:posOffset>
            </wp:positionV>
            <wp:extent cx="789305" cy="18923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Under the Executive Bonus Plan, the Company performance metrics represent 90% of each NEO’s annual bonus opportunity. For 2024, the Committee approved Adj. EBIT (45%) and Net Sales (45%) as the two Company performance metrics under the Executive Bonus Plan. Adj. EBIT reflects the profitability of the Company inclusive of depreciation and amortization impacts. Net Sales reflect the primary means of growth for the Company.</w:t>
      </w:r>
    </w:p>
    <w:p>
      <w:pPr>
        <w:spacing w:after="0" w:line="164"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For the Company performance metrics, we use linear interpolation to determine the payout percentage where the level of achievement falls between minimum and target or target and maximum levels of achievement.</w:t>
      </w:r>
    </w:p>
    <w:p>
      <w:pPr>
        <w:spacing w:after="0" w:line="151"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Under the Executive Bonus Plan, the individual performance metric represents 10% of each NEO’s annual bonus opportunity. The individual performance metric goals consisted of key merchandising, marketing, leadership, financial, and operational objectives which support our Company’s long-range strategies to achieve our vision to be the best sports and outdoors retailer in the country with a focus on both the results and the NEO’s demonstration of our values – Customer focus and service, Excellence in all we do, Responsible leadership, Students of the business, Integrity always, and Positive impact on our communities. In March 2024, Mr. Lawrence, in his role as CEO, recommended individual performance goals for the NEOs other than himself and Mr. Hicks to the Committee for its approval. The Committee set Messrs. Lawrence’s and Hicks’s individual performance goals.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Achievement of Performance Goals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2024 Executive Bonus Plan Company Performance Results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2024 Executive Bonus Plan Company performance results: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560" w:type="dxa"/>
            <w:vAlign w:val="bottom"/>
            <w:shd w:val="clear" w:color="auto" w:fill="E1D7AC"/>
          </w:tcPr>
          <w:p>
            <w:pPr>
              <w:spacing w:after="0"/>
              <w:rPr>
                <w:sz w:val="21"/>
                <w:szCs w:val="21"/>
                <w:color w:val="auto"/>
              </w:rPr>
            </w:pPr>
          </w:p>
        </w:tc>
        <w:tc>
          <w:tcPr>
            <w:tcW w:w="2180" w:type="dxa"/>
            <w:vAlign w:val="bottom"/>
            <w:shd w:val="clear" w:color="auto" w:fill="E1D7AC"/>
          </w:tcPr>
          <w:p>
            <w:pPr>
              <w:spacing w:after="0"/>
              <w:rPr>
                <w:sz w:val="21"/>
                <w:szCs w:val="21"/>
                <w:color w:val="auto"/>
              </w:rPr>
            </w:pPr>
          </w:p>
        </w:tc>
        <w:tc>
          <w:tcPr>
            <w:tcW w:w="1640" w:type="dxa"/>
            <w:vAlign w:val="bottom"/>
            <w:shd w:val="clear" w:color="auto" w:fill="E1D7AC"/>
          </w:tcPr>
          <w:p>
            <w:pPr>
              <w:spacing w:after="0"/>
              <w:rPr>
                <w:sz w:val="21"/>
                <w:szCs w:val="21"/>
                <w:color w:val="auto"/>
              </w:rPr>
            </w:pPr>
          </w:p>
        </w:tc>
        <w:tc>
          <w:tcPr>
            <w:tcW w:w="17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Level of Achievement</w:t>
            </w:r>
          </w:p>
        </w:tc>
        <w:tc>
          <w:tcPr>
            <w:tcW w:w="880" w:type="dxa"/>
            <w:vAlign w:val="bottom"/>
            <w:shd w:val="clear" w:color="auto" w:fill="E1D7AC"/>
          </w:tcPr>
          <w:p>
            <w:pPr>
              <w:spacing w:after="0"/>
              <w:rPr>
                <w:sz w:val="21"/>
                <w:szCs w:val="21"/>
                <w:color w:val="auto"/>
              </w:rPr>
            </w:pPr>
          </w:p>
        </w:tc>
        <w:tc>
          <w:tcPr>
            <w:tcW w:w="1080" w:type="dxa"/>
            <w:vAlign w:val="bottom"/>
            <w:shd w:val="clear" w:color="auto" w:fill="E1D7AC"/>
          </w:tcPr>
          <w:p>
            <w:pPr>
              <w:spacing w:after="0"/>
              <w:rPr>
                <w:sz w:val="21"/>
                <w:szCs w:val="21"/>
                <w:color w:val="auto"/>
              </w:rPr>
            </w:pPr>
          </w:p>
        </w:tc>
        <w:tc>
          <w:tcPr>
            <w:tcW w:w="80" w:type="dxa"/>
            <w:vAlign w:val="bottom"/>
            <w:shd w:val="clear" w:color="auto" w:fill="E1D7AC"/>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520" w:type="dxa"/>
            <w:vAlign w:val="bottom"/>
            <w:tcBorders>
              <w:bottom w:val="single" w:sz="8" w:color="DBDBDB"/>
            </w:tcBorders>
            <w:shd w:val="clear" w:color="auto" w:fill="DBDBDB"/>
          </w:tcPr>
          <w:p>
            <w:pPr>
              <w:spacing w:after="0"/>
              <w:rPr>
                <w:sz w:val="6"/>
                <w:szCs w:val="6"/>
                <w:color w:val="auto"/>
              </w:rPr>
            </w:pPr>
          </w:p>
        </w:tc>
        <w:tc>
          <w:tcPr>
            <w:tcW w:w="120" w:type="dxa"/>
            <w:vAlign w:val="bottom"/>
            <w:tcBorders>
              <w:bottom w:val="single" w:sz="8" w:color="DBDBDB"/>
            </w:tcBorders>
            <w:shd w:val="clear" w:color="auto" w:fill="DBDBDB"/>
          </w:tcPr>
          <w:p>
            <w:pPr>
              <w:spacing w:after="0"/>
              <w:rPr>
                <w:sz w:val="6"/>
                <w:szCs w:val="6"/>
                <w:color w:val="auto"/>
              </w:rPr>
            </w:pPr>
          </w:p>
        </w:tc>
        <w:tc>
          <w:tcPr>
            <w:tcW w:w="600" w:type="dxa"/>
            <w:vAlign w:val="bottom"/>
            <w:tcBorders>
              <w:bottom w:val="single" w:sz="8" w:color="DBDBDB"/>
            </w:tcBorders>
            <w:shd w:val="clear" w:color="auto" w:fill="DBDBDB"/>
          </w:tcPr>
          <w:p>
            <w:pPr>
              <w:spacing w:after="0"/>
              <w:rPr>
                <w:sz w:val="6"/>
                <w:szCs w:val="6"/>
                <w:color w:val="auto"/>
              </w:rPr>
            </w:pPr>
          </w:p>
        </w:tc>
        <w:tc>
          <w:tcPr>
            <w:tcW w:w="100" w:type="dxa"/>
            <w:vAlign w:val="bottom"/>
            <w:tcBorders>
              <w:bottom w:val="single" w:sz="8" w:color="DBDBDB"/>
            </w:tcBorders>
            <w:shd w:val="clear" w:color="auto" w:fill="DBDBDB"/>
          </w:tcPr>
          <w:p>
            <w:pPr>
              <w:spacing w:after="0"/>
              <w:rPr>
                <w:sz w:val="6"/>
                <w:szCs w:val="6"/>
                <w:color w:val="auto"/>
              </w:rPr>
            </w:pPr>
          </w:p>
        </w:tc>
        <w:tc>
          <w:tcPr>
            <w:tcW w:w="720" w:type="dxa"/>
            <w:vAlign w:val="bottom"/>
            <w:tcBorders>
              <w:bottom w:val="single" w:sz="8" w:color="DBDBDB"/>
            </w:tcBorders>
            <w:shd w:val="clear" w:color="auto" w:fill="DBDBDB"/>
          </w:tcPr>
          <w:p>
            <w:pPr>
              <w:spacing w:after="0"/>
              <w:rPr>
                <w:sz w:val="6"/>
                <w:szCs w:val="6"/>
                <w:color w:val="auto"/>
              </w:rPr>
            </w:pPr>
          </w:p>
        </w:tc>
        <w:tc>
          <w:tcPr>
            <w:tcW w:w="1560" w:type="dxa"/>
            <w:vAlign w:val="bottom"/>
            <w:tcBorders>
              <w:bottom w:val="single" w:sz="8" w:color="E1D7AC"/>
            </w:tcBorders>
            <w:shd w:val="clear" w:color="auto" w:fill="E1D7AC"/>
          </w:tcPr>
          <w:p>
            <w:pPr>
              <w:spacing w:after="0"/>
              <w:rPr>
                <w:sz w:val="6"/>
                <w:szCs w:val="6"/>
                <w:color w:val="auto"/>
              </w:rPr>
            </w:pPr>
          </w:p>
        </w:tc>
        <w:tc>
          <w:tcPr>
            <w:tcW w:w="2180" w:type="dxa"/>
            <w:vAlign w:val="bottom"/>
            <w:tcBorders>
              <w:bottom w:val="single" w:sz="8" w:color="E1D7AC"/>
            </w:tcBorders>
            <w:shd w:val="clear" w:color="auto" w:fill="E1D7AC"/>
          </w:tcPr>
          <w:p>
            <w:pPr>
              <w:spacing w:after="0"/>
              <w:rPr>
                <w:sz w:val="6"/>
                <w:szCs w:val="6"/>
                <w:color w:val="auto"/>
              </w:rPr>
            </w:pPr>
          </w:p>
        </w:tc>
        <w:tc>
          <w:tcPr>
            <w:tcW w:w="1640" w:type="dxa"/>
            <w:vAlign w:val="bottom"/>
            <w:tcBorders>
              <w:bottom w:val="single" w:sz="8" w:color="auto"/>
            </w:tcBorders>
            <w:shd w:val="clear" w:color="auto" w:fill="E1D7AC"/>
          </w:tcPr>
          <w:p>
            <w:pPr>
              <w:spacing w:after="0"/>
              <w:rPr>
                <w:sz w:val="6"/>
                <w:szCs w:val="6"/>
                <w:color w:val="auto"/>
              </w:rPr>
            </w:pPr>
          </w:p>
        </w:tc>
        <w:tc>
          <w:tcPr>
            <w:tcW w:w="1760" w:type="dxa"/>
            <w:vAlign w:val="bottom"/>
            <w:tcBorders>
              <w:bottom w:val="single" w:sz="8" w:color="auto"/>
            </w:tcBorders>
            <w:shd w:val="clear" w:color="auto" w:fill="E1D7AC"/>
          </w:tcPr>
          <w:p>
            <w:pPr>
              <w:spacing w:after="0"/>
              <w:rPr>
                <w:sz w:val="6"/>
                <w:szCs w:val="6"/>
                <w:color w:val="auto"/>
              </w:rPr>
            </w:pPr>
          </w:p>
        </w:tc>
        <w:tc>
          <w:tcPr>
            <w:tcW w:w="880" w:type="dxa"/>
            <w:vAlign w:val="bottom"/>
            <w:tcBorders>
              <w:bottom w:val="single" w:sz="8" w:color="auto"/>
            </w:tcBorders>
            <w:shd w:val="clear" w:color="auto" w:fill="E1D7AC"/>
          </w:tcPr>
          <w:p>
            <w:pPr>
              <w:spacing w:after="0"/>
              <w:rPr>
                <w:sz w:val="6"/>
                <w:szCs w:val="6"/>
                <w:color w:val="auto"/>
              </w:rPr>
            </w:pPr>
          </w:p>
        </w:tc>
        <w:tc>
          <w:tcPr>
            <w:tcW w:w="1080" w:type="dxa"/>
            <w:vAlign w:val="bottom"/>
            <w:tcBorders>
              <w:bottom w:val="single" w:sz="8" w:color="auto"/>
            </w:tcBorders>
            <w:shd w:val="clear" w:color="auto" w:fill="E1D7AC"/>
          </w:tcPr>
          <w:p>
            <w:pPr>
              <w:spacing w:after="0"/>
              <w:rPr>
                <w:sz w:val="6"/>
                <w:szCs w:val="6"/>
                <w:color w:val="auto"/>
              </w:rPr>
            </w:pPr>
          </w:p>
        </w:tc>
        <w:tc>
          <w:tcPr>
            <w:tcW w:w="80" w:type="dxa"/>
            <w:vAlign w:val="bottom"/>
            <w:tcBorders>
              <w:bottom w:val="single" w:sz="8" w:color="E1D7AC"/>
            </w:tcBorders>
            <w:shd w:val="clear" w:color="auto" w:fill="E1D7AC"/>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5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560" w:type="dxa"/>
            <w:vAlign w:val="bottom"/>
            <w:shd w:val="clear" w:color="auto" w:fill="E1D7AC"/>
          </w:tcPr>
          <w:p>
            <w:pPr>
              <w:jc w:val="center"/>
              <w:spacing w:after="0"/>
              <w:rPr>
                <w:sz w:val="20"/>
                <w:szCs w:val="20"/>
                <w:color w:val="auto"/>
              </w:rPr>
            </w:pPr>
            <w:r>
              <w:rPr>
                <w:rFonts w:ascii="Arial" w:cs="Arial" w:eastAsia="Arial" w:hAnsi="Arial"/>
                <w:sz w:val="13"/>
                <w:szCs w:val="13"/>
                <w:b w:val="1"/>
                <w:bCs w:val="1"/>
                <w:color w:val="auto"/>
              </w:rPr>
              <w:t>Metrics</w:t>
            </w:r>
          </w:p>
        </w:tc>
        <w:tc>
          <w:tcPr>
            <w:tcW w:w="2180" w:type="dxa"/>
            <w:vAlign w:val="bottom"/>
            <w:shd w:val="clear" w:color="auto" w:fill="E1D7AC"/>
          </w:tcPr>
          <w:p>
            <w:pPr>
              <w:spacing w:after="0"/>
              <w:rPr>
                <w:sz w:val="21"/>
                <w:szCs w:val="21"/>
                <w:color w:val="auto"/>
              </w:rPr>
            </w:pPr>
          </w:p>
        </w:tc>
        <w:tc>
          <w:tcPr>
            <w:tcW w:w="1640" w:type="dxa"/>
            <w:vAlign w:val="bottom"/>
            <w:shd w:val="clear" w:color="auto" w:fill="E1D7AC"/>
          </w:tcPr>
          <w:p>
            <w:pPr>
              <w:jc w:val="right"/>
              <w:ind w:right="294"/>
              <w:spacing w:after="0"/>
              <w:rPr>
                <w:sz w:val="20"/>
                <w:szCs w:val="20"/>
                <w:color w:val="auto"/>
              </w:rPr>
            </w:pPr>
            <w:r>
              <w:rPr>
                <w:rFonts w:ascii="Arial" w:cs="Arial" w:eastAsia="Arial" w:hAnsi="Arial"/>
                <w:sz w:val="13"/>
                <w:szCs w:val="13"/>
                <w:b w:val="1"/>
                <w:bCs w:val="1"/>
                <w:color w:val="auto"/>
              </w:rPr>
              <w:t>Threshold</w:t>
            </w:r>
          </w:p>
        </w:tc>
        <w:tc>
          <w:tcPr>
            <w:tcW w:w="1760" w:type="dxa"/>
            <w:vAlign w:val="bottom"/>
            <w:shd w:val="clear" w:color="auto" w:fill="E1D7AC"/>
          </w:tcPr>
          <w:p>
            <w:pPr>
              <w:jc w:val="right"/>
              <w:ind w:right="574"/>
              <w:spacing w:after="0"/>
              <w:rPr>
                <w:sz w:val="20"/>
                <w:szCs w:val="20"/>
                <w:color w:val="auto"/>
              </w:rPr>
            </w:pPr>
            <w:r>
              <w:rPr>
                <w:rFonts w:ascii="Arial" w:cs="Arial" w:eastAsia="Arial" w:hAnsi="Arial"/>
                <w:sz w:val="13"/>
                <w:szCs w:val="13"/>
                <w:b w:val="1"/>
                <w:bCs w:val="1"/>
                <w:color w:val="auto"/>
              </w:rPr>
              <w:t>Target</w:t>
            </w:r>
          </w:p>
        </w:tc>
        <w:tc>
          <w:tcPr>
            <w:tcW w:w="880" w:type="dxa"/>
            <w:vAlign w:val="bottom"/>
            <w:shd w:val="clear" w:color="auto" w:fill="E1D7AC"/>
          </w:tcPr>
          <w:p>
            <w:pPr>
              <w:jc w:val="right"/>
              <w:ind w:right="154"/>
              <w:spacing w:after="0"/>
              <w:rPr>
                <w:sz w:val="20"/>
                <w:szCs w:val="20"/>
                <w:color w:val="auto"/>
              </w:rPr>
            </w:pPr>
            <w:r>
              <w:rPr>
                <w:rFonts w:ascii="Arial" w:cs="Arial" w:eastAsia="Arial" w:hAnsi="Arial"/>
                <w:sz w:val="13"/>
                <w:szCs w:val="13"/>
                <w:b w:val="1"/>
                <w:bCs w:val="1"/>
                <w:color w:val="auto"/>
              </w:rPr>
              <w:t>Maximum</w:t>
            </w:r>
          </w:p>
        </w:tc>
        <w:tc>
          <w:tcPr>
            <w:tcW w:w="1160" w:type="dxa"/>
            <w:vAlign w:val="bottom"/>
            <w:gridSpan w:val="2"/>
            <w:shd w:val="clear" w:color="auto" w:fill="E1D7AC"/>
          </w:tcPr>
          <w:p>
            <w:pPr>
              <w:ind w:left="240"/>
              <w:spacing w:after="0"/>
              <w:rPr>
                <w:sz w:val="20"/>
                <w:szCs w:val="20"/>
                <w:color w:val="auto"/>
              </w:rPr>
            </w:pPr>
            <w:r>
              <w:rPr>
                <w:rFonts w:ascii="Arial" w:cs="Arial" w:eastAsia="Arial" w:hAnsi="Arial"/>
                <w:sz w:val="13"/>
                <w:szCs w:val="13"/>
                <w:b w:val="1"/>
                <w:bCs w:val="1"/>
                <w:color w:val="auto"/>
              </w:rPr>
              <w:t>Achievement</w:t>
            </w:r>
          </w:p>
        </w:tc>
        <w:tc>
          <w:tcPr>
            <w:tcW w:w="0" w:type="dxa"/>
            <w:vAlign w:val="bottom"/>
          </w:tcPr>
          <w:p>
            <w:pPr>
              <w:spacing w:after="0"/>
              <w:rPr>
                <w:sz w:val="1"/>
                <w:szCs w:val="1"/>
                <w:color w:val="auto"/>
              </w:rPr>
            </w:pPr>
          </w:p>
        </w:tc>
      </w:tr>
      <w:tr>
        <w:trPr>
          <w:trHeight w:val="76"/>
        </w:trPr>
        <w:tc>
          <w:tcPr>
            <w:tcW w:w="520" w:type="dxa"/>
            <w:vAlign w:val="bottom"/>
            <w:shd w:val="clear" w:color="auto" w:fill="DBDBDB"/>
          </w:tcPr>
          <w:p>
            <w:pPr>
              <w:spacing w:after="0"/>
              <w:rPr>
                <w:sz w:val="6"/>
                <w:szCs w:val="6"/>
                <w:color w:val="auto"/>
              </w:rPr>
            </w:pPr>
          </w:p>
        </w:tc>
        <w:tc>
          <w:tcPr>
            <w:tcW w:w="120" w:type="dxa"/>
            <w:vAlign w:val="bottom"/>
            <w:shd w:val="clear" w:color="auto" w:fill="DBDBDB"/>
          </w:tcPr>
          <w:p>
            <w:pPr>
              <w:spacing w:after="0"/>
              <w:rPr>
                <w:sz w:val="6"/>
                <w:szCs w:val="6"/>
                <w:color w:val="auto"/>
              </w:rPr>
            </w:pPr>
          </w:p>
        </w:tc>
        <w:tc>
          <w:tcPr>
            <w:tcW w:w="6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720" w:type="dxa"/>
            <w:vAlign w:val="bottom"/>
            <w:shd w:val="clear" w:color="auto" w:fill="DBDBDB"/>
          </w:tcPr>
          <w:p>
            <w:pPr>
              <w:spacing w:after="0"/>
              <w:rPr>
                <w:sz w:val="6"/>
                <w:szCs w:val="6"/>
                <w:color w:val="auto"/>
              </w:rPr>
            </w:pPr>
          </w:p>
        </w:tc>
        <w:tc>
          <w:tcPr>
            <w:tcW w:w="1560" w:type="dxa"/>
            <w:vAlign w:val="bottom"/>
            <w:shd w:val="clear" w:color="auto" w:fill="E1D7AC"/>
          </w:tcPr>
          <w:p>
            <w:pPr>
              <w:spacing w:after="0"/>
              <w:rPr>
                <w:sz w:val="6"/>
                <w:szCs w:val="6"/>
                <w:color w:val="auto"/>
              </w:rPr>
            </w:pPr>
          </w:p>
        </w:tc>
        <w:tc>
          <w:tcPr>
            <w:tcW w:w="2180" w:type="dxa"/>
            <w:vAlign w:val="bottom"/>
            <w:shd w:val="clear" w:color="auto" w:fill="E1D7AC"/>
          </w:tcPr>
          <w:p>
            <w:pPr>
              <w:spacing w:after="0"/>
              <w:rPr>
                <w:sz w:val="6"/>
                <w:szCs w:val="6"/>
                <w:color w:val="auto"/>
              </w:rPr>
            </w:pPr>
          </w:p>
        </w:tc>
        <w:tc>
          <w:tcPr>
            <w:tcW w:w="1640" w:type="dxa"/>
            <w:vAlign w:val="bottom"/>
            <w:shd w:val="clear" w:color="auto" w:fill="E1D7AC"/>
          </w:tcPr>
          <w:p>
            <w:pPr>
              <w:spacing w:after="0"/>
              <w:rPr>
                <w:sz w:val="6"/>
                <w:szCs w:val="6"/>
                <w:color w:val="auto"/>
              </w:rPr>
            </w:pPr>
          </w:p>
        </w:tc>
        <w:tc>
          <w:tcPr>
            <w:tcW w:w="1760" w:type="dxa"/>
            <w:vAlign w:val="bottom"/>
            <w:shd w:val="clear" w:color="auto" w:fill="E1D7AC"/>
          </w:tcPr>
          <w:p>
            <w:pPr>
              <w:spacing w:after="0"/>
              <w:rPr>
                <w:sz w:val="6"/>
                <w:szCs w:val="6"/>
                <w:color w:val="auto"/>
              </w:rPr>
            </w:pPr>
          </w:p>
        </w:tc>
        <w:tc>
          <w:tcPr>
            <w:tcW w:w="880" w:type="dxa"/>
            <w:vAlign w:val="bottom"/>
            <w:shd w:val="clear" w:color="auto" w:fill="E1D7AC"/>
          </w:tcPr>
          <w:p>
            <w:pPr>
              <w:spacing w:after="0"/>
              <w:rPr>
                <w:sz w:val="6"/>
                <w:szCs w:val="6"/>
                <w:color w:val="auto"/>
              </w:rPr>
            </w:pPr>
          </w:p>
        </w:tc>
        <w:tc>
          <w:tcPr>
            <w:tcW w:w="1080" w:type="dxa"/>
            <w:vAlign w:val="bottom"/>
            <w:shd w:val="clear" w:color="auto" w:fill="E1D7AC"/>
          </w:tcPr>
          <w:p>
            <w:pPr>
              <w:spacing w:after="0"/>
              <w:rPr>
                <w:sz w:val="6"/>
                <w:szCs w:val="6"/>
                <w:color w:val="auto"/>
              </w:rPr>
            </w:pPr>
          </w:p>
        </w:tc>
        <w:tc>
          <w:tcPr>
            <w:tcW w:w="80" w:type="dxa"/>
            <w:vAlign w:val="bottom"/>
            <w:shd w:val="clear" w:color="auto" w:fill="E1D7AC"/>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5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15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Goal (in millions)</w:t>
            </w:r>
          </w:p>
        </w:tc>
        <w:tc>
          <w:tcPr>
            <w:tcW w:w="1640" w:type="dxa"/>
            <w:vAlign w:val="bottom"/>
          </w:tcPr>
          <w:p>
            <w:pPr>
              <w:jc w:val="right"/>
              <w:ind w:right="294"/>
              <w:spacing w:after="0"/>
              <w:rPr>
                <w:sz w:val="20"/>
                <w:szCs w:val="20"/>
                <w:color w:val="auto"/>
              </w:rPr>
            </w:pPr>
            <w:r>
              <w:rPr>
                <w:rFonts w:ascii="Arial" w:cs="Arial" w:eastAsia="Arial" w:hAnsi="Arial"/>
                <w:sz w:val="13"/>
                <w:szCs w:val="13"/>
                <w:color w:val="auto"/>
              </w:rPr>
              <w:t>$598.74</w:t>
            </w:r>
          </w:p>
        </w:tc>
        <w:tc>
          <w:tcPr>
            <w:tcW w:w="1760" w:type="dxa"/>
            <w:vAlign w:val="bottom"/>
          </w:tcPr>
          <w:p>
            <w:pPr>
              <w:jc w:val="right"/>
              <w:ind w:right="574"/>
              <w:spacing w:after="0"/>
              <w:rPr>
                <w:sz w:val="20"/>
                <w:szCs w:val="20"/>
                <w:color w:val="auto"/>
              </w:rPr>
            </w:pPr>
            <w:r>
              <w:rPr>
                <w:rFonts w:ascii="Arial" w:cs="Arial" w:eastAsia="Arial" w:hAnsi="Arial"/>
                <w:sz w:val="13"/>
                <w:szCs w:val="13"/>
                <w:color w:val="auto"/>
              </w:rPr>
              <w:t>$704.40</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$810.06</w:t>
            </w:r>
          </w:p>
        </w:tc>
        <w:tc>
          <w:tcPr>
            <w:tcW w:w="1080" w:type="dxa"/>
            <w:vAlign w:val="bottom"/>
          </w:tcPr>
          <w:p>
            <w:pPr>
              <w:jc w:val="right"/>
              <w:spacing w:after="0"/>
              <w:rPr>
                <w:sz w:val="20"/>
                <w:szCs w:val="20"/>
                <w:color w:val="auto"/>
              </w:rPr>
            </w:pPr>
            <w:r>
              <w:rPr>
                <w:rFonts w:ascii="Arial" w:cs="Arial" w:eastAsia="Arial" w:hAnsi="Arial"/>
                <w:sz w:val="13"/>
                <w:szCs w:val="13"/>
                <w:color w:val="auto"/>
              </w:rPr>
              <w:t>$602.18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vMerge w:val="restart"/>
            <w:shd w:val="clear" w:color="auto" w:fill="DBDBDB"/>
          </w:tcPr>
          <w:p>
            <w:pPr>
              <w:jc w:val="center"/>
              <w:spacing w:after="0"/>
              <w:rPr>
                <w:sz w:val="20"/>
                <w:szCs w:val="20"/>
                <w:color w:val="auto"/>
              </w:rPr>
            </w:pPr>
            <w:r>
              <w:rPr>
                <w:rFonts w:ascii="Arial" w:cs="Arial" w:eastAsia="Arial" w:hAnsi="Arial"/>
                <w:sz w:val="13"/>
                <w:szCs w:val="13"/>
                <w:b w:val="1"/>
                <w:bCs w:val="1"/>
                <w:color w:val="auto"/>
                <w:highlight w:val="lightGray"/>
              </w:rPr>
              <w:t>Company</w:t>
            </w: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9"/>
              </w:rPr>
              <w:t>Adj. EBIT*</w:t>
            </w:r>
          </w:p>
        </w:tc>
        <w:tc>
          <w:tcPr>
            <w:tcW w:w="2180" w:type="dxa"/>
            <w:vAlign w:val="bottom"/>
            <w:vMerge w:val="restart"/>
          </w:tcPr>
          <w:p>
            <w:pPr>
              <w:jc w:val="right"/>
              <w:spacing w:after="0"/>
              <w:rPr>
                <w:sz w:val="20"/>
                <w:szCs w:val="20"/>
                <w:color w:val="auto"/>
              </w:rPr>
            </w:pPr>
            <w:r>
              <w:rPr>
                <w:rFonts w:ascii="Arial" w:cs="Arial" w:eastAsia="Arial" w:hAnsi="Arial"/>
                <w:sz w:val="13"/>
                <w:szCs w:val="13"/>
                <w:color w:val="auto"/>
              </w:rPr>
              <w:t>Goal as % of Target (%)</w:t>
            </w:r>
          </w:p>
        </w:tc>
        <w:tc>
          <w:tcPr>
            <w:tcW w:w="1640" w:type="dxa"/>
            <w:vAlign w:val="bottom"/>
            <w:vMerge w:val="restart"/>
          </w:tcPr>
          <w:p>
            <w:pPr>
              <w:jc w:val="right"/>
              <w:ind w:right="294"/>
              <w:spacing w:after="0"/>
              <w:rPr>
                <w:sz w:val="20"/>
                <w:szCs w:val="20"/>
                <w:color w:val="auto"/>
              </w:rPr>
            </w:pPr>
            <w:r>
              <w:rPr>
                <w:rFonts w:ascii="Arial" w:cs="Arial" w:eastAsia="Arial" w:hAnsi="Arial"/>
                <w:sz w:val="13"/>
                <w:szCs w:val="13"/>
                <w:color w:val="auto"/>
              </w:rPr>
              <w:t>85.0</w:t>
            </w:r>
          </w:p>
        </w:tc>
        <w:tc>
          <w:tcPr>
            <w:tcW w:w="1760" w:type="dxa"/>
            <w:vAlign w:val="bottom"/>
            <w:vMerge w:val="restart"/>
          </w:tcPr>
          <w:p>
            <w:pPr>
              <w:jc w:val="right"/>
              <w:ind w:right="574"/>
              <w:spacing w:after="0"/>
              <w:rPr>
                <w:sz w:val="20"/>
                <w:szCs w:val="20"/>
                <w:color w:val="auto"/>
              </w:rPr>
            </w:pPr>
            <w:r>
              <w:rPr>
                <w:rFonts w:ascii="Arial" w:cs="Arial" w:eastAsia="Arial" w:hAnsi="Arial"/>
                <w:sz w:val="13"/>
                <w:szCs w:val="13"/>
                <w:color w:val="auto"/>
              </w:rPr>
              <w:t>100.0</w:t>
            </w:r>
          </w:p>
        </w:tc>
        <w:tc>
          <w:tcPr>
            <w:tcW w:w="880" w:type="dxa"/>
            <w:vAlign w:val="bottom"/>
            <w:vMerge w:val="restart"/>
          </w:tcPr>
          <w:p>
            <w:pPr>
              <w:jc w:val="right"/>
              <w:ind w:right="154"/>
              <w:spacing w:after="0"/>
              <w:rPr>
                <w:sz w:val="20"/>
                <w:szCs w:val="20"/>
                <w:color w:val="auto"/>
              </w:rPr>
            </w:pPr>
            <w:r>
              <w:rPr>
                <w:rFonts w:ascii="Arial" w:cs="Arial" w:eastAsia="Arial" w:hAnsi="Arial"/>
                <w:sz w:val="13"/>
                <w:szCs w:val="13"/>
                <w:color w:val="auto"/>
              </w:rPr>
              <w:t>115.0</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20" w:type="dxa"/>
            <w:vAlign w:val="bottom"/>
            <w:vMerge w:val="restart"/>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600" w:type="dxa"/>
            <w:vAlign w:val="bottom"/>
            <w:vMerge w:val="continue"/>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720" w:type="dxa"/>
            <w:vAlign w:val="bottom"/>
            <w:vMerge w:val="restart"/>
            <w:shd w:val="clear" w:color="auto" w:fill="DBDBDB"/>
          </w:tcPr>
          <w:p>
            <w:pPr>
              <w:spacing w:after="0"/>
              <w:rPr>
                <w:sz w:val="3"/>
                <w:szCs w:val="3"/>
                <w:color w:val="auto"/>
              </w:rPr>
            </w:pPr>
          </w:p>
        </w:tc>
        <w:tc>
          <w:tcPr>
            <w:tcW w:w="1560" w:type="dxa"/>
            <w:vAlign w:val="bottom"/>
            <w:vMerge w:val="restart"/>
          </w:tcPr>
          <w:p>
            <w:pPr>
              <w:jc w:val="center"/>
              <w:spacing w:after="0"/>
              <w:rPr>
                <w:sz w:val="20"/>
                <w:szCs w:val="20"/>
                <w:color w:val="auto"/>
              </w:rPr>
            </w:pPr>
            <w:r>
              <w:rPr>
                <w:rFonts w:ascii="Arial" w:cs="Arial" w:eastAsia="Arial" w:hAnsi="Arial"/>
                <w:sz w:val="13"/>
                <w:szCs w:val="13"/>
                <w:color w:val="auto"/>
              </w:rPr>
              <w:t>(45%)</w:t>
            </w:r>
          </w:p>
        </w:tc>
        <w:tc>
          <w:tcPr>
            <w:tcW w:w="218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17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520" w:type="dxa"/>
            <w:vAlign w:val="bottom"/>
            <w:vMerge w:val="continue"/>
            <w:shd w:val="clear" w:color="auto" w:fill="DBDBDB"/>
          </w:tcPr>
          <w:p>
            <w:pPr>
              <w:spacing w:after="0"/>
              <w:rPr>
                <w:sz w:val="3"/>
                <w:szCs w:val="3"/>
                <w:color w:val="auto"/>
              </w:rPr>
            </w:pPr>
          </w:p>
        </w:tc>
        <w:tc>
          <w:tcPr>
            <w:tcW w:w="820" w:type="dxa"/>
            <w:vAlign w:val="bottom"/>
            <w:gridSpan w:val="3"/>
            <w:vMerge w:val="restart"/>
            <w:shd w:val="clear" w:color="auto" w:fill="DBDBDB"/>
          </w:tcPr>
          <w:p>
            <w:pPr>
              <w:jc w:val="center"/>
              <w:spacing w:after="0"/>
              <w:rPr>
                <w:sz w:val="20"/>
                <w:szCs w:val="20"/>
                <w:color w:val="auto"/>
              </w:rPr>
            </w:pPr>
            <w:r>
              <w:rPr>
                <w:rFonts w:ascii="Arial" w:cs="Arial" w:eastAsia="Arial" w:hAnsi="Arial"/>
                <w:sz w:val="13"/>
                <w:szCs w:val="13"/>
                <w:b w:val="1"/>
                <w:bCs w:val="1"/>
                <w:color w:val="auto"/>
                <w:highlight w:val="lightGray"/>
              </w:rPr>
              <w:t>Performance</w:t>
            </w:r>
          </w:p>
        </w:tc>
        <w:tc>
          <w:tcPr>
            <w:tcW w:w="720" w:type="dxa"/>
            <w:vAlign w:val="bottom"/>
            <w:vMerge w:val="continue"/>
            <w:shd w:val="clear" w:color="auto" w:fill="DBDBDB"/>
          </w:tcPr>
          <w:p>
            <w:pPr>
              <w:spacing w:after="0"/>
              <w:rPr>
                <w:sz w:val="3"/>
                <w:szCs w:val="3"/>
                <w:color w:val="auto"/>
              </w:rPr>
            </w:pPr>
          </w:p>
        </w:tc>
        <w:tc>
          <w:tcPr>
            <w:tcW w:w="15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17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520" w:type="dxa"/>
            <w:vAlign w:val="bottom"/>
            <w:shd w:val="clear" w:color="auto" w:fill="DBDBDB"/>
          </w:tcPr>
          <w:p>
            <w:pPr>
              <w:spacing w:after="0"/>
              <w:rPr>
                <w:sz w:val="9"/>
                <w:szCs w:val="9"/>
                <w:color w:val="auto"/>
              </w:rPr>
            </w:pPr>
          </w:p>
        </w:tc>
        <w:tc>
          <w:tcPr>
            <w:tcW w:w="820" w:type="dxa"/>
            <w:vAlign w:val="bottom"/>
            <w:gridSpan w:val="3"/>
            <w:vMerge w:val="continue"/>
            <w:shd w:val="clear" w:color="auto" w:fill="DBDBDB"/>
          </w:tcPr>
          <w:p>
            <w:pPr>
              <w:spacing w:after="0"/>
              <w:rPr>
                <w:sz w:val="9"/>
                <w:szCs w:val="9"/>
                <w:color w:val="auto"/>
              </w:rPr>
            </w:pPr>
          </w:p>
        </w:tc>
        <w:tc>
          <w:tcPr>
            <w:tcW w:w="720" w:type="dxa"/>
            <w:vAlign w:val="bottom"/>
            <w:shd w:val="clear" w:color="auto" w:fill="DBDBDB"/>
          </w:tcPr>
          <w:p>
            <w:pPr>
              <w:spacing w:after="0"/>
              <w:rPr>
                <w:sz w:val="9"/>
                <w:szCs w:val="9"/>
                <w:color w:val="auto"/>
              </w:rPr>
            </w:pPr>
          </w:p>
        </w:tc>
        <w:tc>
          <w:tcPr>
            <w:tcW w:w="15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20" w:type="dxa"/>
            <w:vAlign w:val="bottom"/>
            <w:shd w:val="clear" w:color="auto" w:fill="DBDBDB"/>
          </w:tcPr>
          <w:p>
            <w:pPr>
              <w:spacing w:after="0"/>
              <w:rPr>
                <w:sz w:val="16"/>
                <w:szCs w:val="16"/>
                <w:color w:val="auto"/>
              </w:rPr>
            </w:pPr>
          </w:p>
        </w:tc>
        <w:tc>
          <w:tcPr>
            <w:tcW w:w="1540" w:type="dxa"/>
            <w:vAlign w:val="bottom"/>
            <w:gridSpan w:val="4"/>
            <w:shd w:val="clear" w:color="auto" w:fill="DBDBDB"/>
          </w:tcPr>
          <w:p>
            <w:pPr>
              <w:ind w:left="20"/>
              <w:spacing w:after="0"/>
              <w:rPr>
                <w:sz w:val="20"/>
                <w:szCs w:val="20"/>
                <w:color w:val="auto"/>
              </w:rPr>
            </w:pPr>
            <w:r>
              <w:rPr>
                <w:rFonts w:ascii="Arial" w:cs="Arial" w:eastAsia="Arial" w:hAnsi="Arial"/>
                <w:sz w:val="13"/>
                <w:szCs w:val="13"/>
                <w:b w:val="1"/>
                <w:bCs w:val="1"/>
                <w:color w:val="auto"/>
              </w:rPr>
              <w:t>(weighted 90%)</w:t>
            </w:r>
          </w:p>
        </w:tc>
        <w:tc>
          <w:tcPr>
            <w:tcW w:w="156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Payout as % of Target (%)</w:t>
            </w:r>
          </w:p>
        </w:tc>
        <w:tc>
          <w:tcPr>
            <w:tcW w:w="1640" w:type="dxa"/>
            <w:vAlign w:val="bottom"/>
          </w:tcPr>
          <w:p>
            <w:pPr>
              <w:jc w:val="right"/>
              <w:ind w:right="294"/>
              <w:spacing w:after="0"/>
              <w:rPr>
                <w:sz w:val="20"/>
                <w:szCs w:val="20"/>
                <w:color w:val="auto"/>
              </w:rPr>
            </w:pPr>
            <w:r>
              <w:rPr>
                <w:rFonts w:ascii="Arial" w:cs="Arial" w:eastAsia="Arial" w:hAnsi="Arial"/>
                <w:sz w:val="13"/>
                <w:szCs w:val="13"/>
                <w:color w:val="auto"/>
              </w:rPr>
              <w:t>50.0</w:t>
            </w:r>
          </w:p>
        </w:tc>
        <w:tc>
          <w:tcPr>
            <w:tcW w:w="1760" w:type="dxa"/>
            <w:vAlign w:val="bottom"/>
          </w:tcPr>
          <w:p>
            <w:pPr>
              <w:jc w:val="right"/>
              <w:ind w:right="574"/>
              <w:spacing w:after="0"/>
              <w:rPr>
                <w:sz w:val="20"/>
                <w:szCs w:val="20"/>
                <w:color w:val="auto"/>
              </w:rPr>
            </w:pPr>
            <w:r>
              <w:rPr>
                <w:rFonts w:ascii="Arial" w:cs="Arial" w:eastAsia="Arial" w:hAnsi="Arial"/>
                <w:sz w:val="13"/>
                <w:szCs w:val="13"/>
                <w:color w:val="auto"/>
              </w:rPr>
              <w:t>100.0</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200.0</w:t>
            </w:r>
          </w:p>
        </w:tc>
        <w:tc>
          <w:tcPr>
            <w:tcW w:w="1080" w:type="dxa"/>
            <w:vAlign w:val="bottom"/>
          </w:tcPr>
          <w:p>
            <w:pPr>
              <w:jc w:val="right"/>
              <w:spacing w:after="0"/>
              <w:rPr>
                <w:sz w:val="20"/>
                <w:szCs w:val="20"/>
                <w:color w:val="auto"/>
              </w:rPr>
            </w:pPr>
            <w:r>
              <w:rPr>
                <w:rFonts w:ascii="Arial" w:cs="Arial" w:eastAsia="Arial" w:hAnsi="Arial"/>
                <w:sz w:val="13"/>
                <w:szCs w:val="13"/>
                <w:color w:val="auto"/>
              </w:rPr>
              <w:t>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520" w:type="dxa"/>
            <w:vAlign w:val="bottom"/>
            <w:tcBorders>
              <w:bottom w:val="single" w:sz="8" w:color="DBDBDB"/>
            </w:tcBorders>
            <w:shd w:val="clear" w:color="auto" w:fill="DBDBDB"/>
          </w:tcPr>
          <w:p>
            <w:pPr>
              <w:spacing w:after="0"/>
              <w:rPr>
                <w:sz w:val="6"/>
                <w:szCs w:val="6"/>
                <w:color w:val="auto"/>
              </w:rPr>
            </w:pPr>
          </w:p>
        </w:tc>
        <w:tc>
          <w:tcPr>
            <w:tcW w:w="120" w:type="dxa"/>
            <w:vAlign w:val="bottom"/>
            <w:tcBorders>
              <w:bottom w:val="single" w:sz="8" w:color="DBDBDB"/>
            </w:tcBorders>
            <w:shd w:val="clear" w:color="auto" w:fill="DBDBDB"/>
          </w:tcPr>
          <w:p>
            <w:pPr>
              <w:spacing w:after="0"/>
              <w:rPr>
                <w:sz w:val="6"/>
                <w:szCs w:val="6"/>
                <w:color w:val="auto"/>
              </w:rPr>
            </w:pPr>
          </w:p>
        </w:tc>
        <w:tc>
          <w:tcPr>
            <w:tcW w:w="600" w:type="dxa"/>
            <w:vAlign w:val="bottom"/>
            <w:tcBorders>
              <w:bottom w:val="single" w:sz="8" w:color="DBDBDB"/>
            </w:tcBorders>
            <w:shd w:val="clear" w:color="auto" w:fill="DBDBDB"/>
          </w:tcPr>
          <w:p>
            <w:pPr>
              <w:spacing w:after="0"/>
              <w:rPr>
                <w:sz w:val="6"/>
                <w:szCs w:val="6"/>
                <w:color w:val="auto"/>
              </w:rPr>
            </w:pPr>
          </w:p>
        </w:tc>
        <w:tc>
          <w:tcPr>
            <w:tcW w:w="100" w:type="dxa"/>
            <w:vAlign w:val="bottom"/>
            <w:tcBorders>
              <w:bottom w:val="single" w:sz="8" w:color="DBDBDB"/>
            </w:tcBorders>
            <w:shd w:val="clear" w:color="auto" w:fill="DBDBDB"/>
          </w:tcPr>
          <w:p>
            <w:pPr>
              <w:spacing w:after="0"/>
              <w:rPr>
                <w:sz w:val="6"/>
                <w:szCs w:val="6"/>
                <w:color w:val="auto"/>
              </w:rPr>
            </w:pPr>
          </w:p>
        </w:tc>
        <w:tc>
          <w:tcPr>
            <w:tcW w:w="720" w:type="dxa"/>
            <w:vAlign w:val="bottom"/>
            <w:tcBorders>
              <w:bottom w:val="single" w:sz="8" w:color="DBDBDB"/>
            </w:tcBorders>
            <w:shd w:val="clear" w:color="auto" w:fill="DBDBDB"/>
          </w:tcPr>
          <w:p>
            <w:pPr>
              <w:spacing w:after="0"/>
              <w:rPr>
                <w:sz w:val="6"/>
                <w:szCs w:val="6"/>
                <w:color w:val="auto"/>
              </w:rPr>
            </w:pPr>
          </w:p>
        </w:tc>
        <w:tc>
          <w:tcPr>
            <w:tcW w:w="1560" w:type="dxa"/>
            <w:vAlign w:val="bottom"/>
            <w:tcBorders>
              <w:bottom w:val="single" w:sz="8" w:color="DBDBDB"/>
            </w:tcBorders>
          </w:tcPr>
          <w:p>
            <w:pPr>
              <w:spacing w:after="0"/>
              <w:rPr>
                <w:sz w:val="6"/>
                <w:szCs w:val="6"/>
                <w:color w:val="auto"/>
              </w:rPr>
            </w:pPr>
          </w:p>
        </w:tc>
        <w:tc>
          <w:tcPr>
            <w:tcW w:w="2180" w:type="dxa"/>
            <w:vAlign w:val="bottom"/>
            <w:tcBorders>
              <w:bottom w:val="single" w:sz="8" w:color="DBDBDB"/>
            </w:tcBorders>
          </w:tcPr>
          <w:p>
            <w:pPr>
              <w:spacing w:after="0"/>
              <w:rPr>
                <w:sz w:val="6"/>
                <w:szCs w:val="6"/>
                <w:color w:val="auto"/>
              </w:rPr>
            </w:pPr>
          </w:p>
        </w:tc>
        <w:tc>
          <w:tcPr>
            <w:tcW w:w="1640" w:type="dxa"/>
            <w:vAlign w:val="bottom"/>
            <w:tcBorders>
              <w:bottom w:val="single" w:sz="8" w:color="DBDBDB"/>
            </w:tcBorders>
          </w:tcPr>
          <w:p>
            <w:pPr>
              <w:spacing w:after="0"/>
              <w:rPr>
                <w:sz w:val="6"/>
                <w:szCs w:val="6"/>
                <w:color w:val="auto"/>
              </w:rPr>
            </w:pPr>
          </w:p>
        </w:tc>
        <w:tc>
          <w:tcPr>
            <w:tcW w:w="1760" w:type="dxa"/>
            <w:vAlign w:val="bottom"/>
            <w:tcBorders>
              <w:bottom w:val="single" w:sz="8" w:color="DBDBDB"/>
            </w:tcBorders>
          </w:tcPr>
          <w:p>
            <w:pPr>
              <w:spacing w:after="0"/>
              <w:rPr>
                <w:sz w:val="6"/>
                <w:szCs w:val="6"/>
                <w:color w:val="auto"/>
              </w:rPr>
            </w:pPr>
          </w:p>
        </w:tc>
        <w:tc>
          <w:tcPr>
            <w:tcW w:w="880" w:type="dxa"/>
            <w:vAlign w:val="bottom"/>
            <w:tcBorders>
              <w:bottom w:val="single" w:sz="8" w:color="DBDBDB"/>
            </w:tcBorders>
          </w:tcPr>
          <w:p>
            <w:pPr>
              <w:spacing w:after="0"/>
              <w:rPr>
                <w:sz w:val="6"/>
                <w:szCs w:val="6"/>
                <w:color w:val="auto"/>
              </w:rPr>
            </w:pPr>
          </w:p>
        </w:tc>
        <w:tc>
          <w:tcPr>
            <w:tcW w:w="1080" w:type="dxa"/>
            <w:vAlign w:val="bottom"/>
            <w:tcBorders>
              <w:bottom w:val="single" w:sz="8" w:color="DBDBDB"/>
            </w:tcBorders>
          </w:tcPr>
          <w:p>
            <w:pPr>
              <w:spacing w:after="0"/>
              <w:rPr>
                <w:sz w:val="6"/>
                <w:szCs w:val="6"/>
                <w:color w:val="auto"/>
              </w:rPr>
            </w:pPr>
          </w:p>
        </w:tc>
        <w:tc>
          <w:tcPr>
            <w:tcW w:w="80" w:type="dxa"/>
            <w:vAlign w:val="bottom"/>
            <w:tcBorders>
              <w:bottom w:val="single" w:sz="8" w:color="DBDBDB"/>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5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5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Goal (in billions)</w:t>
            </w:r>
          </w:p>
        </w:tc>
        <w:tc>
          <w:tcPr>
            <w:tcW w:w="1640" w:type="dxa"/>
            <w:vAlign w:val="bottom"/>
          </w:tcPr>
          <w:p>
            <w:pPr>
              <w:jc w:val="right"/>
              <w:ind w:right="294"/>
              <w:spacing w:after="0"/>
              <w:rPr>
                <w:sz w:val="20"/>
                <w:szCs w:val="20"/>
                <w:color w:val="auto"/>
              </w:rPr>
            </w:pPr>
            <w:r>
              <w:rPr>
                <w:rFonts w:ascii="Arial" w:cs="Arial" w:eastAsia="Arial" w:hAnsi="Arial"/>
                <w:sz w:val="13"/>
                <w:szCs w:val="13"/>
                <w:color w:val="auto"/>
              </w:rPr>
              <w:t>$5.78</w:t>
            </w:r>
          </w:p>
        </w:tc>
        <w:tc>
          <w:tcPr>
            <w:tcW w:w="1760" w:type="dxa"/>
            <w:vAlign w:val="bottom"/>
          </w:tcPr>
          <w:p>
            <w:pPr>
              <w:jc w:val="right"/>
              <w:ind w:right="574"/>
              <w:spacing w:after="0"/>
              <w:rPr>
                <w:sz w:val="20"/>
                <w:szCs w:val="20"/>
                <w:color w:val="auto"/>
              </w:rPr>
            </w:pPr>
            <w:r>
              <w:rPr>
                <w:rFonts w:ascii="Arial" w:cs="Arial" w:eastAsia="Arial" w:hAnsi="Arial"/>
                <w:sz w:val="13"/>
                <w:szCs w:val="13"/>
                <w:color w:val="auto"/>
              </w:rPr>
              <w:t>$6.21</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$6.52</w:t>
            </w:r>
          </w:p>
        </w:tc>
        <w:tc>
          <w:tcPr>
            <w:tcW w:w="1080" w:type="dxa"/>
            <w:vAlign w:val="bottom"/>
          </w:tcPr>
          <w:p>
            <w:pPr>
              <w:jc w:val="right"/>
              <w:spacing w:after="0"/>
              <w:rPr>
                <w:sz w:val="20"/>
                <w:szCs w:val="20"/>
                <w:color w:val="auto"/>
              </w:rPr>
            </w:pPr>
            <w:r>
              <w:rPr>
                <w:rFonts w:ascii="Arial" w:cs="Arial" w:eastAsia="Arial" w:hAnsi="Arial"/>
                <w:sz w:val="13"/>
                <w:szCs w:val="13"/>
                <w:color w:val="auto"/>
              </w:rPr>
              <w:t>$5.93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9"/>
              </w:rPr>
              <w:t>Net Sales</w:t>
            </w:r>
          </w:p>
        </w:tc>
        <w:tc>
          <w:tcPr>
            <w:tcW w:w="2180" w:type="dxa"/>
            <w:vAlign w:val="bottom"/>
            <w:vMerge w:val="restart"/>
          </w:tcPr>
          <w:p>
            <w:pPr>
              <w:jc w:val="right"/>
              <w:spacing w:after="0"/>
              <w:rPr>
                <w:sz w:val="20"/>
                <w:szCs w:val="20"/>
                <w:color w:val="auto"/>
              </w:rPr>
            </w:pPr>
            <w:r>
              <w:rPr>
                <w:rFonts w:ascii="Arial" w:cs="Arial" w:eastAsia="Arial" w:hAnsi="Arial"/>
                <w:sz w:val="13"/>
                <w:szCs w:val="13"/>
                <w:color w:val="auto"/>
              </w:rPr>
              <w:t>Goal as % of Target (%)</w:t>
            </w:r>
          </w:p>
        </w:tc>
        <w:tc>
          <w:tcPr>
            <w:tcW w:w="1640" w:type="dxa"/>
            <w:vAlign w:val="bottom"/>
            <w:vMerge w:val="restart"/>
          </w:tcPr>
          <w:p>
            <w:pPr>
              <w:jc w:val="right"/>
              <w:ind w:right="294"/>
              <w:spacing w:after="0"/>
              <w:rPr>
                <w:sz w:val="20"/>
                <w:szCs w:val="20"/>
                <w:color w:val="auto"/>
              </w:rPr>
            </w:pPr>
            <w:r>
              <w:rPr>
                <w:rFonts w:ascii="Arial" w:cs="Arial" w:eastAsia="Arial" w:hAnsi="Arial"/>
                <w:sz w:val="13"/>
                <w:szCs w:val="13"/>
                <w:color w:val="auto"/>
              </w:rPr>
              <w:t>93.0</w:t>
            </w:r>
          </w:p>
        </w:tc>
        <w:tc>
          <w:tcPr>
            <w:tcW w:w="1760" w:type="dxa"/>
            <w:vAlign w:val="bottom"/>
            <w:vMerge w:val="restart"/>
          </w:tcPr>
          <w:p>
            <w:pPr>
              <w:jc w:val="right"/>
              <w:ind w:right="574"/>
              <w:spacing w:after="0"/>
              <w:rPr>
                <w:sz w:val="20"/>
                <w:szCs w:val="20"/>
                <w:color w:val="auto"/>
              </w:rPr>
            </w:pPr>
            <w:r>
              <w:rPr>
                <w:rFonts w:ascii="Arial" w:cs="Arial" w:eastAsia="Arial" w:hAnsi="Arial"/>
                <w:sz w:val="13"/>
                <w:szCs w:val="13"/>
                <w:color w:val="auto"/>
              </w:rPr>
              <w:t>100.0</w:t>
            </w:r>
          </w:p>
        </w:tc>
        <w:tc>
          <w:tcPr>
            <w:tcW w:w="880" w:type="dxa"/>
            <w:vAlign w:val="bottom"/>
            <w:vMerge w:val="restart"/>
          </w:tcPr>
          <w:p>
            <w:pPr>
              <w:jc w:val="right"/>
              <w:ind w:right="154"/>
              <w:spacing w:after="0"/>
              <w:rPr>
                <w:sz w:val="20"/>
                <w:szCs w:val="20"/>
                <w:color w:val="auto"/>
              </w:rPr>
            </w:pPr>
            <w:r>
              <w:rPr>
                <w:rFonts w:ascii="Arial" w:cs="Arial" w:eastAsia="Arial" w:hAnsi="Arial"/>
                <w:sz w:val="13"/>
                <w:szCs w:val="13"/>
                <w:color w:val="auto"/>
              </w:rPr>
              <w:t>105.0</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52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60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720" w:type="dxa"/>
            <w:vAlign w:val="bottom"/>
            <w:shd w:val="clear" w:color="auto" w:fill="DBDBDB"/>
          </w:tcPr>
          <w:p>
            <w:pPr>
              <w:spacing w:after="0"/>
              <w:rPr>
                <w:sz w:val="7"/>
                <w:szCs w:val="7"/>
                <w:color w:val="auto"/>
              </w:rPr>
            </w:pPr>
          </w:p>
        </w:tc>
        <w:tc>
          <w:tcPr>
            <w:tcW w:w="1560" w:type="dxa"/>
            <w:vAlign w:val="bottom"/>
            <w:vMerge w:val="restart"/>
          </w:tcPr>
          <w:p>
            <w:pPr>
              <w:jc w:val="center"/>
              <w:spacing w:after="0"/>
              <w:rPr>
                <w:sz w:val="20"/>
                <w:szCs w:val="20"/>
                <w:color w:val="auto"/>
              </w:rPr>
            </w:pPr>
            <w:r>
              <w:rPr>
                <w:rFonts w:ascii="Arial" w:cs="Arial" w:eastAsia="Arial" w:hAnsi="Arial"/>
                <w:sz w:val="13"/>
                <w:szCs w:val="13"/>
                <w:color w:val="auto"/>
              </w:rPr>
              <w:t>(45%)</w:t>
            </w:r>
          </w:p>
        </w:tc>
        <w:tc>
          <w:tcPr>
            <w:tcW w:w="21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2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60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720" w:type="dxa"/>
            <w:vAlign w:val="bottom"/>
            <w:shd w:val="clear" w:color="auto" w:fill="DBDBDB"/>
          </w:tcPr>
          <w:p>
            <w:pPr>
              <w:spacing w:after="0"/>
              <w:rPr>
                <w:sz w:val="7"/>
                <w:szCs w:val="7"/>
                <w:color w:val="auto"/>
              </w:rPr>
            </w:pPr>
          </w:p>
        </w:tc>
        <w:tc>
          <w:tcPr>
            <w:tcW w:w="156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5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5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Payout as % of Target (%)</w:t>
            </w:r>
          </w:p>
        </w:tc>
        <w:tc>
          <w:tcPr>
            <w:tcW w:w="1640" w:type="dxa"/>
            <w:vAlign w:val="bottom"/>
          </w:tcPr>
          <w:p>
            <w:pPr>
              <w:jc w:val="right"/>
              <w:ind w:right="294"/>
              <w:spacing w:after="0"/>
              <w:rPr>
                <w:sz w:val="20"/>
                <w:szCs w:val="20"/>
                <w:color w:val="auto"/>
              </w:rPr>
            </w:pPr>
            <w:r>
              <w:rPr>
                <w:rFonts w:ascii="Arial" w:cs="Arial" w:eastAsia="Arial" w:hAnsi="Arial"/>
                <w:sz w:val="13"/>
                <w:szCs w:val="13"/>
                <w:color w:val="auto"/>
              </w:rPr>
              <w:t>50.0</w:t>
            </w:r>
          </w:p>
        </w:tc>
        <w:tc>
          <w:tcPr>
            <w:tcW w:w="1760" w:type="dxa"/>
            <w:vAlign w:val="bottom"/>
          </w:tcPr>
          <w:p>
            <w:pPr>
              <w:jc w:val="right"/>
              <w:ind w:right="574"/>
              <w:spacing w:after="0"/>
              <w:rPr>
                <w:sz w:val="20"/>
                <w:szCs w:val="20"/>
                <w:color w:val="auto"/>
              </w:rPr>
            </w:pPr>
            <w:r>
              <w:rPr>
                <w:rFonts w:ascii="Arial" w:cs="Arial" w:eastAsia="Arial" w:hAnsi="Arial"/>
                <w:sz w:val="13"/>
                <w:szCs w:val="13"/>
                <w:color w:val="auto"/>
              </w:rPr>
              <w:t>100.0</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200.0</w:t>
            </w:r>
          </w:p>
        </w:tc>
        <w:tc>
          <w:tcPr>
            <w:tcW w:w="1080" w:type="dxa"/>
            <w:vAlign w:val="bottom"/>
          </w:tcPr>
          <w:p>
            <w:pPr>
              <w:jc w:val="right"/>
              <w:spacing w:after="0"/>
              <w:rPr>
                <w:sz w:val="20"/>
                <w:szCs w:val="20"/>
                <w:color w:val="auto"/>
              </w:rPr>
            </w:pPr>
            <w:r>
              <w:rPr>
                <w:rFonts w:ascii="Arial" w:cs="Arial" w:eastAsia="Arial" w:hAnsi="Arial"/>
                <w:sz w:val="13"/>
                <w:szCs w:val="13"/>
                <w:color w:val="auto"/>
              </w:rPr>
              <w:t>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520" w:type="dxa"/>
            <w:vAlign w:val="bottom"/>
            <w:tcBorders>
              <w:bottom w:val="single" w:sz="8" w:color="DBDBDB"/>
            </w:tcBorders>
            <w:shd w:val="clear" w:color="auto" w:fill="DBDBDB"/>
          </w:tcPr>
          <w:p>
            <w:pPr>
              <w:spacing w:after="0"/>
              <w:rPr>
                <w:sz w:val="6"/>
                <w:szCs w:val="6"/>
                <w:color w:val="auto"/>
              </w:rPr>
            </w:pPr>
          </w:p>
        </w:tc>
        <w:tc>
          <w:tcPr>
            <w:tcW w:w="120" w:type="dxa"/>
            <w:vAlign w:val="bottom"/>
            <w:tcBorders>
              <w:bottom w:val="single" w:sz="8" w:color="DBDBDB"/>
            </w:tcBorders>
            <w:shd w:val="clear" w:color="auto" w:fill="DBDBDB"/>
          </w:tcPr>
          <w:p>
            <w:pPr>
              <w:spacing w:after="0"/>
              <w:rPr>
                <w:sz w:val="6"/>
                <w:szCs w:val="6"/>
                <w:color w:val="auto"/>
              </w:rPr>
            </w:pPr>
          </w:p>
        </w:tc>
        <w:tc>
          <w:tcPr>
            <w:tcW w:w="600" w:type="dxa"/>
            <w:vAlign w:val="bottom"/>
            <w:tcBorders>
              <w:bottom w:val="single" w:sz="8" w:color="DBDBDB"/>
            </w:tcBorders>
            <w:shd w:val="clear" w:color="auto" w:fill="DBDBDB"/>
          </w:tcPr>
          <w:p>
            <w:pPr>
              <w:spacing w:after="0"/>
              <w:rPr>
                <w:sz w:val="6"/>
                <w:szCs w:val="6"/>
                <w:color w:val="auto"/>
              </w:rPr>
            </w:pPr>
          </w:p>
        </w:tc>
        <w:tc>
          <w:tcPr>
            <w:tcW w:w="100" w:type="dxa"/>
            <w:vAlign w:val="bottom"/>
            <w:tcBorders>
              <w:bottom w:val="single" w:sz="8" w:color="DBDBDB"/>
            </w:tcBorders>
            <w:shd w:val="clear" w:color="auto" w:fill="DBDBDB"/>
          </w:tcPr>
          <w:p>
            <w:pPr>
              <w:spacing w:after="0"/>
              <w:rPr>
                <w:sz w:val="6"/>
                <w:szCs w:val="6"/>
                <w:color w:val="auto"/>
              </w:rPr>
            </w:pPr>
          </w:p>
        </w:tc>
        <w:tc>
          <w:tcPr>
            <w:tcW w:w="720" w:type="dxa"/>
            <w:vAlign w:val="bottom"/>
            <w:tcBorders>
              <w:bottom w:val="single" w:sz="8" w:color="DBDBDB"/>
            </w:tcBorders>
            <w:shd w:val="clear" w:color="auto" w:fill="DBDBDB"/>
          </w:tcPr>
          <w:p>
            <w:pPr>
              <w:spacing w:after="0"/>
              <w:rPr>
                <w:sz w:val="6"/>
                <w:szCs w:val="6"/>
                <w:color w:val="auto"/>
              </w:rPr>
            </w:pPr>
          </w:p>
        </w:tc>
        <w:tc>
          <w:tcPr>
            <w:tcW w:w="1560" w:type="dxa"/>
            <w:vAlign w:val="bottom"/>
            <w:tcBorders>
              <w:bottom w:val="single" w:sz="8" w:color="DBDBDB"/>
            </w:tcBorders>
          </w:tcPr>
          <w:p>
            <w:pPr>
              <w:spacing w:after="0"/>
              <w:rPr>
                <w:sz w:val="6"/>
                <w:szCs w:val="6"/>
                <w:color w:val="auto"/>
              </w:rPr>
            </w:pPr>
          </w:p>
        </w:tc>
        <w:tc>
          <w:tcPr>
            <w:tcW w:w="2180" w:type="dxa"/>
            <w:vAlign w:val="bottom"/>
            <w:tcBorders>
              <w:bottom w:val="single" w:sz="8" w:color="DBDBDB"/>
            </w:tcBorders>
          </w:tcPr>
          <w:p>
            <w:pPr>
              <w:spacing w:after="0"/>
              <w:rPr>
                <w:sz w:val="6"/>
                <w:szCs w:val="6"/>
                <w:color w:val="auto"/>
              </w:rPr>
            </w:pPr>
          </w:p>
        </w:tc>
        <w:tc>
          <w:tcPr>
            <w:tcW w:w="1640" w:type="dxa"/>
            <w:vAlign w:val="bottom"/>
            <w:tcBorders>
              <w:bottom w:val="single" w:sz="8" w:color="DBDBDB"/>
            </w:tcBorders>
          </w:tcPr>
          <w:p>
            <w:pPr>
              <w:spacing w:after="0"/>
              <w:rPr>
                <w:sz w:val="6"/>
                <w:szCs w:val="6"/>
                <w:color w:val="auto"/>
              </w:rPr>
            </w:pPr>
          </w:p>
        </w:tc>
        <w:tc>
          <w:tcPr>
            <w:tcW w:w="1760" w:type="dxa"/>
            <w:vAlign w:val="bottom"/>
            <w:tcBorders>
              <w:bottom w:val="single" w:sz="8" w:color="DBDBDB"/>
            </w:tcBorders>
          </w:tcPr>
          <w:p>
            <w:pPr>
              <w:spacing w:after="0"/>
              <w:rPr>
                <w:sz w:val="6"/>
                <w:szCs w:val="6"/>
                <w:color w:val="auto"/>
              </w:rPr>
            </w:pPr>
          </w:p>
        </w:tc>
        <w:tc>
          <w:tcPr>
            <w:tcW w:w="880" w:type="dxa"/>
            <w:vAlign w:val="bottom"/>
            <w:tcBorders>
              <w:bottom w:val="single" w:sz="8" w:color="DBDBDB"/>
            </w:tcBorders>
          </w:tcPr>
          <w:p>
            <w:pPr>
              <w:spacing w:after="0"/>
              <w:rPr>
                <w:sz w:val="6"/>
                <w:szCs w:val="6"/>
                <w:color w:val="auto"/>
              </w:rPr>
            </w:pPr>
          </w:p>
        </w:tc>
        <w:tc>
          <w:tcPr>
            <w:tcW w:w="1080" w:type="dxa"/>
            <w:vAlign w:val="bottom"/>
            <w:tcBorders>
              <w:bottom w:val="single" w:sz="8" w:color="DBDBDB"/>
            </w:tcBorders>
          </w:tcPr>
          <w:p>
            <w:pPr>
              <w:spacing w:after="0"/>
              <w:rPr>
                <w:sz w:val="6"/>
                <w:szCs w:val="6"/>
                <w:color w:val="auto"/>
              </w:rPr>
            </w:pPr>
          </w:p>
        </w:tc>
        <w:tc>
          <w:tcPr>
            <w:tcW w:w="80" w:type="dxa"/>
            <w:vAlign w:val="bottom"/>
            <w:tcBorders>
              <w:bottom w:val="single" w:sz="8" w:color="DBDBD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358" w:lineRule="auto"/>
        <w:rPr>
          <w:sz w:val="20"/>
          <w:szCs w:val="20"/>
          <w:color w:val="auto"/>
        </w:rPr>
      </w:pPr>
      <w:r>
        <w:rPr>
          <w:rFonts w:ascii="Arial" w:cs="Arial" w:eastAsia="Arial" w:hAnsi="Arial"/>
          <w:sz w:val="13"/>
          <w:szCs w:val="13"/>
          <w:i w:val="1"/>
          <w:iCs w:val="1"/>
          <w:color w:val="auto"/>
        </w:rPr>
        <w:t>*Adj. EBIT is a non-GAAP financial measure. See “Annex D - Reconciliations of GAAP to Non-GAAP Financial Measures” below for reconciliations of non-GAAP financial measures used in this Proxy Statement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1050925</wp:posOffset>
            </wp:positionV>
            <wp:extent cx="7168515" cy="4127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755650</wp:posOffset>
            </wp:positionV>
            <wp:extent cx="789305" cy="18923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color w:val="007EC4"/>
        </w:rPr>
        <w:t xml:space="preserve">54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2024 Executive Bonus Plan Individual Performance Results</w:t>
      </w:r>
    </w:p>
    <w:p>
      <w:pPr>
        <w:spacing w:after="0" w:line="70"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Following the completion of the fiscal year, Mr. Lawrence evaluated each NEO’s, other than his own, individual performance achievement based on his holistic assessment of the extent to which each NEO’s individual contributions exceeded or fell short of their individual goals for the year, each NEO’s contribution to our overall Company performance, and their individual impact on advancing the Company’s strategic growth plan, while taking into account the NEO’s demonstration and role in modeling our values. Mr. Lawrence then recommended such performance assessments to the Committee for their final approval. The Committee determined Mr. Lawrence’s performance achievement independently. In determining Mr. Lawrence’s individual achievement, the Committee took a holistic view that considered the Company’s many strategic and operational advancements as well as its below target financial performance. The following table summarizes select 2024 results taken into account in determining individual performance results for the NEOs eligible for a 2024 Executive Bonus Plan payment.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60" w:type="dxa"/>
            <w:vAlign w:val="bottom"/>
            <w:shd w:val="clear" w:color="auto" w:fill="E1D7AC"/>
          </w:tcPr>
          <w:p>
            <w:pPr>
              <w:spacing w:after="0"/>
              <w:rPr>
                <w:sz w:val="20"/>
                <w:szCs w:val="20"/>
                <w:color w:val="auto"/>
              </w:rPr>
            </w:pPr>
          </w:p>
        </w:tc>
        <w:tc>
          <w:tcPr>
            <w:tcW w:w="1320" w:type="dxa"/>
            <w:vAlign w:val="bottom"/>
            <w:shd w:val="clear" w:color="auto" w:fill="E1D7AC"/>
          </w:tcPr>
          <w:p>
            <w:pPr>
              <w:ind w:left="80"/>
              <w:spacing w:after="0"/>
              <w:rPr>
                <w:sz w:val="20"/>
                <w:szCs w:val="20"/>
                <w:color w:val="auto"/>
              </w:rPr>
            </w:pPr>
            <w:r>
              <w:rPr>
                <w:rFonts w:ascii="Arial" w:cs="Arial" w:eastAsia="Arial" w:hAnsi="Arial"/>
                <w:sz w:val="13"/>
                <w:szCs w:val="13"/>
                <w:b w:val="1"/>
                <w:bCs w:val="1"/>
                <w:color w:val="auto"/>
              </w:rPr>
              <w:t>2024 Individual</w:t>
            </w:r>
          </w:p>
        </w:tc>
        <w:tc>
          <w:tcPr>
            <w:tcW w:w="8660" w:type="dxa"/>
            <w:vAlign w:val="bottom"/>
            <w:shd w:val="clear" w:color="auto" w:fill="E1D7AC"/>
          </w:tcPr>
          <w:p>
            <w:pPr>
              <w:spacing w:after="0"/>
              <w:rPr>
                <w:sz w:val="20"/>
                <w:szCs w:val="20"/>
                <w:color w:val="auto"/>
              </w:rPr>
            </w:pPr>
          </w:p>
        </w:tc>
      </w:tr>
      <w:tr>
        <w:trPr>
          <w:trHeight w:val="174"/>
        </w:trPr>
        <w:tc>
          <w:tcPr>
            <w:tcW w:w="1260" w:type="dxa"/>
            <w:vAlign w:val="bottom"/>
            <w:shd w:val="clear" w:color="auto" w:fill="E1D7AC"/>
          </w:tcPr>
          <w:p>
            <w:pPr>
              <w:spacing w:after="0"/>
              <w:rPr>
                <w:sz w:val="15"/>
                <w:szCs w:val="15"/>
                <w:color w:val="auto"/>
              </w:rPr>
            </w:pPr>
          </w:p>
        </w:tc>
        <w:tc>
          <w:tcPr>
            <w:tcW w:w="1320" w:type="dxa"/>
            <w:vAlign w:val="bottom"/>
            <w:shd w:val="clear" w:color="auto" w:fill="E1D7AC"/>
          </w:tcPr>
          <w:p>
            <w:pPr>
              <w:ind w:left="80"/>
              <w:spacing w:after="0"/>
              <w:rPr>
                <w:sz w:val="20"/>
                <w:szCs w:val="20"/>
                <w:color w:val="auto"/>
              </w:rPr>
            </w:pPr>
            <w:r>
              <w:rPr>
                <w:rFonts w:ascii="Arial" w:cs="Arial" w:eastAsia="Arial" w:hAnsi="Arial"/>
                <w:sz w:val="13"/>
                <w:szCs w:val="13"/>
                <w:b w:val="1"/>
                <w:bCs w:val="1"/>
                <w:color w:val="auto"/>
              </w:rPr>
              <w:t>Performance</w:t>
            </w:r>
          </w:p>
        </w:tc>
        <w:tc>
          <w:tcPr>
            <w:tcW w:w="8660" w:type="dxa"/>
            <w:vAlign w:val="bottom"/>
            <w:shd w:val="clear" w:color="auto" w:fill="E1D7AC"/>
          </w:tcPr>
          <w:p>
            <w:pPr>
              <w:spacing w:after="0"/>
              <w:rPr>
                <w:sz w:val="15"/>
                <w:szCs w:val="15"/>
                <w:color w:val="auto"/>
              </w:rPr>
            </w:pPr>
          </w:p>
        </w:tc>
      </w:tr>
      <w:tr>
        <w:trPr>
          <w:trHeight w:val="180"/>
        </w:trPr>
        <w:tc>
          <w:tcPr>
            <w:tcW w:w="126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Name &amp; Position</w:t>
            </w:r>
          </w:p>
        </w:tc>
        <w:tc>
          <w:tcPr>
            <w:tcW w:w="1320" w:type="dxa"/>
            <w:vAlign w:val="bottom"/>
            <w:shd w:val="clear" w:color="auto" w:fill="E1D7AC"/>
          </w:tcPr>
          <w:p>
            <w:pPr>
              <w:ind w:left="80"/>
              <w:spacing w:after="0"/>
              <w:rPr>
                <w:sz w:val="20"/>
                <w:szCs w:val="20"/>
                <w:color w:val="auto"/>
              </w:rPr>
            </w:pPr>
            <w:r>
              <w:rPr>
                <w:rFonts w:ascii="Arial" w:cs="Arial" w:eastAsia="Arial" w:hAnsi="Arial"/>
                <w:sz w:val="13"/>
                <w:szCs w:val="13"/>
                <w:b w:val="1"/>
                <w:bCs w:val="1"/>
                <w:color w:val="auto"/>
              </w:rPr>
              <w:t>Attainment</w:t>
            </w:r>
          </w:p>
        </w:tc>
        <w:tc>
          <w:tcPr>
            <w:tcW w:w="866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2024 Individual Performance Results</w:t>
            </w:r>
          </w:p>
        </w:tc>
      </w:tr>
      <w:tr>
        <w:trPr>
          <w:trHeight w:val="106"/>
        </w:trPr>
        <w:tc>
          <w:tcPr>
            <w:tcW w:w="1260" w:type="dxa"/>
            <w:vAlign w:val="bottom"/>
            <w:shd w:val="clear" w:color="auto" w:fill="E1D7AC"/>
          </w:tcPr>
          <w:p>
            <w:pPr>
              <w:spacing w:after="0"/>
              <w:rPr>
                <w:sz w:val="9"/>
                <w:szCs w:val="9"/>
                <w:color w:val="auto"/>
              </w:rPr>
            </w:pPr>
          </w:p>
        </w:tc>
        <w:tc>
          <w:tcPr>
            <w:tcW w:w="1320" w:type="dxa"/>
            <w:vAlign w:val="bottom"/>
            <w:tcBorders>
              <w:bottom w:val="single" w:sz="8" w:color="DBDBDB"/>
            </w:tcBorders>
            <w:shd w:val="clear" w:color="auto" w:fill="E1D7AC"/>
          </w:tcPr>
          <w:p>
            <w:pPr>
              <w:spacing w:after="0"/>
              <w:rPr>
                <w:sz w:val="9"/>
                <w:szCs w:val="9"/>
                <w:color w:val="auto"/>
              </w:rPr>
            </w:pPr>
          </w:p>
        </w:tc>
        <w:tc>
          <w:tcPr>
            <w:tcW w:w="8660" w:type="dxa"/>
            <w:vAlign w:val="bottom"/>
            <w:tcBorders>
              <w:bottom w:val="single" w:sz="8" w:color="DBDBDB"/>
            </w:tcBorders>
            <w:shd w:val="clear" w:color="auto" w:fill="E1D7AC"/>
          </w:tcPr>
          <w:p>
            <w:pPr>
              <w:spacing w:after="0"/>
              <w:rPr>
                <w:sz w:val="9"/>
                <w:szCs w:val="9"/>
                <w:color w:val="auto"/>
              </w:rPr>
            </w:pPr>
          </w:p>
        </w:tc>
      </w:tr>
      <w:tr>
        <w:trPr>
          <w:trHeight w:val="197"/>
        </w:trPr>
        <w:tc>
          <w:tcPr>
            <w:tcW w:w="1260" w:type="dxa"/>
            <w:vAlign w:val="bottom"/>
          </w:tcPr>
          <w:p>
            <w:pPr>
              <w:ind w:left="100"/>
              <w:spacing w:after="0"/>
              <w:rPr>
                <w:sz w:val="20"/>
                <w:szCs w:val="20"/>
                <w:color w:val="auto"/>
              </w:rPr>
            </w:pPr>
            <w:r>
              <w:rPr>
                <w:rFonts w:ascii="Arial" w:cs="Arial" w:eastAsia="Arial" w:hAnsi="Arial"/>
                <w:sz w:val="13"/>
                <w:szCs w:val="13"/>
                <w:b w:val="1"/>
                <w:bCs w:val="1"/>
                <w:color w:val="auto"/>
              </w:rPr>
              <w:t>Steve Lawrence</w:t>
            </w:r>
          </w:p>
        </w:tc>
        <w:tc>
          <w:tcPr>
            <w:tcW w:w="1320" w:type="dxa"/>
            <w:vAlign w:val="bottom"/>
          </w:tcPr>
          <w:p>
            <w:pPr>
              <w:ind w:left="80"/>
              <w:spacing w:after="0"/>
              <w:rPr>
                <w:sz w:val="20"/>
                <w:szCs w:val="20"/>
                <w:color w:val="auto"/>
              </w:rPr>
            </w:pPr>
            <w:r>
              <w:rPr>
                <w:rFonts w:ascii="Arial" w:cs="Arial" w:eastAsia="Arial" w:hAnsi="Arial"/>
                <w:sz w:val="13"/>
                <w:szCs w:val="13"/>
                <w:color w:val="auto"/>
              </w:rPr>
              <w:t>Achieved threshold</w:t>
            </w:r>
          </w:p>
        </w:tc>
        <w:tc>
          <w:tcPr>
            <w:tcW w:w="8660" w:type="dxa"/>
            <w:vAlign w:val="bottom"/>
          </w:tcPr>
          <w:p>
            <w:pPr>
              <w:ind w:left="100"/>
              <w:spacing w:after="0"/>
              <w:rPr>
                <w:sz w:val="20"/>
                <w:szCs w:val="20"/>
                <w:color w:val="auto"/>
              </w:rPr>
            </w:pPr>
            <w:r>
              <w:rPr>
                <w:rFonts w:ascii="Arial" w:cs="Arial" w:eastAsia="Arial" w:hAnsi="Arial"/>
                <w:sz w:val="13"/>
                <w:szCs w:val="13"/>
                <w:color w:val="auto"/>
              </w:rPr>
              <w:t>•   Under his leadership, the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143115" cy="1405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7143115" cy="1405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1260" w:type="dxa"/>
            <w:vAlign w:val="bottom"/>
          </w:tcPr>
          <w:p>
            <w:pPr>
              <w:ind w:left="100"/>
              <w:spacing w:after="0"/>
              <w:rPr>
                <w:sz w:val="20"/>
                <w:szCs w:val="20"/>
                <w:color w:val="auto"/>
              </w:rPr>
            </w:pPr>
            <w:r>
              <w:rPr>
                <w:rFonts w:ascii="Arial" w:cs="Arial" w:eastAsia="Arial" w:hAnsi="Arial"/>
                <w:sz w:val="13"/>
                <w:szCs w:val="13"/>
                <w:b w:val="1"/>
                <w:bCs w:val="1"/>
                <w:color w:val="auto"/>
              </w:rPr>
              <w:t>CEO</w:t>
            </w:r>
          </w:p>
        </w:tc>
        <w:tc>
          <w:tcPr>
            <w:tcW w:w="1320" w:type="dxa"/>
            <w:vAlign w:val="bottom"/>
          </w:tcPr>
          <w:p>
            <w:pPr>
              <w:spacing w:after="0"/>
              <w:rPr>
                <w:sz w:val="14"/>
                <w:szCs w:val="14"/>
                <w:color w:val="auto"/>
              </w:rPr>
            </w:pPr>
          </w:p>
        </w:tc>
        <w:tc>
          <w:tcPr>
            <w:tcW w:w="8660" w:type="dxa"/>
            <w:vAlign w:val="bottom"/>
          </w:tcPr>
          <w:p>
            <w:pPr>
              <w:ind w:left="320"/>
              <w:spacing w:after="0"/>
              <w:rPr>
                <w:sz w:val="20"/>
                <w:szCs w:val="20"/>
                <w:color w:val="auto"/>
              </w:rPr>
            </w:pPr>
            <w:r>
              <w:rPr>
                <w:rFonts w:ascii="Arial" w:cs="Arial" w:eastAsia="Arial" w:hAnsi="Arial"/>
                <w:sz w:val="13"/>
                <w:szCs w:val="13"/>
                <w:color w:val="auto"/>
              </w:rPr>
              <w:t>◦   Returned over $396 million to shareholders through share repurchases and dividends.</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320"/>
              <w:spacing w:after="0"/>
              <w:rPr>
                <w:sz w:val="20"/>
                <w:szCs w:val="20"/>
                <w:color w:val="auto"/>
              </w:rPr>
            </w:pPr>
            <w:r>
              <w:rPr>
                <w:rFonts w:ascii="Arial" w:cs="Arial" w:eastAsia="Arial" w:hAnsi="Arial"/>
                <w:sz w:val="13"/>
                <w:szCs w:val="13"/>
                <w:color w:val="auto"/>
              </w:rPr>
              <w:t>◦   Generated $342 million in Adjusted Free Cash Flow*, which was a 3.5% increase to prior year; deployed approximately $195 million</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540"/>
              <w:spacing w:after="0"/>
              <w:rPr>
                <w:sz w:val="20"/>
                <w:szCs w:val="20"/>
                <w:color w:val="auto"/>
              </w:rPr>
            </w:pPr>
            <w:r>
              <w:rPr>
                <w:rFonts w:ascii="Arial" w:cs="Arial" w:eastAsia="Arial" w:hAnsi="Arial"/>
                <w:sz w:val="13"/>
                <w:szCs w:val="13"/>
                <w:color w:val="auto"/>
              </w:rPr>
              <w:t>primarily on growth initiatives.</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320"/>
              <w:spacing w:after="0"/>
              <w:rPr>
                <w:sz w:val="20"/>
                <w:szCs w:val="20"/>
                <w:color w:val="auto"/>
              </w:rPr>
            </w:pPr>
            <w:r>
              <w:rPr>
                <w:rFonts w:ascii="Arial" w:cs="Arial" w:eastAsia="Arial" w:hAnsi="Arial"/>
                <w:sz w:val="13"/>
                <w:szCs w:val="13"/>
                <w:color w:val="auto"/>
              </w:rPr>
              <w:t>◦   Fell short of expectations for top line growth in sales and profit.</w:t>
            </w:r>
          </w:p>
        </w:tc>
      </w:tr>
      <w:tr>
        <w:trPr>
          <w:trHeight w:val="162"/>
        </w:trPr>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60" w:type="dxa"/>
            <w:vAlign w:val="bottom"/>
          </w:tcPr>
          <w:p>
            <w:pPr>
              <w:ind w:left="320"/>
              <w:spacing w:after="0"/>
              <w:rPr>
                <w:sz w:val="20"/>
                <w:szCs w:val="20"/>
                <w:color w:val="auto"/>
              </w:rPr>
            </w:pPr>
            <w:r>
              <w:rPr>
                <w:rFonts w:ascii="Arial" w:cs="Arial" w:eastAsia="Arial" w:hAnsi="Arial"/>
                <w:sz w:val="13"/>
                <w:szCs w:val="13"/>
                <w:color w:val="auto"/>
              </w:rPr>
              <w:t>◦   Successfully oversaw opening of 16 new stores, in aggregate, generating a 5% increase in net sales over plan for these locations.</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320"/>
              <w:spacing w:after="0"/>
              <w:rPr>
                <w:sz w:val="20"/>
                <w:szCs w:val="20"/>
                <w:color w:val="auto"/>
              </w:rPr>
            </w:pPr>
            <w:r>
              <w:rPr>
                <w:rFonts w:ascii="Arial" w:cs="Arial" w:eastAsia="Arial" w:hAnsi="Arial"/>
                <w:sz w:val="13"/>
                <w:szCs w:val="13"/>
                <w:color w:val="auto"/>
              </w:rPr>
              <w:t>◦   Maintained a flat inventory level to prior year while growing our store base by 5.7%.</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320"/>
              <w:spacing w:after="0"/>
              <w:rPr>
                <w:sz w:val="20"/>
                <w:szCs w:val="20"/>
                <w:color w:val="auto"/>
              </w:rPr>
            </w:pPr>
            <w:r>
              <w:rPr>
                <w:rFonts w:ascii="Arial" w:cs="Arial" w:eastAsia="Arial" w:hAnsi="Arial"/>
                <w:sz w:val="13"/>
                <w:szCs w:val="13"/>
                <w:color w:val="auto"/>
              </w:rPr>
              <w:t>◦   Aggressively pursued big merchandise items, ideas, and brands resulting in launching Jordan for 2025.</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320"/>
              <w:spacing w:after="0"/>
              <w:rPr>
                <w:sz w:val="20"/>
                <w:szCs w:val="20"/>
                <w:color w:val="auto"/>
              </w:rPr>
            </w:pPr>
            <w:r>
              <w:rPr>
                <w:rFonts w:ascii="Arial" w:cs="Arial" w:eastAsia="Arial" w:hAnsi="Arial"/>
                <w:sz w:val="13"/>
                <w:szCs w:val="13"/>
                <w:color w:val="auto"/>
              </w:rPr>
              <w:t>◦   Did not fully realize anticipated financial results from the restructuring of eCommerce/Digital/Marketing.</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320"/>
              <w:spacing w:after="0"/>
              <w:rPr>
                <w:sz w:val="20"/>
                <w:szCs w:val="20"/>
                <w:color w:val="auto"/>
              </w:rPr>
            </w:pPr>
            <w:r>
              <w:rPr>
                <w:rFonts w:ascii="Arial" w:cs="Arial" w:eastAsia="Arial" w:hAnsi="Arial"/>
                <w:sz w:val="13"/>
                <w:szCs w:val="13"/>
                <w:color w:val="auto"/>
              </w:rPr>
              <w:t>◦   Progressed our new warehouse management system implementation by converting one of our three distribution centers to the new</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540"/>
              <w:spacing w:after="0"/>
              <w:rPr>
                <w:sz w:val="20"/>
                <w:szCs w:val="20"/>
                <w:color w:val="auto"/>
              </w:rPr>
            </w:pPr>
            <w:r>
              <w:rPr>
                <w:rFonts w:ascii="Arial" w:cs="Arial" w:eastAsia="Arial" w:hAnsi="Arial"/>
                <w:sz w:val="13"/>
                <w:szCs w:val="13"/>
                <w:color w:val="auto"/>
              </w:rPr>
              <w:t>system.</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320"/>
              <w:spacing w:after="0"/>
              <w:rPr>
                <w:sz w:val="20"/>
                <w:szCs w:val="20"/>
                <w:color w:val="auto"/>
              </w:rPr>
            </w:pPr>
            <w:r>
              <w:rPr>
                <w:rFonts w:ascii="Arial" w:cs="Arial" w:eastAsia="Arial" w:hAnsi="Arial"/>
                <w:sz w:val="13"/>
                <w:szCs w:val="13"/>
                <w:color w:val="auto"/>
              </w:rPr>
              <w:t>◦   Reduced key team member turnover across all our divisions.</w:t>
            </w:r>
          </w:p>
        </w:tc>
      </w:tr>
      <w:tr>
        <w:trPr>
          <w:trHeight w:val="50"/>
        </w:trPr>
        <w:tc>
          <w:tcPr>
            <w:tcW w:w="1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660" w:type="dxa"/>
            <w:vAlign w:val="bottom"/>
            <w:tcBorders>
              <w:bottom w:val="single" w:sz="8" w:color="DBDBDB"/>
            </w:tcBorders>
          </w:tcPr>
          <w:p>
            <w:pPr>
              <w:spacing w:after="0"/>
              <w:rPr>
                <w:sz w:val="4"/>
                <w:szCs w:val="4"/>
                <w:color w:val="auto"/>
              </w:rPr>
            </w:pPr>
          </w:p>
        </w:tc>
      </w:tr>
      <w:tr>
        <w:trPr>
          <w:trHeight w:val="241"/>
        </w:trPr>
        <w:tc>
          <w:tcPr>
            <w:tcW w:w="1260" w:type="dxa"/>
            <w:vAlign w:val="bottom"/>
          </w:tcPr>
          <w:p>
            <w:pPr>
              <w:ind w:left="100"/>
              <w:spacing w:after="0"/>
              <w:rPr>
                <w:sz w:val="20"/>
                <w:szCs w:val="20"/>
                <w:color w:val="auto"/>
              </w:rPr>
            </w:pPr>
            <w:r>
              <w:rPr>
                <w:rFonts w:ascii="Arial" w:cs="Arial" w:eastAsia="Arial" w:hAnsi="Arial"/>
                <w:sz w:val="13"/>
                <w:szCs w:val="13"/>
                <w:b w:val="1"/>
                <w:bCs w:val="1"/>
                <w:color w:val="auto"/>
              </w:rPr>
              <w:t>Sam Johnson</w:t>
            </w:r>
          </w:p>
        </w:tc>
        <w:tc>
          <w:tcPr>
            <w:tcW w:w="1320" w:type="dxa"/>
            <w:vAlign w:val="bottom"/>
          </w:tcPr>
          <w:p>
            <w:pPr>
              <w:ind w:left="80"/>
              <w:spacing w:after="0"/>
              <w:rPr>
                <w:sz w:val="20"/>
                <w:szCs w:val="20"/>
                <w:color w:val="auto"/>
              </w:rPr>
            </w:pPr>
            <w:r>
              <w:rPr>
                <w:rFonts w:ascii="Arial" w:cs="Arial" w:eastAsia="Arial" w:hAnsi="Arial"/>
                <w:sz w:val="13"/>
                <w:szCs w:val="13"/>
                <w:color w:val="auto"/>
              </w:rPr>
              <w:t>Achieved target</w:t>
            </w:r>
          </w:p>
        </w:tc>
        <w:tc>
          <w:tcPr>
            <w:tcW w:w="8660" w:type="dxa"/>
            <w:vAlign w:val="bottom"/>
          </w:tcPr>
          <w:p>
            <w:pPr>
              <w:ind w:left="100"/>
              <w:spacing w:after="0"/>
              <w:rPr>
                <w:sz w:val="20"/>
                <w:szCs w:val="20"/>
                <w:color w:val="auto"/>
              </w:rPr>
            </w:pPr>
            <w:r>
              <w:rPr>
                <w:rFonts w:ascii="Arial" w:cs="Arial" w:eastAsia="Arial" w:hAnsi="Arial"/>
                <w:sz w:val="13"/>
                <w:szCs w:val="13"/>
                <w:color w:val="auto"/>
              </w:rPr>
              <w:t>•   Successfully oversaw opening of 16 new stores, in aggregate, generating 5% sales increase over plan for these locations.</w:t>
            </w:r>
          </w:p>
        </w:tc>
      </w:tr>
      <w:tr>
        <w:trPr>
          <w:trHeight w:val="174"/>
        </w:trPr>
        <w:tc>
          <w:tcPr>
            <w:tcW w:w="1260" w:type="dxa"/>
            <w:vAlign w:val="bottom"/>
          </w:tcPr>
          <w:p>
            <w:pPr>
              <w:ind w:left="100"/>
              <w:spacing w:after="0"/>
              <w:rPr>
                <w:sz w:val="20"/>
                <w:szCs w:val="20"/>
                <w:color w:val="auto"/>
              </w:rPr>
            </w:pPr>
            <w:r>
              <w:rPr>
                <w:rFonts w:ascii="Arial" w:cs="Arial" w:eastAsia="Arial" w:hAnsi="Arial"/>
                <w:sz w:val="13"/>
                <w:szCs w:val="13"/>
                <w:b w:val="1"/>
                <w:bCs w:val="1"/>
                <w:color w:val="auto"/>
              </w:rPr>
              <w:t>President</w:t>
            </w:r>
          </w:p>
        </w:tc>
        <w:tc>
          <w:tcPr>
            <w:tcW w:w="13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Arial" w:cs="Arial" w:eastAsia="Arial" w:hAnsi="Arial"/>
                <w:sz w:val="13"/>
                <w:szCs w:val="13"/>
                <w:color w:val="auto"/>
              </w:rPr>
              <w:t>•   Increased our overall customer service scores by +150bp to prior year while generally maintaining our sales per labor hour productivity and</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320"/>
              <w:spacing w:after="0"/>
              <w:rPr>
                <w:sz w:val="20"/>
                <w:szCs w:val="20"/>
                <w:color w:val="auto"/>
              </w:rPr>
            </w:pPr>
            <w:r>
              <w:rPr>
                <w:rFonts w:ascii="Arial" w:cs="Arial" w:eastAsia="Arial" w:hAnsi="Arial"/>
                <w:sz w:val="13"/>
                <w:szCs w:val="13"/>
                <w:color w:val="auto"/>
              </w:rPr>
              <w:t>delivering a 10bp reduction in shrink over prior year.</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Arial" w:cs="Arial" w:eastAsia="Arial" w:hAnsi="Arial"/>
                <w:sz w:val="13"/>
                <w:szCs w:val="13"/>
                <w:color w:val="auto"/>
              </w:rPr>
              <w:t>•   Reduced key team member turnover to last year in stores by 1,100bp and in distribution centers by 1,820bp.</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Arial" w:cs="Arial" w:eastAsia="Arial" w:hAnsi="Arial"/>
                <w:sz w:val="13"/>
                <w:szCs w:val="13"/>
                <w:color w:val="auto"/>
              </w:rPr>
              <w:t>•   Progressed our new warehouse management system implementation by converting one of our three distribution centers to the new system.</w:t>
            </w:r>
          </w:p>
        </w:tc>
      </w:tr>
      <w:tr>
        <w:trPr>
          <w:trHeight w:val="70"/>
        </w:trPr>
        <w:tc>
          <w:tcPr>
            <w:tcW w:w="1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660" w:type="dxa"/>
            <w:vAlign w:val="bottom"/>
          </w:tcPr>
          <w:p>
            <w:pPr>
              <w:spacing w:after="0"/>
              <w:rPr>
                <w:sz w:val="6"/>
                <w:szCs w:val="6"/>
                <w:color w:val="auto"/>
              </w:rPr>
            </w:pPr>
          </w:p>
        </w:tc>
      </w:tr>
      <w:tr>
        <w:trPr>
          <w:trHeight w:val="241"/>
        </w:trPr>
        <w:tc>
          <w:tcPr>
            <w:tcW w:w="126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1320" w:type="dxa"/>
            <w:vAlign w:val="bottom"/>
            <w:shd w:val="clear" w:color="auto" w:fill="DBDBDB"/>
          </w:tcPr>
          <w:p>
            <w:pPr>
              <w:ind w:left="80"/>
              <w:spacing w:after="0"/>
              <w:rPr>
                <w:sz w:val="20"/>
                <w:szCs w:val="20"/>
                <w:color w:val="auto"/>
              </w:rPr>
            </w:pPr>
            <w:r>
              <w:rPr>
                <w:rFonts w:ascii="Arial" w:cs="Arial" w:eastAsia="Arial" w:hAnsi="Arial"/>
                <w:sz w:val="13"/>
                <w:szCs w:val="13"/>
                <w:color w:val="auto"/>
              </w:rPr>
              <w:t>Achieved target</w:t>
            </w:r>
          </w:p>
        </w:tc>
        <w:tc>
          <w:tcPr>
            <w:tcW w:w="86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   Returned over $396 million to shareholders through share repurchases, and dividends.</w:t>
            </w:r>
          </w:p>
        </w:tc>
      </w:tr>
      <w:tr>
        <w:trPr>
          <w:trHeight w:val="174"/>
        </w:trPr>
        <w:tc>
          <w:tcPr>
            <w:tcW w:w="126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EVP, CFO</w:t>
            </w:r>
          </w:p>
        </w:tc>
        <w:tc>
          <w:tcPr>
            <w:tcW w:w="1320" w:type="dxa"/>
            <w:vAlign w:val="bottom"/>
            <w:shd w:val="clear" w:color="auto" w:fill="DBDBDB"/>
          </w:tcPr>
          <w:p>
            <w:pPr>
              <w:spacing w:after="0"/>
              <w:rPr>
                <w:sz w:val="15"/>
                <w:szCs w:val="15"/>
                <w:color w:val="auto"/>
              </w:rPr>
            </w:pPr>
          </w:p>
        </w:tc>
        <w:tc>
          <w:tcPr>
            <w:tcW w:w="86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   Generated $342 million in Adjusted Free Cash Flow*, which was +3.5% to prior year; deployed approximately $195 million primarily on growth</w:t>
            </w:r>
          </w:p>
        </w:tc>
      </w:tr>
      <w:tr>
        <w:trPr>
          <w:trHeight w:val="174"/>
        </w:trPr>
        <w:tc>
          <w:tcPr>
            <w:tcW w:w="126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8660" w:type="dxa"/>
            <w:vAlign w:val="bottom"/>
            <w:shd w:val="clear" w:color="auto" w:fill="DBDBDB"/>
          </w:tcPr>
          <w:p>
            <w:pPr>
              <w:ind w:left="320"/>
              <w:spacing w:after="0"/>
              <w:rPr>
                <w:sz w:val="20"/>
                <w:szCs w:val="20"/>
                <w:color w:val="auto"/>
              </w:rPr>
            </w:pPr>
            <w:r>
              <w:rPr>
                <w:rFonts w:ascii="Arial" w:cs="Arial" w:eastAsia="Arial" w:hAnsi="Arial"/>
                <w:sz w:val="13"/>
                <w:szCs w:val="13"/>
                <w:color w:val="auto"/>
              </w:rPr>
              <w:t>initiatives.</w:t>
            </w:r>
          </w:p>
        </w:tc>
      </w:tr>
      <w:tr>
        <w:trPr>
          <w:trHeight w:val="174"/>
        </w:trPr>
        <w:tc>
          <w:tcPr>
            <w:tcW w:w="126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86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   Delivered $25 million below Selling, General, and Administrative expenses plan for the year.</w:t>
            </w:r>
          </w:p>
        </w:tc>
      </w:tr>
      <w:tr>
        <w:trPr>
          <w:trHeight w:val="70"/>
        </w:trPr>
        <w:tc>
          <w:tcPr>
            <w:tcW w:w="1260" w:type="dxa"/>
            <w:vAlign w:val="bottom"/>
            <w:shd w:val="clear" w:color="auto" w:fill="DBDBDB"/>
          </w:tcPr>
          <w:p>
            <w:pPr>
              <w:spacing w:after="0"/>
              <w:rPr>
                <w:sz w:val="6"/>
                <w:szCs w:val="6"/>
                <w:color w:val="auto"/>
              </w:rPr>
            </w:pPr>
          </w:p>
        </w:tc>
        <w:tc>
          <w:tcPr>
            <w:tcW w:w="1320" w:type="dxa"/>
            <w:vAlign w:val="bottom"/>
            <w:shd w:val="clear" w:color="auto" w:fill="DBDBDB"/>
          </w:tcPr>
          <w:p>
            <w:pPr>
              <w:spacing w:after="0"/>
              <w:rPr>
                <w:sz w:val="6"/>
                <w:szCs w:val="6"/>
                <w:color w:val="auto"/>
              </w:rPr>
            </w:pPr>
          </w:p>
        </w:tc>
        <w:tc>
          <w:tcPr>
            <w:tcW w:w="8660" w:type="dxa"/>
            <w:vAlign w:val="bottom"/>
            <w:shd w:val="clear" w:color="auto" w:fill="DBDBDB"/>
          </w:tcPr>
          <w:p>
            <w:pPr>
              <w:spacing w:after="0"/>
              <w:rPr>
                <w:sz w:val="6"/>
                <w:szCs w:val="6"/>
                <w:color w:val="auto"/>
              </w:rPr>
            </w:pPr>
          </w:p>
        </w:tc>
      </w:tr>
      <w:tr>
        <w:trPr>
          <w:trHeight w:val="241"/>
        </w:trPr>
        <w:tc>
          <w:tcPr>
            <w:tcW w:w="126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1320" w:type="dxa"/>
            <w:vAlign w:val="bottom"/>
          </w:tcPr>
          <w:p>
            <w:pPr>
              <w:ind w:left="80"/>
              <w:spacing w:after="0"/>
              <w:rPr>
                <w:sz w:val="20"/>
                <w:szCs w:val="20"/>
                <w:color w:val="auto"/>
              </w:rPr>
            </w:pPr>
            <w:r>
              <w:rPr>
                <w:rFonts w:ascii="Arial" w:cs="Arial" w:eastAsia="Arial" w:hAnsi="Arial"/>
                <w:sz w:val="13"/>
                <w:szCs w:val="13"/>
                <w:color w:val="auto"/>
              </w:rPr>
              <w:t>Achieved target</w:t>
            </w:r>
          </w:p>
        </w:tc>
        <w:tc>
          <w:tcPr>
            <w:tcW w:w="8660" w:type="dxa"/>
            <w:vAlign w:val="bottom"/>
          </w:tcPr>
          <w:p>
            <w:pPr>
              <w:ind w:left="100"/>
              <w:spacing w:after="0"/>
              <w:rPr>
                <w:sz w:val="20"/>
                <w:szCs w:val="20"/>
                <w:color w:val="auto"/>
              </w:rPr>
            </w:pPr>
            <w:r>
              <w:rPr>
                <w:rFonts w:ascii="Arial" w:cs="Arial" w:eastAsia="Arial" w:hAnsi="Arial"/>
                <w:sz w:val="13"/>
                <w:szCs w:val="13"/>
                <w:color w:val="auto"/>
              </w:rPr>
              <w:t>•   Maintained a flat inventory level to prior year while growing our store base by 5.7%.</w:t>
            </w:r>
          </w:p>
        </w:tc>
      </w:tr>
      <w:tr>
        <w:trPr>
          <w:trHeight w:val="174"/>
        </w:trPr>
        <w:tc>
          <w:tcPr>
            <w:tcW w:w="1260" w:type="dxa"/>
            <w:vAlign w:val="bottom"/>
          </w:tcPr>
          <w:p>
            <w:pPr>
              <w:ind w:left="100"/>
              <w:spacing w:after="0"/>
              <w:rPr>
                <w:sz w:val="20"/>
                <w:szCs w:val="20"/>
                <w:color w:val="auto"/>
              </w:rPr>
            </w:pPr>
            <w:r>
              <w:rPr>
                <w:rFonts w:ascii="Arial" w:cs="Arial" w:eastAsia="Arial" w:hAnsi="Arial"/>
                <w:sz w:val="13"/>
                <w:szCs w:val="13"/>
                <w:b w:val="1"/>
                <w:bCs w:val="1"/>
                <w:color w:val="auto"/>
              </w:rPr>
              <w:t>EVP, CMO</w:t>
            </w:r>
          </w:p>
        </w:tc>
        <w:tc>
          <w:tcPr>
            <w:tcW w:w="13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Arial" w:cs="Arial" w:eastAsia="Arial" w:hAnsi="Arial"/>
                <w:sz w:val="13"/>
                <w:szCs w:val="13"/>
                <w:color w:val="auto"/>
              </w:rPr>
              <w:t>•   Aggressively pursued big merchandise items, ideas, and brands resulting in launching Jordan for 2025.</w:t>
            </w:r>
          </w:p>
        </w:tc>
      </w:tr>
      <w:tr>
        <w:trPr>
          <w:trHeight w:val="174"/>
        </w:trPr>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Arial" w:cs="Arial" w:eastAsia="Arial" w:hAnsi="Arial"/>
                <w:sz w:val="13"/>
                <w:szCs w:val="13"/>
                <w:color w:val="auto"/>
              </w:rPr>
              <w:t>•   Refined our markdown strategy and developed engaging visuals to help highlight value on our sales floor.</w:t>
            </w:r>
          </w:p>
        </w:tc>
      </w:tr>
      <w:tr>
        <w:trPr>
          <w:trHeight w:val="82"/>
        </w:trPr>
        <w:tc>
          <w:tcPr>
            <w:tcW w:w="1260" w:type="dxa"/>
            <w:vAlign w:val="bottom"/>
            <w:tcBorders>
              <w:bottom w:val="single" w:sz="8" w:color="DBDBDB"/>
            </w:tcBorders>
          </w:tcPr>
          <w:p>
            <w:pPr>
              <w:spacing w:after="0"/>
              <w:rPr>
                <w:sz w:val="7"/>
                <w:szCs w:val="7"/>
                <w:color w:val="auto"/>
              </w:rPr>
            </w:pPr>
          </w:p>
        </w:tc>
        <w:tc>
          <w:tcPr>
            <w:tcW w:w="1320" w:type="dxa"/>
            <w:vAlign w:val="bottom"/>
            <w:tcBorders>
              <w:bottom w:val="single" w:sz="8" w:color="DBDBDB"/>
            </w:tcBorders>
          </w:tcPr>
          <w:p>
            <w:pPr>
              <w:spacing w:after="0"/>
              <w:rPr>
                <w:sz w:val="7"/>
                <w:szCs w:val="7"/>
                <w:color w:val="auto"/>
              </w:rPr>
            </w:pPr>
          </w:p>
        </w:tc>
        <w:tc>
          <w:tcPr>
            <w:tcW w:w="8660" w:type="dxa"/>
            <w:vAlign w:val="bottom"/>
            <w:tcBorders>
              <w:bottom w:val="single" w:sz="8" w:color="DBDBDB"/>
            </w:tcBorders>
          </w:tcPr>
          <w:p>
            <w:pPr>
              <w:spacing w:after="0"/>
              <w:rPr>
                <w:sz w:val="7"/>
                <w:szCs w:val="7"/>
                <w:color w:val="auto"/>
              </w:rPr>
            </w:pPr>
          </w:p>
        </w:tc>
      </w:tr>
    </w:tbl>
    <w:p>
      <w:pPr>
        <w:spacing w:after="0" w:line="241" w:lineRule="exact"/>
        <w:rPr>
          <w:sz w:val="20"/>
          <w:szCs w:val="20"/>
          <w:color w:val="auto"/>
        </w:rPr>
      </w:pPr>
    </w:p>
    <w:p>
      <w:pPr>
        <w:ind w:right="340"/>
        <w:spacing w:after="0" w:line="358" w:lineRule="auto"/>
        <w:rPr>
          <w:sz w:val="20"/>
          <w:szCs w:val="20"/>
          <w:color w:val="auto"/>
        </w:rPr>
      </w:pPr>
      <w:r>
        <w:rPr>
          <w:rFonts w:ascii="Arial" w:cs="Arial" w:eastAsia="Arial" w:hAnsi="Arial"/>
          <w:sz w:val="13"/>
          <w:szCs w:val="13"/>
          <w:i w:val="1"/>
          <w:iCs w:val="1"/>
          <w:color w:val="auto"/>
        </w:rPr>
        <w:t>*Adjusted Free Cash Flow is a non-GAAP financial measures. See “Annex D - Reconciliations of GAAP to Non-GAAP Financial Measures” below for reconciliations of non-GAAP financial measures used in this Proxy Statement, including this Compensation Discussion &amp; Analysis,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1050925</wp:posOffset>
            </wp:positionV>
            <wp:extent cx="7168515" cy="4127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755650</wp:posOffset>
            </wp:positionV>
            <wp:extent cx="789305" cy="18923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2024 Bonuses Earned</w:t>
      </w:r>
    </w:p>
    <w:p>
      <w:pPr>
        <w:spacing w:after="0" w:line="70" w:lineRule="exact"/>
        <w:rPr>
          <w:sz w:val="20"/>
          <w:szCs w:val="20"/>
          <w:color w:val="auto"/>
        </w:rPr>
      </w:pPr>
    </w:p>
    <w:p>
      <w:pPr>
        <w:ind w:left="1" w:right="100"/>
        <w:spacing w:after="0" w:line="310" w:lineRule="auto"/>
        <w:rPr>
          <w:sz w:val="20"/>
          <w:szCs w:val="20"/>
          <w:color w:val="auto"/>
        </w:rPr>
      </w:pPr>
      <w:r>
        <w:rPr>
          <w:rFonts w:ascii="Arial" w:cs="Arial" w:eastAsia="Arial" w:hAnsi="Arial"/>
          <w:sz w:val="15"/>
          <w:szCs w:val="15"/>
          <w:color w:val="auto"/>
        </w:rPr>
        <w:t>The following table summarizes the 2024 bonuses earned under the 2024 Executive Bonus Plan based on actual performance, as compared to the target opportunity, for each of our NEOs:</w:t>
      </w:r>
    </w:p>
    <w:p>
      <w:pPr>
        <w:spacing w:after="0" w:line="126" w:lineRule="exact"/>
        <w:rPr>
          <w:sz w:val="20"/>
          <w:szCs w:val="20"/>
          <w:color w:val="auto"/>
        </w:rPr>
      </w:pPr>
    </w:p>
    <w:tbl>
      <w:tblPr>
        <w:tblLayout w:type="fixed"/>
        <w:tblInd w:w="1" w:type="dxa"/>
        <w:tblCellMar>
          <w:top w:w="0" w:type="dxa"/>
          <w:left w:w="0" w:type="dxa"/>
          <w:bottom w:w="0" w:type="dxa"/>
          <w:right w:w="0" w:type="dxa"/>
        </w:tblCellMar>
      </w:tblPr>
      <w:tr>
        <w:trPr>
          <w:trHeight w:val="273"/>
        </w:trPr>
        <w:tc>
          <w:tcPr>
            <w:tcW w:w="1560" w:type="dxa"/>
            <w:vAlign w:val="bottom"/>
            <w:shd w:val="clear" w:color="auto" w:fill="E1D7AC"/>
          </w:tcPr>
          <w:p>
            <w:pPr>
              <w:spacing w:after="0"/>
              <w:rPr>
                <w:sz w:val="23"/>
                <w:szCs w:val="23"/>
                <w:color w:val="auto"/>
              </w:rPr>
            </w:pPr>
          </w:p>
        </w:tc>
        <w:tc>
          <w:tcPr>
            <w:tcW w:w="1140" w:type="dxa"/>
            <w:vAlign w:val="bottom"/>
            <w:shd w:val="clear" w:color="auto" w:fill="E1D7AC"/>
          </w:tcPr>
          <w:p>
            <w:pPr>
              <w:spacing w:after="0"/>
              <w:rPr>
                <w:sz w:val="23"/>
                <w:szCs w:val="23"/>
                <w:color w:val="auto"/>
              </w:rPr>
            </w:pPr>
          </w:p>
        </w:tc>
        <w:tc>
          <w:tcPr>
            <w:tcW w:w="1060" w:type="dxa"/>
            <w:vAlign w:val="bottom"/>
            <w:shd w:val="clear" w:color="auto" w:fill="E1D7AC"/>
          </w:tcPr>
          <w:p>
            <w:pPr>
              <w:spacing w:after="0"/>
              <w:rPr>
                <w:sz w:val="23"/>
                <w:szCs w:val="23"/>
                <w:color w:val="auto"/>
              </w:rPr>
            </w:pPr>
          </w:p>
        </w:tc>
        <w:tc>
          <w:tcPr>
            <w:tcW w:w="1160" w:type="dxa"/>
            <w:vAlign w:val="bottom"/>
            <w:shd w:val="clear" w:color="auto" w:fill="E1D7AC"/>
          </w:tcPr>
          <w:p>
            <w:pPr>
              <w:spacing w:after="0"/>
              <w:rPr>
                <w:sz w:val="23"/>
                <w:szCs w:val="23"/>
                <w:color w:val="auto"/>
              </w:rPr>
            </w:pPr>
          </w:p>
        </w:tc>
        <w:tc>
          <w:tcPr>
            <w:tcW w:w="17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 of Target Bonus</w:t>
            </w:r>
          </w:p>
        </w:tc>
        <w:tc>
          <w:tcPr>
            <w:tcW w:w="19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 of Target Bonus</w:t>
            </w:r>
          </w:p>
        </w:tc>
        <w:tc>
          <w:tcPr>
            <w:tcW w:w="1600" w:type="dxa"/>
            <w:vAlign w:val="bottom"/>
            <w:shd w:val="clear" w:color="auto" w:fill="E1D7AC"/>
          </w:tcPr>
          <w:p>
            <w:pPr>
              <w:jc w:val="right"/>
              <w:ind w:right="195"/>
              <w:spacing w:after="0"/>
              <w:rPr>
                <w:sz w:val="20"/>
                <w:szCs w:val="20"/>
                <w:color w:val="auto"/>
              </w:rPr>
            </w:pPr>
            <w:r>
              <w:rPr>
                <w:rFonts w:ascii="Arial" w:cs="Arial" w:eastAsia="Arial" w:hAnsi="Arial"/>
                <w:sz w:val="13"/>
                <w:szCs w:val="13"/>
                <w:b w:val="1"/>
                <w:bCs w:val="1"/>
                <w:color w:val="auto"/>
              </w:rPr>
              <w:t>Overall</w:t>
            </w:r>
          </w:p>
        </w:tc>
        <w:tc>
          <w:tcPr>
            <w:tcW w:w="1100" w:type="dxa"/>
            <w:vAlign w:val="bottom"/>
            <w:shd w:val="clear" w:color="auto" w:fill="E1D7AC"/>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560" w:type="dxa"/>
            <w:vAlign w:val="bottom"/>
            <w:shd w:val="clear" w:color="auto" w:fill="E1D7AC"/>
          </w:tcPr>
          <w:p>
            <w:pPr>
              <w:spacing w:after="0"/>
              <w:rPr>
                <w:sz w:val="15"/>
                <w:szCs w:val="15"/>
                <w:color w:val="auto"/>
              </w:rPr>
            </w:pPr>
          </w:p>
        </w:tc>
        <w:tc>
          <w:tcPr>
            <w:tcW w:w="1140" w:type="dxa"/>
            <w:vAlign w:val="bottom"/>
            <w:shd w:val="clear" w:color="auto" w:fill="E1D7AC"/>
          </w:tcPr>
          <w:p>
            <w:pPr>
              <w:spacing w:after="0"/>
              <w:rPr>
                <w:sz w:val="15"/>
                <w:szCs w:val="15"/>
                <w:color w:val="auto"/>
              </w:rPr>
            </w:pPr>
          </w:p>
        </w:tc>
        <w:tc>
          <w:tcPr>
            <w:tcW w:w="1060" w:type="dxa"/>
            <w:vAlign w:val="bottom"/>
            <w:shd w:val="clear" w:color="auto" w:fill="E1D7AC"/>
          </w:tcPr>
          <w:p>
            <w:pPr>
              <w:spacing w:after="0"/>
              <w:rPr>
                <w:sz w:val="15"/>
                <w:szCs w:val="15"/>
                <w:color w:val="auto"/>
              </w:rPr>
            </w:pPr>
          </w:p>
        </w:tc>
        <w:tc>
          <w:tcPr>
            <w:tcW w:w="1160" w:type="dxa"/>
            <w:vAlign w:val="bottom"/>
            <w:vMerge w:val="restart"/>
            <w:shd w:val="clear" w:color="auto" w:fill="E1D7AC"/>
          </w:tcPr>
          <w:p>
            <w:pPr>
              <w:jc w:val="right"/>
              <w:ind w:right="155"/>
              <w:spacing w:after="0"/>
              <w:rPr>
                <w:sz w:val="20"/>
                <w:szCs w:val="20"/>
                <w:color w:val="auto"/>
              </w:rPr>
            </w:pPr>
            <w:r>
              <w:rPr>
                <w:rFonts w:ascii="Arial" w:cs="Arial" w:eastAsia="Arial" w:hAnsi="Arial"/>
                <w:sz w:val="13"/>
                <w:szCs w:val="13"/>
                <w:b w:val="1"/>
                <w:bCs w:val="1"/>
                <w:color w:val="auto"/>
              </w:rPr>
              <w:t>Target Bonus</w:t>
            </w:r>
          </w:p>
        </w:tc>
        <w:tc>
          <w:tcPr>
            <w:tcW w:w="17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Earned for Achievement of</w:t>
            </w:r>
          </w:p>
        </w:tc>
        <w:tc>
          <w:tcPr>
            <w:tcW w:w="19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Earned for Achievement of</w:t>
            </w:r>
          </w:p>
        </w:tc>
        <w:tc>
          <w:tcPr>
            <w:tcW w:w="1600" w:type="dxa"/>
            <w:vAlign w:val="bottom"/>
            <w:shd w:val="clear" w:color="auto" w:fill="E1D7AC"/>
          </w:tcPr>
          <w:p>
            <w:pPr>
              <w:jc w:val="right"/>
              <w:ind w:right="195"/>
              <w:spacing w:after="0"/>
              <w:rPr>
                <w:sz w:val="20"/>
                <w:szCs w:val="20"/>
                <w:color w:val="auto"/>
              </w:rPr>
            </w:pPr>
            <w:r>
              <w:rPr>
                <w:rFonts w:ascii="Arial" w:cs="Arial" w:eastAsia="Arial" w:hAnsi="Arial"/>
                <w:sz w:val="13"/>
                <w:szCs w:val="13"/>
                <w:b w:val="1"/>
                <w:bCs w:val="1"/>
                <w:color w:val="auto"/>
              </w:rPr>
              <w:t>Achievement</w:t>
            </w:r>
          </w:p>
        </w:tc>
        <w:tc>
          <w:tcPr>
            <w:tcW w:w="1100" w:type="dxa"/>
            <w:vAlign w:val="bottom"/>
            <w:vMerge w:val="restart"/>
            <w:shd w:val="clear" w:color="auto" w:fill="E1D7AC"/>
          </w:tcPr>
          <w:p>
            <w:pPr>
              <w:jc w:val="right"/>
              <w:ind w:right="39"/>
              <w:spacing w:after="0"/>
              <w:rPr>
                <w:sz w:val="20"/>
                <w:szCs w:val="20"/>
                <w:color w:val="auto"/>
              </w:rPr>
            </w:pPr>
            <w:r>
              <w:rPr>
                <w:rFonts w:ascii="Arial" w:cs="Arial" w:eastAsia="Arial" w:hAnsi="Arial"/>
                <w:sz w:val="13"/>
                <w:szCs w:val="13"/>
                <w:b w:val="1"/>
                <w:bCs w:val="1"/>
                <w:color w:val="auto"/>
              </w:rPr>
              <w:t>Final Bonus</w:t>
            </w:r>
          </w:p>
        </w:tc>
        <w:tc>
          <w:tcPr>
            <w:tcW w:w="0" w:type="dxa"/>
            <w:vAlign w:val="bottom"/>
          </w:tcPr>
          <w:p>
            <w:pPr>
              <w:spacing w:after="0"/>
              <w:rPr>
                <w:sz w:val="1"/>
                <w:szCs w:val="1"/>
                <w:color w:val="auto"/>
              </w:rPr>
            </w:pPr>
          </w:p>
        </w:tc>
      </w:tr>
      <w:tr>
        <w:trPr>
          <w:trHeight w:val="174"/>
        </w:trPr>
        <w:tc>
          <w:tcPr>
            <w:tcW w:w="1560" w:type="dxa"/>
            <w:vAlign w:val="bottom"/>
            <w:shd w:val="clear" w:color="auto" w:fill="E1D7AC"/>
          </w:tcPr>
          <w:p>
            <w:pPr>
              <w:spacing w:after="0"/>
              <w:rPr>
                <w:sz w:val="15"/>
                <w:szCs w:val="15"/>
                <w:color w:val="auto"/>
              </w:rPr>
            </w:pPr>
          </w:p>
        </w:tc>
        <w:tc>
          <w:tcPr>
            <w:tcW w:w="1140" w:type="dxa"/>
            <w:vAlign w:val="bottom"/>
            <w:shd w:val="clear" w:color="auto" w:fill="E1D7AC"/>
          </w:tcPr>
          <w:p>
            <w:pPr>
              <w:spacing w:after="0"/>
              <w:rPr>
                <w:sz w:val="15"/>
                <w:szCs w:val="15"/>
                <w:color w:val="auto"/>
              </w:rPr>
            </w:pPr>
          </w:p>
        </w:tc>
        <w:tc>
          <w:tcPr>
            <w:tcW w:w="1060" w:type="dxa"/>
            <w:vAlign w:val="bottom"/>
            <w:shd w:val="clear" w:color="auto" w:fill="E1D7AC"/>
          </w:tcPr>
          <w:p>
            <w:pPr>
              <w:spacing w:after="0"/>
              <w:rPr>
                <w:sz w:val="15"/>
                <w:szCs w:val="15"/>
                <w:color w:val="auto"/>
              </w:rPr>
            </w:pPr>
          </w:p>
        </w:tc>
        <w:tc>
          <w:tcPr>
            <w:tcW w:w="1160" w:type="dxa"/>
            <w:vAlign w:val="bottom"/>
            <w:vMerge w:val="continue"/>
            <w:shd w:val="clear" w:color="auto" w:fill="E1D7AC"/>
          </w:tcPr>
          <w:p>
            <w:pPr>
              <w:spacing w:after="0"/>
              <w:rPr>
                <w:sz w:val="15"/>
                <w:szCs w:val="15"/>
                <w:color w:val="auto"/>
              </w:rPr>
            </w:pPr>
          </w:p>
        </w:tc>
        <w:tc>
          <w:tcPr>
            <w:tcW w:w="17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Company Performance</w:t>
            </w:r>
          </w:p>
        </w:tc>
        <w:tc>
          <w:tcPr>
            <w:tcW w:w="19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Individual Performance</w:t>
            </w:r>
          </w:p>
        </w:tc>
        <w:tc>
          <w:tcPr>
            <w:tcW w:w="1600" w:type="dxa"/>
            <w:vAlign w:val="bottom"/>
            <w:shd w:val="clear" w:color="auto" w:fill="E1D7AC"/>
          </w:tcPr>
          <w:p>
            <w:pPr>
              <w:jc w:val="right"/>
              <w:ind w:right="195"/>
              <w:spacing w:after="0"/>
              <w:rPr>
                <w:sz w:val="20"/>
                <w:szCs w:val="20"/>
                <w:color w:val="auto"/>
              </w:rPr>
            </w:pPr>
            <w:r>
              <w:rPr>
                <w:rFonts w:ascii="Arial" w:cs="Arial" w:eastAsia="Arial" w:hAnsi="Arial"/>
                <w:sz w:val="13"/>
                <w:szCs w:val="13"/>
                <w:b w:val="1"/>
                <w:bCs w:val="1"/>
                <w:color w:val="auto"/>
              </w:rPr>
              <w:t>Factor of Target</w:t>
            </w:r>
          </w:p>
        </w:tc>
        <w:tc>
          <w:tcPr>
            <w:tcW w:w="1100" w:type="dxa"/>
            <w:vAlign w:val="bottom"/>
            <w:vMerge w:val="continue"/>
            <w:shd w:val="clear" w:color="auto" w:fill="E1D7A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60" w:type="dxa"/>
            <w:vAlign w:val="bottom"/>
            <w:shd w:val="clear" w:color="auto" w:fill="E1D7AC"/>
          </w:tcPr>
          <w:p>
            <w:pPr>
              <w:spacing w:after="0"/>
              <w:rPr>
                <w:sz w:val="15"/>
                <w:szCs w:val="15"/>
                <w:color w:val="auto"/>
              </w:rPr>
            </w:pPr>
          </w:p>
        </w:tc>
        <w:tc>
          <w:tcPr>
            <w:tcW w:w="11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2024 Base Salary</w:t>
            </w:r>
          </w:p>
        </w:tc>
        <w:tc>
          <w:tcPr>
            <w:tcW w:w="1060" w:type="dxa"/>
            <w:vAlign w:val="bottom"/>
            <w:shd w:val="clear" w:color="auto" w:fill="E1D7AC"/>
          </w:tcPr>
          <w:p>
            <w:pPr>
              <w:jc w:val="right"/>
              <w:ind w:right="35"/>
              <w:spacing w:after="0"/>
              <w:rPr>
                <w:sz w:val="20"/>
                <w:szCs w:val="20"/>
                <w:color w:val="auto"/>
              </w:rPr>
            </w:pPr>
            <w:r>
              <w:rPr>
                <w:rFonts w:ascii="Arial" w:cs="Arial" w:eastAsia="Arial" w:hAnsi="Arial"/>
                <w:sz w:val="13"/>
                <w:szCs w:val="13"/>
                <w:b w:val="1"/>
                <w:bCs w:val="1"/>
                <w:color w:val="auto"/>
              </w:rPr>
              <w:t>Target Bonus</w:t>
            </w:r>
          </w:p>
        </w:tc>
        <w:tc>
          <w:tcPr>
            <w:tcW w:w="1160" w:type="dxa"/>
            <w:vAlign w:val="bottom"/>
            <w:shd w:val="clear" w:color="auto" w:fill="E1D7AC"/>
          </w:tcPr>
          <w:p>
            <w:pPr>
              <w:jc w:val="right"/>
              <w:ind w:right="155"/>
              <w:spacing w:after="0"/>
              <w:rPr>
                <w:sz w:val="20"/>
                <w:szCs w:val="20"/>
                <w:color w:val="auto"/>
              </w:rPr>
            </w:pPr>
            <w:r>
              <w:rPr>
                <w:rFonts w:ascii="Arial" w:cs="Arial" w:eastAsia="Arial" w:hAnsi="Arial"/>
                <w:sz w:val="13"/>
                <w:szCs w:val="13"/>
                <w:b w:val="1"/>
                <w:bCs w:val="1"/>
                <w:color w:val="auto"/>
              </w:rPr>
              <w:t>Amount</w:t>
            </w:r>
          </w:p>
        </w:tc>
        <w:tc>
          <w:tcPr>
            <w:tcW w:w="17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Metrics</w:t>
            </w:r>
          </w:p>
        </w:tc>
        <w:tc>
          <w:tcPr>
            <w:tcW w:w="19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Metric</w:t>
            </w:r>
          </w:p>
        </w:tc>
        <w:tc>
          <w:tcPr>
            <w:tcW w:w="1600" w:type="dxa"/>
            <w:vAlign w:val="bottom"/>
            <w:shd w:val="clear" w:color="auto" w:fill="E1D7AC"/>
          </w:tcPr>
          <w:p>
            <w:pPr>
              <w:jc w:val="right"/>
              <w:ind w:right="195"/>
              <w:spacing w:after="0"/>
              <w:rPr>
                <w:sz w:val="20"/>
                <w:szCs w:val="20"/>
                <w:color w:val="auto"/>
              </w:rPr>
            </w:pPr>
            <w:r>
              <w:rPr>
                <w:rFonts w:ascii="Arial" w:cs="Arial" w:eastAsia="Arial" w:hAnsi="Arial"/>
                <w:sz w:val="13"/>
                <w:szCs w:val="13"/>
                <w:b w:val="1"/>
                <w:bCs w:val="1"/>
                <w:color w:val="auto"/>
              </w:rPr>
              <w:t>Bonus</w:t>
            </w:r>
          </w:p>
        </w:tc>
        <w:tc>
          <w:tcPr>
            <w:tcW w:w="1100" w:type="dxa"/>
            <w:vAlign w:val="bottom"/>
            <w:shd w:val="clear" w:color="auto" w:fill="E1D7AC"/>
          </w:tcPr>
          <w:p>
            <w:pPr>
              <w:jc w:val="right"/>
              <w:ind w:right="39"/>
              <w:spacing w:after="0"/>
              <w:rPr>
                <w:sz w:val="20"/>
                <w:szCs w:val="20"/>
                <w:color w:val="auto"/>
              </w:rPr>
            </w:pPr>
            <w:r>
              <w:rPr>
                <w:rFonts w:ascii="Arial" w:cs="Arial" w:eastAsia="Arial" w:hAnsi="Arial"/>
                <w:sz w:val="13"/>
                <w:szCs w:val="13"/>
                <w:b w:val="1"/>
                <w:bCs w:val="1"/>
                <w:color w:val="auto"/>
              </w:rPr>
              <w:t>Payment</w:t>
            </w:r>
          </w:p>
        </w:tc>
        <w:tc>
          <w:tcPr>
            <w:tcW w:w="0" w:type="dxa"/>
            <w:vAlign w:val="bottom"/>
          </w:tcPr>
          <w:p>
            <w:pPr>
              <w:spacing w:after="0"/>
              <w:rPr>
                <w:sz w:val="1"/>
                <w:szCs w:val="1"/>
                <w:color w:val="auto"/>
              </w:rPr>
            </w:pPr>
          </w:p>
        </w:tc>
      </w:tr>
      <w:tr>
        <w:trPr>
          <w:trHeight w:val="162"/>
        </w:trPr>
        <w:tc>
          <w:tcPr>
            <w:tcW w:w="156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shd w:val="clear" w:color="auto" w:fill="E1D7AC"/>
              </w:rPr>
              <w:t>Name</w:t>
            </w:r>
          </w:p>
        </w:tc>
        <w:tc>
          <w:tcPr>
            <w:tcW w:w="11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E1D7AC"/>
          </w:tcPr>
          <w:p>
            <w:pPr>
              <w:jc w:val="right"/>
              <w:ind w:right="35"/>
              <w:spacing w:after="0"/>
              <w:rPr>
                <w:sz w:val="20"/>
                <w:szCs w:val="20"/>
                <w:color w:val="auto"/>
              </w:rPr>
            </w:pPr>
            <w:r>
              <w:rPr>
                <w:rFonts w:ascii="Arial" w:cs="Arial" w:eastAsia="Arial" w:hAnsi="Arial"/>
                <w:sz w:val="13"/>
                <w:szCs w:val="13"/>
                <w:b w:val="1"/>
                <w:bCs w:val="1"/>
                <w:color w:val="auto"/>
              </w:rPr>
              <w:t>(%)</w:t>
            </w:r>
          </w:p>
        </w:tc>
        <w:tc>
          <w:tcPr>
            <w:tcW w:w="1160" w:type="dxa"/>
            <w:vAlign w:val="bottom"/>
            <w:shd w:val="clear" w:color="auto" w:fill="E1D7AC"/>
          </w:tcPr>
          <w:p>
            <w:pPr>
              <w:jc w:val="right"/>
              <w:ind w:right="155"/>
              <w:spacing w:after="0"/>
              <w:rPr>
                <w:sz w:val="20"/>
                <w:szCs w:val="20"/>
                <w:color w:val="auto"/>
              </w:rPr>
            </w:pPr>
            <w:r>
              <w:rPr>
                <w:rFonts w:ascii="Arial" w:cs="Arial" w:eastAsia="Arial" w:hAnsi="Arial"/>
                <w:sz w:val="13"/>
                <w:szCs w:val="13"/>
                <w:b w:val="1"/>
                <w:bCs w:val="1"/>
                <w:color w:val="auto"/>
              </w:rPr>
              <w:t>($)</w:t>
            </w:r>
          </w:p>
        </w:tc>
        <w:tc>
          <w:tcPr>
            <w:tcW w:w="17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9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600" w:type="dxa"/>
            <w:vAlign w:val="bottom"/>
            <w:shd w:val="clear" w:color="auto" w:fill="E1D7AC"/>
          </w:tcPr>
          <w:p>
            <w:pPr>
              <w:jc w:val="right"/>
              <w:ind w:right="195"/>
              <w:spacing w:after="0" w:line="16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(1)</w:t>
            </w:r>
          </w:p>
        </w:tc>
        <w:tc>
          <w:tcPr>
            <w:tcW w:w="1100" w:type="dxa"/>
            <w:vAlign w:val="bottom"/>
            <w:shd w:val="clear" w:color="auto" w:fill="E1D7AC"/>
          </w:tcPr>
          <w:p>
            <w:pPr>
              <w:jc w:val="right"/>
              <w:ind w:right="39"/>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(2)</w:t>
            </w:r>
          </w:p>
        </w:tc>
        <w:tc>
          <w:tcPr>
            <w:tcW w:w="0" w:type="dxa"/>
            <w:vAlign w:val="bottom"/>
          </w:tcPr>
          <w:p>
            <w:pPr>
              <w:spacing w:after="0"/>
              <w:rPr>
                <w:sz w:val="1"/>
                <w:szCs w:val="1"/>
                <w:color w:val="auto"/>
              </w:rPr>
            </w:pPr>
          </w:p>
        </w:tc>
      </w:tr>
      <w:tr>
        <w:trPr>
          <w:trHeight w:val="99"/>
        </w:trPr>
        <w:tc>
          <w:tcPr>
            <w:tcW w:w="1560" w:type="dxa"/>
            <w:vAlign w:val="bottom"/>
            <w:shd w:val="clear" w:color="auto" w:fill="E1D7AC"/>
          </w:tcPr>
          <w:p>
            <w:pPr>
              <w:spacing w:after="0"/>
              <w:rPr>
                <w:sz w:val="8"/>
                <w:szCs w:val="8"/>
                <w:color w:val="auto"/>
              </w:rPr>
            </w:pPr>
          </w:p>
        </w:tc>
        <w:tc>
          <w:tcPr>
            <w:tcW w:w="1140" w:type="dxa"/>
            <w:vAlign w:val="bottom"/>
            <w:shd w:val="clear" w:color="auto" w:fill="E1D7AC"/>
          </w:tcPr>
          <w:p>
            <w:pPr>
              <w:spacing w:after="0"/>
              <w:rPr>
                <w:sz w:val="8"/>
                <w:szCs w:val="8"/>
                <w:color w:val="auto"/>
              </w:rPr>
            </w:pPr>
          </w:p>
        </w:tc>
        <w:tc>
          <w:tcPr>
            <w:tcW w:w="1060" w:type="dxa"/>
            <w:vAlign w:val="bottom"/>
            <w:shd w:val="clear" w:color="auto" w:fill="E1D7AC"/>
          </w:tcPr>
          <w:p>
            <w:pPr>
              <w:spacing w:after="0"/>
              <w:rPr>
                <w:sz w:val="8"/>
                <w:szCs w:val="8"/>
                <w:color w:val="auto"/>
              </w:rPr>
            </w:pPr>
          </w:p>
        </w:tc>
        <w:tc>
          <w:tcPr>
            <w:tcW w:w="1160" w:type="dxa"/>
            <w:vAlign w:val="bottom"/>
            <w:shd w:val="clear" w:color="auto" w:fill="E1D7AC"/>
          </w:tcPr>
          <w:p>
            <w:pPr>
              <w:spacing w:after="0"/>
              <w:rPr>
                <w:sz w:val="8"/>
                <w:szCs w:val="8"/>
                <w:color w:val="auto"/>
              </w:rPr>
            </w:pPr>
          </w:p>
        </w:tc>
        <w:tc>
          <w:tcPr>
            <w:tcW w:w="1700" w:type="dxa"/>
            <w:vAlign w:val="bottom"/>
            <w:shd w:val="clear" w:color="auto" w:fill="E1D7AC"/>
          </w:tcPr>
          <w:p>
            <w:pPr>
              <w:spacing w:after="0"/>
              <w:rPr>
                <w:sz w:val="8"/>
                <w:szCs w:val="8"/>
                <w:color w:val="auto"/>
              </w:rPr>
            </w:pPr>
          </w:p>
        </w:tc>
        <w:tc>
          <w:tcPr>
            <w:tcW w:w="1920" w:type="dxa"/>
            <w:vAlign w:val="bottom"/>
            <w:shd w:val="clear" w:color="auto" w:fill="E1D7AC"/>
          </w:tcPr>
          <w:p>
            <w:pPr>
              <w:spacing w:after="0"/>
              <w:rPr>
                <w:sz w:val="8"/>
                <w:szCs w:val="8"/>
                <w:color w:val="auto"/>
              </w:rPr>
            </w:pPr>
          </w:p>
        </w:tc>
        <w:tc>
          <w:tcPr>
            <w:tcW w:w="1600" w:type="dxa"/>
            <w:vAlign w:val="bottom"/>
            <w:shd w:val="clear" w:color="auto" w:fill="E1D7AC"/>
          </w:tcPr>
          <w:p>
            <w:pPr>
              <w:spacing w:after="0"/>
              <w:rPr>
                <w:sz w:val="8"/>
                <w:szCs w:val="8"/>
                <w:color w:val="auto"/>
              </w:rPr>
            </w:pPr>
          </w:p>
        </w:tc>
        <w:tc>
          <w:tcPr>
            <w:tcW w:w="1100" w:type="dxa"/>
            <w:vAlign w:val="bottom"/>
            <w:shd w:val="clear" w:color="auto" w:fill="E1D7AC"/>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5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Steve Lawrence</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1,050,000</w:t>
            </w:r>
          </w:p>
        </w:tc>
        <w:tc>
          <w:tcPr>
            <w:tcW w:w="1060" w:type="dxa"/>
            <w:vAlign w:val="bottom"/>
            <w:tcBorders>
              <w:bottom w:val="single" w:sz="8" w:color="DBDBDB"/>
            </w:tcBorders>
            <w:shd w:val="clear" w:color="auto" w:fill="DBDBDB"/>
          </w:tcPr>
          <w:p>
            <w:pPr>
              <w:jc w:val="right"/>
              <w:ind w:right="35"/>
              <w:spacing w:after="0"/>
              <w:rPr>
                <w:sz w:val="20"/>
                <w:szCs w:val="20"/>
                <w:color w:val="auto"/>
              </w:rPr>
            </w:pPr>
            <w:r>
              <w:rPr>
                <w:rFonts w:ascii="Arial" w:cs="Arial" w:eastAsia="Arial" w:hAnsi="Arial"/>
                <w:sz w:val="13"/>
                <w:szCs w:val="13"/>
                <w:color w:val="auto"/>
              </w:rPr>
              <w:t>175%</w:t>
            </w:r>
          </w:p>
        </w:tc>
        <w:tc>
          <w:tcPr>
            <w:tcW w:w="1160" w:type="dxa"/>
            <w:vAlign w:val="bottom"/>
            <w:tcBorders>
              <w:bottom w:val="single" w:sz="8" w:color="DBDBDB"/>
            </w:tcBorders>
            <w:shd w:val="clear" w:color="auto" w:fill="DBDBDB"/>
          </w:tcPr>
          <w:p>
            <w:pPr>
              <w:jc w:val="right"/>
              <w:ind w:right="155"/>
              <w:spacing w:after="0"/>
              <w:rPr>
                <w:sz w:val="20"/>
                <w:szCs w:val="20"/>
                <w:color w:val="auto"/>
              </w:rPr>
            </w:pPr>
            <w:r>
              <w:rPr>
                <w:rFonts w:ascii="Arial" w:cs="Arial" w:eastAsia="Arial" w:hAnsi="Arial"/>
                <w:sz w:val="13"/>
                <w:szCs w:val="13"/>
                <w:color w:val="auto"/>
              </w:rPr>
              <w:t>1,837,500</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53.9</w:t>
            </w:r>
          </w:p>
        </w:tc>
        <w:tc>
          <w:tcPr>
            <w:tcW w:w="1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5.0</w:t>
            </w:r>
          </w:p>
        </w:tc>
        <w:tc>
          <w:tcPr>
            <w:tcW w:w="160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3"/>
                <w:szCs w:val="13"/>
                <w:color w:val="auto"/>
              </w:rPr>
              <w:t>58.9</w:t>
            </w:r>
          </w:p>
        </w:tc>
        <w:tc>
          <w:tcPr>
            <w:tcW w:w="110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3"/>
                <w:szCs w:val="13"/>
                <w:color w:val="auto"/>
              </w:rPr>
              <w:t>1,082,612</w:t>
            </w:r>
          </w:p>
        </w:tc>
        <w:tc>
          <w:tcPr>
            <w:tcW w:w="0" w:type="dxa"/>
            <w:vAlign w:val="bottom"/>
          </w:tcPr>
          <w:p>
            <w:pPr>
              <w:spacing w:after="0"/>
              <w:rPr>
                <w:sz w:val="1"/>
                <w:szCs w:val="1"/>
                <w:color w:val="auto"/>
              </w:rPr>
            </w:pPr>
          </w:p>
        </w:tc>
      </w:tr>
      <w:tr>
        <w:trPr>
          <w:trHeight w:val="197"/>
        </w:trPr>
        <w:tc>
          <w:tcPr>
            <w:tcW w:w="1560" w:type="dxa"/>
            <w:vAlign w:val="bottom"/>
          </w:tcPr>
          <w:p>
            <w:pPr>
              <w:ind w:left="100"/>
              <w:spacing w:after="0"/>
              <w:rPr>
                <w:sz w:val="20"/>
                <w:szCs w:val="20"/>
                <w:color w:val="auto"/>
              </w:rPr>
            </w:pPr>
            <w:r>
              <w:rPr>
                <w:rFonts w:ascii="Arial" w:cs="Arial" w:eastAsia="Arial" w:hAnsi="Arial"/>
                <w:sz w:val="13"/>
                <w:szCs w:val="13"/>
                <w:b w:val="1"/>
                <w:bCs w:val="1"/>
                <w:color w:val="auto"/>
              </w:rPr>
              <w:t>Sam Johnson</w:t>
            </w:r>
          </w:p>
        </w:tc>
        <w:tc>
          <w:tcPr>
            <w:tcW w:w="1140" w:type="dxa"/>
            <w:vAlign w:val="bottom"/>
          </w:tcPr>
          <w:p>
            <w:pPr>
              <w:jc w:val="right"/>
              <w:spacing w:after="0"/>
              <w:rPr>
                <w:sz w:val="20"/>
                <w:szCs w:val="20"/>
                <w:color w:val="auto"/>
              </w:rPr>
            </w:pPr>
            <w:r>
              <w:rPr>
                <w:rFonts w:ascii="Arial" w:cs="Arial" w:eastAsia="Arial" w:hAnsi="Arial"/>
                <w:sz w:val="13"/>
                <w:szCs w:val="13"/>
                <w:color w:val="auto"/>
              </w:rPr>
              <w:t>840,000</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140%</w:t>
            </w:r>
          </w:p>
        </w:tc>
        <w:tc>
          <w:tcPr>
            <w:tcW w:w="1160" w:type="dxa"/>
            <w:vAlign w:val="bottom"/>
          </w:tcPr>
          <w:p>
            <w:pPr>
              <w:jc w:val="right"/>
              <w:ind w:right="155"/>
              <w:spacing w:after="0"/>
              <w:rPr>
                <w:sz w:val="20"/>
                <w:szCs w:val="20"/>
                <w:color w:val="auto"/>
              </w:rPr>
            </w:pPr>
            <w:r>
              <w:rPr>
                <w:rFonts w:ascii="Arial" w:cs="Arial" w:eastAsia="Arial" w:hAnsi="Arial"/>
                <w:sz w:val="13"/>
                <w:szCs w:val="13"/>
                <w:color w:val="auto"/>
              </w:rPr>
              <w:t>1,176,000</w:t>
            </w:r>
          </w:p>
        </w:tc>
        <w:tc>
          <w:tcPr>
            <w:tcW w:w="1700" w:type="dxa"/>
            <w:vAlign w:val="bottom"/>
          </w:tcPr>
          <w:p>
            <w:pPr>
              <w:jc w:val="right"/>
              <w:spacing w:after="0"/>
              <w:rPr>
                <w:sz w:val="20"/>
                <w:szCs w:val="20"/>
                <w:color w:val="auto"/>
              </w:rPr>
            </w:pPr>
            <w:r>
              <w:rPr>
                <w:rFonts w:ascii="Arial" w:cs="Arial" w:eastAsia="Arial" w:hAnsi="Arial"/>
                <w:sz w:val="13"/>
                <w:szCs w:val="13"/>
                <w:color w:val="auto"/>
              </w:rPr>
              <w:t>53.9</w:t>
            </w:r>
          </w:p>
        </w:tc>
        <w:tc>
          <w:tcPr>
            <w:tcW w:w="1920" w:type="dxa"/>
            <w:vAlign w:val="bottom"/>
          </w:tcPr>
          <w:p>
            <w:pPr>
              <w:jc w:val="right"/>
              <w:spacing w:after="0"/>
              <w:rPr>
                <w:sz w:val="20"/>
                <w:szCs w:val="20"/>
                <w:color w:val="auto"/>
              </w:rPr>
            </w:pPr>
            <w:r>
              <w:rPr>
                <w:rFonts w:ascii="Arial" w:cs="Arial" w:eastAsia="Arial" w:hAnsi="Arial"/>
                <w:sz w:val="13"/>
                <w:szCs w:val="13"/>
                <w:color w:val="auto"/>
              </w:rPr>
              <w:t>10.0</w:t>
            </w:r>
          </w:p>
        </w:tc>
        <w:tc>
          <w:tcPr>
            <w:tcW w:w="1600" w:type="dxa"/>
            <w:vAlign w:val="bottom"/>
          </w:tcPr>
          <w:p>
            <w:pPr>
              <w:jc w:val="right"/>
              <w:ind w:right="195"/>
              <w:spacing w:after="0"/>
              <w:rPr>
                <w:sz w:val="20"/>
                <w:szCs w:val="20"/>
                <w:color w:val="auto"/>
              </w:rPr>
            </w:pPr>
            <w:r>
              <w:rPr>
                <w:rFonts w:ascii="Arial" w:cs="Arial" w:eastAsia="Arial" w:hAnsi="Arial"/>
                <w:sz w:val="13"/>
                <w:szCs w:val="13"/>
                <w:color w:val="auto"/>
              </w:rPr>
              <w:t>63.9</w:t>
            </w:r>
          </w:p>
        </w:tc>
        <w:tc>
          <w:tcPr>
            <w:tcW w:w="1100" w:type="dxa"/>
            <w:vAlign w:val="bottom"/>
          </w:tcPr>
          <w:p>
            <w:pPr>
              <w:jc w:val="right"/>
              <w:ind w:right="39"/>
              <w:spacing w:after="0"/>
              <w:rPr>
                <w:sz w:val="20"/>
                <w:szCs w:val="20"/>
                <w:color w:val="auto"/>
              </w:rPr>
            </w:pPr>
            <w:r>
              <w:rPr>
                <w:rFonts w:ascii="Arial" w:cs="Arial" w:eastAsia="Arial" w:hAnsi="Arial"/>
                <w:sz w:val="13"/>
                <w:szCs w:val="13"/>
                <w:color w:val="auto"/>
              </w:rPr>
              <w:t>751,672</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5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525,000</w:t>
            </w:r>
          </w:p>
        </w:tc>
        <w:tc>
          <w:tcPr>
            <w:tcW w:w="1060" w:type="dxa"/>
            <w:vAlign w:val="bottom"/>
            <w:tcBorders>
              <w:bottom w:val="single" w:sz="8" w:color="DBDBDB"/>
            </w:tcBorders>
            <w:shd w:val="clear" w:color="auto" w:fill="DBDBDB"/>
          </w:tcPr>
          <w:p>
            <w:pPr>
              <w:jc w:val="right"/>
              <w:ind w:right="35"/>
              <w:spacing w:after="0"/>
              <w:rPr>
                <w:sz w:val="20"/>
                <w:szCs w:val="20"/>
                <w:color w:val="auto"/>
              </w:rPr>
            </w:pPr>
            <w:r>
              <w:rPr>
                <w:rFonts w:ascii="Arial" w:cs="Arial" w:eastAsia="Arial" w:hAnsi="Arial"/>
                <w:sz w:val="13"/>
                <w:szCs w:val="13"/>
                <w:color w:val="auto"/>
              </w:rPr>
              <w:t>120%</w:t>
            </w:r>
          </w:p>
        </w:tc>
        <w:tc>
          <w:tcPr>
            <w:tcW w:w="1160" w:type="dxa"/>
            <w:vAlign w:val="bottom"/>
            <w:tcBorders>
              <w:bottom w:val="single" w:sz="8" w:color="DBDBDB"/>
            </w:tcBorders>
            <w:shd w:val="clear" w:color="auto" w:fill="DBDBDB"/>
          </w:tcPr>
          <w:p>
            <w:pPr>
              <w:jc w:val="right"/>
              <w:ind w:right="155"/>
              <w:spacing w:after="0"/>
              <w:rPr>
                <w:sz w:val="20"/>
                <w:szCs w:val="20"/>
                <w:color w:val="auto"/>
              </w:rPr>
            </w:pPr>
            <w:r>
              <w:rPr>
                <w:rFonts w:ascii="Arial" w:cs="Arial" w:eastAsia="Arial" w:hAnsi="Arial"/>
                <w:sz w:val="13"/>
                <w:szCs w:val="13"/>
                <w:color w:val="auto"/>
              </w:rPr>
              <w:t>630,000</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53.9</w:t>
            </w:r>
          </w:p>
        </w:tc>
        <w:tc>
          <w:tcPr>
            <w:tcW w:w="1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10.0</w:t>
            </w:r>
          </w:p>
        </w:tc>
        <w:tc>
          <w:tcPr>
            <w:tcW w:w="160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3"/>
                <w:szCs w:val="13"/>
                <w:color w:val="auto"/>
              </w:rPr>
              <w:t>63.9</w:t>
            </w:r>
          </w:p>
        </w:tc>
        <w:tc>
          <w:tcPr>
            <w:tcW w:w="110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3"/>
                <w:szCs w:val="13"/>
                <w:color w:val="auto"/>
              </w:rPr>
              <w:t>402,681</w:t>
            </w:r>
          </w:p>
        </w:tc>
        <w:tc>
          <w:tcPr>
            <w:tcW w:w="0" w:type="dxa"/>
            <w:vAlign w:val="bottom"/>
          </w:tcPr>
          <w:p>
            <w:pPr>
              <w:spacing w:after="0"/>
              <w:rPr>
                <w:sz w:val="1"/>
                <w:szCs w:val="1"/>
                <w:color w:val="auto"/>
              </w:rPr>
            </w:pPr>
          </w:p>
        </w:tc>
      </w:tr>
      <w:tr>
        <w:trPr>
          <w:trHeight w:val="197"/>
        </w:trPr>
        <w:tc>
          <w:tcPr>
            <w:tcW w:w="156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1140" w:type="dxa"/>
            <w:vAlign w:val="bottom"/>
          </w:tcPr>
          <w:p>
            <w:pPr>
              <w:jc w:val="right"/>
              <w:spacing w:after="0"/>
              <w:rPr>
                <w:sz w:val="20"/>
                <w:szCs w:val="20"/>
                <w:color w:val="auto"/>
              </w:rPr>
            </w:pPr>
            <w:r>
              <w:rPr>
                <w:rFonts w:ascii="Arial" w:cs="Arial" w:eastAsia="Arial" w:hAnsi="Arial"/>
                <w:sz w:val="13"/>
                <w:szCs w:val="13"/>
                <w:color w:val="auto"/>
              </w:rPr>
              <w:t>525,000</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120%</w:t>
            </w:r>
          </w:p>
        </w:tc>
        <w:tc>
          <w:tcPr>
            <w:tcW w:w="1160" w:type="dxa"/>
            <w:vAlign w:val="bottom"/>
          </w:tcPr>
          <w:p>
            <w:pPr>
              <w:jc w:val="right"/>
              <w:ind w:right="155"/>
              <w:spacing w:after="0"/>
              <w:rPr>
                <w:sz w:val="20"/>
                <w:szCs w:val="20"/>
                <w:color w:val="auto"/>
              </w:rPr>
            </w:pPr>
            <w:r>
              <w:rPr>
                <w:rFonts w:ascii="Arial" w:cs="Arial" w:eastAsia="Arial" w:hAnsi="Arial"/>
                <w:sz w:val="13"/>
                <w:szCs w:val="13"/>
                <w:color w:val="auto"/>
              </w:rPr>
              <w:t>630,000</w:t>
            </w:r>
          </w:p>
        </w:tc>
        <w:tc>
          <w:tcPr>
            <w:tcW w:w="1700" w:type="dxa"/>
            <w:vAlign w:val="bottom"/>
          </w:tcPr>
          <w:p>
            <w:pPr>
              <w:jc w:val="right"/>
              <w:spacing w:after="0"/>
              <w:rPr>
                <w:sz w:val="20"/>
                <w:szCs w:val="20"/>
                <w:color w:val="auto"/>
              </w:rPr>
            </w:pPr>
            <w:r>
              <w:rPr>
                <w:rFonts w:ascii="Arial" w:cs="Arial" w:eastAsia="Arial" w:hAnsi="Arial"/>
                <w:sz w:val="13"/>
                <w:szCs w:val="13"/>
                <w:color w:val="auto"/>
              </w:rPr>
              <w:t>53.9</w:t>
            </w:r>
          </w:p>
        </w:tc>
        <w:tc>
          <w:tcPr>
            <w:tcW w:w="1920" w:type="dxa"/>
            <w:vAlign w:val="bottom"/>
          </w:tcPr>
          <w:p>
            <w:pPr>
              <w:jc w:val="right"/>
              <w:spacing w:after="0"/>
              <w:rPr>
                <w:sz w:val="20"/>
                <w:szCs w:val="20"/>
                <w:color w:val="auto"/>
              </w:rPr>
            </w:pPr>
            <w:r>
              <w:rPr>
                <w:rFonts w:ascii="Arial" w:cs="Arial" w:eastAsia="Arial" w:hAnsi="Arial"/>
                <w:sz w:val="13"/>
                <w:szCs w:val="13"/>
                <w:color w:val="auto"/>
              </w:rPr>
              <w:t>10.0</w:t>
            </w:r>
          </w:p>
        </w:tc>
        <w:tc>
          <w:tcPr>
            <w:tcW w:w="1600" w:type="dxa"/>
            <w:vAlign w:val="bottom"/>
          </w:tcPr>
          <w:p>
            <w:pPr>
              <w:jc w:val="right"/>
              <w:ind w:right="195"/>
              <w:spacing w:after="0"/>
              <w:rPr>
                <w:sz w:val="20"/>
                <w:szCs w:val="20"/>
                <w:color w:val="auto"/>
              </w:rPr>
            </w:pPr>
            <w:r>
              <w:rPr>
                <w:rFonts w:ascii="Arial" w:cs="Arial" w:eastAsia="Arial" w:hAnsi="Arial"/>
                <w:sz w:val="13"/>
                <w:szCs w:val="13"/>
                <w:color w:val="auto"/>
              </w:rPr>
              <w:t>63.9</w:t>
            </w:r>
          </w:p>
        </w:tc>
        <w:tc>
          <w:tcPr>
            <w:tcW w:w="1100" w:type="dxa"/>
            <w:vAlign w:val="bottom"/>
          </w:tcPr>
          <w:p>
            <w:pPr>
              <w:jc w:val="right"/>
              <w:ind w:right="39"/>
              <w:spacing w:after="0"/>
              <w:rPr>
                <w:sz w:val="20"/>
                <w:szCs w:val="20"/>
                <w:color w:val="auto"/>
              </w:rPr>
            </w:pPr>
            <w:r>
              <w:rPr>
                <w:rFonts w:ascii="Arial" w:cs="Arial" w:eastAsia="Arial" w:hAnsi="Arial"/>
                <w:sz w:val="13"/>
                <w:szCs w:val="13"/>
                <w:color w:val="auto"/>
              </w:rPr>
              <w:t>402,681</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56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Ken Hicks</w:t>
            </w:r>
            <w:r>
              <w:rPr>
                <w:rFonts w:ascii="Arial" w:cs="Arial" w:eastAsia="Arial" w:hAnsi="Arial"/>
                <w:sz w:val="8"/>
                <w:szCs w:val="8"/>
                <w:b w:val="1"/>
                <w:bCs w:val="1"/>
                <w:color w:val="auto"/>
              </w:rPr>
              <w:t>(3)</w:t>
            </w: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ind w:right="35"/>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155"/>
              <w:spacing w:after="0"/>
              <w:rPr>
                <w:sz w:val="20"/>
                <w:szCs w:val="20"/>
                <w:color w:val="auto"/>
              </w:rPr>
            </w:pPr>
            <w:r>
              <w:rPr>
                <w:rFonts w:ascii="Arial" w:cs="Arial" w:eastAsia="Arial" w:hAnsi="Arial"/>
                <w:sz w:val="12"/>
                <w:szCs w:val="12"/>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600" w:type="dxa"/>
            <w:vAlign w:val="bottom"/>
            <w:shd w:val="clear" w:color="auto" w:fill="DBDBDB"/>
          </w:tcPr>
          <w:p>
            <w:pPr>
              <w:jc w:val="right"/>
              <w:ind w:right="195"/>
              <w:spacing w:after="0"/>
              <w:rPr>
                <w:sz w:val="20"/>
                <w:szCs w:val="20"/>
                <w:color w:val="auto"/>
              </w:rPr>
            </w:pPr>
            <w:r>
              <w:rPr>
                <w:rFonts w:ascii="Arial" w:cs="Arial" w:eastAsia="Arial" w:hAnsi="Arial"/>
                <w:sz w:val="12"/>
                <w:szCs w:val="12"/>
                <w:color w:val="auto"/>
              </w:rPr>
              <w:t>—</w:t>
            </w:r>
          </w:p>
        </w:tc>
        <w:tc>
          <w:tcPr>
            <w:tcW w:w="1100" w:type="dxa"/>
            <w:vAlign w:val="bottom"/>
            <w:shd w:val="clear" w:color="auto" w:fill="DBDBDB"/>
          </w:tcPr>
          <w:p>
            <w:pPr>
              <w:jc w:val="right"/>
              <w:ind w:right="3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156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1" w:right="620" w:hanging="301"/>
        <w:spacing w:after="0" w:line="281" w:lineRule="auto"/>
        <w:tabs>
          <w:tab w:leader="none" w:pos="298" w:val="left"/>
        </w:tabs>
        <w:numPr>
          <w:ilvl w:val="0"/>
          <w:numId w:val="65"/>
        </w:numPr>
        <w:rPr>
          <w:rFonts w:ascii="Arial" w:cs="Arial" w:eastAsia="Arial" w:hAnsi="Arial"/>
          <w:sz w:val="12"/>
          <w:szCs w:val="12"/>
          <w:color w:val="auto"/>
        </w:rPr>
      </w:pPr>
      <w:r>
        <w:rPr>
          <w:rFonts w:ascii="Arial" w:cs="Arial" w:eastAsia="Arial" w:hAnsi="Arial"/>
          <w:sz w:val="12"/>
          <w:szCs w:val="12"/>
          <w:color w:val="auto"/>
        </w:rPr>
        <w:t>Overall Achievement Factor of Target Bonus is the sum of the % of Target Bonus Earned for Achievement of Company Performance Metrics plus % of Target Bonus Earned for Achievement of Individual Performance Metric.</w:t>
      </w:r>
    </w:p>
    <w:p>
      <w:pPr>
        <w:spacing w:after="0" w:line="87" w:lineRule="exact"/>
        <w:rPr>
          <w:rFonts w:ascii="Arial" w:cs="Arial" w:eastAsia="Arial" w:hAnsi="Arial"/>
          <w:sz w:val="12"/>
          <w:szCs w:val="12"/>
          <w:color w:val="auto"/>
        </w:rPr>
      </w:pPr>
    </w:p>
    <w:p>
      <w:pPr>
        <w:ind w:left="301" w:right="80" w:hanging="301"/>
        <w:spacing w:after="0" w:line="281" w:lineRule="auto"/>
        <w:tabs>
          <w:tab w:leader="none" w:pos="298" w:val="left"/>
        </w:tabs>
        <w:numPr>
          <w:ilvl w:val="0"/>
          <w:numId w:val="65"/>
        </w:numPr>
        <w:rPr>
          <w:rFonts w:ascii="Arial" w:cs="Arial" w:eastAsia="Arial" w:hAnsi="Arial"/>
          <w:sz w:val="12"/>
          <w:szCs w:val="12"/>
          <w:color w:val="auto"/>
        </w:rPr>
      </w:pPr>
      <w:r>
        <w:rPr>
          <w:rFonts w:ascii="Arial" w:cs="Arial" w:eastAsia="Arial" w:hAnsi="Arial"/>
          <w:sz w:val="12"/>
          <w:szCs w:val="12"/>
          <w:color w:val="auto"/>
        </w:rPr>
        <w:t>Bonus payments under the Bonus Plan were calculated by multiplying the NEO’s “2024 Base Salary ($)” at year end by their “Target Bonus (%)”, which was then adjusted by an overall achievement factor of target bonus based on the combined weighted achievement of the Company and individual performance metrics.</w:t>
      </w:r>
    </w:p>
    <w:p>
      <w:pPr>
        <w:spacing w:after="0" w:line="74" w:lineRule="exact"/>
        <w:rPr>
          <w:rFonts w:ascii="Arial" w:cs="Arial" w:eastAsia="Arial" w:hAnsi="Arial"/>
          <w:sz w:val="12"/>
          <w:szCs w:val="12"/>
          <w:color w:val="auto"/>
        </w:rPr>
      </w:pPr>
    </w:p>
    <w:p>
      <w:pPr>
        <w:ind w:left="301" w:hanging="301"/>
        <w:spacing w:after="0"/>
        <w:tabs>
          <w:tab w:leader="none" w:pos="301" w:val="left"/>
        </w:tabs>
        <w:numPr>
          <w:ilvl w:val="0"/>
          <w:numId w:val="65"/>
        </w:numPr>
        <w:rPr>
          <w:rFonts w:ascii="Arial" w:cs="Arial" w:eastAsia="Arial" w:hAnsi="Arial"/>
          <w:sz w:val="12"/>
          <w:szCs w:val="12"/>
          <w:color w:val="auto"/>
        </w:rPr>
      </w:pPr>
      <w:r>
        <w:rPr>
          <w:rFonts w:ascii="Arial" w:cs="Arial" w:eastAsia="Arial" w:hAnsi="Arial"/>
          <w:sz w:val="12"/>
          <w:szCs w:val="12"/>
          <w:color w:val="auto"/>
        </w:rPr>
        <w:t>Because of the planned transition of Mr. Hicks to non-employee Chairman of the Board in June 2024, he was not eligible for a 2024 Executive Bonus Plan payment.</w:t>
      </w:r>
    </w:p>
    <w:p>
      <w:pPr>
        <w:spacing w:after="0" w:line="2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Long-Term Equity Incentive Compensation</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2024 Equity Incentive Awards</w:t>
      </w:r>
    </w:p>
    <w:p>
      <w:pPr>
        <w:spacing w:after="0" w:line="120" w:lineRule="exact"/>
        <w:rPr>
          <w:sz w:val="20"/>
          <w:szCs w:val="20"/>
          <w:color w:val="auto"/>
        </w:rPr>
      </w:pPr>
    </w:p>
    <w:p>
      <w:pPr>
        <w:ind w:left="1" w:right="160"/>
        <w:spacing w:after="0" w:line="288" w:lineRule="auto"/>
        <w:rPr>
          <w:sz w:val="20"/>
          <w:szCs w:val="20"/>
          <w:color w:val="auto"/>
        </w:rPr>
      </w:pPr>
      <w:r>
        <w:rPr>
          <w:rFonts w:ascii="Arial" w:cs="Arial" w:eastAsia="Arial" w:hAnsi="Arial"/>
          <w:sz w:val="15"/>
          <w:szCs w:val="15"/>
          <w:color w:val="auto"/>
        </w:rPr>
        <w:t>The Committee grants equity incentive awards to our NEOs annually as part of the overall compensation package. The Committee may also grant equity awards to address special situations that may arise from time to time. The use of long-term equity incentives creates a link between executive compensation and our long-term performance and growth, thereby creating alignment between executive officer and stockholder interests. The Committee considers market data and compensation peer practices, as well as the Company’s compensation strategy and place in the business cycle, to determine the appropriate mix of awards for participants.</w:t>
      </w:r>
    </w:p>
    <w:p>
      <w:pPr>
        <w:spacing w:after="0" w:line="166" w:lineRule="exact"/>
        <w:rPr>
          <w:sz w:val="20"/>
          <w:szCs w:val="20"/>
          <w:color w:val="auto"/>
        </w:rPr>
      </w:pPr>
    </w:p>
    <w:p>
      <w:pPr>
        <w:ind w:left="1" w:right="140"/>
        <w:spacing w:after="0" w:line="310" w:lineRule="auto"/>
        <w:rPr>
          <w:sz w:val="20"/>
          <w:szCs w:val="20"/>
          <w:color w:val="auto"/>
        </w:rPr>
      </w:pPr>
      <w:r>
        <w:rPr>
          <w:rFonts w:ascii="Arial" w:cs="Arial" w:eastAsia="Arial" w:hAnsi="Arial"/>
          <w:sz w:val="15"/>
          <w:szCs w:val="15"/>
          <w:color w:val="auto"/>
        </w:rPr>
        <w:t>For 2024, the Committee, in consultation with FW Cook, and after review of market practices, modified the equity award program for our NEOs to eliminate Options. The new equity award program in 2024 for our NEOs consists of the following:</w:t>
      </w:r>
    </w:p>
    <w:p>
      <w:pPr>
        <w:spacing w:after="0" w:line="89" w:lineRule="exact"/>
        <w:rPr>
          <w:sz w:val="20"/>
          <w:szCs w:val="20"/>
          <w:color w:val="auto"/>
        </w:rPr>
      </w:pPr>
    </w:p>
    <w:p>
      <w:pPr>
        <w:ind w:left="441" w:right="60" w:hanging="217"/>
        <w:spacing w:after="0" w:line="259" w:lineRule="auto"/>
        <w:tabs>
          <w:tab w:leader="none" w:pos="418" w:val="left"/>
        </w:tabs>
        <w:numPr>
          <w:ilvl w:val="0"/>
          <w:numId w:val="66"/>
        </w:numPr>
        <w:rPr>
          <w:rFonts w:ascii="Arial" w:cs="Arial" w:eastAsia="Arial" w:hAnsi="Arial"/>
          <w:sz w:val="15"/>
          <w:szCs w:val="15"/>
          <w:color w:val="auto"/>
        </w:rPr>
      </w:pPr>
      <w:r>
        <w:rPr>
          <w:rFonts w:ascii="Arial" w:cs="Arial" w:eastAsia="Arial" w:hAnsi="Arial"/>
          <w:sz w:val="15"/>
          <w:szCs w:val="15"/>
          <w:color w:val="auto"/>
        </w:rPr>
        <w:t>50% of the target grant value is in performance-based RSUs that may be earned at 0% to 200% of target based on achievement of two performance metrics, Adjusted Pre-Tax Net Income (weighted approximately 75%) and ROIC (weighted approximately 25%), each measured and cliff vesting after a 3-year cumulative performance period covering fiscal 2024 to fiscal 2026. These metrics were selected by the Committee because of their alignment to our long-range strategic plans and long-term shareholder interests.</w:t>
      </w:r>
    </w:p>
    <w:p>
      <w:pPr>
        <w:spacing w:after="0" w:line="63" w:lineRule="exact"/>
        <w:rPr>
          <w:sz w:val="20"/>
          <w:szCs w:val="20"/>
          <w:color w:val="auto"/>
        </w:rPr>
      </w:pPr>
    </w:p>
    <w:p>
      <w:pPr>
        <w:ind w:left="441" w:right="60"/>
        <w:spacing w:after="0" w:line="259" w:lineRule="auto"/>
        <w:rPr>
          <w:sz w:val="20"/>
          <w:szCs w:val="20"/>
          <w:color w:val="auto"/>
        </w:rPr>
      </w:pPr>
      <w:r>
        <w:rPr>
          <w:rFonts w:ascii="Arial" w:cs="Arial" w:eastAsia="Arial" w:hAnsi="Arial"/>
          <w:sz w:val="15"/>
          <w:szCs w:val="15"/>
          <w:color w:val="auto"/>
        </w:rPr>
        <w:t>If the metric achievement is 115% or higher of the target metric goal, then 200% of the shares granted for the metric will be earned. If the metric achievement is 85% of the target metric goal, then 50% of the granted shares will be earned. If the metric achievement is between 115% and 85%, then we use linear interpolation to determine the number of shares earned. Shares earned are rounded down to the nearest whole share. No shares are earned for performance below 85% of the target metric.</w:t>
      </w:r>
    </w:p>
    <w:p>
      <w:pPr>
        <w:spacing w:after="0" w:line="76" w:lineRule="exact"/>
        <w:rPr>
          <w:sz w:val="20"/>
          <w:szCs w:val="20"/>
          <w:color w:val="auto"/>
        </w:rPr>
      </w:pPr>
    </w:p>
    <w:p>
      <w:pPr>
        <w:ind w:left="221"/>
        <w:spacing w:after="0"/>
        <w:tabs>
          <w:tab w:leader="none" w:pos="4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50% of the target grant value is in time-based RSUs that vest ratably over three years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974725</wp:posOffset>
            </wp:positionV>
            <wp:extent cx="7168515" cy="4127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687705</wp:posOffset>
            </wp:positionV>
            <wp:extent cx="789305" cy="18923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61" w:name="page62"/>
    <w:bookmarkEnd w:id="61"/>
    <w:p>
      <w:pPr>
        <w:ind w:left="1"/>
        <w:spacing w:after="0"/>
        <w:rPr>
          <w:sz w:val="20"/>
          <w:szCs w:val="20"/>
          <w:color w:val="auto"/>
        </w:rPr>
      </w:pPr>
      <w:r>
        <w:rPr>
          <w:rFonts w:ascii="Arial" w:cs="Arial" w:eastAsia="Arial" w:hAnsi="Arial"/>
          <w:sz w:val="13"/>
          <w:szCs w:val="13"/>
          <w:b w:val="1"/>
          <w:bCs w:val="1"/>
          <w:color w:val="007EC4"/>
        </w:rPr>
        <w:t xml:space="preserve">56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 w:right="920"/>
        <w:spacing w:after="0" w:line="310" w:lineRule="auto"/>
        <w:rPr>
          <w:sz w:val="20"/>
          <w:szCs w:val="20"/>
          <w:color w:val="auto"/>
        </w:rPr>
      </w:pPr>
      <w:r>
        <w:rPr>
          <w:rFonts w:ascii="Arial" w:cs="Arial" w:eastAsia="Arial" w:hAnsi="Arial"/>
          <w:sz w:val="15"/>
          <w:szCs w:val="15"/>
          <w:color w:val="auto"/>
        </w:rPr>
        <w:t>This mix of equity awards, metrics, and terms were selected by the Committee to align an appropriate level of performance-based variable pay with incentive opportunities, while being market competitive and in alignment with stockholder interests.</w:t>
      </w:r>
    </w:p>
    <w:p>
      <w:pPr>
        <w:spacing w:after="0" w:line="151" w:lineRule="exact"/>
        <w:rPr>
          <w:sz w:val="20"/>
          <w:szCs w:val="20"/>
          <w:color w:val="auto"/>
        </w:rPr>
      </w:pPr>
    </w:p>
    <w:p>
      <w:pPr>
        <w:ind w:left="1" w:right="80"/>
        <w:spacing w:after="0" w:line="310" w:lineRule="auto"/>
        <w:rPr>
          <w:sz w:val="20"/>
          <w:szCs w:val="20"/>
          <w:color w:val="auto"/>
        </w:rPr>
      </w:pPr>
      <w:r>
        <w:rPr>
          <w:rFonts w:ascii="Arial" w:cs="Arial" w:eastAsia="Arial" w:hAnsi="Arial"/>
          <w:sz w:val="15"/>
          <w:szCs w:val="15"/>
          <w:color w:val="auto"/>
        </w:rPr>
        <w:t>On March 26, 2024, the Company granted the following performance-based and time-based RSUs to our NEOs. Mr. Hicks did not receive a 2024 annual executive equity incentive award in light of his planned transition to non-employee Chairman of the Board in June 2024.</w:t>
      </w:r>
    </w:p>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237"/>
        </w:trPr>
        <w:tc>
          <w:tcPr>
            <w:tcW w:w="2200" w:type="dxa"/>
            <w:vAlign w:val="bottom"/>
            <w:shd w:val="clear" w:color="auto" w:fill="E1D7AC"/>
          </w:tcPr>
          <w:p>
            <w:pPr>
              <w:spacing w:after="0"/>
              <w:rPr>
                <w:sz w:val="20"/>
                <w:szCs w:val="20"/>
                <w:color w:val="auto"/>
              </w:rPr>
            </w:pPr>
          </w:p>
        </w:tc>
        <w:tc>
          <w:tcPr>
            <w:tcW w:w="22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Target # of Performance-Based</w:t>
            </w:r>
          </w:p>
        </w:tc>
        <w:tc>
          <w:tcPr>
            <w:tcW w:w="2760" w:type="dxa"/>
            <w:vAlign w:val="bottom"/>
            <w:shd w:val="clear" w:color="auto" w:fill="E1D7AC"/>
          </w:tcPr>
          <w:p>
            <w:pPr>
              <w:jc w:val="right"/>
              <w:ind w:right="474"/>
              <w:spacing w:after="0"/>
              <w:rPr>
                <w:sz w:val="20"/>
                <w:szCs w:val="20"/>
                <w:color w:val="auto"/>
              </w:rPr>
            </w:pPr>
            <w:r>
              <w:rPr>
                <w:rFonts w:ascii="Arial" w:cs="Arial" w:eastAsia="Arial" w:hAnsi="Arial"/>
                <w:sz w:val="13"/>
                <w:szCs w:val="13"/>
                <w:b w:val="1"/>
                <w:bCs w:val="1"/>
                <w:color w:val="auto"/>
              </w:rPr>
              <w:t>$ Value of Performance Based</w:t>
            </w:r>
          </w:p>
        </w:tc>
        <w:tc>
          <w:tcPr>
            <w:tcW w:w="2160" w:type="dxa"/>
            <w:vAlign w:val="bottom"/>
            <w:shd w:val="clear" w:color="auto" w:fill="E1D7AC"/>
          </w:tcPr>
          <w:p>
            <w:pPr>
              <w:jc w:val="right"/>
              <w:ind w:right="414"/>
              <w:spacing w:after="0"/>
              <w:rPr>
                <w:sz w:val="20"/>
                <w:szCs w:val="20"/>
                <w:color w:val="auto"/>
              </w:rPr>
            </w:pPr>
            <w:r>
              <w:rPr>
                <w:rFonts w:ascii="Arial" w:cs="Arial" w:eastAsia="Arial" w:hAnsi="Arial"/>
                <w:sz w:val="13"/>
                <w:szCs w:val="13"/>
                <w:b w:val="1"/>
                <w:bCs w:val="1"/>
                <w:color w:val="auto"/>
              </w:rPr>
              <w:t># of</w:t>
            </w:r>
          </w:p>
        </w:tc>
        <w:tc>
          <w:tcPr>
            <w:tcW w:w="1840" w:type="dxa"/>
            <w:vAlign w:val="bottom"/>
            <w:shd w:val="clear" w:color="auto" w:fill="E1D7AC"/>
          </w:tcPr>
          <w:p>
            <w:pPr>
              <w:jc w:val="right"/>
              <w:ind w:right="34"/>
              <w:spacing w:after="0"/>
              <w:rPr>
                <w:sz w:val="20"/>
                <w:szCs w:val="20"/>
                <w:color w:val="auto"/>
              </w:rPr>
            </w:pPr>
            <w:r>
              <w:rPr>
                <w:rFonts w:ascii="Arial" w:cs="Arial" w:eastAsia="Arial" w:hAnsi="Arial"/>
                <w:sz w:val="13"/>
                <w:szCs w:val="13"/>
                <w:b w:val="1"/>
                <w:bCs w:val="1"/>
                <w:color w:val="auto"/>
              </w:rPr>
              <w:t>$ Value of</w:t>
            </w:r>
          </w:p>
        </w:tc>
      </w:tr>
      <w:tr>
        <w:trPr>
          <w:trHeight w:val="240"/>
        </w:trPr>
        <w:tc>
          <w:tcPr>
            <w:tcW w:w="220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NEO</w:t>
            </w:r>
          </w:p>
        </w:tc>
        <w:tc>
          <w:tcPr>
            <w:tcW w:w="22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RSUs</w:t>
            </w:r>
          </w:p>
        </w:tc>
        <w:tc>
          <w:tcPr>
            <w:tcW w:w="2760" w:type="dxa"/>
            <w:vAlign w:val="bottom"/>
            <w:tcBorders>
              <w:bottom w:val="single" w:sz="8" w:color="E1D7AC"/>
            </w:tcBorders>
            <w:shd w:val="clear" w:color="auto" w:fill="E1D7AC"/>
          </w:tcPr>
          <w:p>
            <w:pPr>
              <w:jc w:val="right"/>
              <w:ind w:right="474"/>
              <w:spacing w:after="0"/>
              <w:rPr>
                <w:sz w:val="20"/>
                <w:szCs w:val="20"/>
                <w:color w:val="auto"/>
              </w:rPr>
            </w:pPr>
            <w:r>
              <w:rPr>
                <w:rFonts w:ascii="Arial" w:cs="Arial" w:eastAsia="Arial" w:hAnsi="Arial"/>
                <w:sz w:val="13"/>
                <w:szCs w:val="13"/>
                <w:b w:val="1"/>
                <w:bCs w:val="1"/>
                <w:color w:val="auto"/>
              </w:rPr>
              <w:t>RSUs</w:t>
            </w:r>
            <w:r>
              <w:rPr>
                <w:rFonts w:ascii="Arial" w:cs="Arial" w:eastAsia="Arial" w:hAnsi="Arial"/>
                <w:sz w:val="17"/>
                <w:szCs w:val="17"/>
                <w:b w:val="1"/>
                <w:bCs w:val="1"/>
                <w:color w:val="auto"/>
                <w:vertAlign w:val="superscript"/>
              </w:rPr>
              <w:t>(1)</w:t>
            </w:r>
          </w:p>
        </w:tc>
        <w:tc>
          <w:tcPr>
            <w:tcW w:w="2160" w:type="dxa"/>
            <w:vAlign w:val="bottom"/>
            <w:tcBorders>
              <w:bottom w:val="single" w:sz="8" w:color="E1D7AC"/>
            </w:tcBorders>
            <w:shd w:val="clear" w:color="auto" w:fill="E1D7AC"/>
          </w:tcPr>
          <w:p>
            <w:pPr>
              <w:jc w:val="right"/>
              <w:ind w:right="414"/>
              <w:spacing w:after="0"/>
              <w:rPr>
                <w:sz w:val="20"/>
                <w:szCs w:val="20"/>
                <w:color w:val="auto"/>
              </w:rPr>
            </w:pPr>
            <w:r>
              <w:rPr>
                <w:rFonts w:ascii="Arial" w:cs="Arial" w:eastAsia="Arial" w:hAnsi="Arial"/>
                <w:sz w:val="13"/>
                <w:szCs w:val="13"/>
                <w:b w:val="1"/>
                <w:bCs w:val="1"/>
                <w:color w:val="auto"/>
              </w:rPr>
              <w:t>Time-Based RSUs</w:t>
            </w:r>
          </w:p>
        </w:tc>
        <w:tc>
          <w:tcPr>
            <w:tcW w:w="1840" w:type="dxa"/>
            <w:vAlign w:val="bottom"/>
            <w:tcBorders>
              <w:bottom w:val="single" w:sz="8" w:color="E1D7AC"/>
            </w:tcBorders>
            <w:shd w:val="clear" w:color="auto" w:fill="E1D7AC"/>
          </w:tcPr>
          <w:p>
            <w:pPr>
              <w:jc w:val="right"/>
              <w:ind w:right="34"/>
              <w:spacing w:after="0"/>
              <w:rPr>
                <w:sz w:val="20"/>
                <w:szCs w:val="20"/>
                <w:color w:val="auto"/>
              </w:rPr>
            </w:pPr>
            <w:r>
              <w:rPr>
                <w:rFonts w:ascii="Arial" w:cs="Arial" w:eastAsia="Arial" w:hAnsi="Arial"/>
                <w:sz w:val="13"/>
                <w:szCs w:val="13"/>
                <w:b w:val="1"/>
                <w:bCs w:val="1"/>
                <w:color w:val="auto"/>
              </w:rPr>
              <w:t>Time-Based RSUs</w:t>
            </w:r>
            <w:r>
              <w:rPr>
                <w:rFonts w:ascii="Arial" w:cs="Arial" w:eastAsia="Arial" w:hAnsi="Arial"/>
                <w:sz w:val="17"/>
                <w:szCs w:val="17"/>
                <w:b w:val="1"/>
                <w:bCs w:val="1"/>
                <w:color w:val="auto"/>
                <w:vertAlign w:val="superscript"/>
              </w:rPr>
              <w:t>(1)</w:t>
            </w:r>
          </w:p>
        </w:tc>
      </w:tr>
      <w:tr>
        <w:trPr>
          <w:trHeight w:val="204"/>
        </w:trPr>
        <w:tc>
          <w:tcPr>
            <w:tcW w:w="2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Steve Lawrence</w:t>
            </w:r>
          </w:p>
        </w:tc>
        <w:tc>
          <w:tcPr>
            <w:tcW w:w="2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49,633</w:t>
            </w:r>
          </w:p>
        </w:tc>
        <w:tc>
          <w:tcPr>
            <w:tcW w:w="2760" w:type="dxa"/>
            <w:vAlign w:val="bottom"/>
            <w:tcBorders>
              <w:bottom w:val="single" w:sz="8" w:color="DBDBDB"/>
            </w:tcBorders>
            <w:shd w:val="clear" w:color="auto" w:fill="DBDBDB"/>
          </w:tcPr>
          <w:p>
            <w:pPr>
              <w:jc w:val="right"/>
              <w:ind w:right="474"/>
              <w:spacing w:after="0"/>
              <w:rPr>
                <w:sz w:val="20"/>
                <w:szCs w:val="20"/>
                <w:color w:val="auto"/>
              </w:rPr>
            </w:pPr>
            <w:r>
              <w:rPr>
                <w:rFonts w:ascii="Arial" w:cs="Arial" w:eastAsia="Arial" w:hAnsi="Arial"/>
                <w:sz w:val="13"/>
                <w:szCs w:val="13"/>
                <w:color w:val="auto"/>
              </w:rPr>
              <w:t>3,249,969</w:t>
            </w:r>
          </w:p>
        </w:tc>
        <w:tc>
          <w:tcPr>
            <w:tcW w:w="2160" w:type="dxa"/>
            <w:vAlign w:val="bottom"/>
            <w:tcBorders>
              <w:bottom w:val="single" w:sz="8" w:color="DBDBDB"/>
            </w:tcBorders>
            <w:shd w:val="clear" w:color="auto" w:fill="DBDBDB"/>
          </w:tcPr>
          <w:p>
            <w:pPr>
              <w:jc w:val="right"/>
              <w:ind w:right="414"/>
              <w:spacing w:after="0"/>
              <w:rPr>
                <w:sz w:val="20"/>
                <w:szCs w:val="20"/>
                <w:color w:val="auto"/>
              </w:rPr>
            </w:pPr>
            <w:r>
              <w:rPr>
                <w:rFonts w:ascii="Arial" w:cs="Arial" w:eastAsia="Arial" w:hAnsi="Arial"/>
                <w:sz w:val="13"/>
                <w:szCs w:val="13"/>
                <w:color w:val="auto"/>
              </w:rPr>
              <w:t>49,633</w:t>
            </w:r>
          </w:p>
        </w:tc>
        <w:tc>
          <w:tcPr>
            <w:tcW w:w="184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3,249,969</w:t>
            </w:r>
          </w:p>
        </w:tc>
      </w:tr>
      <w:tr>
        <w:trPr>
          <w:trHeight w:val="197"/>
        </w:trPr>
        <w:tc>
          <w:tcPr>
            <w:tcW w:w="2200" w:type="dxa"/>
            <w:vAlign w:val="bottom"/>
          </w:tcPr>
          <w:p>
            <w:pPr>
              <w:ind w:left="100"/>
              <w:spacing w:after="0"/>
              <w:rPr>
                <w:sz w:val="20"/>
                <w:szCs w:val="20"/>
                <w:color w:val="auto"/>
              </w:rPr>
            </w:pPr>
            <w:r>
              <w:rPr>
                <w:rFonts w:ascii="Arial" w:cs="Arial" w:eastAsia="Arial" w:hAnsi="Arial"/>
                <w:sz w:val="13"/>
                <w:szCs w:val="13"/>
                <w:b w:val="1"/>
                <w:bCs w:val="1"/>
                <w:color w:val="auto"/>
              </w:rPr>
              <w:t>Sam Johnson</w:t>
            </w:r>
          </w:p>
        </w:tc>
        <w:tc>
          <w:tcPr>
            <w:tcW w:w="2220" w:type="dxa"/>
            <w:vAlign w:val="bottom"/>
          </w:tcPr>
          <w:p>
            <w:pPr>
              <w:jc w:val="right"/>
              <w:spacing w:after="0"/>
              <w:rPr>
                <w:sz w:val="20"/>
                <w:szCs w:val="20"/>
                <w:color w:val="auto"/>
              </w:rPr>
            </w:pPr>
            <w:r>
              <w:rPr>
                <w:rFonts w:ascii="Arial" w:cs="Arial" w:eastAsia="Arial" w:hAnsi="Arial"/>
                <w:sz w:val="13"/>
                <w:szCs w:val="13"/>
                <w:color w:val="auto"/>
              </w:rPr>
              <w:t>22,907</w:t>
            </w:r>
          </w:p>
        </w:tc>
        <w:tc>
          <w:tcPr>
            <w:tcW w:w="2760" w:type="dxa"/>
            <w:vAlign w:val="bottom"/>
          </w:tcPr>
          <w:p>
            <w:pPr>
              <w:jc w:val="right"/>
              <w:ind w:right="474"/>
              <w:spacing w:after="0"/>
              <w:rPr>
                <w:sz w:val="20"/>
                <w:szCs w:val="20"/>
                <w:color w:val="auto"/>
              </w:rPr>
            </w:pPr>
            <w:r>
              <w:rPr>
                <w:rFonts w:ascii="Arial" w:cs="Arial" w:eastAsia="Arial" w:hAnsi="Arial"/>
                <w:sz w:val="13"/>
                <w:szCs w:val="13"/>
                <w:color w:val="auto"/>
              </w:rPr>
              <w:t>1,499,950</w:t>
            </w:r>
          </w:p>
        </w:tc>
        <w:tc>
          <w:tcPr>
            <w:tcW w:w="2160" w:type="dxa"/>
            <w:vAlign w:val="bottom"/>
          </w:tcPr>
          <w:p>
            <w:pPr>
              <w:jc w:val="right"/>
              <w:ind w:right="414"/>
              <w:spacing w:after="0"/>
              <w:rPr>
                <w:sz w:val="20"/>
                <w:szCs w:val="20"/>
                <w:color w:val="auto"/>
              </w:rPr>
            </w:pPr>
            <w:r>
              <w:rPr>
                <w:rFonts w:ascii="Arial" w:cs="Arial" w:eastAsia="Arial" w:hAnsi="Arial"/>
                <w:sz w:val="13"/>
                <w:szCs w:val="13"/>
                <w:color w:val="auto"/>
              </w:rPr>
              <w:t>22,907</w:t>
            </w:r>
          </w:p>
        </w:tc>
        <w:tc>
          <w:tcPr>
            <w:tcW w:w="1840" w:type="dxa"/>
            <w:vAlign w:val="bottom"/>
          </w:tcPr>
          <w:p>
            <w:pPr>
              <w:jc w:val="right"/>
              <w:ind w:right="34"/>
              <w:spacing w:after="0"/>
              <w:rPr>
                <w:sz w:val="20"/>
                <w:szCs w:val="20"/>
                <w:color w:val="auto"/>
              </w:rPr>
            </w:pPr>
            <w:r>
              <w:rPr>
                <w:rFonts w:ascii="Arial" w:cs="Arial" w:eastAsia="Arial" w:hAnsi="Arial"/>
                <w:sz w:val="13"/>
                <w:szCs w:val="13"/>
                <w:color w:val="auto"/>
              </w:rPr>
              <w:t>1,499,950</w:t>
            </w:r>
          </w:p>
        </w:tc>
      </w:tr>
      <w:tr>
        <w:trPr>
          <w:trHeight w:val="27"/>
        </w:trPr>
        <w:tc>
          <w:tcPr>
            <w:tcW w:w="2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04"/>
        </w:trPr>
        <w:tc>
          <w:tcPr>
            <w:tcW w:w="2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2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9,544</w:t>
            </w:r>
          </w:p>
        </w:tc>
        <w:tc>
          <w:tcPr>
            <w:tcW w:w="2760" w:type="dxa"/>
            <w:vAlign w:val="bottom"/>
            <w:tcBorders>
              <w:bottom w:val="single" w:sz="8" w:color="DBDBDB"/>
            </w:tcBorders>
            <w:shd w:val="clear" w:color="auto" w:fill="DBDBDB"/>
          </w:tcPr>
          <w:p>
            <w:pPr>
              <w:jc w:val="right"/>
              <w:ind w:right="474"/>
              <w:spacing w:after="0"/>
              <w:rPr>
                <w:sz w:val="20"/>
                <w:szCs w:val="20"/>
                <w:color w:val="auto"/>
              </w:rPr>
            </w:pPr>
            <w:r>
              <w:rPr>
                <w:rFonts w:ascii="Arial" w:cs="Arial" w:eastAsia="Arial" w:hAnsi="Arial"/>
                <w:sz w:val="13"/>
                <w:szCs w:val="13"/>
                <w:color w:val="auto"/>
              </w:rPr>
              <w:t>624,941</w:t>
            </w:r>
          </w:p>
        </w:tc>
        <w:tc>
          <w:tcPr>
            <w:tcW w:w="2160" w:type="dxa"/>
            <w:vAlign w:val="bottom"/>
            <w:tcBorders>
              <w:bottom w:val="single" w:sz="8" w:color="DBDBDB"/>
            </w:tcBorders>
            <w:shd w:val="clear" w:color="auto" w:fill="DBDBDB"/>
          </w:tcPr>
          <w:p>
            <w:pPr>
              <w:jc w:val="right"/>
              <w:ind w:right="414"/>
              <w:spacing w:after="0"/>
              <w:rPr>
                <w:sz w:val="20"/>
                <w:szCs w:val="20"/>
                <w:color w:val="auto"/>
              </w:rPr>
            </w:pPr>
            <w:r>
              <w:rPr>
                <w:rFonts w:ascii="Arial" w:cs="Arial" w:eastAsia="Arial" w:hAnsi="Arial"/>
                <w:sz w:val="13"/>
                <w:szCs w:val="13"/>
                <w:color w:val="auto"/>
              </w:rPr>
              <w:t>9,544</w:t>
            </w:r>
          </w:p>
        </w:tc>
        <w:tc>
          <w:tcPr>
            <w:tcW w:w="184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624,941</w:t>
            </w:r>
          </w:p>
        </w:tc>
      </w:tr>
      <w:tr>
        <w:trPr>
          <w:trHeight w:val="197"/>
        </w:trPr>
        <w:tc>
          <w:tcPr>
            <w:tcW w:w="220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2220" w:type="dxa"/>
            <w:vAlign w:val="bottom"/>
          </w:tcPr>
          <w:p>
            <w:pPr>
              <w:jc w:val="right"/>
              <w:spacing w:after="0"/>
              <w:rPr>
                <w:sz w:val="20"/>
                <w:szCs w:val="20"/>
                <w:color w:val="auto"/>
              </w:rPr>
            </w:pPr>
            <w:r>
              <w:rPr>
                <w:rFonts w:ascii="Arial" w:cs="Arial" w:eastAsia="Arial" w:hAnsi="Arial"/>
                <w:sz w:val="13"/>
                <w:szCs w:val="13"/>
                <w:color w:val="auto"/>
              </w:rPr>
              <w:t>9,544</w:t>
            </w:r>
          </w:p>
        </w:tc>
        <w:tc>
          <w:tcPr>
            <w:tcW w:w="2760" w:type="dxa"/>
            <w:vAlign w:val="bottom"/>
          </w:tcPr>
          <w:p>
            <w:pPr>
              <w:jc w:val="right"/>
              <w:ind w:right="474"/>
              <w:spacing w:after="0"/>
              <w:rPr>
                <w:sz w:val="20"/>
                <w:szCs w:val="20"/>
                <w:color w:val="auto"/>
              </w:rPr>
            </w:pPr>
            <w:r>
              <w:rPr>
                <w:rFonts w:ascii="Arial" w:cs="Arial" w:eastAsia="Arial" w:hAnsi="Arial"/>
                <w:sz w:val="13"/>
                <w:szCs w:val="13"/>
                <w:color w:val="auto"/>
              </w:rPr>
              <w:t>624,941</w:t>
            </w:r>
          </w:p>
        </w:tc>
        <w:tc>
          <w:tcPr>
            <w:tcW w:w="2160" w:type="dxa"/>
            <w:vAlign w:val="bottom"/>
          </w:tcPr>
          <w:p>
            <w:pPr>
              <w:jc w:val="right"/>
              <w:ind w:right="414"/>
              <w:spacing w:after="0"/>
              <w:rPr>
                <w:sz w:val="20"/>
                <w:szCs w:val="20"/>
                <w:color w:val="auto"/>
              </w:rPr>
            </w:pPr>
            <w:r>
              <w:rPr>
                <w:rFonts w:ascii="Arial" w:cs="Arial" w:eastAsia="Arial" w:hAnsi="Arial"/>
                <w:sz w:val="13"/>
                <w:szCs w:val="13"/>
                <w:color w:val="auto"/>
              </w:rPr>
              <w:t>9,544</w:t>
            </w:r>
          </w:p>
        </w:tc>
        <w:tc>
          <w:tcPr>
            <w:tcW w:w="1840" w:type="dxa"/>
            <w:vAlign w:val="bottom"/>
          </w:tcPr>
          <w:p>
            <w:pPr>
              <w:jc w:val="right"/>
              <w:ind w:right="34"/>
              <w:spacing w:after="0"/>
              <w:rPr>
                <w:sz w:val="20"/>
                <w:szCs w:val="20"/>
                <w:color w:val="auto"/>
              </w:rPr>
            </w:pPr>
            <w:r>
              <w:rPr>
                <w:rFonts w:ascii="Arial" w:cs="Arial" w:eastAsia="Arial" w:hAnsi="Arial"/>
                <w:sz w:val="13"/>
                <w:szCs w:val="13"/>
                <w:color w:val="auto"/>
              </w:rPr>
              <w:t>624,941</w:t>
            </w:r>
          </w:p>
        </w:tc>
      </w:tr>
      <w:tr>
        <w:trPr>
          <w:trHeight w:val="27"/>
        </w:trPr>
        <w:tc>
          <w:tcPr>
            <w:tcW w:w="2200" w:type="dxa"/>
            <w:vAlign w:val="bottom"/>
            <w:tcBorders>
              <w:bottom w:val="single" w:sz="8" w:color="DBDBDB"/>
            </w:tcBorders>
          </w:tcPr>
          <w:p>
            <w:pPr>
              <w:spacing w:after="0"/>
              <w:rPr>
                <w:sz w:val="2"/>
                <w:szCs w:val="2"/>
                <w:color w:val="auto"/>
              </w:rPr>
            </w:pPr>
          </w:p>
        </w:tc>
        <w:tc>
          <w:tcPr>
            <w:tcW w:w="2220" w:type="dxa"/>
            <w:vAlign w:val="bottom"/>
            <w:tcBorders>
              <w:bottom w:val="single" w:sz="8" w:color="DBDBDB"/>
            </w:tcBorders>
          </w:tcPr>
          <w:p>
            <w:pPr>
              <w:spacing w:after="0"/>
              <w:rPr>
                <w:sz w:val="2"/>
                <w:szCs w:val="2"/>
                <w:color w:val="auto"/>
              </w:rPr>
            </w:pPr>
          </w:p>
        </w:tc>
        <w:tc>
          <w:tcPr>
            <w:tcW w:w="2760" w:type="dxa"/>
            <w:vAlign w:val="bottom"/>
            <w:tcBorders>
              <w:bottom w:val="single" w:sz="8" w:color="DBDBDB"/>
            </w:tcBorders>
          </w:tcPr>
          <w:p>
            <w:pPr>
              <w:spacing w:after="0"/>
              <w:rPr>
                <w:sz w:val="2"/>
                <w:szCs w:val="2"/>
                <w:color w:val="auto"/>
              </w:rPr>
            </w:pPr>
          </w:p>
        </w:tc>
        <w:tc>
          <w:tcPr>
            <w:tcW w:w="216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r>
    </w:tbl>
    <w:p>
      <w:pPr>
        <w:spacing w:after="0" w:line="196" w:lineRule="exact"/>
        <w:rPr>
          <w:sz w:val="20"/>
          <w:szCs w:val="20"/>
          <w:color w:val="auto"/>
        </w:rPr>
      </w:pPr>
    </w:p>
    <w:p>
      <w:pPr>
        <w:ind w:left="301" w:right="160" w:hanging="301"/>
        <w:spacing w:after="0" w:line="266" w:lineRule="auto"/>
        <w:tabs>
          <w:tab w:leader="none" w:pos="298"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amounts reported in these columns represent the grant date fair value of the time-based RSUs, and performance-based RSUs granted to each of the NEOs in 2024, computed in accordance with FASB Accounting Standards Codification Topic 718. The valuation assumptions used in determining such amounts are described in Note 8, Share-Based Compensation to our audited consolidated financial statements included in our Annual Report on Form 10-K. The grant date fair value of the performance-based RSUs, is based upon the probable outcome of the performance conditions at the date of grant and assumes the “target” level of performance is achieved.</w:t>
      </w:r>
    </w:p>
    <w:p>
      <w:pPr>
        <w:spacing w:after="0" w:line="35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Mr. Hicks Non-Employee Director Equity Award</w:t>
      </w:r>
    </w:p>
    <w:p>
      <w:pPr>
        <w:spacing w:after="0" w:line="83" w:lineRule="exact"/>
        <w:rPr>
          <w:sz w:val="20"/>
          <w:szCs w:val="20"/>
          <w:color w:val="auto"/>
        </w:rPr>
      </w:pPr>
    </w:p>
    <w:p>
      <w:pPr>
        <w:ind w:left="1"/>
        <w:spacing w:after="0" w:line="285" w:lineRule="auto"/>
        <w:rPr>
          <w:sz w:val="20"/>
          <w:szCs w:val="20"/>
          <w:color w:val="auto"/>
        </w:rPr>
      </w:pPr>
      <w:r>
        <w:rPr>
          <w:rFonts w:ascii="Arial" w:cs="Arial" w:eastAsia="Arial" w:hAnsi="Arial"/>
          <w:sz w:val="15"/>
          <w:szCs w:val="15"/>
          <w:color w:val="auto"/>
        </w:rPr>
        <w:t>Although Mr. Hicks did not participate in the 2024 executive annual Long-Term Incentive program, in connection with his assumption of the role of non-employee Chairman of the Board, on June 14, 2024, Mr. Hicks received an award of 5,218 time-based RSUs, with a grant date value of $270,240 in accordance with the non-employee director compensation policy. These RSUs fully vest of on the earliest of (i) the first anniversary of the date of grant, or, if earlier, the date immediately preceding the 2025 Annual Meeting, (ii) Mr. Hicks’s termination due to death or Disability (as defined in the 2020 Omnibus Incentive Plan), or (iii) a Change in Control (as defined in the 2020 Omnibus Incentive Plan). For additional information on our non-employee director compensation program, see “Compensation of Directors” above.</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Other Compensation</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General Benefits</w:t>
      </w:r>
    </w:p>
    <w:p>
      <w:pPr>
        <w:spacing w:after="0" w:line="70" w:lineRule="exact"/>
        <w:rPr>
          <w:sz w:val="20"/>
          <w:szCs w:val="20"/>
          <w:color w:val="auto"/>
        </w:rPr>
      </w:pPr>
    </w:p>
    <w:p>
      <w:pPr>
        <w:ind w:left="1"/>
        <w:spacing w:after="0" w:line="293" w:lineRule="auto"/>
        <w:rPr>
          <w:sz w:val="20"/>
          <w:szCs w:val="20"/>
          <w:color w:val="auto"/>
        </w:rPr>
      </w:pPr>
      <w:r>
        <w:rPr>
          <w:rFonts w:ascii="Arial" w:cs="Arial" w:eastAsia="Arial" w:hAnsi="Arial"/>
          <w:sz w:val="15"/>
          <w:szCs w:val="15"/>
          <w:color w:val="auto"/>
        </w:rPr>
        <w:t>Our NEOs are eligible to participate in the Company’s general benefit plans on the same terms as other team members. These plans include medical, dental and vision benefits, short-term disability, long-term disability, an Employee Stock Purchase Plan, a 401(k) Plan, and a 20% employee discount on most merchandise purchased in the Company’s stores or through our website.</w:t>
      </w:r>
    </w:p>
    <w:p>
      <w:pPr>
        <w:spacing w:after="0" w:line="15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Perquisites and Other Benefits</w:t>
      </w:r>
    </w:p>
    <w:p>
      <w:pPr>
        <w:spacing w:after="0" w:line="70" w:lineRule="exact"/>
        <w:rPr>
          <w:sz w:val="20"/>
          <w:szCs w:val="20"/>
          <w:color w:val="auto"/>
        </w:rPr>
      </w:pPr>
    </w:p>
    <w:p>
      <w:pPr>
        <w:jc w:val="both"/>
        <w:ind w:left="1"/>
        <w:spacing w:after="0" w:line="293" w:lineRule="auto"/>
        <w:rPr>
          <w:sz w:val="20"/>
          <w:szCs w:val="20"/>
          <w:color w:val="auto"/>
        </w:rPr>
      </w:pPr>
      <w:r>
        <w:rPr>
          <w:rFonts w:ascii="Arial" w:cs="Arial" w:eastAsia="Arial" w:hAnsi="Arial"/>
          <w:sz w:val="15"/>
          <w:szCs w:val="15"/>
          <w:color w:val="auto"/>
        </w:rPr>
        <w:t>The perquisites and other personal benefits described below are provided to the applicable NEOs to eliminate potential distractions from performing their regular job duties and to promote productivity, health and well-being. We believe the cost of these programs is counterbalanced by an increase in productivity by the NEOs receiving access to them. All of the perquisites and personal benefits described below have been approved by the Committee.</w:t>
      </w:r>
    </w:p>
    <w:p>
      <w:pPr>
        <w:spacing w:after="0" w:line="164" w:lineRule="exact"/>
        <w:rPr>
          <w:sz w:val="20"/>
          <w:szCs w:val="20"/>
          <w:color w:val="auto"/>
        </w:rPr>
      </w:pPr>
    </w:p>
    <w:p>
      <w:pPr>
        <w:ind w:left="1" w:right="80"/>
        <w:spacing w:after="0" w:line="293" w:lineRule="auto"/>
        <w:rPr>
          <w:sz w:val="20"/>
          <w:szCs w:val="20"/>
          <w:color w:val="auto"/>
        </w:rPr>
      </w:pPr>
      <w:r>
        <w:rPr>
          <w:rFonts w:ascii="Arial" w:cs="Arial" w:eastAsia="Arial" w:hAnsi="Arial"/>
          <w:sz w:val="15"/>
          <w:szCs w:val="15"/>
          <w:color w:val="auto"/>
        </w:rPr>
        <w:t>In order to maintain competitiveness in the market as well as to maintain continuity of leadership by encouraging physical and financial well-being, the Committee, in partnership with FW Cook, reviewed market data which included our executive compensation peer group and approved reimbursement for annual physicals up to $3,500, an increase from $2,000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1007110</wp:posOffset>
            </wp:positionV>
            <wp:extent cx="7168515" cy="4127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719455</wp:posOffset>
            </wp:positionV>
            <wp:extent cx="789305" cy="18923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The Committee also approved to provide each NEO with up to $12,000 in reimbursements for annual financial planning services, an increase from $5,000 in 2023. No tax gross-ups are provided on either of these benefits.</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Company partners with various athletic organizations for business purposes and these organizations may include tickets to their events as part of our partnership with them. The Company prioritizes the use of these tickets for business purposes and then secondarily NEOs and other team members may have the opportunity to use these tickets for personal use with management oversight. There is no incremental cost to the Company for providing these individual tickets to team members and therefore no amount is included in the Summary Compensation Table with respect to this benefit.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How We Set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Role of the Committee</w:t>
      </w:r>
    </w:p>
    <w:p>
      <w:pPr>
        <w:spacing w:after="0" w:line="83" w:lineRule="exact"/>
        <w:rPr>
          <w:sz w:val="20"/>
          <w:szCs w:val="20"/>
          <w:color w:val="auto"/>
        </w:rPr>
      </w:pPr>
    </w:p>
    <w:p>
      <w:pPr>
        <w:jc w:val="both"/>
        <w:ind w:right="60"/>
        <w:spacing w:after="0" w:line="293" w:lineRule="auto"/>
        <w:rPr>
          <w:sz w:val="20"/>
          <w:szCs w:val="20"/>
          <w:color w:val="auto"/>
        </w:rPr>
      </w:pPr>
      <w:r>
        <w:rPr>
          <w:rFonts w:ascii="Arial" w:cs="Arial" w:eastAsia="Arial" w:hAnsi="Arial"/>
          <w:sz w:val="15"/>
          <w:szCs w:val="15"/>
          <w:color w:val="auto"/>
        </w:rPr>
        <w:t>The Committee is comprised solely of independent non-employee directors. The Committee’s primary responsibilities are to determine the compensation of our CEO and other executive officers, evaluate our CEO’s performance, and administer our executive officer compensation and benefit programs. The Committee’s charter is described earlier in this Proxy Statement and available in the corporate governance section of our investor relations website at investors.academy.com.</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When selecting and setting the amount of each compensation element, the Committee generally considers the following factors:</w:t>
      </w:r>
    </w:p>
    <w:p>
      <w:pPr>
        <w:spacing w:after="0" w:line="213" w:lineRule="exact"/>
        <w:rPr>
          <w:sz w:val="20"/>
          <w:szCs w:val="20"/>
          <w:color w:val="auto"/>
        </w:rPr>
      </w:pPr>
    </w:p>
    <w:p>
      <w:pPr>
        <w:ind w:left="420" w:hanging="197"/>
        <w:spacing w:after="0"/>
        <w:tabs>
          <w:tab w:leader="none" w:pos="4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our performance against the financial and operational objectives established by the Committee;</w:t>
      </w:r>
    </w:p>
    <w:p>
      <w:pPr>
        <w:spacing w:after="0" w:line="100" w:lineRule="exact"/>
        <w:rPr>
          <w:rFonts w:ascii="Arial" w:cs="Arial" w:eastAsia="Arial" w:hAnsi="Arial"/>
          <w:sz w:val="15"/>
          <w:szCs w:val="15"/>
          <w:color w:val="auto"/>
        </w:rPr>
      </w:pPr>
    </w:p>
    <w:p>
      <w:pPr>
        <w:ind w:left="440" w:right="220" w:hanging="217"/>
        <w:spacing w:after="0" w:line="276" w:lineRule="auto"/>
        <w:tabs>
          <w:tab w:leader="none" w:pos="417" w:val="left"/>
        </w:tabs>
        <w:numPr>
          <w:ilvl w:val="0"/>
          <w:numId w:val="68"/>
        </w:numPr>
        <w:rPr>
          <w:rFonts w:ascii="Arial" w:cs="Arial" w:eastAsia="Arial" w:hAnsi="Arial"/>
          <w:sz w:val="15"/>
          <w:szCs w:val="15"/>
          <w:color w:val="auto"/>
        </w:rPr>
      </w:pPr>
      <w:r>
        <w:rPr>
          <w:rFonts w:ascii="Arial" w:cs="Arial" w:eastAsia="Arial" w:hAnsi="Arial"/>
          <w:sz w:val="15"/>
          <w:szCs w:val="15"/>
          <w:color w:val="auto"/>
        </w:rPr>
        <w:t>each individual executive officer’s skills, experience, and qualifications relative to other similarly-situated executive officers at the companies in our compensation peer group;</w:t>
      </w:r>
    </w:p>
    <w:p>
      <w:pPr>
        <w:spacing w:after="0" w:line="63" w:lineRule="exact"/>
        <w:rPr>
          <w:rFonts w:ascii="Arial" w:cs="Arial" w:eastAsia="Arial" w:hAnsi="Arial"/>
          <w:sz w:val="15"/>
          <w:szCs w:val="15"/>
          <w:color w:val="auto"/>
        </w:rPr>
      </w:pPr>
    </w:p>
    <w:p>
      <w:pPr>
        <w:ind w:left="420" w:hanging="197"/>
        <w:spacing w:after="0"/>
        <w:tabs>
          <w:tab w:leader="none" w:pos="4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scope of each executive officer’s role compared to other similarly situated executive officers at the companies in our compensation peer group;</w:t>
      </w:r>
    </w:p>
    <w:p>
      <w:pPr>
        <w:spacing w:after="0" w:line="100" w:lineRule="exact"/>
        <w:rPr>
          <w:rFonts w:ascii="Arial" w:cs="Arial" w:eastAsia="Arial" w:hAnsi="Arial"/>
          <w:sz w:val="15"/>
          <w:szCs w:val="15"/>
          <w:color w:val="auto"/>
        </w:rPr>
      </w:pPr>
    </w:p>
    <w:p>
      <w:pPr>
        <w:ind w:left="440" w:right="620" w:hanging="217"/>
        <w:spacing w:after="0" w:line="276" w:lineRule="auto"/>
        <w:tabs>
          <w:tab w:leader="none" w:pos="417"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performance of each individual executive officer, based on a subjective assessment of their contributions to our overall performance, ability to lead their business unit or function, and work as part of a team, all in furtherance of our core values;</w:t>
      </w:r>
    </w:p>
    <w:p>
      <w:pPr>
        <w:spacing w:after="0" w:line="63" w:lineRule="exact"/>
        <w:rPr>
          <w:rFonts w:ascii="Arial" w:cs="Arial" w:eastAsia="Arial" w:hAnsi="Arial"/>
          <w:sz w:val="15"/>
          <w:szCs w:val="15"/>
          <w:color w:val="auto"/>
        </w:rPr>
      </w:pPr>
    </w:p>
    <w:p>
      <w:pPr>
        <w:ind w:left="420" w:hanging="197"/>
        <w:spacing w:after="0"/>
        <w:tabs>
          <w:tab w:leader="none" w:pos="4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internal pay equity among our executive officers, including the NEOs (other than our CEO);</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our performance relative to our compensation peer group; and</w:t>
      </w:r>
    </w:p>
    <w:p>
      <w:pPr>
        <w:spacing w:after="0" w:line="113" w:lineRule="exact"/>
        <w:rPr>
          <w:rFonts w:ascii="Arial" w:cs="Arial" w:eastAsia="Arial" w:hAnsi="Arial"/>
          <w:sz w:val="15"/>
          <w:szCs w:val="15"/>
          <w:color w:val="auto"/>
        </w:rPr>
      </w:pPr>
    </w:p>
    <w:p>
      <w:pPr>
        <w:ind w:left="440" w:right="60" w:hanging="217"/>
        <w:spacing w:after="0" w:line="276" w:lineRule="auto"/>
        <w:tabs>
          <w:tab w:leader="none" w:pos="417"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compensation practices of our compensation peer group and how each executive officer’s target compensation compares to a ranking of similar positions in our compensation peer group.</w:t>
      </w:r>
    </w:p>
    <w:p>
      <w:pPr>
        <w:spacing w:after="0" w:line="163"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In determining the amount of long-term equity incentive compensation for our executive officers as part of its annual compensation review, the Committee also considers the accounting impact of the proposed awards on our earnings and the proportion of our total shares outstanding used for annual employee long-term equity incentive compensation awards, or burn rate, in relation to the median proportions of the companies in the retail sector benchmarks.</w:t>
      </w:r>
    </w:p>
    <w:p>
      <w:pPr>
        <w:spacing w:after="0" w:line="164"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These factors provide the framework for compensation decision-making and final decisions regarding the compensation opportunity for each executive officer. No single factor is determinative in setting pay levels, nor is the impact of any factor on the determination of pay levels quantifiable. The Committee retains significant authority to adjust the compensation levels of our executive officers based on the foregoing, as well as other factors that it may deem appropriate to achieve our overall compensation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1008380</wp:posOffset>
            </wp:positionV>
            <wp:extent cx="7168515" cy="4127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721360</wp:posOffset>
            </wp:positionV>
            <wp:extent cx="789305" cy="18923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color w:val="007EC4"/>
        </w:rPr>
        <w:t xml:space="preserve">58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Role of Executive Compensation Team</w:t>
      </w:r>
    </w:p>
    <w:p>
      <w:pPr>
        <w:spacing w:after="0" w:line="70"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In discharging its responsibilities, the Committee works with members of our executive compensation team (i.e., our CEO, Chief Administrative Officer, and Vice President of Compensation, Benefits, Human Resources Operations, and Payroll). The executive compensation team assists the Committee by providing information on our performance and the individual performance of our executive officers, as well as market and industry data, and the executive compensation team’s perspective and recommendations on compensation matters. The Committee solicits and considers our executive compensation team’s recommendations and proposals with respect to adjustments to base salaries, annual cash bonus opportunities, long-term incentive compensation opportunities, perquisites, program structures, and other compensation-related matters for our executive officers. The Committee reviews and discusses these recommendations and proposals with some or all of the members of our executive compensation team and uses them as one factor in determining and approving the compensation for our executive officers. In addition, the level of attainment of each individual NEOs performance goals pursuant to the Company’s Executive Team Bonus Plan (described in “2024 Executive Team Bonus Plan”) is recommended by our CEO (other than with respect to his own, which is determined by the Committee) to the Committee for its final approval. The executive officers on the executive compensation team recuse themselves from all Committee deliberations regarding their own individual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Role of Compensation Consultant</w:t>
      </w:r>
    </w:p>
    <w:p>
      <w:pPr>
        <w:spacing w:after="0" w:line="70" w:lineRule="exact"/>
        <w:rPr>
          <w:sz w:val="20"/>
          <w:szCs w:val="20"/>
          <w:color w:val="auto"/>
        </w:rPr>
      </w:pPr>
    </w:p>
    <w:p>
      <w:pPr>
        <w:ind w:right="60"/>
        <w:spacing w:after="0" w:line="314" w:lineRule="auto"/>
        <w:rPr>
          <w:sz w:val="20"/>
          <w:szCs w:val="20"/>
          <w:color w:val="auto"/>
        </w:rPr>
      </w:pPr>
      <w:r>
        <w:rPr>
          <w:rFonts w:ascii="Arial" w:cs="Arial" w:eastAsia="Arial" w:hAnsi="Arial"/>
          <w:sz w:val="14"/>
          <w:szCs w:val="14"/>
          <w:color w:val="auto"/>
        </w:rPr>
        <w:t>Pursuant to its charter, the Committee has the authority to retain the services of external advisors, including compensation consultants, legal counsel, and other advisors, to assist in the performance of its responsibilities. For 2024, the Committee retained an independent nationally recognized executive compensation consultant, FW Cook. FW Cook performs no work for management and reports directly to the Committee. The Committee assessed the independence of FW Cook based on standards promulgated by the SEC and concluded that no conflicts of interest exist that would prevent FW Cook from serving as an independent consultant to the Committee.</w:t>
      </w:r>
    </w:p>
    <w:p>
      <w:pPr>
        <w:spacing w:after="0" w:line="115"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For 2024, the Committee utilized FW Cook for general input and guidance on components of our executive officer compensation program. FW Cook also advised the Committee with respect to developing a compensation benchmarking peer group and market data for base salary, annual bonus, long-term equity compensation, and perquisites for similarly situated executive officers in the Company’s compensation peer group. FW Cook also advised the Committee on general executive compensation program elements and design.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How We Determine and Use our Compensation Peer Group</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For purposes of comparing our executive compensation against the competitive market, the Committee reviews and considers the compensation levels and practices of a group of comparable retail companies. In August 2023, the Committee, with the input of data and analysis from FW Cook developed and approved the compensation peer group immediately below which we used in 2024 for purposes of understanding the competitive market (“2024 Peer Group”):</w:t>
      </w:r>
    </w:p>
    <w:p>
      <w:pPr>
        <w:spacing w:after="0" w:line="1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1620" w:type="dxa"/>
            <w:vAlign w:val="bottom"/>
          </w:tcPr>
          <w:p>
            <w:pPr>
              <w:ind w:left="40"/>
              <w:spacing w:after="0"/>
              <w:rPr>
                <w:sz w:val="20"/>
                <w:szCs w:val="20"/>
                <w:color w:val="auto"/>
              </w:rPr>
            </w:pPr>
            <w:r>
              <w:rPr>
                <w:rFonts w:ascii="Arial" w:cs="Arial" w:eastAsia="Arial" w:hAnsi="Arial"/>
                <w:sz w:val="13"/>
                <w:szCs w:val="13"/>
                <w:color w:val="auto"/>
              </w:rPr>
              <w:t>American Eagle</w:t>
            </w:r>
          </w:p>
        </w:tc>
        <w:tc>
          <w:tcPr>
            <w:tcW w:w="50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Carter’s</w:t>
            </w:r>
          </w:p>
        </w:tc>
        <w:tc>
          <w:tcPr>
            <w:tcW w:w="540" w:type="dxa"/>
            <w:vAlign w:val="bottom"/>
          </w:tcPr>
          <w:p>
            <w:pPr>
              <w:ind w:left="460"/>
              <w:spacing w:after="0"/>
              <w:rPr>
                <w:sz w:val="20"/>
                <w:szCs w:val="20"/>
                <w:color w:val="auto"/>
              </w:rPr>
            </w:pPr>
            <w:r>
              <w:rPr>
                <w:rFonts w:ascii="Arial" w:cs="Arial" w:eastAsia="Arial" w:hAnsi="Arial"/>
                <w:sz w:val="13"/>
                <w:szCs w:val="13"/>
                <w:color w:val="auto"/>
              </w:rPr>
              <w:t>•</w:t>
            </w:r>
          </w:p>
        </w:tc>
        <w:tc>
          <w:tcPr>
            <w:tcW w:w="1780" w:type="dxa"/>
            <w:vAlign w:val="bottom"/>
          </w:tcPr>
          <w:p>
            <w:pPr>
              <w:ind w:left="40"/>
              <w:spacing w:after="0"/>
              <w:rPr>
                <w:sz w:val="20"/>
                <w:szCs w:val="20"/>
                <w:color w:val="auto"/>
              </w:rPr>
            </w:pPr>
            <w:r>
              <w:rPr>
                <w:rFonts w:ascii="Arial" w:cs="Arial" w:eastAsia="Arial" w:hAnsi="Arial"/>
                <w:sz w:val="13"/>
                <w:szCs w:val="13"/>
                <w:color w:val="auto"/>
              </w:rPr>
              <w:t>Foot Locker</w:t>
            </w:r>
          </w:p>
        </w:tc>
        <w:tc>
          <w:tcPr>
            <w:tcW w:w="52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Signet Jewelers</w:t>
            </w:r>
          </w:p>
        </w:tc>
        <w:tc>
          <w:tcPr>
            <w:tcW w:w="480" w:type="dxa"/>
            <w:vAlign w:val="bottom"/>
          </w:tcPr>
          <w:p>
            <w:pPr>
              <w:ind w:left="400"/>
              <w:spacing w:after="0"/>
              <w:rPr>
                <w:sz w:val="20"/>
                <w:szCs w:val="20"/>
                <w:color w:val="auto"/>
              </w:rPr>
            </w:pPr>
            <w:r>
              <w:rPr>
                <w:rFonts w:ascii="Arial" w:cs="Arial" w:eastAsia="Arial" w:hAnsi="Arial"/>
                <w:sz w:val="13"/>
                <w:szCs w:val="13"/>
                <w:color w:val="auto"/>
              </w:rPr>
              <w:t>•</w:t>
            </w:r>
          </w:p>
        </w:tc>
        <w:tc>
          <w:tcPr>
            <w:tcW w:w="1080" w:type="dxa"/>
            <w:vAlign w:val="bottom"/>
          </w:tcPr>
          <w:p>
            <w:pPr>
              <w:ind w:left="40"/>
              <w:spacing w:after="0"/>
              <w:rPr>
                <w:sz w:val="20"/>
                <w:szCs w:val="20"/>
                <w:color w:val="auto"/>
              </w:rPr>
            </w:pPr>
            <w:r>
              <w:rPr>
                <w:rFonts w:ascii="Arial" w:cs="Arial" w:eastAsia="Arial" w:hAnsi="Arial"/>
                <w:sz w:val="13"/>
                <w:szCs w:val="13"/>
                <w:color w:val="auto"/>
              </w:rPr>
              <w:t>Urban Outfitters</w:t>
            </w:r>
          </w:p>
        </w:tc>
      </w:tr>
      <w:tr>
        <w:trPr>
          <w:trHeight w:val="224"/>
        </w:trPr>
        <w:tc>
          <w:tcPr>
            <w:tcW w:w="1700" w:type="dxa"/>
            <w:vAlign w:val="bottom"/>
            <w:gridSpan w:val="2"/>
          </w:tcPr>
          <w:p>
            <w:pPr>
              <w:spacing w:after="0"/>
              <w:rPr>
                <w:sz w:val="20"/>
                <w:szCs w:val="20"/>
                <w:color w:val="auto"/>
              </w:rPr>
            </w:pPr>
            <w:r>
              <w:rPr>
                <w:rFonts w:ascii="Arial" w:cs="Arial" w:eastAsia="Arial" w:hAnsi="Arial"/>
                <w:sz w:val="13"/>
                <w:szCs w:val="13"/>
                <w:color w:val="auto"/>
              </w:rPr>
              <w:t>• Bath &amp; Body Works</w:t>
            </w:r>
          </w:p>
        </w:tc>
        <w:tc>
          <w:tcPr>
            <w:tcW w:w="2380" w:type="dxa"/>
            <w:vAlign w:val="bottom"/>
            <w:gridSpan w:val="2"/>
          </w:tcPr>
          <w:p>
            <w:pPr>
              <w:ind w:left="420"/>
              <w:spacing w:after="0"/>
              <w:rPr>
                <w:sz w:val="20"/>
                <w:szCs w:val="20"/>
                <w:color w:val="auto"/>
              </w:rPr>
            </w:pPr>
            <w:r>
              <w:rPr>
                <w:rFonts w:ascii="Arial" w:cs="Arial" w:eastAsia="Arial" w:hAnsi="Arial"/>
                <w:sz w:val="13"/>
                <w:szCs w:val="13"/>
                <w:color w:val="auto"/>
              </w:rPr>
              <w:t>• Designer Brands</w:t>
            </w:r>
          </w:p>
        </w:tc>
        <w:tc>
          <w:tcPr>
            <w:tcW w:w="2320" w:type="dxa"/>
            <w:vAlign w:val="bottom"/>
            <w:gridSpan w:val="2"/>
          </w:tcPr>
          <w:p>
            <w:pPr>
              <w:ind w:left="460"/>
              <w:spacing w:after="0"/>
              <w:rPr>
                <w:sz w:val="20"/>
                <w:szCs w:val="20"/>
                <w:color w:val="auto"/>
              </w:rPr>
            </w:pPr>
            <w:r>
              <w:rPr>
                <w:rFonts w:ascii="Arial" w:cs="Arial" w:eastAsia="Arial" w:hAnsi="Arial"/>
                <w:sz w:val="13"/>
                <w:szCs w:val="13"/>
                <w:color w:val="auto"/>
              </w:rPr>
              <w:t>• Hibbett</w:t>
            </w:r>
          </w:p>
        </w:tc>
        <w:tc>
          <w:tcPr>
            <w:tcW w:w="2400" w:type="dxa"/>
            <w:vAlign w:val="bottom"/>
            <w:gridSpan w:val="2"/>
          </w:tcPr>
          <w:p>
            <w:pPr>
              <w:ind w:left="420"/>
              <w:spacing w:after="0"/>
              <w:rPr>
                <w:sz w:val="20"/>
                <w:szCs w:val="20"/>
                <w:color w:val="auto"/>
              </w:rPr>
            </w:pPr>
            <w:r>
              <w:rPr>
                <w:rFonts w:ascii="Arial" w:cs="Arial" w:eastAsia="Arial" w:hAnsi="Arial"/>
                <w:sz w:val="13"/>
                <w:szCs w:val="13"/>
                <w:color w:val="auto"/>
              </w:rPr>
              <w:t>• The Gap</w:t>
            </w:r>
          </w:p>
        </w:tc>
        <w:tc>
          <w:tcPr>
            <w:tcW w:w="480" w:type="dxa"/>
            <w:vAlign w:val="bottom"/>
          </w:tcPr>
          <w:p>
            <w:pPr>
              <w:ind w:left="400"/>
              <w:spacing w:after="0"/>
              <w:rPr>
                <w:sz w:val="20"/>
                <w:szCs w:val="20"/>
                <w:color w:val="auto"/>
              </w:rPr>
            </w:pPr>
            <w:r>
              <w:rPr>
                <w:rFonts w:ascii="Arial" w:cs="Arial" w:eastAsia="Arial" w:hAnsi="Arial"/>
                <w:sz w:val="13"/>
                <w:szCs w:val="13"/>
                <w:color w:val="auto"/>
              </w:rPr>
              <w:t>•</w:t>
            </w:r>
          </w:p>
        </w:tc>
        <w:tc>
          <w:tcPr>
            <w:tcW w:w="1080" w:type="dxa"/>
            <w:vAlign w:val="bottom"/>
          </w:tcPr>
          <w:p>
            <w:pPr>
              <w:ind w:left="40"/>
              <w:spacing w:after="0"/>
              <w:rPr>
                <w:sz w:val="20"/>
                <w:szCs w:val="20"/>
                <w:color w:val="auto"/>
              </w:rPr>
            </w:pPr>
            <w:r>
              <w:rPr>
                <w:rFonts w:ascii="Arial" w:cs="Arial" w:eastAsia="Arial" w:hAnsi="Arial"/>
                <w:sz w:val="13"/>
                <w:szCs w:val="13"/>
                <w:color w:val="auto"/>
              </w:rPr>
              <w:t>Williams-Sonoma</w:t>
            </w:r>
          </w:p>
        </w:tc>
      </w:tr>
      <w:tr>
        <w:trPr>
          <w:trHeight w:val="224"/>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1620" w:type="dxa"/>
            <w:vAlign w:val="bottom"/>
          </w:tcPr>
          <w:p>
            <w:pPr>
              <w:ind w:left="40"/>
              <w:spacing w:after="0"/>
              <w:rPr>
                <w:sz w:val="20"/>
                <w:szCs w:val="20"/>
                <w:color w:val="auto"/>
              </w:rPr>
            </w:pPr>
            <w:r>
              <w:rPr>
                <w:rFonts w:ascii="Arial" w:cs="Arial" w:eastAsia="Arial" w:hAnsi="Arial"/>
                <w:sz w:val="13"/>
                <w:szCs w:val="13"/>
                <w:color w:val="auto"/>
              </w:rPr>
              <w:t>Burlington Stores</w:t>
            </w:r>
          </w:p>
        </w:tc>
        <w:tc>
          <w:tcPr>
            <w:tcW w:w="50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DICK’s Sporting Goods</w:t>
            </w:r>
          </w:p>
        </w:tc>
        <w:tc>
          <w:tcPr>
            <w:tcW w:w="540" w:type="dxa"/>
            <w:vAlign w:val="bottom"/>
          </w:tcPr>
          <w:p>
            <w:pPr>
              <w:ind w:left="460"/>
              <w:spacing w:after="0"/>
              <w:rPr>
                <w:sz w:val="20"/>
                <w:szCs w:val="20"/>
                <w:color w:val="auto"/>
              </w:rPr>
            </w:pPr>
            <w:r>
              <w:rPr>
                <w:rFonts w:ascii="Arial" w:cs="Arial" w:eastAsia="Arial" w:hAnsi="Arial"/>
                <w:sz w:val="13"/>
                <w:szCs w:val="13"/>
                <w:color w:val="auto"/>
              </w:rPr>
              <w:t>•</w:t>
            </w:r>
          </w:p>
        </w:tc>
        <w:tc>
          <w:tcPr>
            <w:tcW w:w="1780" w:type="dxa"/>
            <w:vAlign w:val="bottom"/>
          </w:tcPr>
          <w:p>
            <w:pPr>
              <w:ind w:left="40"/>
              <w:spacing w:after="0"/>
              <w:rPr>
                <w:sz w:val="20"/>
                <w:szCs w:val="20"/>
                <w:color w:val="auto"/>
              </w:rPr>
            </w:pPr>
            <w:r>
              <w:rPr>
                <w:rFonts w:ascii="Arial" w:cs="Arial" w:eastAsia="Arial" w:hAnsi="Arial"/>
                <w:sz w:val="13"/>
                <w:szCs w:val="13"/>
                <w:color w:val="auto"/>
              </w:rPr>
              <w:t>Ross Stores</w:t>
            </w:r>
          </w:p>
        </w:tc>
        <w:tc>
          <w:tcPr>
            <w:tcW w:w="52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Tractor Supply Company</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1620" w:type="dxa"/>
            <w:vAlign w:val="bottom"/>
          </w:tcPr>
          <w:p>
            <w:pPr>
              <w:ind w:left="40"/>
              <w:spacing w:after="0"/>
              <w:rPr>
                <w:sz w:val="20"/>
                <w:szCs w:val="20"/>
                <w:color w:val="auto"/>
              </w:rPr>
            </w:pPr>
            <w:r>
              <w:rPr>
                <w:rFonts w:ascii="Arial" w:cs="Arial" w:eastAsia="Arial" w:hAnsi="Arial"/>
                <w:sz w:val="13"/>
                <w:szCs w:val="13"/>
                <w:color w:val="auto"/>
              </w:rPr>
              <w:t>Caleres</w:t>
            </w:r>
          </w:p>
        </w:tc>
        <w:tc>
          <w:tcPr>
            <w:tcW w:w="50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Five Below</w:t>
            </w:r>
          </w:p>
        </w:tc>
        <w:tc>
          <w:tcPr>
            <w:tcW w:w="540" w:type="dxa"/>
            <w:vAlign w:val="bottom"/>
          </w:tcPr>
          <w:p>
            <w:pPr>
              <w:ind w:left="460"/>
              <w:spacing w:after="0"/>
              <w:rPr>
                <w:sz w:val="20"/>
                <w:szCs w:val="20"/>
                <w:color w:val="auto"/>
              </w:rPr>
            </w:pPr>
            <w:r>
              <w:rPr>
                <w:rFonts w:ascii="Arial" w:cs="Arial" w:eastAsia="Arial" w:hAnsi="Arial"/>
                <w:sz w:val="13"/>
                <w:szCs w:val="13"/>
                <w:color w:val="auto"/>
              </w:rPr>
              <w:t>•</w:t>
            </w:r>
          </w:p>
        </w:tc>
        <w:tc>
          <w:tcPr>
            <w:tcW w:w="1780" w:type="dxa"/>
            <w:vAlign w:val="bottom"/>
          </w:tcPr>
          <w:p>
            <w:pPr>
              <w:ind w:left="40"/>
              <w:spacing w:after="0"/>
              <w:rPr>
                <w:sz w:val="20"/>
                <w:szCs w:val="20"/>
                <w:color w:val="auto"/>
              </w:rPr>
            </w:pPr>
            <w:r>
              <w:rPr>
                <w:rFonts w:ascii="Arial" w:cs="Arial" w:eastAsia="Arial" w:hAnsi="Arial"/>
                <w:sz w:val="13"/>
                <w:szCs w:val="13"/>
                <w:color w:val="auto"/>
              </w:rPr>
              <w:t>Sally Beauty Holdings</w:t>
            </w:r>
          </w:p>
        </w:tc>
        <w:tc>
          <w:tcPr>
            <w:tcW w:w="52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Ulta Beauty</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The companies in the 2024 Peer Group were selected using the following criteria:</w:t>
      </w:r>
    </w:p>
    <w:p>
      <w:pPr>
        <w:spacing w:after="0" w:line="113" w:lineRule="exact"/>
        <w:rPr>
          <w:sz w:val="20"/>
          <w:szCs w:val="20"/>
          <w:color w:val="auto"/>
        </w:rPr>
      </w:pPr>
    </w:p>
    <w:p>
      <w:pPr>
        <w:ind w:left="420" w:hanging="197"/>
        <w:spacing w:after="0"/>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Appropriate revenue size;</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Companies primarily in the retail business;</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Similar business model and/or products; and</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Companies that compete with us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1014095</wp:posOffset>
            </wp:positionV>
            <wp:extent cx="7168515" cy="4127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719455</wp:posOffset>
            </wp:positionV>
            <wp:extent cx="789305" cy="18923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bookmarkStart w:id="64" w:name="page65"/>
    <w:bookmarkEnd w:id="64"/>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Based on the criteria established for inclusion, the Committee made no changes to the 2024 Peer Group from 2023.</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auto"/>
        </w:rPr>
        <w:t>The 2024 Peer Group was used by the Committee during 2024 as a reference for understanding the compensation practices of companies in our sector. To analyze the compensation practices of the companies in our 2024 Peer Group, FW Cook gathered data for the peer group companies from public filings (primarily proxy statements). This market data was then used as a reference point for the Committee to assess our current compensation levels in the course of its deliberations on compensation forms and amounts.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Employment Agreements</w:t>
      </w:r>
    </w:p>
    <w:p>
      <w:pPr>
        <w:spacing w:after="0" w:line="70" w:lineRule="exact"/>
        <w:rPr>
          <w:sz w:val="20"/>
          <w:szCs w:val="20"/>
          <w:color w:val="auto"/>
        </w:rPr>
      </w:pPr>
    </w:p>
    <w:p>
      <w:pPr>
        <w:ind w:right="140"/>
        <w:spacing w:after="0" w:line="350" w:lineRule="auto"/>
        <w:rPr>
          <w:sz w:val="20"/>
          <w:szCs w:val="20"/>
          <w:color w:val="auto"/>
        </w:rPr>
      </w:pPr>
      <w:r>
        <w:rPr>
          <w:rFonts w:ascii="Arial" w:cs="Arial" w:eastAsia="Arial" w:hAnsi="Arial"/>
          <w:sz w:val="14"/>
          <w:szCs w:val="14"/>
          <w:color w:val="auto"/>
        </w:rPr>
        <w:t>We have entered into employment agreements with each of our NEOs and all of our other executive officers to help retain these executive officers who are key to the future success of the Company. For additional information regarding our NEO employment agreements in effect during 2024, see “Employment Agreements with NEOs.”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Stock Ownership Guidelines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We maintain meaningful stock ownership guidelines for our officers. The following table summarizes the guidelines in effect during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Covered Position</w:t>
            </w:r>
          </w:p>
        </w:tc>
        <w:tc>
          <w:tcPr>
            <w:tcW w:w="2880" w:type="dxa"/>
            <w:vAlign w:val="bottom"/>
            <w:tcBorders>
              <w:bottom w:val="single" w:sz="8" w:color="E1D7AC"/>
            </w:tcBorders>
            <w:shd w:val="clear" w:color="auto" w:fill="E1D7AC"/>
          </w:tcPr>
          <w:p>
            <w:pPr>
              <w:jc w:val="center"/>
              <w:ind w:left="754"/>
              <w:spacing w:after="0"/>
              <w:rPr>
                <w:sz w:val="20"/>
                <w:szCs w:val="20"/>
                <w:color w:val="auto"/>
              </w:rPr>
            </w:pPr>
            <w:r>
              <w:rPr>
                <w:rFonts w:ascii="Arial" w:cs="Arial" w:eastAsia="Arial" w:hAnsi="Arial"/>
                <w:sz w:val="13"/>
                <w:szCs w:val="13"/>
                <w:b w:val="1"/>
                <w:bCs w:val="1"/>
                <w:color w:val="auto"/>
              </w:rPr>
              <w:t>Multiple of Pay</w:t>
            </w:r>
          </w:p>
        </w:tc>
        <w:tc>
          <w:tcPr>
            <w:tcW w:w="4260" w:type="dxa"/>
            <w:vAlign w:val="bottom"/>
            <w:tcBorders>
              <w:bottom w:val="single" w:sz="8" w:color="E1D7AC"/>
            </w:tcBorders>
            <w:shd w:val="clear" w:color="auto" w:fill="E1D7AC"/>
          </w:tcPr>
          <w:p>
            <w:pPr>
              <w:ind w:left="560"/>
              <w:spacing w:after="0"/>
              <w:rPr>
                <w:sz w:val="20"/>
                <w:szCs w:val="20"/>
                <w:color w:val="auto"/>
              </w:rPr>
            </w:pPr>
            <w:r>
              <w:rPr>
                <w:rFonts w:ascii="Arial" w:cs="Arial" w:eastAsia="Arial" w:hAnsi="Arial"/>
                <w:sz w:val="13"/>
                <w:szCs w:val="13"/>
                <w:b w:val="1"/>
                <w:bCs w:val="1"/>
                <w:color w:val="auto"/>
              </w:rPr>
              <w:t>Applicable Pay</w:t>
            </w:r>
          </w:p>
        </w:tc>
      </w:tr>
      <w:tr>
        <w:trPr>
          <w:trHeight w:val="191"/>
        </w:trPr>
        <w:tc>
          <w:tcPr>
            <w:tcW w:w="4100" w:type="dxa"/>
            <w:vAlign w:val="bottom"/>
          </w:tcPr>
          <w:p>
            <w:pPr>
              <w:ind w:left="100"/>
              <w:spacing w:after="0"/>
              <w:rPr>
                <w:sz w:val="20"/>
                <w:szCs w:val="20"/>
                <w:color w:val="auto"/>
              </w:rPr>
            </w:pPr>
            <w:r>
              <w:rPr>
                <w:rFonts w:ascii="Arial" w:cs="Arial" w:eastAsia="Arial" w:hAnsi="Arial"/>
                <w:sz w:val="13"/>
                <w:szCs w:val="13"/>
                <w:color w:val="auto"/>
              </w:rPr>
              <w:t>CEO</w:t>
            </w:r>
          </w:p>
        </w:tc>
        <w:tc>
          <w:tcPr>
            <w:tcW w:w="2880" w:type="dxa"/>
            <w:vAlign w:val="bottom"/>
          </w:tcPr>
          <w:p>
            <w:pPr>
              <w:jc w:val="center"/>
              <w:ind w:left="754"/>
              <w:spacing w:after="0"/>
              <w:rPr>
                <w:sz w:val="20"/>
                <w:szCs w:val="20"/>
                <w:color w:val="auto"/>
              </w:rPr>
            </w:pPr>
            <w:r>
              <w:rPr>
                <w:rFonts w:ascii="Arial" w:cs="Arial" w:eastAsia="Arial" w:hAnsi="Arial"/>
                <w:sz w:val="13"/>
                <w:szCs w:val="13"/>
                <w:color w:val="auto"/>
              </w:rPr>
              <w:t>5.0x</w:t>
            </w:r>
          </w:p>
        </w:tc>
        <w:tc>
          <w:tcPr>
            <w:tcW w:w="4260" w:type="dxa"/>
            <w:vAlign w:val="bottom"/>
          </w:tcPr>
          <w:p>
            <w:pPr>
              <w:ind w:left="560"/>
              <w:spacing w:after="0"/>
              <w:rPr>
                <w:sz w:val="20"/>
                <w:szCs w:val="20"/>
                <w:color w:val="auto"/>
              </w:rPr>
            </w:pPr>
            <w:r>
              <w:rPr>
                <w:rFonts w:ascii="Arial" w:cs="Arial" w:eastAsia="Arial" w:hAnsi="Arial"/>
                <w:sz w:val="13"/>
                <w:szCs w:val="13"/>
                <w:color w:val="auto"/>
              </w:rPr>
              <w:t>Annual base salary</w:t>
            </w:r>
          </w:p>
        </w:tc>
      </w:tr>
      <w:tr>
        <w:trPr>
          <w:trHeight w:val="33"/>
        </w:trPr>
        <w:tc>
          <w:tcPr>
            <w:tcW w:w="4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04"/>
        </w:trPr>
        <w:tc>
          <w:tcPr>
            <w:tcW w:w="41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President and Executive Vice Presidents</w:t>
            </w:r>
          </w:p>
        </w:tc>
        <w:tc>
          <w:tcPr>
            <w:tcW w:w="2880" w:type="dxa"/>
            <w:vAlign w:val="bottom"/>
            <w:tcBorders>
              <w:bottom w:val="single" w:sz="8" w:color="DBDBDB"/>
            </w:tcBorders>
            <w:shd w:val="clear" w:color="auto" w:fill="DBDBDB"/>
          </w:tcPr>
          <w:p>
            <w:pPr>
              <w:jc w:val="center"/>
              <w:ind w:left="754"/>
              <w:spacing w:after="0"/>
              <w:rPr>
                <w:sz w:val="20"/>
                <w:szCs w:val="20"/>
                <w:color w:val="auto"/>
              </w:rPr>
            </w:pPr>
            <w:r>
              <w:rPr>
                <w:rFonts w:ascii="Arial" w:cs="Arial" w:eastAsia="Arial" w:hAnsi="Arial"/>
                <w:sz w:val="13"/>
                <w:szCs w:val="13"/>
                <w:color w:val="auto"/>
              </w:rPr>
              <w:t>3.0x</w:t>
            </w:r>
          </w:p>
        </w:tc>
        <w:tc>
          <w:tcPr>
            <w:tcW w:w="4260" w:type="dxa"/>
            <w:vAlign w:val="bottom"/>
            <w:tcBorders>
              <w:bottom w:val="single" w:sz="8" w:color="DBDBDB"/>
            </w:tcBorders>
            <w:shd w:val="clear" w:color="auto" w:fill="DBDBDB"/>
          </w:tcPr>
          <w:p>
            <w:pPr>
              <w:ind w:left="560"/>
              <w:spacing w:after="0"/>
              <w:rPr>
                <w:sz w:val="20"/>
                <w:szCs w:val="20"/>
                <w:color w:val="auto"/>
              </w:rPr>
            </w:pPr>
            <w:r>
              <w:rPr>
                <w:rFonts w:ascii="Arial" w:cs="Arial" w:eastAsia="Arial" w:hAnsi="Arial"/>
                <w:sz w:val="13"/>
                <w:szCs w:val="13"/>
                <w:color w:val="auto"/>
              </w:rPr>
              <w:t>Annual base salary</w:t>
            </w:r>
          </w:p>
        </w:tc>
      </w:tr>
      <w:tr>
        <w:trPr>
          <w:trHeight w:val="191"/>
        </w:trPr>
        <w:tc>
          <w:tcPr>
            <w:tcW w:w="4100" w:type="dxa"/>
            <w:vAlign w:val="bottom"/>
          </w:tcPr>
          <w:p>
            <w:pPr>
              <w:ind w:left="100"/>
              <w:spacing w:after="0"/>
              <w:rPr>
                <w:sz w:val="20"/>
                <w:szCs w:val="20"/>
                <w:color w:val="auto"/>
              </w:rPr>
            </w:pPr>
            <w:r>
              <w:rPr>
                <w:rFonts w:ascii="Arial" w:cs="Arial" w:eastAsia="Arial" w:hAnsi="Arial"/>
                <w:sz w:val="13"/>
                <w:szCs w:val="13"/>
                <w:color w:val="auto"/>
              </w:rPr>
              <w:t>Senior Vice Presidents – executive team</w:t>
            </w:r>
          </w:p>
        </w:tc>
        <w:tc>
          <w:tcPr>
            <w:tcW w:w="2880" w:type="dxa"/>
            <w:vAlign w:val="bottom"/>
          </w:tcPr>
          <w:p>
            <w:pPr>
              <w:jc w:val="center"/>
              <w:ind w:left="754"/>
              <w:spacing w:after="0"/>
              <w:rPr>
                <w:sz w:val="20"/>
                <w:szCs w:val="20"/>
                <w:color w:val="auto"/>
              </w:rPr>
            </w:pPr>
            <w:r>
              <w:rPr>
                <w:rFonts w:ascii="Arial" w:cs="Arial" w:eastAsia="Arial" w:hAnsi="Arial"/>
                <w:sz w:val="13"/>
                <w:szCs w:val="13"/>
                <w:color w:val="auto"/>
              </w:rPr>
              <w:t>2.0x</w:t>
            </w:r>
          </w:p>
        </w:tc>
        <w:tc>
          <w:tcPr>
            <w:tcW w:w="4260" w:type="dxa"/>
            <w:vAlign w:val="bottom"/>
          </w:tcPr>
          <w:p>
            <w:pPr>
              <w:ind w:left="560"/>
              <w:spacing w:after="0"/>
              <w:rPr>
                <w:sz w:val="20"/>
                <w:szCs w:val="20"/>
                <w:color w:val="auto"/>
              </w:rPr>
            </w:pPr>
            <w:r>
              <w:rPr>
                <w:rFonts w:ascii="Arial" w:cs="Arial" w:eastAsia="Arial" w:hAnsi="Arial"/>
                <w:sz w:val="13"/>
                <w:szCs w:val="13"/>
                <w:color w:val="auto"/>
              </w:rPr>
              <w:t>Annual base salary</w:t>
            </w:r>
          </w:p>
        </w:tc>
      </w:tr>
      <w:tr>
        <w:trPr>
          <w:trHeight w:val="33"/>
        </w:trPr>
        <w:tc>
          <w:tcPr>
            <w:tcW w:w="4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04"/>
        </w:trPr>
        <w:tc>
          <w:tcPr>
            <w:tcW w:w="41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Senior Vice Presidents – non-executive team</w:t>
            </w:r>
          </w:p>
        </w:tc>
        <w:tc>
          <w:tcPr>
            <w:tcW w:w="2880" w:type="dxa"/>
            <w:vAlign w:val="bottom"/>
            <w:tcBorders>
              <w:bottom w:val="single" w:sz="8" w:color="DBDBDB"/>
            </w:tcBorders>
            <w:shd w:val="clear" w:color="auto" w:fill="DBDBDB"/>
          </w:tcPr>
          <w:p>
            <w:pPr>
              <w:jc w:val="center"/>
              <w:ind w:left="754"/>
              <w:spacing w:after="0"/>
              <w:rPr>
                <w:sz w:val="20"/>
                <w:szCs w:val="20"/>
                <w:color w:val="auto"/>
              </w:rPr>
            </w:pPr>
            <w:r>
              <w:rPr>
                <w:rFonts w:ascii="Arial" w:cs="Arial" w:eastAsia="Arial" w:hAnsi="Arial"/>
                <w:sz w:val="13"/>
                <w:szCs w:val="13"/>
                <w:color w:val="auto"/>
              </w:rPr>
              <w:t>1.0x</w:t>
            </w:r>
          </w:p>
        </w:tc>
        <w:tc>
          <w:tcPr>
            <w:tcW w:w="4260" w:type="dxa"/>
            <w:vAlign w:val="bottom"/>
            <w:tcBorders>
              <w:bottom w:val="single" w:sz="8" w:color="DBDBDB"/>
            </w:tcBorders>
            <w:shd w:val="clear" w:color="auto" w:fill="DBDBDB"/>
          </w:tcPr>
          <w:p>
            <w:pPr>
              <w:ind w:left="560"/>
              <w:spacing w:after="0"/>
              <w:rPr>
                <w:sz w:val="20"/>
                <w:szCs w:val="20"/>
                <w:color w:val="auto"/>
              </w:rPr>
            </w:pPr>
            <w:r>
              <w:rPr>
                <w:rFonts w:ascii="Arial" w:cs="Arial" w:eastAsia="Arial" w:hAnsi="Arial"/>
                <w:sz w:val="13"/>
                <w:szCs w:val="13"/>
                <w:color w:val="auto"/>
              </w:rPr>
              <w:t>Annual base salary</w:t>
            </w:r>
          </w:p>
        </w:tc>
      </w:tr>
      <w:tr>
        <w:trPr>
          <w:trHeight w:val="191"/>
        </w:trPr>
        <w:tc>
          <w:tcPr>
            <w:tcW w:w="4100" w:type="dxa"/>
            <w:vAlign w:val="bottom"/>
          </w:tcPr>
          <w:p>
            <w:pPr>
              <w:ind w:left="100"/>
              <w:spacing w:after="0"/>
              <w:rPr>
                <w:sz w:val="20"/>
                <w:szCs w:val="20"/>
                <w:color w:val="auto"/>
              </w:rPr>
            </w:pPr>
            <w:r>
              <w:rPr>
                <w:rFonts w:ascii="Arial" w:cs="Arial" w:eastAsia="Arial" w:hAnsi="Arial"/>
                <w:sz w:val="13"/>
                <w:szCs w:val="13"/>
                <w:color w:val="auto"/>
              </w:rPr>
              <w:t>Vice Presidents</w:t>
            </w:r>
          </w:p>
        </w:tc>
        <w:tc>
          <w:tcPr>
            <w:tcW w:w="2880" w:type="dxa"/>
            <w:vAlign w:val="bottom"/>
          </w:tcPr>
          <w:p>
            <w:pPr>
              <w:jc w:val="center"/>
              <w:ind w:left="754"/>
              <w:spacing w:after="0"/>
              <w:rPr>
                <w:sz w:val="20"/>
                <w:szCs w:val="20"/>
                <w:color w:val="auto"/>
              </w:rPr>
            </w:pPr>
            <w:r>
              <w:rPr>
                <w:rFonts w:ascii="Arial" w:cs="Arial" w:eastAsia="Arial" w:hAnsi="Arial"/>
                <w:sz w:val="13"/>
                <w:szCs w:val="13"/>
                <w:color w:val="auto"/>
              </w:rPr>
              <w:t>0.5x</w:t>
            </w:r>
          </w:p>
        </w:tc>
        <w:tc>
          <w:tcPr>
            <w:tcW w:w="4260" w:type="dxa"/>
            <w:vAlign w:val="bottom"/>
          </w:tcPr>
          <w:p>
            <w:pPr>
              <w:ind w:left="560"/>
              <w:spacing w:after="0"/>
              <w:rPr>
                <w:sz w:val="20"/>
                <w:szCs w:val="20"/>
                <w:color w:val="auto"/>
              </w:rPr>
            </w:pPr>
            <w:r>
              <w:rPr>
                <w:rFonts w:ascii="Arial" w:cs="Arial" w:eastAsia="Arial" w:hAnsi="Arial"/>
                <w:sz w:val="13"/>
                <w:szCs w:val="13"/>
                <w:color w:val="auto"/>
              </w:rPr>
              <w:t>Annual base salary</w:t>
            </w:r>
          </w:p>
        </w:tc>
      </w:tr>
      <w:tr>
        <w:trPr>
          <w:trHeight w:val="33"/>
        </w:trPr>
        <w:tc>
          <w:tcPr>
            <w:tcW w:w="4100" w:type="dxa"/>
            <w:vAlign w:val="bottom"/>
            <w:tcBorders>
              <w:bottom w:val="single" w:sz="8" w:color="DBDBDB"/>
            </w:tcBorders>
          </w:tcPr>
          <w:p>
            <w:pPr>
              <w:spacing w:after="0"/>
              <w:rPr>
                <w:sz w:val="2"/>
                <w:szCs w:val="2"/>
                <w:color w:val="auto"/>
              </w:rPr>
            </w:pPr>
          </w:p>
        </w:tc>
        <w:tc>
          <w:tcPr>
            <w:tcW w:w="2880" w:type="dxa"/>
            <w:vAlign w:val="bottom"/>
            <w:tcBorders>
              <w:bottom w:val="single" w:sz="8" w:color="DBDBDB"/>
            </w:tcBorders>
          </w:tcPr>
          <w:p>
            <w:pPr>
              <w:spacing w:after="0"/>
              <w:rPr>
                <w:sz w:val="2"/>
                <w:szCs w:val="2"/>
                <w:color w:val="auto"/>
              </w:rPr>
            </w:pPr>
          </w:p>
        </w:tc>
        <w:tc>
          <w:tcPr>
            <w:tcW w:w="4260" w:type="dxa"/>
            <w:vAlign w:val="bottom"/>
            <w:tcBorders>
              <w:bottom w:val="single" w:sz="8" w:color="DBDBDB"/>
            </w:tcBorders>
          </w:tcPr>
          <w:p>
            <w:pPr>
              <w:spacing w:after="0"/>
              <w:rPr>
                <w:sz w:val="2"/>
                <w:szCs w:val="2"/>
                <w:color w:val="auto"/>
              </w:rPr>
            </w:pPr>
          </w:p>
        </w:tc>
      </w:tr>
    </w:tbl>
    <w:p>
      <w:pPr>
        <w:spacing w:after="0" w:line="373" w:lineRule="exact"/>
        <w:rPr>
          <w:sz w:val="20"/>
          <w:szCs w:val="20"/>
          <w:color w:val="auto"/>
        </w:rPr>
      </w:pPr>
    </w:p>
    <w:p>
      <w:pPr>
        <w:ind w:right="260"/>
        <w:spacing w:after="0" w:line="310" w:lineRule="auto"/>
        <w:rPr>
          <w:sz w:val="20"/>
          <w:szCs w:val="20"/>
          <w:color w:val="auto"/>
        </w:rPr>
      </w:pPr>
      <w:r>
        <w:rPr>
          <w:rFonts w:ascii="Arial" w:cs="Arial" w:eastAsia="Arial" w:hAnsi="Arial"/>
          <w:sz w:val="15"/>
          <w:szCs w:val="15"/>
          <w:color w:val="auto"/>
        </w:rPr>
        <w:t>If an officer has not met the required levels of ownership within a five-year prescribed timeframe, they will be required to retain 100% of the net shares acquired or held under any Company equity award until they meet their applicable required ownership guidelines. The following holdings are counted as eligible securities:</w:t>
      </w:r>
    </w:p>
    <w:p>
      <w:pPr>
        <w:spacing w:after="0" w:line="89" w:lineRule="exact"/>
        <w:rPr>
          <w:sz w:val="20"/>
          <w:szCs w:val="20"/>
          <w:color w:val="auto"/>
        </w:rPr>
      </w:pPr>
    </w:p>
    <w:p>
      <w:pPr>
        <w:ind w:left="420" w:hanging="197"/>
        <w:spacing w:after="0"/>
        <w:tabs>
          <w:tab w:leader="none" w:pos="4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shares of common stock owned outright by the individual, or jointly with or separately by the individual’s spouse;</w:t>
      </w:r>
    </w:p>
    <w:p>
      <w:pPr>
        <w:spacing w:after="0" w:line="113" w:lineRule="exact"/>
        <w:rPr>
          <w:rFonts w:ascii="Arial" w:cs="Arial" w:eastAsia="Arial" w:hAnsi="Arial"/>
          <w:sz w:val="15"/>
          <w:szCs w:val="15"/>
          <w:color w:val="auto"/>
        </w:rPr>
      </w:pPr>
    </w:p>
    <w:p>
      <w:pPr>
        <w:ind w:left="420" w:hanging="197"/>
        <w:spacing w:after="0"/>
        <w:tabs>
          <w:tab w:leader="none" w:pos="4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shares of common stock held in trust for the benefit of the individual,</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shares of common stock held in the Company’s 401(k) Plan,</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performance-based restricted stock and RSUs that have met the performance criteria but have not yet time-vested and/or settled; and</w:t>
      </w:r>
    </w:p>
    <w:p>
      <w:pPr>
        <w:spacing w:after="0" w:line="113" w:lineRule="exact"/>
        <w:rPr>
          <w:rFonts w:ascii="Arial" w:cs="Arial" w:eastAsia="Arial" w:hAnsi="Arial"/>
          <w:sz w:val="15"/>
          <w:szCs w:val="15"/>
          <w:color w:val="auto"/>
        </w:rPr>
      </w:pPr>
    </w:p>
    <w:p>
      <w:pPr>
        <w:ind w:left="420" w:hanging="197"/>
        <w:spacing w:after="0"/>
        <w:tabs>
          <w:tab w:leader="none" w:pos="4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time-based restricted stock and RSUs.</w:t>
      </w:r>
    </w:p>
    <w:p>
      <w:pPr>
        <w:spacing w:after="0" w:line="213" w:lineRule="exact"/>
        <w:rPr>
          <w:sz w:val="20"/>
          <w:szCs w:val="20"/>
          <w:color w:val="auto"/>
        </w:rPr>
      </w:pPr>
    </w:p>
    <w:p>
      <w:pPr>
        <w:jc w:val="both"/>
        <w:ind w:right="540"/>
        <w:spacing w:after="0" w:line="293" w:lineRule="auto"/>
        <w:rPr>
          <w:sz w:val="20"/>
          <w:szCs w:val="20"/>
          <w:color w:val="auto"/>
        </w:rPr>
      </w:pPr>
      <w:r>
        <w:rPr>
          <w:rFonts w:ascii="Arial" w:cs="Arial" w:eastAsia="Arial" w:hAnsi="Arial"/>
          <w:sz w:val="15"/>
          <w:szCs w:val="15"/>
          <w:color w:val="auto"/>
        </w:rPr>
        <w:t>Unearned performance-based restricted stock, unearned performance-based RSUs, and Options do not count as eligible securities under the guidelines. All of our currently employed NEOs are in compliance with these stock ownership guidelines or are within the five-year prescribed timeframe for complying with these stock ownership requirements.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Clawback Policy</w:t>
      </w:r>
    </w:p>
    <w:p>
      <w:pPr>
        <w:spacing w:after="0" w:line="83" w:lineRule="exact"/>
        <w:rPr>
          <w:sz w:val="20"/>
          <w:szCs w:val="20"/>
          <w:color w:val="auto"/>
        </w:rPr>
      </w:pPr>
    </w:p>
    <w:p>
      <w:pPr>
        <w:ind w:right="360"/>
        <w:spacing w:after="0" w:line="323" w:lineRule="auto"/>
        <w:rPr>
          <w:sz w:val="20"/>
          <w:szCs w:val="20"/>
          <w:color w:val="auto"/>
        </w:rPr>
      </w:pPr>
      <w:r>
        <w:rPr>
          <w:rFonts w:ascii="Arial" w:cs="Arial" w:eastAsia="Arial" w:hAnsi="Arial"/>
          <w:sz w:val="14"/>
          <w:szCs w:val="14"/>
          <w:color w:val="auto"/>
        </w:rPr>
        <w:t>We maintain clawback and forfeiture provisions that cover cash incentives and both time- and performance-based equity awards. The Company’s clawback policy provides for the recoupment of certain incentive compensation if the Committee determines that the incentive compensation of any executive officer was overpaid, in whole or in part, as a result of a financial restatement due to the Company’s material noncompliance with financial reporting requirements under the federal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995045</wp:posOffset>
            </wp:positionV>
            <wp:extent cx="7168515" cy="4127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699770</wp:posOffset>
            </wp:positionV>
            <wp:extent cx="789305" cy="18923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color w:val="007EC4"/>
        </w:rPr>
        <w:t xml:space="preserve">60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spacing w:after="0" w:line="288" w:lineRule="auto"/>
        <w:rPr>
          <w:sz w:val="20"/>
          <w:szCs w:val="20"/>
          <w:color w:val="auto"/>
        </w:rPr>
      </w:pPr>
      <w:r>
        <w:rPr>
          <w:rFonts w:ascii="Arial" w:cs="Arial" w:eastAsia="Arial" w:hAnsi="Arial"/>
          <w:sz w:val="15"/>
          <w:szCs w:val="15"/>
          <w:color w:val="auto"/>
        </w:rPr>
        <w:t>laws. In addition, our time-based RSUs and our performance-based RSUs awards contain clawback provisions which apply if an award recipient receives any amount in excess of what he or she should have received under the terms of the award for any reason (including without limitation by reason of a financial restatement, mistake in calculations or other administrative error), or in the event of certain detrimental conduct by the recipient, including a breach of restrictive covenants, fraud, gross negligence, conduct contributing to any financial restatements or irregularities, or any activity that would be grounds to terminate the executive for cause.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Prohibition on Hedging and Pledging of Company Stock</w:t>
      </w:r>
    </w:p>
    <w:p>
      <w:pPr>
        <w:spacing w:after="0" w:line="70"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Our Insider Trading Policy requires directors, officers (including our executive officers), and certain team members to consult and be pre-cleared by our Legal Department prior to engaging in transactions involving the Company’s securities. Directors, officers, and team members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Our Insider Trading Policy also prohibits our directors, officers, and team members from purchasing the Company’s securities on margin, or borrowing against any account in which the Company’s securities are held, or pledging the Company’s securities as collateral for a loan.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Equity Grant Practices</w:t>
      </w:r>
    </w:p>
    <w:p>
      <w:pPr>
        <w:spacing w:after="0" w:line="83"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The Committee generally approves annual equity awards for the Company’s executive officers at its regularly scheduled meeting in the first quarter of each year and the Company typically approves annual awards to non-executive team members in the first quarter of the fiscal year. Such annual awards generally have a grant date effective on the third trading day following the filing of the Company's Annual Report on Form 10-K for the prior fiscal year. Awards to directors are typically made on the first date of the Company’s next open trading window following the date of each Annual Stockholders Meeting. Additionally, team members may enroll to purchase shares of the Company’s Common Stock under the terms of the Company’s 2020 Employee Stock Purchase Plan, with purchase dates generally in June and December of each year. In special circumstances, including the hiring or promotion of an individual or where otherwise determined to be in the best interest of the Company, the Committee or its authorized delegate may approve grants to be effective at other times. The Company may also change these equity grant practices in the future. The Company does not time the disclosure of material nonpublic information for the purpose of affecting the value of executive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Compensation Risk Assessment</w:t>
      </w:r>
    </w:p>
    <w:p>
      <w:pPr>
        <w:spacing w:after="0" w:line="58" w:lineRule="exact"/>
        <w:rPr>
          <w:sz w:val="20"/>
          <w:szCs w:val="20"/>
          <w:color w:val="auto"/>
        </w:rPr>
      </w:pPr>
    </w:p>
    <w:p>
      <w:pPr>
        <w:ind w:right="60"/>
        <w:spacing w:after="0" w:line="314" w:lineRule="auto"/>
        <w:rPr>
          <w:sz w:val="20"/>
          <w:szCs w:val="20"/>
          <w:color w:val="auto"/>
        </w:rPr>
      </w:pPr>
      <w:r>
        <w:rPr>
          <w:rFonts w:ascii="Arial" w:cs="Arial" w:eastAsia="Arial" w:hAnsi="Arial"/>
          <w:sz w:val="14"/>
          <w:szCs w:val="14"/>
          <w:color w:val="auto"/>
        </w:rPr>
        <w:t>Annually, the Committee, together with management and the Committee’s compensation consultant, conducts an analysis to determine whether any risks arising from compensation policies and practices are reasonably likely to have a material adverse effect on the Company in light of our overall business, strategy, and objectives. Management, in concert with the Committee and the Committee’s compensation consultant, reviews and evaluates both cash and equity incentive plans across executive and non-executive team member populations, as well as other compensation-related policies to which our team members are subject. This assessment evaluates both:</w:t>
      </w:r>
    </w:p>
    <w:p>
      <w:pPr>
        <w:spacing w:after="0" w:line="90" w:lineRule="exact"/>
        <w:rPr>
          <w:sz w:val="20"/>
          <w:szCs w:val="20"/>
          <w:color w:val="auto"/>
        </w:rPr>
      </w:pPr>
    </w:p>
    <w:p>
      <w:pPr>
        <w:ind w:left="420" w:hanging="197"/>
        <w:spacing w:after="0"/>
        <w:tabs>
          <w:tab w:leader="none" w:pos="4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material enterprise risks related to our business that may be exacerbated by compensation policies and practices, and</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potential risks arising from attributes in our compensation practices, performance criteria, pay mix, and verification of performance results.</w:t>
      </w:r>
    </w:p>
    <w:p>
      <w:pPr>
        <w:spacing w:after="0" w:line="176"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Based on this assessment, the Committee has determined that the risks arising from the Company’s compensation plans and policies are not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68515" cy="4127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703580</wp:posOffset>
            </wp:positionV>
            <wp:extent cx="789305" cy="18923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480"/>
        <w:spacing w:after="0" w:line="293" w:lineRule="auto"/>
        <w:rPr>
          <w:sz w:val="20"/>
          <w:szCs w:val="20"/>
          <w:color w:val="auto"/>
        </w:rPr>
      </w:pPr>
      <w:r>
        <w:rPr>
          <w:rFonts w:ascii="Arial" w:cs="Arial" w:eastAsia="Arial" w:hAnsi="Arial"/>
          <w:sz w:val="15"/>
          <w:szCs w:val="15"/>
          <w:color w:val="auto"/>
        </w:rPr>
        <w:t>The Compensation Committee has reviewed and discussed the Compensation Discussion and Analysis with management. Based on its review and discussion with management, the Committee recommended to the Board that the Compensation Discussion and Analysis be included in this Proxy Statement and incorporated by reference in the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Submitted by the Compensation Committee of the Company’s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Compensation Committee Members:</w:t>
      </w:r>
    </w:p>
    <w:p>
      <w:pPr>
        <w:spacing w:after="0" w:line="58" w:lineRule="exact"/>
        <w:rPr>
          <w:sz w:val="20"/>
          <w:szCs w:val="20"/>
          <w:color w:val="auto"/>
        </w:rPr>
      </w:pPr>
    </w:p>
    <w:p>
      <w:pPr>
        <w:ind w:left="420" w:hanging="197"/>
        <w:spacing w:after="0"/>
        <w:tabs>
          <w:tab w:leader="none" w:pos="4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Beryl Raff, Chair</w:t>
      </w:r>
    </w:p>
    <w:p>
      <w:pPr>
        <w:spacing w:after="0" w:line="63" w:lineRule="exact"/>
        <w:rPr>
          <w:rFonts w:ascii="Arial" w:cs="Arial" w:eastAsia="Arial" w:hAnsi="Arial"/>
          <w:sz w:val="15"/>
          <w:szCs w:val="15"/>
          <w:color w:val="auto"/>
        </w:rPr>
      </w:pPr>
    </w:p>
    <w:p>
      <w:pPr>
        <w:ind w:left="420" w:hanging="197"/>
        <w:spacing w:after="0"/>
        <w:tabs>
          <w:tab w:leader="none" w:pos="4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Tom Nealon</w:t>
      </w:r>
    </w:p>
    <w:p>
      <w:pPr>
        <w:spacing w:after="0" w:line="51" w:lineRule="exact"/>
        <w:rPr>
          <w:rFonts w:ascii="Arial" w:cs="Arial" w:eastAsia="Arial" w:hAnsi="Arial"/>
          <w:sz w:val="15"/>
          <w:szCs w:val="15"/>
          <w:color w:val="auto"/>
        </w:rPr>
      </w:pPr>
    </w:p>
    <w:p>
      <w:pPr>
        <w:ind w:left="420" w:hanging="197"/>
        <w:spacing w:after="0"/>
        <w:tabs>
          <w:tab w:leader="none" w:pos="4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Jeff Tweedy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2821940</wp:posOffset>
            </wp:positionV>
            <wp:extent cx="7168515" cy="4127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2534285</wp:posOffset>
            </wp:positionV>
            <wp:extent cx="789305" cy="18923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7" w:name="page68"/>
    <w:bookmarkEnd w:id="67"/>
    <w:p>
      <w:pPr>
        <w:ind w:left="1"/>
        <w:spacing w:after="0"/>
        <w:rPr>
          <w:sz w:val="20"/>
          <w:szCs w:val="20"/>
          <w:color w:val="auto"/>
        </w:rPr>
      </w:pPr>
      <w:r>
        <w:rPr>
          <w:rFonts w:ascii="Arial" w:cs="Arial" w:eastAsia="Arial" w:hAnsi="Arial"/>
          <w:sz w:val="13"/>
          <w:szCs w:val="13"/>
          <w:b w:val="1"/>
          <w:bCs w:val="1"/>
          <w:color w:val="007EC4"/>
        </w:rPr>
        <w:t xml:space="preserve">62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Summary Compensation Table</w:t>
      </w:r>
    </w:p>
    <w:p>
      <w:pPr>
        <w:spacing w:after="0" w:line="144"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following table summarizes the compensation of our NEOs for 2024, 2023, and 2022. Messrs. Ford, and McCabe were not NEOs for fiscal 2022.</w:t>
      </w:r>
    </w:p>
    <w:p>
      <w:pPr>
        <w:spacing w:after="0" w:line="250" w:lineRule="exact"/>
        <w:rPr>
          <w:sz w:val="20"/>
          <w:szCs w:val="20"/>
          <w:color w:val="auto"/>
        </w:rPr>
      </w:pPr>
    </w:p>
    <w:tbl>
      <w:tblPr>
        <w:tblLayout w:type="fixed"/>
        <w:tblInd w:w="1" w:type="dxa"/>
        <w:tblCellMar>
          <w:top w:w="0" w:type="dxa"/>
          <w:left w:w="0" w:type="dxa"/>
          <w:bottom w:w="0" w:type="dxa"/>
          <w:right w:w="0" w:type="dxa"/>
        </w:tblCellMar>
      </w:tblPr>
      <w:tr>
        <w:trPr>
          <w:trHeight w:val="297"/>
        </w:trPr>
        <w:tc>
          <w:tcPr>
            <w:tcW w:w="1960" w:type="dxa"/>
            <w:vAlign w:val="bottom"/>
            <w:shd w:val="clear" w:color="auto" w:fill="E1D7AC"/>
          </w:tcPr>
          <w:p>
            <w:pPr>
              <w:spacing w:after="0"/>
              <w:rPr>
                <w:sz w:val="24"/>
                <w:szCs w:val="24"/>
                <w:color w:val="auto"/>
              </w:rPr>
            </w:pPr>
          </w:p>
        </w:tc>
        <w:tc>
          <w:tcPr>
            <w:tcW w:w="880" w:type="dxa"/>
            <w:vAlign w:val="bottom"/>
            <w:shd w:val="clear" w:color="auto" w:fill="E1D7AC"/>
          </w:tcPr>
          <w:p>
            <w:pPr>
              <w:spacing w:after="0"/>
              <w:rPr>
                <w:sz w:val="24"/>
                <w:szCs w:val="24"/>
                <w:color w:val="auto"/>
              </w:rPr>
            </w:pPr>
          </w:p>
        </w:tc>
        <w:tc>
          <w:tcPr>
            <w:tcW w:w="1160" w:type="dxa"/>
            <w:vAlign w:val="bottom"/>
            <w:shd w:val="clear" w:color="auto" w:fill="E1D7AC"/>
          </w:tcPr>
          <w:p>
            <w:pPr>
              <w:spacing w:after="0"/>
              <w:rPr>
                <w:sz w:val="24"/>
                <w:szCs w:val="24"/>
                <w:color w:val="auto"/>
              </w:rPr>
            </w:pPr>
          </w:p>
        </w:tc>
        <w:tc>
          <w:tcPr>
            <w:tcW w:w="1300" w:type="dxa"/>
            <w:vAlign w:val="bottom"/>
            <w:shd w:val="clear" w:color="auto" w:fill="E1D7AC"/>
          </w:tcPr>
          <w:p>
            <w:pPr>
              <w:spacing w:after="0"/>
              <w:rPr>
                <w:sz w:val="24"/>
                <w:szCs w:val="24"/>
                <w:color w:val="auto"/>
              </w:rPr>
            </w:pPr>
          </w:p>
        </w:tc>
        <w:tc>
          <w:tcPr>
            <w:tcW w:w="1280" w:type="dxa"/>
            <w:vAlign w:val="bottom"/>
            <w:shd w:val="clear" w:color="auto" w:fill="E1D7AC"/>
          </w:tcPr>
          <w:p>
            <w:pPr>
              <w:spacing w:after="0"/>
              <w:rPr>
                <w:sz w:val="24"/>
                <w:szCs w:val="24"/>
                <w:color w:val="auto"/>
              </w:rPr>
            </w:pPr>
          </w:p>
        </w:tc>
        <w:tc>
          <w:tcPr>
            <w:tcW w:w="2120" w:type="dxa"/>
            <w:vAlign w:val="bottom"/>
            <w:shd w:val="clear" w:color="auto" w:fill="E1D7AC"/>
          </w:tcPr>
          <w:p>
            <w:pPr>
              <w:jc w:val="right"/>
              <w:ind w:right="174"/>
              <w:spacing w:after="0"/>
              <w:rPr>
                <w:sz w:val="20"/>
                <w:szCs w:val="20"/>
                <w:color w:val="auto"/>
              </w:rPr>
            </w:pPr>
            <w:r>
              <w:rPr>
                <w:rFonts w:ascii="Arial" w:cs="Arial" w:eastAsia="Arial" w:hAnsi="Arial"/>
                <w:sz w:val="13"/>
                <w:szCs w:val="13"/>
                <w:b w:val="1"/>
                <w:bCs w:val="1"/>
                <w:color w:val="auto"/>
              </w:rPr>
              <w:t>Non Equity Incentive Plan</w:t>
            </w:r>
          </w:p>
        </w:tc>
        <w:tc>
          <w:tcPr>
            <w:tcW w:w="1480" w:type="dxa"/>
            <w:vAlign w:val="bottom"/>
            <w:shd w:val="clear" w:color="auto" w:fill="E1D7AC"/>
          </w:tcPr>
          <w:p>
            <w:pPr>
              <w:jc w:val="right"/>
              <w:ind w:right="254"/>
              <w:spacing w:after="0"/>
              <w:rPr>
                <w:sz w:val="20"/>
                <w:szCs w:val="20"/>
                <w:color w:val="auto"/>
              </w:rPr>
            </w:pPr>
            <w:r>
              <w:rPr>
                <w:rFonts w:ascii="Arial" w:cs="Arial" w:eastAsia="Arial" w:hAnsi="Arial"/>
                <w:sz w:val="13"/>
                <w:szCs w:val="13"/>
                <w:b w:val="1"/>
                <w:bCs w:val="1"/>
                <w:color w:val="auto"/>
              </w:rPr>
              <w:t>All Other</w:t>
            </w:r>
          </w:p>
        </w:tc>
        <w:tc>
          <w:tcPr>
            <w:tcW w:w="960" w:type="dxa"/>
            <w:vAlign w:val="bottom"/>
            <w:shd w:val="clear" w:color="auto" w:fill="E1D7AC"/>
          </w:tcPr>
          <w:p>
            <w:pPr>
              <w:spacing w:after="0"/>
              <w:rPr>
                <w:sz w:val="24"/>
                <w:szCs w:val="24"/>
                <w:color w:val="auto"/>
              </w:rPr>
            </w:pPr>
          </w:p>
        </w:tc>
        <w:tc>
          <w:tcPr>
            <w:tcW w:w="100" w:type="dxa"/>
            <w:vAlign w:val="bottom"/>
            <w:shd w:val="clear" w:color="auto" w:fill="E1D7AC"/>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96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Name and</w:t>
            </w:r>
          </w:p>
        </w:tc>
        <w:tc>
          <w:tcPr>
            <w:tcW w:w="880" w:type="dxa"/>
            <w:vAlign w:val="bottom"/>
            <w:shd w:val="clear" w:color="auto" w:fill="E1D7AC"/>
          </w:tcPr>
          <w:p>
            <w:pPr>
              <w:spacing w:after="0"/>
              <w:rPr>
                <w:sz w:val="13"/>
                <w:szCs w:val="13"/>
                <w:color w:val="auto"/>
              </w:rPr>
            </w:pPr>
          </w:p>
        </w:tc>
        <w:tc>
          <w:tcPr>
            <w:tcW w:w="11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Salary</w:t>
            </w:r>
          </w:p>
        </w:tc>
        <w:tc>
          <w:tcPr>
            <w:tcW w:w="130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Stock Awards</w:t>
            </w:r>
          </w:p>
        </w:tc>
        <w:tc>
          <w:tcPr>
            <w:tcW w:w="1280" w:type="dxa"/>
            <w:vAlign w:val="bottom"/>
            <w:shd w:val="clear" w:color="auto" w:fill="E1D7AC"/>
          </w:tcPr>
          <w:p>
            <w:pPr>
              <w:jc w:val="right"/>
              <w:ind w:right="197"/>
              <w:spacing w:after="0"/>
              <w:rPr>
                <w:sz w:val="20"/>
                <w:szCs w:val="20"/>
                <w:color w:val="auto"/>
              </w:rPr>
            </w:pPr>
            <w:r>
              <w:rPr>
                <w:rFonts w:ascii="Arial" w:cs="Arial" w:eastAsia="Arial" w:hAnsi="Arial"/>
                <w:sz w:val="13"/>
                <w:szCs w:val="13"/>
                <w:b w:val="1"/>
                <w:bCs w:val="1"/>
                <w:color w:val="auto"/>
              </w:rPr>
              <w:t>Option Awards</w:t>
            </w:r>
          </w:p>
        </w:tc>
        <w:tc>
          <w:tcPr>
            <w:tcW w:w="2120" w:type="dxa"/>
            <w:vAlign w:val="bottom"/>
            <w:shd w:val="clear" w:color="auto" w:fill="E1D7AC"/>
          </w:tcPr>
          <w:p>
            <w:pPr>
              <w:jc w:val="right"/>
              <w:ind w:right="174"/>
              <w:spacing w:after="0"/>
              <w:rPr>
                <w:sz w:val="20"/>
                <w:szCs w:val="20"/>
                <w:color w:val="auto"/>
              </w:rPr>
            </w:pPr>
            <w:r>
              <w:rPr>
                <w:rFonts w:ascii="Arial" w:cs="Arial" w:eastAsia="Arial" w:hAnsi="Arial"/>
                <w:sz w:val="13"/>
                <w:szCs w:val="13"/>
                <w:b w:val="1"/>
                <w:bCs w:val="1"/>
                <w:color w:val="auto"/>
              </w:rPr>
              <w:t>Compensation</w:t>
            </w:r>
          </w:p>
        </w:tc>
        <w:tc>
          <w:tcPr>
            <w:tcW w:w="1480" w:type="dxa"/>
            <w:vAlign w:val="bottom"/>
            <w:shd w:val="clear" w:color="auto" w:fill="E1D7AC"/>
          </w:tcPr>
          <w:p>
            <w:pPr>
              <w:jc w:val="right"/>
              <w:ind w:right="254"/>
              <w:spacing w:after="0"/>
              <w:rPr>
                <w:sz w:val="20"/>
                <w:szCs w:val="20"/>
                <w:color w:val="auto"/>
              </w:rPr>
            </w:pPr>
            <w:r>
              <w:rPr>
                <w:rFonts w:ascii="Arial" w:cs="Arial" w:eastAsia="Arial" w:hAnsi="Arial"/>
                <w:sz w:val="13"/>
                <w:szCs w:val="13"/>
                <w:b w:val="1"/>
                <w:bCs w:val="1"/>
                <w:color w:val="auto"/>
              </w:rPr>
              <w:t>Compensation</w:t>
            </w:r>
          </w:p>
        </w:tc>
        <w:tc>
          <w:tcPr>
            <w:tcW w:w="9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Total</w:t>
            </w:r>
          </w:p>
        </w:tc>
        <w:tc>
          <w:tcPr>
            <w:tcW w:w="100" w:type="dxa"/>
            <w:vAlign w:val="bottom"/>
            <w:shd w:val="clear" w:color="auto" w:fill="E1D7A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6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Principal Position</w:t>
            </w:r>
          </w:p>
        </w:tc>
        <w:tc>
          <w:tcPr>
            <w:tcW w:w="880" w:type="dxa"/>
            <w:vAlign w:val="bottom"/>
            <w:shd w:val="clear" w:color="auto" w:fill="E1D7AC"/>
          </w:tcPr>
          <w:p>
            <w:pPr>
              <w:ind w:left="300"/>
              <w:spacing w:after="0"/>
              <w:rPr>
                <w:sz w:val="20"/>
                <w:szCs w:val="20"/>
                <w:color w:val="auto"/>
              </w:rPr>
            </w:pPr>
            <w:r>
              <w:rPr>
                <w:rFonts w:ascii="Arial" w:cs="Arial" w:eastAsia="Arial" w:hAnsi="Arial"/>
                <w:sz w:val="13"/>
                <w:szCs w:val="13"/>
                <w:b w:val="1"/>
                <w:bCs w:val="1"/>
                <w:color w:val="auto"/>
                <w:shd w:val="clear" w:color="auto" w:fill="E1D7AC"/>
              </w:rPr>
              <w:t>Year</w:t>
            </w:r>
          </w:p>
        </w:tc>
        <w:tc>
          <w:tcPr>
            <w:tcW w:w="1160" w:type="dxa"/>
            <w:vAlign w:val="bottom"/>
            <w:shd w:val="clear" w:color="auto" w:fill="E1D7AC"/>
          </w:tcPr>
          <w:p>
            <w:pPr>
              <w:jc w:val="right"/>
              <w:spacing w:after="0" w:line="17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(1)</w:t>
            </w:r>
          </w:p>
        </w:tc>
        <w:tc>
          <w:tcPr>
            <w:tcW w:w="1300" w:type="dxa"/>
            <w:vAlign w:val="bottom"/>
            <w:shd w:val="clear" w:color="auto" w:fill="E1D7AC"/>
          </w:tcPr>
          <w:p>
            <w:pPr>
              <w:jc w:val="right"/>
              <w:ind w:right="14"/>
              <w:spacing w:after="0" w:line="17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(2)</w:t>
            </w:r>
          </w:p>
        </w:tc>
        <w:tc>
          <w:tcPr>
            <w:tcW w:w="1280" w:type="dxa"/>
            <w:vAlign w:val="bottom"/>
            <w:shd w:val="clear" w:color="auto" w:fill="E1D7AC"/>
          </w:tcPr>
          <w:p>
            <w:pPr>
              <w:jc w:val="right"/>
              <w:ind w:right="217"/>
              <w:spacing w:after="0" w:line="17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(3)</w:t>
            </w:r>
          </w:p>
        </w:tc>
        <w:tc>
          <w:tcPr>
            <w:tcW w:w="2120" w:type="dxa"/>
            <w:vAlign w:val="bottom"/>
            <w:shd w:val="clear" w:color="auto" w:fill="E1D7AC"/>
          </w:tcPr>
          <w:p>
            <w:pPr>
              <w:jc w:val="right"/>
              <w:ind w:right="174"/>
              <w:spacing w:after="0" w:line="17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(4)</w:t>
            </w:r>
          </w:p>
        </w:tc>
        <w:tc>
          <w:tcPr>
            <w:tcW w:w="1480" w:type="dxa"/>
            <w:vAlign w:val="bottom"/>
            <w:shd w:val="clear" w:color="auto" w:fill="E1D7AC"/>
          </w:tcPr>
          <w:p>
            <w:pPr>
              <w:jc w:val="right"/>
              <w:ind w:right="254"/>
              <w:spacing w:after="0" w:line="17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(5)</w:t>
            </w:r>
          </w:p>
        </w:tc>
        <w:tc>
          <w:tcPr>
            <w:tcW w:w="9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w:t>
            </w:r>
          </w:p>
        </w:tc>
        <w:tc>
          <w:tcPr>
            <w:tcW w:w="100" w:type="dxa"/>
            <w:vAlign w:val="bottom"/>
            <w:shd w:val="clear" w:color="auto" w:fill="E1D7AC"/>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960" w:type="dxa"/>
            <w:vAlign w:val="bottom"/>
            <w:shd w:val="clear" w:color="auto" w:fill="E1D7AC"/>
          </w:tcPr>
          <w:p>
            <w:pPr>
              <w:spacing w:after="0"/>
              <w:rPr>
                <w:sz w:val="8"/>
                <w:szCs w:val="8"/>
                <w:color w:val="auto"/>
              </w:rPr>
            </w:pPr>
          </w:p>
        </w:tc>
        <w:tc>
          <w:tcPr>
            <w:tcW w:w="880" w:type="dxa"/>
            <w:vAlign w:val="bottom"/>
            <w:shd w:val="clear" w:color="auto" w:fill="E1D7AC"/>
          </w:tcPr>
          <w:p>
            <w:pPr>
              <w:spacing w:after="0"/>
              <w:rPr>
                <w:sz w:val="8"/>
                <w:szCs w:val="8"/>
                <w:color w:val="auto"/>
              </w:rPr>
            </w:pPr>
          </w:p>
        </w:tc>
        <w:tc>
          <w:tcPr>
            <w:tcW w:w="1160" w:type="dxa"/>
            <w:vAlign w:val="bottom"/>
            <w:shd w:val="clear" w:color="auto" w:fill="E1D7AC"/>
          </w:tcPr>
          <w:p>
            <w:pPr>
              <w:spacing w:after="0"/>
              <w:rPr>
                <w:sz w:val="8"/>
                <w:szCs w:val="8"/>
                <w:color w:val="auto"/>
              </w:rPr>
            </w:pPr>
          </w:p>
        </w:tc>
        <w:tc>
          <w:tcPr>
            <w:tcW w:w="1300" w:type="dxa"/>
            <w:vAlign w:val="bottom"/>
            <w:shd w:val="clear" w:color="auto" w:fill="E1D7AC"/>
          </w:tcPr>
          <w:p>
            <w:pPr>
              <w:spacing w:after="0"/>
              <w:rPr>
                <w:sz w:val="8"/>
                <w:szCs w:val="8"/>
                <w:color w:val="auto"/>
              </w:rPr>
            </w:pPr>
          </w:p>
        </w:tc>
        <w:tc>
          <w:tcPr>
            <w:tcW w:w="1280" w:type="dxa"/>
            <w:vAlign w:val="bottom"/>
            <w:shd w:val="clear" w:color="auto" w:fill="E1D7AC"/>
          </w:tcPr>
          <w:p>
            <w:pPr>
              <w:spacing w:after="0"/>
              <w:rPr>
                <w:sz w:val="8"/>
                <w:szCs w:val="8"/>
                <w:color w:val="auto"/>
              </w:rPr>
            </w:pPr>
          </w:p>
        </w:tc>
        <w:tc>
          <w:tcPr>
            <w:tcW w:w="2120" w:type="dxa"/>
            <w:vAlign w:val="bottom"/>
            <w:shd w:val="clear" w:color="auto" w:fill="E1D7AC"/>
          </w:tcPr>
          <w:p>
            <w:pPr>
              <w:spacing w:after="0"/>
              <w:rPr>
                <w:sz w:val="8"/>
                <w:szCs w:val="8"/>
                <w:color w:val="auto"/>
              </w:rPr>
            </w:pPr>
          </w:p>
        </w:tc>
        <w:tc>
          <w:tcPr>
            <w:tcW w:w="1480" w:type="dxa"/>
            <w:vAlign w:val="bottom"/>
            <w:shd w:val="clear" w:color="auto" w:fill="E1D7AC"/>
          </w:tcPr>
          <w:p>
            <w:pPr>
              <w:spacing w:after="0"/>
              <w:rPr>
                <w:sz w:val="8"/>
                <w:szCs w:val="8"/>
                <w:color w:val="auto"/>
              </w:rPr>
            </w:pPr>
          </w:p>
        </w:tc>
        <w:tc>
          <w:tcPr>
            <w:tcW w:w="960" w:type="dxa"/>
            <w:vAlign w:val="bottom"/>
            <w:shd w:val="clear" w:color="auto" w:fill="E1D7AC"/>
          </w:tcPr>
          <w:p>
            <w:pPr>
              <w:spacing w:after="0"/>
              <w:rPr>
                <w:sz w:val="8"/>
                <w:szCs w:val="8"/>
                <w:color w:val="auto"/>
              </w:rPr>
            </w:pPr>
          </w:p>
        </w:tc>
        <w:tc>
          <w:tcPr>
            <w:tcW w:w="100" w:type="dxa"/>
            <w:vAlign w:val="bottom"/>
            <w:shd w:val="clear" w:color="auto" w:fill="E1D7AC"/>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DBDBDB"/>
          </w:tcPr>
          <w:p>
            <w:pPr>
              <w:spacing w:after="0"/>
              <w:rPr>
                <w:sz w:val="17"/>
                <w:szCs w:val="17"/>
                <w:color w:val="auto"/>
              </w:rPr>
            </w:pPr>
          </w:p>
        </w:tc>
        <w:tc>
          <w:tcPr>
            <w:tcW w:w="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2024</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1,043,269</w:t>
            </w:r>
          </w:p>
        </w:tc>
        <w:tc>
          <w:tcPr>
            <w:tcW w:w="130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6,499,938</w:t>
            </w:r>
          </w:p>
        </w:tc>
        <w:tc>
          <w:tcPr>
            <w:tcW w:w="1280" w:type="dxa"/>
            <w:vAlign w:val="bottom"/>
            <w:shd w:val="clear" w:color="auto" w:fill="DBDBDB"/>
          </w:tcPr>
          <w:p>
            <w:pPr>
              <w:jc w:val="right"/>
              <w:ind w:right="217"/>
              <w:spacing w:after="0"/>
              <w:rPr>
                <w:sz w:val="20"/>
                <w:szCs w:val="20"/>
                <w:color w:val="auto"/>
              </w:rPr>
            </w:pPr>
            <w:r>
              <w:rPr>
                <w:rFonts w:ascii="Arial" w:cs="Arial" w:eastAsia="Arial" w:hAnsi="Arial"/>
                <w:sz w:val="12"/>
                <w:szCs w:val="12"/>
                <w:color w:val="auto"/>
              </w:rPr>
              <w:t>—</w:t>
            </w:r>
          </w:p>
        </w:tc>
        <w:tc>
          <w:tcPr>
            <w:tcW w:w="2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1,082,612</w:t>
            </w:r>
          </w:p>
        </w:tc>
        <w:tc>
          <w:tcPr>
            <w:tcW w:w="148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rPr>
              <w:t>35,254</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8,661,073</w:t>
            </w:r>
          </w:p>
        </w:tc>
        <w:tc>
          <w:tcPr>
            <w:tcW w:w="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96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Steve Lawrence</w:t>
            </w:r>
          </w:p>
        </w:tc>
        <w:tc>
          <w:tcPr>
            <w:tcW w:w="880" w:type="dxa"/>
            <w:vAlign w:val="bottom"/>
            <w:vMerge w:val="restart"/>
            <w:shd w:val="clear" w:color="auto" w:fill="DBDBDB"/>
          </w:tcPr>
          <w:p>
            <w:pPr>
              <w:ind w:left="300"/>
              <w:spacing w:after="0"/>
              <w:rPr>
                <w:sz w:val="20"/>
                <w:szCs w:val="20"/>
                <w:color w:val="auto"/>
              </w:rPr>
            </w:pPr>
            <w:r>
              <w:rPr>
                <w:rFonts w:ascii="Arial" w:cs="Arial" w:eastAsia="Arial" w:hAnsi="Arial"/>
                <w:sz w:val="13"/>
                <w:szCs w:val="13"/>
                <w:color w:val="auto"/>
              </w:rPr>
              <w:t>2023</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949,100</w:t>
            </w:r>
          </w:p>
        </w:tc>
        <w:tc>
          <w:tcPr>
            <w:tcW w:w="1300" w:type="dxa"/>
            <w:vAlign w:val="bottom"/>
            <w:vMerge w:val="restart"/>
            <w:shd w:val="clear" w:color="auto" w:fill="DBDBDB"/>
          </w:tcPr>
          <w:p>
            <w:pPr>
              <w:jc w:val="right"/>
              <w:ind w:right="14"/>
              <w:spacing w:after="0"/>
              <w:rPr>
                <w:sz w:val="20"/>
                <w:szCs w:val="20"/>
                <w:color w:val="auto"/>
              </w:rPr>
            </w:pPr>
            <w:r>
              <w:rPr>
                <w:rFonts w:ascii="Arial" w:cs="Arial" w:eastAsia="Arial" w:hAnsi="Arial"/>
                <w:sz w:val="13"/>
                <w:szCs w:val="13"/>
                <w:color w:val="auto"/>
              </w:rPr>
              <w:t>5,624,921</w:t>
            </w:r>
          </w:p>
        </w:tc>
        <w:tc>
          <w:tcPr>
            <w:tcW w:w="1280" w:type="dxa"/>
            <w:vAlign w:val="bottom"/>
            <w:vMerge w:val="restart"/>
            <w:shd w:val="clear" w:color="auto" w:fill="DBDBDB"/>
          </w:tcPr>
          <w:p>
            <w:pPr>
              <w:jc w:val="right"/>
              <w:ind w:right="217"/>
              <w:spacing w:after="0"/>
              <w:rPr>
                <w:sz w:val="20"/>
                <w:szCs w:val="20"/>
                <w:color w:val="auto"/>
              </w:rPr>
            </w:pPr>
            <w:r>
              <w:rPr>
                <w:rFonts w:ascii="Arial" w:cs="Arial" w:eastAsia="Arial" w:hAnsi="Arial"/>
                <w:sz w:val="13"/>
                <w:szCs w:val="13"/>
                <w:color w:val="auto"/>
              </w:rPr>
              <w:t>1,874,978</w:t>
            </w:r>
          </w:p>
        </w:tc>
        <w:tc>
          <w:tcPr>
            <w:tcW w:w="2120" w:type="dxa"/>
            <w:vAlign w:val="bottom"/>
            <w:vMerge w:val="restart"/>
            <w:shd w:val="clear" w:color="auto" w:fill="DBDBDB"/>
          </w:tcPr>
          <w:p>
            <w:pPr>
              <w:jc w:val="right"/>
              <w:ind w:right="174"/>
              <w:spacing w:after="0"/>
              <w:rPr>
                <w:sz w:val="20"/>
                <w:szCs w:val="20"/>
                <w:color w:val="auto"/>
              </w:rPr>
            </w:pPr>
            <w:r>
              <w:rPr>
                <w:rFonts w:ascii="Arial" w:cs="Arial" w:eastAsia="Arial" w:hAnsi="Arial"/>
                <w:sz w:val="13"/>
                <w:szCs w:val="13"/>
                <w:color w:val="auto"/>
              </w:rPr>
              <w:t>148,888</w:t>
            </w:r>
          </w:p>
        </w:tc>
        <w:tc>
          <w:tcPr>
            <w:tcW w:w="1480" w:type="dxa"/>
            <w:vAlign w:val="bottom"/>
            <w:vMerge w:val="restart"/>
            <w:shd w:val="clear" w:color="auto" w:fill="DBDBDB"/>
          </w:tcPr>
          <w:p>
            <w:pPr>
              <w:jc w:val="right"/>
              <w:ind w:right="254"/>
              <w:spacing w:after="0"/>
              <w:rPr>
                <w:sz w:val="20"/>
                <w:szCs w:val="20"/>
                <w:color w:val="auto"/>
              </w:rPr>
            </w:pPr>
            <w:r>
              <w:rPr>
                <w:rFonts w:ascii="Arial" w:cs="Arial" w:eastAsia="Arial" w:hAnsi="Arial"/>
                <w:sz w:val="13"/>
                <w:szCs w:val="13"/>
                <w:color w:val="auto"/>
              </w:rPr>
              <w:t>29,513</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8,627,400</w:t>
            </w:r>
          </w:p>
        </w:tc>
        <w:tc>
          <w:tcPr>
            <w:tcW w:w="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960" w:type="dxa"/>
            <w:vAlign w:val="bottom"/>
            <w:vMerge w:val="restart"/>
            <w:shd w:val="clear" w:color="auto" w:fill="DBDBDB"/>
          </w:tcPr>
          <w:p>
            <w:pPr>
              <w:ind w:left="100"/>
              <w:spacing w:after="0"/>
              <w:rPr>
                <w:sz w:val="20"/>
                <w:szCs w:val="20"/>
                <w:color w:val="auto"/>
              </w:rPr>
            </w:pPr>
            <w:r>
              <w:rPr>
                <w:rFonts w:ascii="Arial" w:cs="Arial" w:eastAsia="Arial" w:hAnsi="Arial"/>
                <w:sz w:val="13"/>
                <w:szCs w:val="13"/>
                <w:color w:val="auto"/>
              </w:rPr>
              <w:t>CEO</w:t>
            </w:r>
          </w:p>
        </w:tc>
        <w:tc>
          <w:tcPr>
            <w:tcW w:w="880" w:type="dxa"/>
            <w:vAlign w:val="bottom"/>
            <w:vMerge w:val="continue"/>
            <w:shd w:val="clear" w:color="auto" w:fill="DBDBDB"/>
          </w:tcPr>
          <w:p>
            <w:pPr>
              <w:spacing w:after="0"/>
              <w:rPr>
                <w:sz w:val="6"/>
                <w:szCs w:val="6"/>
                <w:color w:val="auto"/>
              </w:rPr>
            </w:pPr>
          </w:p>
        </w:tc>
        <w:tc>
          <w:tcPr>
            <w:tcW w:w="1160" w:type="dxa"/>
            <w:vAlign w:val="bottom"/>
            <w:vMerge w:val="continue"/>
            <w:shd w:val="clear" w:color="auto" w:fill="DBDBDB"/>
          </w:tcPr>
          <w:p>
            <w:pPr>
              <w:spacing w:after="0"/>
              <w:rPr>
                <w:sz w:val="6"/>
                <w:szCs w:val="6"/>
                <w:color w:val="auto"/>
              </w:rPr>
            </w:pPr>
          </w:p>
        </w:tc>
        <w:tc>
          <w:tcPr>
            <w:tcW w:w="1300" w:type="dxa"/>
            <w:vAlign w:val="bottom"/>
            <w:vMerge w:val="continue"/>
            <w:shd w:val="clear" w:color="auto" w:fill="DBDBDB"/>
          </w:tcPr>
          <w:p>
            <w:pPr>
              <w:spacing w:after="0"/>
              <w:rPr>
                <w:sz w:val="6"/>
                <w:szCs w:val="6"/>
                <w:color w:val="auto"/>
              </w:rPr>
            </w:pPr>
          </w:p>
        </w:tc>
        <w:tc>
          <w:tcPr>
            <w:tcW w:w="1280" w:type="dxa"/>
            <w:vAlign w:val="bottom"/>
            <w:vMerge w:val="continue"/>
            <w:shd w:val="clear" w:color="auto" w:fill="DBDBDB"/>
          </w:tcPr>
          <w:p>
            <w:pPr>
              <w:spacing w:after="0"/>
              <w:rPr>
                <w:sz w:val="6"/>
                <w:szCs w:val="6"/>
                <w:color w:val="auto"/>
              </w:rPr>
            </w:pPr>
          </w:p>
        </w:tc>
        <w:tc>
          <w:tcPr>
            <w:tcW w:w="2120" w:type="dxa"/>
            <w:vAlign w:val="bottom"/>
            <w:vMerge w:val="continue"/>
            <w:shd w:val="clear" w:color="auto" w:fill="DBDBDB"/>
          </w:tcPr>
          <w:p>
            <w:pPr>
              <w:spacing w:after="0"/>
              <w:rPr>
                <w:sz w:val="6"/>
                <w:szCs w:val="6"/>
                <w:color w:val="auto"/>
              </w:rPr>
            </w:pPr>
          </w:p>
        </w:tc>
        <w:tc>
          <w:tcPr>
            <w:tcW w:w="1480" w:type="dxa"/>
            <w:vAlign w:val="bottom"/>
            <w:vMerge w:val="continue"/>
            <w:shd w:val="clear" w:color="auto" w:fill="DBDBDB"/>
          </w:tcPr>
          <w:p>
            <w:pPr>
              <w:spacing w:after="0"/>
              <w:rPr>
                <w:sz w:val="6"/>
                <w:szCs w:val="6"/>
                <w:color w:val="auto"/>
              </w:rPr>
            </w:pPr>
          </w:p>
        </w:tc>
        <w:tc>
          <w:tcPr>
            <w:tcW w:w="96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shd w:val="clear" w:color="auto" w:fill="DBDBDB"/>
          </w:tcPr>
          <w:p>
            <w:pPr>
              <w:spacing w:after="0"/>
              <w:rPr>
                <w:sz w:val="8"/>
                <w:szCs w:val="8"/>
                <w:color w:val="auto"/>
              </w:rPr>
            </w:pPr>
          </w:p>
        </w:tc>
        <w:tc>
          <w:tcPr>
            <w:tcW w:w="880" w:type="dxa"/>
            <w:vAlign w:val="bottom"/>
            <w:vMerge w:val="restart"/>
            <w:shd w:val="clear" w:color="auto" w:fill="DBDBDB"/>
          </w:tcPr>
          <w:p>
            <w:pPr>
              <w:ind w:left="300"/>
              <w:spacing w:after="0"/>
              <w:rPr>
                <w:sz w:val="20"/>
                <w:szCs w:val="20"/>
                <w:color w:val="auto"/>
              </w:rPr>
            </w:pPr>
            <w:r>
              <w:rPr>
                <w:rFonts w:ascii="Arial" w:cs="Arial" w:eastAsia="Arial" w:hAnsi="Arial"/>
                <w:sz w:val="13"/>
                <w:szCs w:val="13"/>
                <w:color w:val="auto"/>
              </w:rPr>
              <w:t>2022</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772,346</w:t>
            </w:r>
          </w:p>
        </w:tc>
        <w:tc>
          <w:tcPr>
            <w:tcW w:w="1300" w:type="dxa"/>
            <w:vAlign w:val="bottom"/>
            <w:vMerge w:val="restart"/>
            <w:shd w:val="clear" w:color="auto" w:fill="DBDBDB"/>
          </w:tcPr>
          <w:p>
            <w:pPr>
              <w:jc w:val="right"/>
              <w:ind w:right="14"/>
              <w:spacing w:after="0"/>
              <w:rPr>
                <w:sz w:val="20"/>
                <w:szCs w:val="20"/>
                <w:color w:val="auto"/>
              </w:rPr>
            </w:pPr>
            <w:r>
              <w:rPr>
                <w:rFonts w:ascii="Arial" w:cs="Arial" w:eastAsia="Arial" w:hAnsi="Arial"/>
                <w:sz w:val="13"/>
                <w:szCs w:val="13"/>
                <w:color w:val="auto"/>
              </w:rPr>
              <w:t>332,984</w:t>
            </w:r>
          </w:p>
        </w:tc>
        <w:tc>
          <w:tcPr>
            <w:tcW w:w="1280" w:type="dxa"/>
            <w:vAlign w:val="bottom"/>
            <w:vMerge w:val="restart"/>
            <w:shd w:val="clear" w:color="auto" w:fill="DBDBDB"/>
          </w:tcPr>
          <w:p>
            <w:pPr>
              <w:jc w:val="right"/>
              <w:ind w:right="217"/>
              <w:spacing w:after="0"/>
              <w:rPr>
                <w:sz w:val="20"/>
                <w:szCs w:val="20"/>
                <w:color w:val="auto"/>
              </w:rPr>
            </w:pPr>
            <w:r>
              <w:rPr>
                <w:rFonts w:ascii="Arial" w:cs="Arial" w:eastAsia="Arial" w:hAnsi="Arial"/>
                <w:sz w:val="13"/>
                <w:szCs w:val="13"/>
                <w:color w:val="auto"/>
              </w:rPr>
              <w:t>666,991</w:t>
            </w:r>
          </w:p>
        </w:tc>
        <w:tc>
          <w:tcPr>
            <w:tcW w:w="2120" w:type="dxa"/>
            <w:vAlign w:val="bottom"/>
            <w:vMerge w:val="restart"/>
            <w:shd w:val="clear" w:color="auto" w:fill="DBDBDB"/>
          </w:tcPr>
          <w:p>
            <w:pPr>
              <w:jc w:val="right"/>
              <w:ind w:right="174"/>
              <w:spacing w:after="0"/>
              <w:rPr>
                <w:sz w:val="20"/>
                <w:szCs w:val="20"/>
                <w:color w:val="auto"/>
              </w:rPr>
            </w:pPr>
            <w:r>
              <w:rPr>
                <w:rFonts w:ascii="Arial" w:cs="Arial" w:eastAsia="Arial" w:hAnsi="Arial"/>
                <w:sz w:val="13"/>
                <w:szCs w:val="13"/>
                <w:color w:val="auto"/>
              </w:rPr>
              <w:t>760,772</w:t>
            </w:r>
          </w:p>
        </w:tc>
        <w:tc>
          <w:tcPr>
            <w:tcW w:w="1480" w:type="dxa"/>
            <w:vAlign w:val="bottom"/>
            <w:vMerge w:val="restart"/>
            <w:shd w:val="clear" w:color="auto" w:fill="DBDBDB"/>
          </w:tcPr>
          <w:p>
            <w:pPr>
              <w:jc w:val="right"/>
              <w:ind w:right="254"/>
              <w:spacing w:after="0"/>
              <w:rPr>
                <w:sz w:val="20"/>
                <w:szCs w:val="20"/>
                <w:color w:val="auto"/>
              </w:rPr>
            </w:pPr>
            <w:r>
              <w:rPr>
                <w:rFonts w:ascii="Arial" w:cs="Arial" w:eastAsia="Arial" w:hAnsi="Arial"/>
                <w:sz w:val="13"/>
                <w:szCs w:val="13"/>
                <w:color w:val="auto"/>
              </w:rPr>
              <w:t>23,406</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2,556,499</w:t>
            </w:r>
          </w:p>
        </w:tc>
        <w:tc>
          <w:tcPr>
            <w:tcW w:w="1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160" w:type="dxa"/>
            <w:vAlign w:val="bottom"/>
            <w:vMerge w:val="continue"/>
            <w:shd w:val="clear" w:color="auto" w:fill="DBDBDB"/>
          </w:tcPr>
          <w:p>
            <w:pPr>
              <w:spacing w:after="0"/>
              <w:rPr>
                <w:sz w:val="14"/>
                <w:szCs w:val="14"/>
                <w:color w:val="auto"/>
              </w:rPr>
            </w:pPr>
          </w:p>
        </w:tc>
        <w:tc>
          <w:tcPr>
            <w:tcW w:w="1300" w:type="dxa"/>
            <w:vAlign w:val="bottom"/>
            <w:vMerge w:val="continue"/>
            <w:shd w:val="clear" w:color="auto" w:fill="DBDBDB"/>
          </w:tcPr>
          <w:p>
            <w:pPr>
              <w:spacing w:after="0"/>
              <w:rPr>
                <w:sz w:val="14"/>
                <w:szCs w:val="14"/>
                <w:color w:val="auto"/>
              </w:rPr>
            </w:pPr>
          </w:p>
        </w:tc>
        <w:tc>
          <w:tcPr>
            <w:tcW w:w="1280" w:type="dxa"/>
            <w:vAlign w:val="bottom"/>
            <w:vMerge w:val="continue"/>
            <w:shd w:val="clear" w:color="auto" w:fill="DBDBDB"/>
          </w:tcPr>
          <w:p>
            <w:pPr>
              <w:spacing w:after="0"/>
              <w:rPr>
                <w:sz w:val="14"/>
                <w:szCs w:val="14"/>
                <w:color w:val="auto"/>
              </w:rPr>
            </w:pPr>
          </w:p>
        </w:tc>
        <w:tc>
          <w:tcPr>
            <w:tcW w:w="2120" w:type="dxa"/>
            <w:vAlign w:val="bottom"/>
            <w:vMerge w:val="continue"/>
            <w:shd w:val="clear" w:color="auto" w:fill="DBDBDB"/>
          </w:tcPr>
          <w:p>
            <w:pPr>
              <w:spacing w:after="0"/>
              <w:rPr>
                <w:sz w:val="14"/>
                <w:szCs w:val="14"/>
                <w:color w:val="auto"/>
              </w:rPr>
            </w:pPr>
          </w:p>
        </w:tc>
        <w:tc>
          <w:tcPr>
            <w:tcW w:w="1480" w:type="dxa"/>
            <w:vAlign w:val="bottom"/>
            <w:vMerge w:val="continue"/>
            <w:shd w:val="clear" w:color="auto" w:fill="DBDBDB"/>
          </w:tcPr>
          <w:p>
            <w:pPr>
              <w:spacing w:after="0"/>
              <w:rPr>
                <w:sz w:val="14"/>
                <w:szCs w:val="14"/>
                <w:color w:val="auto"/>
              </w:rPr>
            </w:pPr>
          </w:p>
        </w:tc>
        <w:tc>
          <w:tcPr>
            <w:tcW w:w="96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1960" w:type="dxa"/>
            <w:vAlign w:val="bottom"/>
            <w:shd w:val="clear" w:color="auto" w:fill="DBDBDB"/>
          </w:tcPr>
          <w:p>
            <w:pPr>
              <w:spacing w:after="0"/>
              <w:rPr>
                <w:sz w:val="6"/>
                <w:szCs w:val="6"/>
                <w:color w:val="auto"/>
              </w:rPr>
            </w:pPr>
          </w:p>
        </w:tc>
        <w:tc>
          <w:tcPr>
            <w:tcW w:w="880" w:type="dxa"/>
            <w:vAlign w:val="bottom"/>
            <w:shd w:val="clear" w:color="auto" w:fill="DBDBDB"/>
          </w:tcPr>
          <w:p>
            <w:pPr>
              <w:spacing w:after="0"/>
              <w:rPr>
                <w:sz w:val="6"/>
                <w:szCs w:val="6"/>
                <w:color w:val="auto"/>
              </w:rPr>
            </w:pPr>
          </w:p>
        </w:tc>
        <w:tc>
          <w:tcPr>
            <w:tcW w:w="1160" w:type="dxa"/>
            <w:vAlign w:val="bottom"/>
            <w:shd w:val="clear" w:color="auto" w:fill="DBDBDB"/>
          </w:tcPr>
          <w:p>
            <w:pPr>
              <w:spacing w:after="0"/>
              <w:rPr>
                <w:sz w:val="6"/>
                <w:szCs w:val="6"/>
                <w:color w:val="auto"/>
              </w:rPr>
            </w:pPr>
          </w:p>
        </w:tc>
        <w:tc>
          <w:tcPr>
            <w:tcW w:w="1300" w:type="dxa"/>
            <w:vAlign w:val="bottom"/>
            <w:shd w:val="clear" w:color="auto" w:fill="DBDBDB"/>
          </w:tcPr>
          <w:p>
            <w:pPr>
              <w:spacing w:after="0"/>
              <w:rPr>
                <w:sz w:val="6"/>
                <w:szCs w:val="6"/>
                <w:color w:val="auto"/>
              </w:rPr>
            </w:pPr>
          </w:p>
        </w:tc>
        <w:tc>
          <w:tcPr>
            <w:tcW w:w="1280" w:type="dxa"/>
            <w:vAlign w:val="bottom"/>
            <w:shd w:val="clear" w:color="auto" w:fill="DBDBDB"/>
          </w:tcPr>
          <w:p>
            <w:pPr>
              <w:spacing w:after="0"/>
              <w:rPr>
                <w:sz w:val="6"/>
                <w:szCs w:val="6"/>
                <w:color w:val="auto"/>
              </w:rPr>
            </w:pPr>
          </w:p>
        </w:tc>
        <w:tc>
          <w:tcPr>
            <w:tcW w:w="2120" w:type="dxa"/>
            <w:vAlign w:val="bottom"/>
            <w:shd w:val="clear" w:color="auto" w:fill="DBDBDB"/>
          </w:tcPr>
          <w:p>
            <w:pPr>
              <w:spacing w:after="0"/>
              <w:rPr>
                <w:sz w:val="6"/>
                <w:szCs w:val="6"/>
                <w:color w:val="auto"/>
              </w:rPr>
            </w:pPr>
          </w:p>
        </w:tc>
        <w:tc>
          <w:tcPr>
            <w:tcW w:w="148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9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Sam Johnson</w:t>
            </w:r>
          </w:p>
        </w:tc>
        <w:tc>
          <w:tcPr>
            <w:tcW w:w="880" w:type="dxa"/>
            <w:vAlign w:val="bottom"/>
          </w:tcPr>
          <w:p>
            <w:pPr>
              <w:ind w:left="300"/>
              <w:spacing w:after="0"/>
              <w:rPr>
                <w:sz w:val="20"/>
                <w:szCs w:val="20"/>
                <w:color w:val="auto"/>
              </w:rPr>
            </w:pPr>
            <w:r>
              <w:rPr>
                <w:rFonts w:ascii="Arial" w:cs="Arial" w:eastAsia="Arial" w:hAnsi="Arial"/>
                <w:sz w:val="13"/>
                <w:szCs w:val="13"/>
                <w:color w:val="auto"/>
              </w:rPr>
              <w:t>2024</w:t>
            </w:r>
          </w:p>
        </w:tc>
        <w:tc>
          <w:tcPr>
            <w:tcW w:w="1160" w:type="dxa"/>
            <w:vAlign w:val="bottom"/>
          </w:tcPr>
          <w:p>
            <w:pPr>
              <w:jc w:val="right"/>
              <w:spacing w:after="0"/>
              <w:rPr>
                <w:sz w:val="20"/>
                <w:szCs w:val="20"/>
                <w:color w:val="auto"/>
              </w:rPr>
            </w:pPr>
            <w:r>
              <w:rPr>
                <w:rFonts w:ascii="Arial" w:cs="Arial" w:eastAsia="Arial" w:hAnsi="Arial"/>
                <w:sz w:val="13"/>
                <w:szCs w:val="13"/>
                <w:color w:val="auto"/>
              </w:rPr>
              <w:t>837,981</w:t>
            </w:r>
          </w:p>
        </w:tc>
        <w:tc>
          <w:tcPr>
            <w:tcW w:w="1300" w:type="dxa"/>
            <w:vAlign w:val="bottom"/>
          </w:tcPr>
          <w:p>
            <w:pPr>
              <w:jc w:val="right"/>
              <w:ind w:right="14"/>
              <w:spacing w:after="0"/>
              <w:rPr>
                <w:sz w:val="20"/>
                <w:szCs w:val="20"/>
                <w:color w:val="auto"/>
              </w:rPr>
            </w:pPr>
            <w:r>
              <w:rPr>
                <w:rFonts w:ascii="Arial" w:cs="Arial" w:eastAsia="Arial" w:hAnsi="Arial"/>
                <w:sz w:val="13"/>
                <w:szCs w:val="13"/>
                <w:color w:val="auto"/>
              </w:rPr>
              <w:t>2,999,900</w:t>
            </w:r>
          </w:p>
        </w:tc>
        <w:tc>
          <w:tcPr>
            <w:tcW w:w="1280" w:type="dxa"/>
            <w:vAlign w:val="bottom"/>
          </w:tcPr>
          <w:p>
            <w:pPr>
              <w:jc w:val="right"/>
              <w:ind w:right="217"/>
              <w:spacing w:after="0"/>
              <w:rPr>
                <w:sz w:val="20"/>
                <w:szCs w:val="20"/>
                <w:color w:val="auto"/>
              </w:rPr>
            </w:pPr>
            <w:r>
              <w:rPr>
                <w:rFonts w:ascii="Arial" w:cs="Arial" w:eastAsia="Arial" w:hAnsi="Arial"/>
                <w:sz w:val="12"/>
                <w:szCs w:val="12"/>
                <w:color w:val="auto"/>
              </w:rPr>
              <w:t>—</w:t>
            </w:r>
          </w:p>
        </w:tc>
        <w:tc>
          <w:tcPr>
            <w:tcW w:w="2120" w:type="dxa"/>
            <w:vAlign w:val="bottom"/>
          </w:tcPr>
          <w:p>
            <w:pPr>
              <w:jc w:val="right"/>
              <w:ind w:right="174"/>
              <w:spacing w:after="0"/>
              <w:rPr>
                <w:sz w:val="20"/>
                <w:szCs w:val="20"/>
                <w:color w:val="auto"/>
              </w:rPr>
            </w:pPr>
            <w:r>
              <w:rPr>
                <w:rFonts w:ascii="Arial" w:cs="Arial" w:eastAsia="Arial" w:hAnsi="Arial"/>
                <w:sz w:val="13"/>
                <w:szCs w:val="13"/>
                <w:color w:val="auto"/>
              </w:rPr>
              <w:t>751,672</w:t>
            </w:r>
          </w:p>
        </w:tc>
        <w:tc>
          <w:tcPr>
            <w:tcW w:w="1480" w:type="dxa"/>
            <w:vAlign w:val="bottom"/>
          </w:tcPr>
          <w:p>
            <w:pPr>
              <w:jc w:val="right"/>
              <w:ind w:right="254"/>
              <w:spacing w:after="0"/>
              <w:rPr>
                <w:sz w:val="20"/>
                <w:szCs w:val="20"/>
                <w:color w:val="auto"/>
              </w:rPr>
            </w:pPr>
            <w:r>
              <w:rPr>
                <w:rFonts w:ascii="Arial" w:cs="Arial" w:eastAsia="Arial" w:hAnsi="Arial"/>
                <w:sz w:val="13"/>
                <w:szCs w:val="13"/>
                <w:color w:val="auto"/>
              </w:rPr>
              <w:t>34,911</w:t>
            </w:r>
          </w:p>
        </w:tc>
        <w:tc>
          <w:tcPr>
            <w:tcW w:w="960" w:type="dxa"/>
            <w:vAlign w:val="bottom"/>
          </w:tcPr>
          <w:p>
            <w:pPr>
              <w:jc w:val="right"/>
              <w:spacing w:after="0"/>
              <w:rPr>
                <w:sz w:val="20"/>
                <w:szCs w:val="20"/>
                <w:color w:val="auto"/>
              </w:rPr>
            </w:pPr>
            <w:r>
              <w:rPr>
                <w:rFonts w:ascii="Arial" w:cs="Arial" w:eastAsia="Arial" w:hAnsi="Arial"/>
                <w:sz w:val="13"/>
                <w:szCs w:val="13"/>
                <w:color w:val="auto"/>
              </w:rPr>
              <w:t>4,624,464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880" w:type="dxa"/>
            <w:vAlign w:val="bottom"/>
            <w:vMerge w:val="restart"/>
          </w:tcPr>
          <w:p>
            <w:pPr>
              <w:ind w:left="300"/>
              <w:spacing w:after="0"/>
              <w:rPr>
                <w:sz w:val="20"/>
                <w:szCs w:val="20"/>
                <w:color w:val="auto"/>
              </w:rPr>
            </w:pPr>
            <w:r>
              <w:rPr>
                <w:rFonts w:ascii="Arial" w:cs="Arial" w:eastAsia="Arial" w:hAnsi="Arial"/>
                <w:sz w:val="13"/>
                <w:szCs w:val="13"/>
                <w:color w:val="auto"/>
              </w:rPr>
              <w:t>2023</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728,473</w:t>
            </w:r>
          </w:p>
        </w:tc>
        <w:tc>
          <w:tcPr>
            <w:tcW w:w="1300" w:type="dxa"/>
            <w:vAlign w:val="bottom"/>
            <w:vMerge w:val="restart"/>
          </w:tcPr>
          <w:p>
            <w:pPr>
              <w:jc w:val="right"/>
              <w:ind w:right="14"/>
              <w:spacing w:after="0"/>
              <w:rPr>
                <w:sz w:val="20"/>
                <w:szCs w:val="20"/>
                <w:color w:val="auto"/>
              </w:rPr>
            </w:pPr>
            <w:r>
              <w:rPr>
                <w:rFonts w:ascii="Arial" w:cs="Arial" w:eastAsia="Arial" w:hAnsi="Arial"/>
                <w:sz w:val="13"/>
                <w:szCs w:val="13"/>
                <w:color w:val="auto"/>
              </w:rPr>
              <w:t>2,249,813</w:t>
            </w:r>
          </w:p>
        </w:tc>
        <w:tc>
          <w:tcPr>
            <w:tcW w:w="1280" w:type="dxa"/>
            <w:vAlign w:val="bottom"/>
            <w:vMerge w:val="restart"/>
          </w:tcPr>
          <w:p>
            <w:pPr>
              <w:jc w:val="right"/>
              <w:ind w:right="217"/>
              <w:spacing w:after="0"/>
              <w:rPr>
                <w:sz w:val="20"/>
                <w:szCs w:val="20"/>
                <w:color w:val="auto"/>
              </w:rPr>
            </w:pPr>
            <w:r>
              <w:rPr>
                <w:rFonts w:ascii="Arial" w:cs="Arial" w:eastAsia="Arial" w:hAnsi="Arial"/>
                <w:sz w:val="13"/>
                <w:szCs w:val="13"/>
                <w:color w:val="auto"/>
              </w:rPr>
              <w:t>749,979</w:t>
            </w:r>
          </w:p>
        </w:tc>
        <w:tc>
          <w:tcPr>
            <w:tcW w:w="2120" w:type="dxa"/>
            <w:vAlign w:val="bottom"/>
            <w:vMerge w:val="restart"/>
          </w:tcPr>
          <w:p>
            <w:pPr>
              <w:jc w:val="right"/>
              <w:ind w:right="174"/>
              <w:spacing w:after="0"/>
              <w:rPr>
                <w:sz w:val="20"/>
                <w:szCs w:val="20"/>
                <w:color w:val="auto"/>
              </w:rPr>
            </w:pPr>
            <w:r>
              <w:rPr>
                <w:rFonts w:ascii="Arial" w:cs="Arial" w:eastAsia="Arial" w:hAnsi="Arial"/>
                <w:sz w:val="13"/>
                <w:szCs w:val="13"/>
                <w:color w:val="auto"/>
              </w:rPr>
              <w:t>103,125</w:t>
            </w:r>
          </w:p>
        </w:tc>
        <w:tc>
          <w:tcPr>
            <w:tcW w:w="1480" w:type="dxa"/>
            <w:vAlign w:val="bottom"/>
            <w:vMerge w:val="restart"/>
          </w:tcPr>
          <w:p>
            <w:pPr>
              <w:jc w:val="right"/>
              <w:ind w:right="254"/>
              <w:spacing w:after="0"/>
              <w:rPr>
                <w:sz w:val="20"/>
                <w:szCs w:val="20"/>
                <w:color w:val="auto"/>
              </w:rPr>
            </w:pPr>
            <w:r>
              <w:rPr>
                <w:rFonts w:ascii="Arial" w:cs="Arial" w:eastAsia="Arial" w:hAnsi="Arial"/>
                <w:sz w:val="13"/>
                <w:szCs w:val="13"/>
                <w:color w:val="auto"/>
              </w:rPr>
              <w:t>29,345</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3,860,735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960" w:type="dxa"/>
            <w:vAlign w:val="bottom"/>
            <w:vMerge w:val="restart"/>
          </w:tcPr>
          <w:p>
            <w:pPr>
              <w:ind w:left="100"/>
              <w:spacing w:after="0"/>
              <w:rPr>
                <w:sz w:val="20"/>
                <w:szCs w:val="20"/>
                <w:color w:val="auto"/>
              </w:rPr>
            </w:pPr>
            <w:r>
              <w:rPr>
                <w:rFonts w:ascii="Arial" w:cs="Arial" w:eastAsia="Arial" w:hAnsi="Arial"/>
                <w:sz w:val="13"/>
                <w:szCs w:val="13"/>
                <w:color w:val="auto"/>
              </w:rPr>
              <w:t>President</w:t>
            </w:r>
          </w:p>
        </w:tc>
        <w:tc>
          <w:tcPr>
            <w:tcW w:w="8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vMerge w:val="continue"/>
          </w:tcPr>
          <w:p>
            <w:pPr>
              <w:spacing w:after="0"/>
              <w:rPr>
                <w:sz w:val="7"/>
                <w:szCs w:val="7"/>
                <w:color w:val="auto"/>
              </w:rPr>
            </w:pPr>
          </w:p>
        </w:tc>
        <w:tc>
          <w:tcPr>
            <w:tcW w:w="880" w:type="dxa"/>
            <w:vAlign w:val="bottom"/>
            <w:vMerge w:val="restart"/>
          </w:tcPr>
          <w:p>
            <w:pPr>
              <w:ind w:left="300"/>
              <w:spacing w:after="0"/>
              <w:rPr>
                <w:sz w:val="20"/>
                <w:szCs w:val="20"/>
                <w:color w:val="auto"/>
              </w:rPr>
            </w:pPr>
            <w:r>
              <w:rPr>
                <w:rFonts w:ascii="Arial" w:cs="Arial" w:eastAsia="Arial" w:hAnsi="Arial"/>
                <w:sz w:val="13"/>
                <w:szCs w:val="13"/>
                <w:color w:val="auto"/>
              </w:rPr>
              <w:t>2022</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592,981</w:t>
            </w:r>
          </w:p>
        </w:tc>
        <w:tc>
          <w:tcPr>
            <w:tcW w:w="1300" w:type="dxa"/>
            <w:vAlign w:val="bottom"/>
            <w:vMerge w:val="restart"/>
          </w:tcPr>
          <w:p>
            <w:pPr>
              <w:jc w:val="right"/>
              <w:ind w:right="14"/>
              <w:spacing w:after="0"/>
              <w:rPr>
                <w:sz w:val="20"/>
                <w:szCs w:val="20"/>
                <w:color w:val="auto"/>
              </w:rPr>
            </w:pPr>
            <w:r>
              <w:rPr>
                <w:rFonts w:ascii="Arial" w:cs="Arial" w:eastAsia="Arial" w:hAnsi="Arial"/>
                <w:sz w:val="13"/>
                <w:szCs w:val="13"/>
                <w:color w:val="auto"/>
              </w:rPr>
              <w:t>332,984</w:t>
            </w:r>
          </w:p>
        </w:tc>
        <w:tc>
          <w:tcPr>
            <w:tcW w:w="1280" w:type="dxa"/>
            <w:vAlign w:val="bottom"/>
            <w:vMerge w:val="restart"/>
          </w:tcPr>
          <w:p>
            <w:pPr>
              <w:jc w:val="right"/>
              <w:ind w:right="217"/>
              <w:spacing w:after="0"/>
              <w:rPr>
                <w:sz w:val="20"/>
                <w:szCs w:val="20"/>
                <w:color w:val="auto"/>
              </w:rPr>
            </w:pPr>
            <w:r>
              <w:rPr>
                <w:rFonts w:ascii="Arial" w:cs="Arial" w:eastAsia="Arial" w:hAnsi="Arial"/>
                <w:sz w:val="13"/>
                <w:szCs w:val="13"/>
                <w:color w:val="auto"/>
              </w:rPr>
              <w:t>666,991</w:t>
            </w:r>
          </w:p>
        </w:tc>
        <w:tc>
          <w:tcPr>
            <w:tcW w:w="2120" w:type="dxa"/>
            <w:vAlign w:val="bottom"/>
            <w:vMerge w:val="restart"/>
          </w:tcPr>
          <w:p>
            <w:pPr>
              <w:jc w:val="right"/>
              <w:ind w:right="174"/>
              <w:spacing w:after="0"/>
              <w:rPr>
                <w:sz w:val="20"/>
                <w:szCs w:val="20"/>
                <w:color w:val="auto"/>
              </w:rPr>
            </w:pPr>
            <w:r>
              <w:rPr>
                <w:rFonts w:ascii="Arial" w:cs="Arial" w:eastAsia="Arial" w:hAnsi="Arial"/>
                <w:sz w:val="13"/>
                <w:szCs w:val="13"/>
                <w:color w:val="auto"/>
              </w:rPr>
              <w:t>584,076</w:t>
            </w:r>
          </w:p>
        </w:tc>
        <w:tc>
          <w:tcPr>
            <w:tcW w:w="1480" w:type="dxa"/>
            <w:vAlign w:val="bottom"/>
            <w:vMerge w:val="restart"/>
          </w:tcPr>
          <w:p>
            <w:pPr>
              <w:jc w:val="right"/>
              <w:ind w:right="254"/>
              <w:spacing w:after="0"/>
              <w:rPr>
                <w:sz w:val="20"/>
                <w:szCs w:val="20"/>
                <w:color w:val="auto"/>
              </w:rPr>
            </w:pPr>
            <w:r>
              <w:rPr>
                <w:rFonts w:ascii="Arial" w:cs="Arial" w:eastAsia="Arial" w:hAnsi="Arial"/>
                <w:sz w:val="13"/>
                <w:szCs w:val="13"/>
                <w:color w:val="auto"/>
              </w:rPr>
              <w:t>25,381</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2,202,413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196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2024</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521,635</w:t>
            </w:r>
          </w:p>
        </w:tc>
        <w:tc>
          <w:tcPr>
            <w:tcW w:w="130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1,249,882</w:t>
            </w:r>
          </w:p>
        </w:tc>
        <w:tc>
          <w:tcPr>
            <w:tcW w:w="1280" w:type="dxa"/>
            <w:vAlign w:val="bottom"/>
            <w:shd w:val="clear" w:color="auto" w:fill="DBDBDB"/>
          </w:tcPr>
          <w:p>
            <w:pPr>
              <w:jc w:val="right"/>
              <w:ind w:right="217"/>
              <w:spacing w:after="0"/>
              <w:rPr>
                <w:sz w:val="20"/>
                <w:szCs w:val="20"/>
                <w:color w:val="auto"/>
              </w:rPr>
            </w:pPr>
            <w:r>
              <w:rPr>
                <w:rFonts w:ascii="Arial" w:cs="Arial" w:eastAsia="Arial" w:hAnsi="Arial"/>
                <w:sz w:val="12"/>
                <w:szCs w:val="12"/>
                <w:color w:val="auto"/>
              </w:rPr>
              <w:t>—</w:t>
            </w:r>
          </w:p>
        </w:tc>
        <w:tc>
          <w:tcPr>
            <w:tcW w:w="2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402,681</w:t>
            </w:r>
          </w:p>
        </w:tc>
        <w:tc>
          <w:tcPr>
            <w:tcW w:w="148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rPr>
              <w:t>20,902</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2,195,100</w:t>
            </w:r>
          </w:p>
        </w:tc>
        <w:tc>
          <w:tcPr>
            <w:tcW w:w="1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EVP, CFO</w:t>
            </w:r>
          </w:p>
        </w:tc>
        <w:tc>
          <w:tcPr>
            <w:tcW w:w="880" w:type="dxa"/>
            <w:vAlign w:val="bottom"/>
            <w:tcBorders>
              <w:bottom w:val="single" w:sz="8" w:color="DBDBDB"/>
            </w:tcBorders>
            <w:shd w:val="clear" w:color="auto" w:fill="DBDBDB"/>
          </w:tcPr>
          <w:p>
            <w:pPr>
              <w:ind w:left="300"/>
              <w:spacing w:after="0"/>
              <w:rPr>
                <w:sz w:val="20"/>
                <w:szCs w:val="20"/>
                <w:color w:val="auto"/>
              </w:rPr>
            </w:pPr>
            <w:r>
              <w:rPr>
                <w:rFonts w:ascii="Arial" w:cs="Arial" w:eastAsia="Arial" w:hAnsi="Arial"/>
                <w:sz w:val="13"/>
                <w:szCs w:val="13"/>
                <w:color w:val="auto"/>
              </w:rPr>
              <w:t>2023</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447,014</w:t>
            </w:r>
          </w:p>
        </w:tc>
        <w:tc>
          <w:tcPr>
            <w:tcW w:w="1300" w:type="dxa"/>
            <w:vAlign w:val="bottom"/>
            <w:tcBorders>
              <w:bottom w:val="single" w:sz="8" w:color="DBDBDB"/>
            </w:tcBorders>
            <w:shd w:val="clear" w:color="auto" w:fill="DBDBDB"/>
          </w:tcPr>
          <w:p>
            <w:pPr>
              <w:jc w:val="right"/>
              <w:ind w:right="14"/>
              <w:spacing w:after="0"/>
              <w:rPr>
                <w:sz w:val="20"/>
                <w:szCs w:val="20"/>
                <w:color w:val="auto"/>
              </w:rPr>
            </w:pPr>
            <w:r>
              <w:rPr>
                <w:rFonts w:ascii="Arial" w:cs="Arial" w:eastAsia="Arial" w:hAnsi="Arial"/>
                <w:sz w:val="13"/>
                <w:szCs w:val="13"/>
                <w:color w:val="auto"/>
              </w:rPr>
              <w:t>999,875</w:t>
            </w:r>
          </w:p>
        </w:tc>
        <w:tc>
          <w:tcPr>
            <w:tcW w:w="1280" w:type="dxa"/>
            <w:vAlign w:val="bottom"/>
            <w:tcBorders>
              <w:bottom w:val="single" w:sz="8" w:color="DBDBDB"/>
            </w:tcBorders>
            <w:shd w:val="clear" w:color="auto" w:fill="DBDBDB"/>
          </w:tcPr>
          <w:p>
            <w:pPr>
              <w:jc w:val="right"/>
              <w:ind w:right="217"/>
              <w:spacing w:after="0"/>
              <w:rPr>
                <w:sz w:val="20"/>
                <w:szCs w:val="20"/>
                <w:color w:val="auto"/>
              </w:rPr>
            </w:pPr>
            <w:r>
              <w:rPr>
                <w:rFonts w:ascii="Arial" w:cs="Arial" w:eastAsia="Arial" w:hAnsi="Arial"/>
                <w:sz w:val="13"/>
                <w:szCs w:val="13"/>
                <w:color w:val="auto"/>
              </w:rPr>
              <w:t>249,984</w:t>
            </w:r>
          </w:p>
        </w:tc>
        <w:tc>
          <w:tcPr>
            <w:tcW w:w="2120" w:type="dxa"/>
            <w:vAlign w:val="bottom"/>
            <w:tcBorders>
              <w:bottom w:val="single" w:sz="8" w:color="DBDBDB"/>
            </w:tcBorders>
            <w:shd w:val="clear" w:color="auto" w:fill="DBDBDB"/>
          </w:tcPr>
          <w:p>
            <w:pPr>
              <w:jc w:val="right"/>
              <w:ind w:right="174"/>
              <w:spacing w:after="0"/>
              <w:rPr>
                <w:sz w:val="20"/>
                <w:szCs w:val="20"/>
                <w:color w:val="auto"/>
              </w:rPr>
            </w:pPr>
            <w:r>
              <w:rPr>
                <w:rFonts w:ascii="Arial" w:cs="Arial" w:eastAsia="Arial" w:hAnsi="Arial"/>
                <w:sz w:val="13"/>
                <w:szCs w:val="13"/>
                <w:color w:val="auto"/>
              </w:rPr>
              <w:t>45,417</w:t>
            </w:r>
          </w:p>
        </w:tc>
        <w:tc>
          <w:tcPr>
            <w:tcW w:w="1480" w:type="dxa"/>
            <w:vAlign w:val="bottom"/>
            <w:tcBorders>
              <w:bottom w:val="single" w:sz="8" w:color="DBDBDB"/>
            </w:tcBorders>
            <w:shd w:val="clear" w:color="auto" w:fill="DBDBDB"/>
          </w:tcPr>
          <w:p>
            <w:pPr>
              <w:jc w:val="right"/>
              <w:ind w:right="254"/>
              <w:spacing w:after="0"/>
              <w:rPr>
                <w:sz w:val="20"/>
                <w:szCs w:val="20"/>
                <w:color w:val="auto"/>
              </w:rPr>
            </w:pPr>
            <w:r>
              <w:rPr>
                <w:rFonts w:ascii="Arial" w:cs="Arial" w:eastAsia="Arial" w:hAnsi="Arial"/>
                <w:sz w:val="13"/>
                <w:szCs w:val="13"/>
                <w:color w:val="auto"/>
              </w:rPr>
              <w:t>21,413</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1,763,703</w:t>
            </w:r>
          </w:p>
        </w:tc>
        <w:tc>
          <w:tcPr>
            <w:tcW w:w="10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96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880" w:type="dxa"/>
            <w:vAlign w:val="bottom"/>
          </w:tcPr>
          <w:p>
            <w:pPr>
              <w:ind w:left="300"/>
              <w:spacing w:after="0"/>
              <w:rPr>
                <w:sz w:val="20"/>
                <w:szCs w:val="20"/>
                <w:color w:val="auto"/>
              </w:rPr>
            </w:pPr>
            <w:r>
              <w:rPr>
                <w:rFonts w:ascii="Arial" w:cs="Arial" w:eastAsia="Arial" w:hAnsi="Arial"/>
                <w:sz w:val="13"/>
                <w:szCs w:val="13"/>
                <w:color w:val="auto"/>
              </w:rPr>
              <w:t>2024</w:t>
            </w:r>
          </w:p>
        </w:tc>
        <w:tc>
          <w:tcPr>
            <w:tcW w:w="1160" w:type="dxa"/>
            <w:vAlign w:val="bottom"/>
          </w:tcPr>
          <w:p>
            <w:pPr>
              <w:jc w:val="right"/>
              <w:spacing w:after="0"/>
              <w:rPr>
                <w:sz w:val="20"/>
                <w:szCs w:val="20"/>
                <w:color w:val="auto"/>
              </w:rPr>
            </w:pPr>
            <w:r>
              <w:rPr>
                <w:rFonts w:ascii="Arial" w:cs="Arial" w:eastAsia="Arial" w:hAnsi="Arial"/>
                <w:sz w:val="13"/>
                <w:szCs w:val="13"/>
                <w:color w:val="auto"/>
              </w:rPr>
              <w:t>521,635</w:t>
            </w:r>
          </w:p>
        </w:tc>
        <w:tc>
          <w:tcPr>
            <w:tcW w:w="1300" w:type="dxa"/>
            <w:vAlign w:val="bottom"/>
          </w:tcPr>
          <w:p>
            <w:pPr>
              <w:jc w:val="right"/>
              <w:ind w:right="14"/>
              <w:spacing w:after="0"/>
              <w:rPr>
                <w:sz w:val="20"/>
                <w:szCs w:val="20"/>
                <w:color w:val="auto"/>
              </w:rPr>
            </w:pPr>
            <w:r>
              <w:rPr>
                <w:rFonts w:ascii="Arial" w:cs="Arial" w:eastAsia="Arial" w:hAnsi="Arial"/>
                <w:sz w:val="13"/>
                <w:szCs w:val="13"/>
                <w:color w:val="auto"/>
              </w:rPr>
              <w:t>1,249,882</w:t>
            </w:r>
          </w:p>
        </w:tc>
        <w:tc>
          <w:tcPr>
            <w:tcW w:w="1280" w:type="dxa"/>
            <w:vAlign w:val="bottom"/>
          </w:tcPr>
          <w:p>
            <w:pPr>
              <w:jc w:val="right"/>
              <w:ind w:right="217"/>
              <w:spacing w:after="0"/>
              <w:rPr>
                <w:sz w:val="20"/>
                <w:szCs w:val="20"/>
                <w:color w:val="auto"/>
              </w:rPr>
            </w:pPr>
            <w:r>
              <w:rPr>
                <w:rFonts w:ascii="Arial" w:cs="Arial" w:eastAsia="Arial" w:hAnsi="Arial"/>
                <w:sz w:val="12"/>
                <w:szCs w:val="12"/>
                <w:color w:val="auto"/>
              </w:rPr>
              <w:t>—</w:t>
            </w:r>
          </w:p>
        </w:tc>
        <w:tc>
          <w:tcPr>
            <w:tcW w:w="2120" w:type="dxa"/>
            <w:vAlign w:val="bottom"/>
          </w:tcPr>
          <w:p>
            <w:pPr>
              <w:jc w:val="right"/>
              <w:ind w:right="174"/>
              <w:spacing w:after="0"/>
              <w:rPr>
                <w:sz w:val="20"/>
                <w:szCs w:val="20"/>
                <w:color w:val="auto"/>
              </w:rPr>
            </w:pPr>
            <w:r>
              <w:rPr>
                <w:rFonts w:ascii="Arial" w:cs="Arial" w:eastAsia="Arial" w:hAnsi="Arial"/>
                <w:sz w:val="13"/>
                <w:szCs w:val="13"/>
                <w:color w:val="auto"/>
              </w:rPr>
              <w:t>402,681</w:t>
            </w:r>
          </w:p>
        </w:tc>
        <w:tc>
          <w:tcPr>
            <w:tcW w:w="1480" w:type="dxa"/>
            <w:vAlign w:val="bottom"/>
          </w:tcPr>
          <w:p>
            <w:pPr>
              <w:jc w:val="right"/>
              <w:ind w:right="254"/>
              <w:spacing w:after="0"/>
              <w:rPr>
                <w:sz w:val="20"/>
                <w:szCs w:val="20"/>
                <w:color w:val="auto"/>
              </w:rPr>
            </w:pPr>
            <w:r>
              <w:rPr>
                <w:rFonts w:ascii="Arial" w:cs="Arial" w:eastAsia="Arial" w:hAnsi="Arial"/>
                <w:sz w:val="13"/>
                <w:szCs w:val="13"/>
                <w:color w:val="auto"/>
              </w:rPr>
              <w:t>15,330</w:t>
            </w:r>
          </w:p>
        </w:tc>
        <w:tc>
          <w:tcPr>
            <w:tcW w:w="960" w:type="dxa"/>
            <w:vAlign w:val="bottom"/>
          </w:tcPr>
          <w:p>
            <w:pPr>
              <w:jc w:val="right"/>
              <w:spacing w:after="0"/>
              <w:rPr>
                <w:sz w:val="20"/>
                <w:szCs w:val="20"/>
                <w:color w:val="auto"/>
              </w:rPr>
            </w:pPr>
            <w:r>
              <w:rPr>
                <w:rFonts w:ascii="Arial" w:cs="Arial" w:eastAsia="Arial" w:hAnsi="Arial"/>
                <w:sz w:val="13"/>
                <w:szCs w:val="13"/>
                <w:color w:val="auto"/>
              </w:rPr>
              <w:t>2,189,528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60" w:type="dxa"/>
            <w:vAlign w:val="bottom"/>
          </w:tcPr>
          <w:p>
            <w:pPr>
              <w:ind w:left="100"/>
              <w:spacing w:after="0"/>
              <w:rPr>
                <w:sz w:val="20"/>
                <w:szCs w:val="20"/>
                <w:color w:val="auto"/>
              </w:rPr>
            </w:pPr>
            <w:r>
              <w:rPr>
                <w:rFonts w:ascii="Arial" w:cs="Arial" w:eastAsia="Arial" w:hAnsi="Arial"/>
                <w:sz w:val="13"/>
                <w:szCs w:val="13"/>
                <w:color w:val="auto"/>
              </w:rPr>
              <w:t>EVP, CMO</w:t>
            </w:r>
          </w:p>
        </w:tc>
        <w:tc>
          <w:tcPr>
            <w:tcW w:w="880" w:type="dxa"/>
            <w:vAlign w:val="bottom"/>
          </w:tcPr>
          <w:p>
            <w:pPr>
              <w:ind w:left="300"/>
              <w:spacing w:after="0"/>
              <w:rPr>
                <w:sz w:val="20"/>
                <w:szCs w:val="20"/>
                <w:color w:val="auto"/>
              </w:rPr>
            </w:pPr>
            <w:r>
              <w:rPr>
                <w:rFonts w:ascii="Arial" w:cs="Arial" w:eastAsia="Arial" w:hAnsi="Arial"/>
                <w:sz w:val="13"/>
                <w:szCs w:val="13"/>
                <w:color w:val="auto"/>
              </w:rPr>
              <w:t>2023</w:t>
            </w:r>
          </w:p>
        </w:tc>
        <w:tc>
          <w:tcPr>
            <w:tcW w:w="1160" w:type="dxa"/>
            <w:vAlign w:val="bottom"/>
          </w:tcPr>
          <w:p>
            <w:pPr>
              <w:jc w:val="right"/>
              <w:spacing w:after="0"/>
              <w:rPr>
                <w:sz w:val="20"/>
                <w:szCs w:val="20"/>
                <w:color w:val="auto"/>
              </w:rPr>
            </w:pPr>
            <w:r>
              <w:rPr>
                <w:rFonts w:ascii="Arial" w:cs="Arial" w:eastAsia="Arial" w:hAnsi="Arial"/>
                <w:sz w:val="13"/>
                <w:szCs w:val="13"/>
                <w:color w:val="auto"/>
              </w:rPr>
              <w:t>437,442</w:t>
            </w:r>
          </w:p>
        </w:tc>
        <w:tc>
          <w:tcPr>
            <w:tcW w:w="1300" w:type="dxa"/>
            <w:vAlign w:val="bottom"/>
          </w:tcPr>
          <w:p>
            <w:pPr>
              <w:jc w:val="right"/>
              <w:ind w:right="14"/>
              <w:spacing w:after="0"/>
              <w:rPr>
                <w:sz w:val="20"/>
                <w:szCs w:val="20"/>
                <w:color w:val="auto"/>
              </w:rPr>
            </w:pPr>
            <w:r>
              <w:rPr>
                <w:rFonts w:ascii="Arial" w:cs="Arial" w:eastAsia="Arial" w:hAnsi="Arial"/>
                <w:sz w:val="13"/>
                <w:szCs w:val="13"/>
                <w:color w:val="auto"/>
              </w:rPr>
              <w:t>999,875</w:t>
            </w:r>
          </w:p>
        </w:tc>
        <w:tc>
          <w:tcPr>
            <w:tcW w:w="1280" w:type="dxa"/>
            <w:vAlign w:val="bottom"/>
          </w:tcPr>
          <w:p>
            <w:pPr>
              <w:jc w:val="right"/>
              <w:ind w:right="217"/>
              <w:spacing w:after="0"/>
              <w:rPr>
                <w:sz w:val="20"/>
                <w:szCs w:val="20"/>
                <w:color w:val="auto"/>
              </w:rPr>
            </w:pPr>
            <w:r>
              <w:rPr>
                <w:rFonts w:ascii="Arial" w:cs="Arial" w:eastAsia="Arial" w:hAnsi="Arial"/>
                <w:sz w:val="13"/>
                <w:szCs w:val="13"/>
                <w:color w:val="auto"/>
              </w:rPr>
              <w:t>249,984</w:t>
            </w:r>
          </w:p>
        </w:tc>
        <w:tc>
          <w:tcPr>
            <w:tcW w:w="2120" w:type="dxa"/>
            <w:vAlign w:val="bottom"/>
          </w:tcPr>
          <w:p>
            <w:pPr>
              <w:jc w:val="right"/>
              <w:ind w:right="174"/>
              <w:spacing w:after="0"/>
              <w:rPr>
                <w:sz w:val="20"/>
                <w:szCs w:val="20"/>
                <w:color w:val="auto"/>
              </w:rPr>
            </w:pPr>
            <w:r>
              <w:rPr>
                <w:rFonts w:ascii="Arial" w:cs="Arial" w:eastAsia="Arial" w:hAnsi="Arial"/>
                <w:sz w:val="13"/>
                <w:szCs w:val="13"/>
                <w:color w:val="auto"/>
              </w:rPr>
              <w:t>36,454</w:t>
            </w:r>
          </w:p>
        </w:tc>
        <w:tc>
          <w:tcPr>
            <w:tcW w:w="1480" w:type="dxa"/>
            <w:vAlign w:val="bottom"/>
          </w:tcPr>
          <w:p>
            <w:pPr>
              <w:jc w:val="right"/>
              <w:ind w:right="254"/>
              <w:spacing w:after="0"/>
              <w:rPr>
                <w:sz w:val="20"/>
                <w:szCs w:val="20"/>
                <w:color w:val="auto"/>
              </w:rPr>
            </w:pPr>
            <w:r>
              <w:rPr>
                <w:rFonts w:ascii="Arial" w:cs="Arial" w:eastAsia="Arial" w:hAnsi="Arial"/>
                <w:sz w:val="13"/>
                <w:szCs w:val="13"/>
                <w:color w:val="auto"/>
              </w:rPr>
              <w:t>20,374</w:t>
            </w:r>
          </w:p>
        </w:tc>
        <w:tc>
          <w:tcPr>
            <w:tcW w:w="960" w:type="dxa"/>
            <w:vAlign w:val="bottom"/>
          </w:tcPr>
          <w:p>
            <w:pPr>
              <w:jc w:val="right"/>
              <w:spacing w:after="0"/>
              <w:rPr>
                <w:sz w:val="20"/>
                <w:szCs w:val="20"/>
                <w:color w:val="auto"/>
              </w:rPr>
            </w:pPr>
            <w:r>
              <w:rPr>
                <w:rFonts w:ascii="Arial" w:cs="Arial" w:eastAsia="Arial" w:hAnsi="Arial"/>
                <w:sz w:val="13"/>
                <w:szCs w:val="13"/>
                <w:color w:val="auto"/>
              </w:rPr>
              <w:t>1,744,129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196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Ken Hicks</w:t>
            </w:r>
          </w:p>
        </w:tc>
        <w:tc>
          <w:tcPr>
            <w:tcW w:w="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2024</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228,846</w:t>
            </w:r>
          </w:p>
        </w:tc>
        <w:tc>
          <w:tcPr>
            <w:tcW w:w="130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270,240</w:t>
            </w:r>
          </w:p>
        </w:tc>
        <w:tc>
          <w:tcPr>
            <w:tcW w:w="1280" w:type="dxa"/>
            <w:vAlign w:val="bottom"/>
            <w:shd w:val="clear" w:color="auto" w:fill="DBDBDB"/>
          </w:tcPr>
          <w:p>
            <w:pPr>
              <w:jc w:val="right"/>
              <w:ind w:right="217"/>
              <w:spacing w:after="0"/>
              <w:rPr>
                <w:sz w:val="20"/>
                <w:szCs w:val="20"/>
                <w:color w:val="auto"/>
              </w:rPr>
            </w:pPr>
            <w:r>
              <w:rPr>
                <w:rFonts w:ascii="Arial" w:cs="Arial" w:eastAsia="Arial" w:hAnsi="Arial"/>
                <w:sz w:val="12"/>
                <w:szCs w:val="12"/>
                <w:color w:val="auto"/>
              </w:rPr>
              <w:t>—</w:t>
            </w:r>
          </w:p>
        </w:tc>
        <w:tc>
          <w:tcPr>
            <w:tcW w:w="2120" w:type="dxa"/>
            <w:vAlign w:val="bottom"/>
            <w:shd w:val="clear" w:color="auto" w:fill="DBDBDB"/>
          </w:tcPr>
          <w:p>
            <w:pPr>
              <w:jc w:val="right"/>
              <w:ind w:right="174"/>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rPr>
              <w:t>147,140</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646,226</w:t>
            </w:r>
          </w:p>
        </w:tc>
        <w:tc>
          <w:tcPr>
            <w:tcW w:w="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1960" w:type="dxa"/>
            <w:vAlign w:val="bottom"/>
            <w:vMerge w:val="continue"/>
            <w:shd w:val="clear" w:color="auto" w:fill="DBDBDB"/>
          </w:tcPr>
          <w:p>
            <w:pPr>
              <w:spacing w:after="0"/>
              <w:rPr>
                <w:sz w:val="3"/>
                <w:szCs w:val="3"/>
                <w:color w:val="auto"/>
              </w:rPr>
            </w:pPr>
          </w:p>
        </w:tc>
        <w:tc>
          <w:tcPr>
            <w:tcW w:w="880" w:type="dxa"/>
            <w:vAlign w:val="bottom"/>
            <w:shd w:val="clear" w:color="auto" w:fill="DBDBDB"/>
          </w:tcPr>
          <w:p>
            <w:pPr>
              <w:spacing w:after="0"/>
              <w:rPr>
                <w:sz w:val="3"/>
                <w:szCs w:val="3"/>
                <w:color w:val="auto"/>
              </w:rPr>
            </w:pPr>
          </w:p>
        </w:tc>
        <w:tc>
          <w:tcPr>
            <w:tcW w:w="1160" w:type="dxa"/>
            <w:vAlign w:val="bottom"/>
            <w:shd w:val="clear" w:color="auto" w:fill="DBDBDB"/>
          </w:tcPr>
          <w:p>
            <w:pPr>
              <w:spacing w:after="0"/>
              <w:rPr>
                <w:sz w:val="3"/>
                <w:szCs w:val="3"/>
                <w:color w:val="auto"/>
              </w:rPr>
            </w:pPr>
          </w:p>
        </w:tc>
        <w:tc>
          <w:tcPr>
            <w:tcW w:w="1300" w:type="dxa"/>
            <w:vAlign w:val="bottom"/>
            <w:shd w:val="clear" w:color="auto" w:fill="DBDBDB"/>
          </w:tcPr>
          <w:p>
            <w:pPr>
              <w:spacing w:after="0"/>
              <w:rPr>
                <w:sz w:val="3"/>
                <w:szCs w:val="3"/>
                <w:color w:val="auto"/>
              </w:rPr>
            </w:pPr>
          </w:p>
        </w:tc>
        <w:tc>
          <w:tcPr>
            <w:tcW w:w="1280" w:type="dxa"/>
            <w:vAlign w:val="bottom"/>
            <w:shd w:val="clear" w:color="auto" w:fill="DBDBDB"/>
          </w:tcPr>
          <w:p>
            <w:pPr>
              <w:spacing w:after="0"/>
              <w:rPr>
                <w:sz w:val="3"/>
                <w:szCs w:val="3"/>
                <w:color w:val="auto"/>
              </w:rPr>
            </w:pPr>
          </w:p>
        </w:tc>
        <w:tc>
          <w:tcPr>
            <w:tcW w:w="2120" w:type="dxa"/>
            <w:vAlign w:val="bottom"/>
            <w:shd w:val="clear" w:color="auto" w:fill="DBDBDB"/>
          </w:tcPr>
          <w:p>
            <w:pPr>
              <w:spacing w:after="0"/>
              <w:rPr>
                <w:sz w:val="3"/>
                <w:szCs w:val="3"/>
                <w:color w:val="auto"/>
              </w:rPr>
            </w:pPr>
          </w:p>
        </w:tc>
        <w:tc>
          <w:tcPr>
            <w:tcW w:w="1480" w:type="dxa"/>
            <w:vAlign w:val="bottom"/>
            <w:shd w:val="clear" w:color="auto" w:fill="DBDBDB"/>
          </w:tcPr>
          <w:p>
            <w:pPr>
              <w:spacing w:after="0"/>
              <w:rPr>
                <w:sz w:val="3"/>
                <w:szCs w:val="3"/>
                <w:color w:val="auto"/>
              </w:rPr>
            </w:pPr>
          </w:p>
        </w:tc>
        <w:tc>
          <w:tcPr>
            <w:tcW w:w="9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Chairman of the Board, and</w:t>
            </w:r>
          </w:p>
        </w:tc>
        <w:tc>
          <w:tcPr>
            <w:tcW w:w="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2023</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848,846</w:t>
            </w:r>
          </w:p>
        </w:tc>
        <w:tc>
          <w:tcPr>
            <w:tcW w:w="130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5,624,931</w:t>
            </w:r>
          </w:p>
        </w:tc>
        <w:tc>
          <w:tcPr>
            <w:tcW w:w="1280" w:type="dxa"/>
            <w:vAlign w:val="bottom"/>
            <w:shd w:val="clear" w:color="auto" w:fill="DBDBDB"/>
          </w:tcPr>
          <w:p>
            <w:pPr>
              <w:jc w:val="right"/>
              <w:ind w:right="217"/>
              <w:spacing w:after="0"/>
              <w:rPr>
                <w:sz w:val="20"/>
                <w:szCs w:val="20"/>
                <w:color w:val="auto"/>
              </w:rPr>
            </w:pPr>
            <w:r>
              <w:rPr>
                <w:rFonts w:ascii="Arial" w:cs="Arial" w:eastAsia="Arial" w:hAnsi="Arial"/>
                <w:sz w:val="13"/>
                <w:szCs w:val="13"/>
                <w:color w:val="auto"/>
              </w:rPr>
              <w:t>1,874,995</w:t>
            </w:r>
          </w:p>
        </w:tc>
        <w:tc>
          <w:tcPr>
            <w:tcW w:w="2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119,972</w:t>
            </w:r>
          </w:p>
        </w:tc>
        <w:tc>
          <w:tcPr>
            <w:tcW w:w="148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rPr>
              <w:t>648,338</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9,117,082</w:t>
            </w:r>
          </w:p>
        </w:tc>
        <w:tc>
          <w:tcPr>
            <w:tcW w:w="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9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former Executive Chairman</w:t>
            </w:r>
          </w:p>
        </w:tc>
        <w:tc>
          <w:tcPr>
            <w:tcW w:w="880" w:type="dxa"/>
            <w:vAlign w:val="bottom"/>
            <w:vMerge w:val="restart"/>
            <w:shd w:val="clear" w:color="auto" w:fill="DBDBDB"/>
          </w:tcPr>
          <w:p>
            <w:pPr>
              <w:ind w:left="300"/>
              <w:spacing w:after="0"/>
              <w:rPr>
                <w:sz w:val="20"/>
                <w:szCs w:val="20"/>
                <w:color w:val="auto"/>
              </w:rPr>
            </w:pPr>
            <w:r>
              <w:rPr>
                <w:rFonts w:ascii="Arial" w:cs="Arial" w:eastAsia="Arial" w:hAnsi="Arial"/>
                <w:sz w:val="13"/>
                <w:szCs w:val="13"/>
                <w:color w:val="auto"/>
              </w:rPr>
              <w:t>2022</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1,100,000</w:t>
            </w:r>
          </w:p>
        </w:tc>
        <w:tc>
          <w:tcPr>
            <w:tcW w:w="1300" w:type="dxa"/>
            <w:vAlign w:val="bottom"/>
            <w:vMerge w:val="restart"/>
            <w:shd w:val="clear" w:color="auto" w:fill="DBDBDB"/>
          </w:tcPr>
          <w:p>
            <w:pPr>
              <w:jc w:val="right"/>
              <w:ind w:right="14"/>
              <w:spacing w:after="0"/>
              <w:rPr>
                <w:sz w:val="20"/>
                <w:szCs w:val="20"/>
                <w:color w:val="auto"/>
              </w:rPr>
            </w:pPr>
            <w:r>
              <w:rPr>
                <w:rFonts w:ascii="Arial" w:cs="Arial" w:eastAsia="Arial" w:hAnsi="Arial"/>
                <w:sz w:val="13"/>
                <w:szCs w:val="13"/>
                <w:color w:val="auto"/>
              </w:rPr>
              <w:t>2,497,479</w:t>
            </w:r>
          </w:p>
        </w:tc>
        <w:tc>
          <w:tcPr>
            <w:tcW w:w="1280" w:type="dxa"/>
            <w:vAlign w:val="bottom"/>
            <w:vMerge w:val="restart"/>
            <w:shd w:val="clear" w:color="auto" w:fill="DBDBDB"/>
          </w:tcPr>
          <w:p>
            <w:pPr>
              <w:jc w:val="right"/>
              <w:ind w:right="217"/>
              <w:spacing w:after="0"/>
              <w:rPr>
                <w:sz w:val="20"/>
                <w:szCs w:val="20"/>
                <w:color w:val="auto"/>
              </w:rPr>
            </w:pPr>
            <w:r>
              <w:rPr>
                <w:rFonts w:ascii="Arial" w:cs="Arial" w:eastAsia="Arial" w:hAnsi="Arial"/>
                <w:sz w:val="13"/>
                <w:szCs w:val="13"/>
                <w:color w:val="auto"/>
              </w:rPr>
              <w:t>5,002,491</w:t>
            </w:r>
          </w:p>
        </w:tc>
        <w:tc>
          <w:tcPr>
            <w:tcW w:w="2120" w:type="dxa"/>
            <w:vAlign w:val="bottom"/>
            <w:vMerge w:val="restart"/>
            <w:shd w:val="clear" w:color="auto" w:fill="DBDBDB"/>
          </w:tcPr>
          <w:p>
            <w:pPr>
              <w:jc w:val="right"/>
              <w:ind w:right="174"/>
              <w:spacing w:after="0"/>
              <w:rPr>
                <w:sz w:val="20"/>
                <w:szCs w:val="20"/>
                <w:color w:val="auto"/>
              </w:rPr>
            </w:pPr>
            <w:r>
              <w:rPr>
                <w:rFonts w:ascii="Arial" w:cs="Arial" w:eastAsia="Arial" w:hAnsi="Arial"/>
                <w:sz w:val="13"/>
                <w:szCs w:val="13"/>
                <w:color w:val="auto"/>
              </w:rPr>
              <w:t>1,574,715</w:t>
            </w:r>
          </w:p>
        </w:tc>
        <w:tc>
          <w:tcPr>
            <w:tcW w:w="1480" w:type="dxa"/>
            <w:vAlign w:val="bottom"/>
            <w:vMerge w:val="restart"/>
            <w:shd w:val="clear" w:color="auto" w:fill="DBDBDB"/>
          </w:tcPr>
          <w:p>
            <w:pPr>
              <w:jc w:val="right"/>
              <w:ind w:right="254"/>
              <w:spacing w:after="0"/>
              <w:rPr>
                <w:sz w:val="20"/>
                <w:szCs w:val="20"/>
                <w:color w:val="auto"/>
              </w:rPr>
            </w:pPr>
            <w:r>
              <w:rPr>
                <w:rFonts w:ascii="Arial" w:cs="Arial" w:eastAsia="Arial" w:hAnsi="Arial"/>
                <w:sz w:val="13"/>
                <w:szCs w:val="13"/>
                <w:color w:val="auto"/>
              </w:rPr>
              <w:t>1,183,119</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11,357,804</w:t>
            </w:r>
          </w:p>
        </w:tc>
        <w:tc>
          <w:tcPr>
            <w:tcW w:w="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960" w:type="dxa"/>
            <w:vAlign w:val="bottom"/>
            <w:shd w:val="clear" w:color="auto" w:fill="DBDBDB"/>
          </w:tcPr>
          <w:p>
            <w:pPr>
              <w:spacing w:after="0"/>
              <w:rPr>
                <w:sz w:val="6"/>
                <w:szCs w:val="6"/>
                <w:color w:val="auto"/>
              </w:rPr>
            </w:pPr>
          </w:p>
        </w:tc>
        <w:tc>
          <w:tcPr>
            <w:tcW w:w="880" w:type="dxa"/>
            <w:vAlign w:val="bottom"/>
            <w:vMerge w:val="continue"/>
            <w:shd w:val="clear" w:color="auto" w:fill="DBDBDB"/>
          </w:tcPr>
          <w:p>
            <w:pPr>
              <w:spacing w:after="0"/>
              <w:rPr>
                <w:sz w:val="6"/>
                <w:szCs w:val="6"/>
                <w:color w:val="auto"/>
              </w:rPr>
            </w:pPr>
          </w:p>
        </w:tc>
        <w:tc>
          <w:tcPr>
            <w:tcW w:w="1160" w:type="dxa"/>
            <w:vAlign w:val="bottom"/>
            <w:vMerge w:val="continue"/>
            <w:shd w:val="clear" w:color="auto" w:fill="DBDBDB"/>
          </w:tcPr>
          <w:p>
            <w:pPr>
              <w:spacing w:after="0"/>
              <w:rPr>
                <w:sz w:val="6"/>
                <w:szCs w:val="6"/>
                <w:color w:val="auto"/>
              </w:rPr>
            </w:pPr>
          </w:p>
        </w:tc>
        <w:tc>
          <w:tcPr>
            <w:tcW w:w="1300" w:type="dxa"/>
            <w:vAlign w:val="bottom"/>
            <w:vMerge w:val="continue"/>
            <w:shd w:val="clear" w:color="auto" w:fill="DBDBDB"/>
          </w:tcPr>
          <w:p>
            <w:pPr>
              <w:spacing w:after="0"/>
              <w:rPr>
                <w:sz w:val="6"/>
                <w:szCs w:val="6"/>
                <w:color w:val="auto"/>
              </w:rPr>
            </w:pPr>
          </w:p>
        </w:tc>
        <w:tc>
          <w:tcPr>
            <w:tcW w:w="1280" w:type="dxa"/>
            <w:vAlign w:val="bottom"/>
            <w:vMerge w:val="continue"/>
            <w:shd w:val="clear" w:color="auto" w:fill="DBDBDB"/>
          </w:tcPr>
          <w:p>
            <w:pPr>
              <w:spacing w:after="0"/>
              <w:rPr>
                <w:sz w:val="6"/>
                <w:szCs w:val="6"/>
                <w:color w:val="auto"/>
              </w:rPr>
            </w:pPr>
          </w:p>
        </w:tc>
        <w:tc>
          <w:tcPr>
            <w:tcW w:w="2120" w:type="dxa"/>
            <w:vAlign w:val="bottom"/>
            <w:vMerge w:val="continue"/>
            <w:shd w:val="clear" w:color="auto" w:fill="DBDBDB"/>
          </w:tcPr>
          <w:p>
            <w:pPr>
              <w:spacing w:after="0"/>
              <w:rPr>
                <w:sz w:val="6"/>
                <w:szCs w:val="6"/>
                <w:color w:val="auto"/>
              </w:rPr>
            </w:pPr>
          </w:p>
        </w:tc>
        <w:tc>
          <w:tcPr>
            <w:tcW w:w="1480" w:type="dxa"/>
            <w:vAlign w:val="bottom"/>
            <w:vMerge w:val="continue"/>
            <w:shd w:val="clear" w:color="auto" w:fill="DBDBDB"/>
          </w:tcPr>
          <w:p>
            <w:pPr>
              <w:spacing w:after="0"/>
              <w:rPr>
                <w:sz w:val="6"/>
                <w:szCs w:val="6"/>
                <w:color w:val="auto"/>
              </w:rPr>
            </w:pPr>
          </w:p>
        </w:tc>
        <w:tc>
          <w:tcPr>
            <w:tcW w:w="96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960" w:type="dxa"/>
            <w:vAlign w:val="bottom"/>
            <w:shd w:val="clear" w:color="auto" w:fill="DBDBDB"/>
          </w:tcPr>
          <w:p>
            <w:pPr>
              <w:spacing w:after="0"/>
              <w:rPr>
                <w:sz w:val="3"/>
                <w:szCs w:val="3"/>
                <w:color w:val="auto"/>
              </w:rPr>
            </w:pPr>
          </w:p>
        </w:tc>
        <w:tc>
          <w:tcPr>
            <w:tcW w:w="880" w:type="dxa"/>
            <w:vAlign w:val="bottom"/>
            <w:shd w:val="clear" w:color="auto" w:fill="DBDBDB"/>
          </w:tcPr>
          <w:p>
            <w:pPr>
              <w:spacing w:after="0"/>
              <w:rPr>
                <w:sz w:val="3"/>
                <w:szCs w:val="3"/>
                <w:color w:val="auto"/>
              </w:rPr>
            </w:pPr>
          </w:p>
        </w:tc>
        <w:tc>
          <w:tcPr>
            <w:tcW w:w="1160" w:type="dxa"/>
            <w:vAlign w:val="bottom"/>
            <w:shd w:val="clear" w:color="auto" w:fill="DBDBDB"/>
          </w:tcPr>
          <w:p>
            <w:pPr>
              <w:spacing w:after="0"/>
              <w:rPr>
                <w:sz w:val="3"/>
                <w:szCs w:val="3"/>
                <w:color w:val="auto"/>
              </w:rPr>
            </w:pPr>
          </w:p>
        </w:tc>
        <w:tc>
          <w:tcPr>
            <w:tcW w:w="1300" w:type="dxa"/>
            <w:vAlign w:val="bottom"/>
            <w:shd w:val="clear" w:color="auto" w:fill="DBDBDB"/>
          </w:tcPr>
          <w:p>
            <w:pPr>
              <w:spacing w:after="0"/>
              <w:rPr>
                <w:sz w:val="3"/>
                <w:szCs w:val="3"/>
                <w:color w:val="auto"/>
              </w:rPr>
            </w:pPr>
          </w:p>
        </w:tc>
        <w:tc>
          <w:tcPr>
            <w:tcW w:w="1280" w:type="dxa"/>
            <w:vAlign w:val="bottom"/>
            <w:shd w:val="clear" w:color="auto" w:fill="DBDBDB"/>
          </w:tcPr>
          <w:p>
            <w:pPr>
              <w:spacing w:after="0"/>
              <w:rPr>
                <w:sz w:val="3"/>
                <w:szCs w:val="3"/>
                <w:color w:val="auto"/>
              </w:rPr>
            </w:pPr>
          </w:p>
        </w:tc>
        <w:tc>
          <w:tcPr>
            <w:tcW w:w="2120" w:type="dxa"/>
            <w:vAlign w:val="bottom"/>
            <w:shd w:val="clear" w:color="auto" w:fill="DBDBDB"/>
          </w:tcPr>
          <w:p>
            <w:pPr>
              <w:spacing w:after="0"/>
              <w:rPr>
                <w:sz w:val="3"/>
                <w:szCs w:val="3"/>
                <w:color w:val="auto"/>
              </w:rPr>
            </w:pPr>
          </w:p>
        </w:tc>
        <w:tc>
          <w:tcPr>
            <w:tcW w:w="1480" w:type="dxa"/>
            <w:vAlign w:val="bottom"/>
            <w:shd w:val="clear" w:color="auto" w:fill="DBDBDB"/>
          </w:tcPr>
          <w:p>
            <w:pPr>
              <w:spacing w:after="0"/>
              <w:rPr>
                <w:sz w:val="3"/>
                <w:szCs w:val="3"/>
                <w:color w:val="auto"/>
              </w:rPr>
            </w:pPr>
          </w:p>
        </w:tc>
        <w:tc>
          <w:tcPr>
            <w:tcW w:w="9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01" w:hanging="301"/>
        <w:spacing w:after="0"/>
        <w:tabs>
          <w:tab w:leader="none" w:pos="301"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NEO’s base salary earned during the specified fiscal year.</w:t>
      </w:r>
    </w:p>
    <w:p>
      <w:pPr>
        <w:spacing w:after="0" w:line="110" w:lineRule="exact"/>
        <w:rPr>
          <w:rFonts w:ascii="Arial" w:cs="Arial" w:eastAsia="Arial" w:hAnsi="Arial"/>
          <w:sz w:val="12"/>
          <w:szCs w:val="12"/>
          <w:color w:val="auto"/>
        </w:rPr>
      </w:pPr>
    </w:p>
    <w:p>
      <w:pPr>
        <w:ind w:left="301" w:right="40" w:hanging="301"/>
        <w:spacing w:after="0" w:line="268" w:lineRule="auto"/>
        <w:tabs>
          <w:tab w:leader="none" w:pos="298"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grant date fair value of the RSUs granted to each of the NEOs in the specified fiscal year, computed in accordance with FASB Accounting Standards Codification Topic 718, excluding the effect of estimated forfeitures. The grant date fair value of the performance-based RSUs granted in 2024 is based upon the probable outcome of the performance conditions at the date of grant and assumes the “target” level of performance is achieved. If the highest level of performance condition for the awards were achieved (200%), the aggregate grant date value of such for each of the NEOs would be as follows: Mr. Lawrence $6,499,938, Mr. Johnson $2,999,901, Messrs. Ford and McCabe $1,249,882 each. The valuation assumptions used in determining such amounts are described in Note 8, Share-Based Compensation to our audited consolidated financial statements included in our Annual Report for 2024. For Mr. Hicks in 2024, amount reflects his equity retainer for service as the Company’s non-employee Chairman of the Board.</w:t>
      </w:r>
    </w:p>
    <w:p>
      <w:pPr>
        <w:spacing w:after="0" w:line="82" w:lineRule="exact"/>
        <w:rPr>
          <w:rFonts w:ascii="Arial" w:cs="Arial" w:eastAsia="Arial" w:hAnsi="Arial"/>
          <w:sz w:val="12"/>
          <w:szCs w:val="12"/>
          <w:color w:val="auto"/>
        </w:rPr>
      </w:pPr>
    </w:p>
    <w:p>
      <w:pPr>
        <w:ind w:left="301" w:hanging="301"/>
        <w:spacing w:after="0" w:line="266" w:lineRule="auto"/>
        <w:tabs>
          <w:tab w:leader="none" w:pos="298"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grant date fair value of the Options granted to each of the NEOs in the specified fiscal year, computed using a Black-Scholes option-pricing model in accordance with FASB Accounting Standards Codification Topic 718, excluding the effect of estimated forfeitures. The valuation assumptions used in determining such amounts are described in Note 8, Share-Based Compensation to our audited consolidated financial statements included in our Annual Report for 2024. As described under the “Long-Term Equity Incentive Compensation - 2024 Equity Incentive Awards” section in the Compensation Discussion and Analysis, no Options were granted in 2024 to our NEOs.</w:t>
      </w:r>
    </w:p>
    <w:p>
      <w:pPr>
        <w:spacing w:after="0" w:line="84" w:lineRule="exact"/>
        <w:rPr>
          <w:rFonts w:ascii="Arial" w:cs="Arial" w:eastAsia="Arial" w:hAnsi="Arial"/>
          <w:sz w:val="12"/>
          <w:szCs w:val="12"/>
          <w:color w:val="auto"/>
        </w:rPr>
      </w:pPr>
    </w:p>
    <w:p>
      <w:pPr>
        <w:ind w:left="301" w:right="280" w:hanging="301"/>
        <w:spacing w:after="0" w:line="303" w:lineRule="auto"/>
        <w:tabs>
          <w:tab w:leader="none" w:pos="298"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annual incentive bonus amounts earned by each NEO pursuant to the Company’s applicable annual cash bonus plan and/or their employment agreement for each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944245</wp:posOffset>
            </wp:positionV>
            <wp:extent cx="7168515" cy="4127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648970</wp:posOffset>
            </wp:positionV>
            <wp:extent cx="789305" cy="18923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1" w:right="340" w:hanging="301"/>
        <w:spacing w:after="0" w:line="260" w:lineRule="auto"/>
        <w:tabs>
          <w:tab w:leader="none" w:pos="298" w:val="left"/>
        </w:tabs>
        <w:numPr>
          <w:ilvl w:val="0"/>
          <w:numId w:val="74"/>
        </w:numPr>
        <w:rPr>
          <w:rFonts w:ascii="Arial" w:cs="Arial" w:eastAsia="Arial" w:hAnsi="Arial"/>
          <w:sz w:val="12"/>
          <w:szCs w:val="12"/>
          <w:color w:val="auto"/>
        </w:rPr>
      </w:pPr>
      <w:r>
        <w:rPr>
          <w:rFonts w:ascii="Arial" w:cs="Arial" w:eastAsia="Arial" w:hAnsi="Arial"/>
          <w:sz w:val="12"/>
          <w:szCs w:val="12"/>
          <w:color w:val="auto"/>
        </w:rPr>
        <w:t>For a description of our perquisites, see “Other Compensation - Perquisites and Other Benefits” in the Compensation Discussion and Analysis. The table below summarizes the items included in the “All Other Compensation” for each NEO for 2024:</w:t>
      </w:r>
    </w:p>
    <w:p>
      <w:pPr>
        <w:spacing w:after="0" w:line="114" w:lineRule="exact"/>
        <w:rPr>
          <w:sz w:val="20"/>
          <w:szCs w:val="20"/>
          <w:color w:val="auto"/>
        </w:rPr>
      </w:pPr>
    </w:p>
    <w:tbl>
      <w:tblPr>
        <w:tblLayout w:type="fixed"/>
        <w:tblInd w:w="301" w:type="dxa"/>
        <w:tblCellMar>
          <w:top w:w="0" w:type="dxa"/>
          <w:left w:w="0" w:type="dxa"/>
          <w:bottom w:w="0" w:type="dxa"/>
          <w:right w:w="0" w:type="dxa"/>
        </w:tblCellMar>
      </w:tblPr>
      <w:tr>
        <w:trPr>
          <w:trHeight w:val="291"/>
        </w:trPr>
        <w:tc>
          <w:tcPr>
            <w:tcW w:w="2080" w:type="dxa"/>
            <w:vAlign w:val="bottom"/>
            <w:shd w:val="clear" w:color="auto" w:fill="E1D7AC"/>
          </w:tcPr>
          <w:p>
            <w:pPr>
              <w:spacing w:after="0"/>
              <w:rPr>
                <w:sz w:val="24"/>
                <w:szCs w:val="24"/>
                <w:color w:val="auto"/>
              </w:rPr>
            </w:pPr>
          </w:p>
        </w:tc>
        <w:tc>
          <w:tcPr>
            <w:tcW w:w="17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Financial Planning</w:t>
            </w:r>
          </w:p>
        </w:tc>
        <w:tc>
          <w:tcPr>
            <w:tcW w:w="1500" w:type="dxa"/>
            <w:vAlign w:val="bottom"/>
            <w:shd w:val="clear" w:color="auto" w:fill="E1D7AC"/>
          </w:tcPr>
          <w:p>
            <w:pPr>
              <w:spacing w:after="0"/>
              <w:rPr>
                <w:sz w:val="24"/>
                <w:szCs w:val="24"/>
                <w:color w:val="auto"/>
              </w:rPr>
            </w:pPr>
          </w:p>
        </w:tc>
        <w:tc>
          <w:tcPr>
            <w:tcW w:w="16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401(k) Plan Employer</w:t>
            </w:r>
          </w:p>
        </w:tc>
        <w:tc>
          <w:tcPr>
            <w:tcW w:w="2180" w:type="dxa"/>
            <w:vAlign w:val="bottom"/>
            <w:shd w:val="clear" w:color="auto" w:fill="E1D7AC"/>
          </w:tcPr>
          <w:p>
            <w:pPr>
              <w:jc w:val="right"/>
              <w:ind w:right="238"/>
              <w:spacing w:after="0"/>
              <w:rPr>
                <w:sz w:val="20"/>
                <w:szCs w:val="20"/>
                <w:color w:val="auto"/>
              </w:rPr>
            </w:pPr>
            <w:r>
              <w:rPr>
                <w:rFonts w:ascii="Arial" w:cs="Arial" w:eastAsia="Arial" w:hAnsi="Arial"/>
                <w:sz w:val="13"/>
                <w:szCs w:val="13"/>
                <w:b w:val="1"/>
                <w:bCs w:val="1"/>
                <w:color w:val="auto"/>
              </w:rPr>
              <w:t>Director Fees Earned Or Paid</w:t>
            </w:r>
          </w:p>
        </w:tc>
        <w:tc>
          <w:tcPr>
            <w:tcW w:w="1380" w:type="dxa"/>
            <w:vAlign w:val="bottom"/>
            <w:shd w:val="clear" w:color="auto" w:fill="E1D7AC"/>
          </w:tcPr>
          <w:p>
            <w:pPr>
              <w:jc w:val="right"/>
              <w:ind w:right="94"/>
              <w:spacing w:after="0"/>
              <w:rPr>
                <w:sz w:val="20"/>
                <w:szCs w:val="20"/>
                <w:color w:val="auto"/>
              </w:rPr>
            </w:pPr>
            <w:r>
              <w:rPr>
                <w:rFonts w:ascii="Arial" w:cs="Arial" w:eastAsia="Arial" w:hAnsi="Arial"/>
                <w:sz w:val="13"/>
                <w:szCs w:val="13"/>
                <w:b w:val="1"/>
                <w:bCs w:val="1"/>
                <w:color w:val="auto"/>
              </w:rPr>
              <w:t>Total All Other</w:t>
            </w:r>
          </w:p>
        </w:tc>
      </w:tr>
      <w:tr>
        <w:trPr>
          <w:trHeight w:val="174"/>
        </w:trPr>
        <w:tc>
          <w:tcPr>
            <w:tcW w:w="2080" w:type="dxa"/>
            <w:vAlign w:val="bottom"/>
            <w:shd w:val="clear" w:color="auto" w:fill="E1D7AC"/>
          </w:tcPr>
          <w:p>
            <w:pPr>
              <w:spacing w:after="0"/>
              <w:rPr>
                <w:sz w:val="15"/>
                <w:szCs w:val="15"/>
                <w:color w:val="auto"/>
              </w:rPr>
            </w:pPr>
          </w:p>
        </w:tc>
        <w:tc>
          <w:tcPr>
            <w:tcW w:w="17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Services</w:t>
            </w:r>
          </w:p>
        </w:tc>
        <w:tc>
          <w:tcPr>
            <w:tcW w:w="1500" w:type="dxa"/>
            <w:vAlign w:val="bottom"/>
            <w:shd w:val="clear" w:color="auto" w:fill="E1D7AC"/>
          </w:tcPr>
          <w:p>
            <w:pPr>
              <w:jc w:val="right"/>
              <w:ind w:right="156"/>
              <w:spacing w:after="0"/>
              <w:rPr>
                <w:sz w:val="20"/>
                <w:szCs w:val="20"/>
                <w:color w:val="auto"/>
              </w:rPr>
            </w:pPr>
            <w:r>
              <w:rPr>
                <w:rFonts w:ascii="Arial" w:cs="Arial" w:eastAsia="Arial" w:hAnsi="Arial"/>
                <w:sz w:val="13"/>
                <w:szCs w:val="13"/>
                <w:b w:val="1"/>
                <w:bCs w:val="1"/>
                <w:color w:val="auto"/>
              </w:rPr>
              <w:t>Executive Physical</w:t>
            </w:r>
          </w:p>
        </w:tc>
        <w:tc>
          <w:tcPr>
            <w:tcW w:w="16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Matching Contribution</w:t>
            </w:r>
          </w:p>
        </w:tc>
        <w:tc>
          <w:tcPr>
            <w:tcW w:w="2180" w:type="dxa"/>
            <w:vAlign w:val="bottom"/>
            <w:shd w:val="clear" w:color="auto" w:fill="E1D7AC"/>
          </w:tcPr>
          <w:p>
            <w:pPr>
              <w:jc w:val="right"/>
              <w:ind w:right="238"/>
              <w:spacing w:after="0"/>
              <w:rPr>
                <w:sz w:val="20"/>
                <w:szCs w:val="20"/>
                <w:color w:val="auto"/>
              </w:rPr>
            </w:pPr>
            <w:r>
              <w:rPr>
                <w:rFonts w:ascii="Arial" w:cs="Arial" w:eastAsia="Arial" w:hAnsi="Arial"/>
                <w:sz w:val="13"/>
                <w:szCs w:val="13"/>
                <w:b w:val="1"/>
                <w:bCs w:val="1"/>
                <w:color w:val="auto"/>
              </w:rPr>
              <w:t>in Cash</w:t>
            </w:r>
          </w:p>
        </w:tc>
        <w:tc>
          <w:tcPr>
            <w:tcW w:w="1380" w:type="dxa"/>
            <w:vAlign w:val="bottom"/>
            <w:shd w:val="clear" w:color="auto" w:fill="E1D7AC"/>
          </w:tcPr>
          <w:p>
            <w:pPr>
              <w:jc w:val="right"/>
              <w:ind w:right="94"/>
              <w:spacing w:after="0"/>
              <w:rPr>
                <w:sz w:val="20"/>
                <w:szCs w:val="20"/>
                <w:color w:val="auto"/>
              </w:rPr>
            </w:pPr>
            <w:r>
              <w:rPr>
                <w:rFonts w:ascii="Arial" w:cs="Arial" w:eastAsia="Arial" w:hAnsi="Arial"/>
                <w:sz w:val="13"/>
                <w:szCs w:val="13"/>
                <w:b w:val="1"/>
                <w:bCs w:val="1"/>
                <w:color w:val="auto"/>
              </w:rPr>
              <w:t>Compensation</w:t>
            </w:r>
          </w:p>
        </w:tc>
      </w:tr>
      <w:tr>
        <w:trPr>
          <w:trHeight w:val="180"/>
        </w:trPr>
        <w:tc>
          <w:tcPr>
            <w:tcW w:w="2080" w:type="dxa"/>
            <w:vAlign w:val="bottom"/>
            <w:shd w:val="clear" w:color="auto" w:fill="E1D7AC"/>
          </w:tcPr>
          <w:p>
            <w:pPr>
              <w:ind w:left="80"/>
              <w:spacing w:after="0"/>
              <w:rPr>
                <w:sz w:val="20"/>
                <w:szCs w:val="20"/>
                <w:color w:val="auto"/>
              </w:rPr>
            </w:pPr>
            <w:r>
              <w:rPr>
                <w:rFonts w:ascii="Arial" w:cs="Arial" w:eastAsia="Arial" w:hAnsi="Arial"/>
                <w:sz w:val="13"/>
                <w:szCs w:val="13"/>
                <w:b w:val="1"/>
                <w:bCs w:val="1"/>
                <w:color w:val="auto"/>
              </w:rPr>
              <w:t>Name</w:t>
            </w:r>
          </w:p>
        </w:tc>
        <w:tc>
          <w:tcPr>
            <w:tcW w:w="17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500" w:type="dxa"/>
            <w:vAlign w:val="bottom"/>
            <w:shd w:val="clear" w:color="auto" w:fill="E1D7AC"/>
          </w:tcPr>
          <w:p>
            <w:pPr>
              <w:jc w:val="right"/>
              <w:ind w:right="156"/>
              <w:spacing w:after="0"/>
              <w:rPr>
                <w:sz w:val="20"/>
                <w:szCs w:val="20"/>
                <w:color w:val="auto"/>
              </w:rPr>
            </w:pPr>
            <w:r>
              <w:rPr>
                <w:rFonts w:ascii="Arial" w:cs="Arial" w:eastAsia="Arial" w:hAnsi="Arial"/>
                <w:sz w:val="13"/>
                <w:szCs w:val="13"/>
                <w:b w:val="1"/>
                <w:bCs w:val="1"/>
                <w:color w:val="auto"/>
              </w:rPr>
              <w:t>($)</w:t>
            </w:r>
          </w:p>
        </w:tc>
        <w:tc>
          <w:tcPr>
            <w:tcW w:w="16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2180" w:type="dxa"/>
            <w:vAlign w:val="bottom"/>
            <w:shd w:val="clear" w:color="auto" w:fill="E1D7AC"/>
          </w:tcPr>
          <w:p>
            <w:pPr>
              <w:jc w:val="right"/>
              <w:ind w:right="238"/>
              <w:spacing w:after="0"/>
              <w:rPr>
                <w:sz w:val="20"/>
                <w:szCs w:val="20"/>
                <w:color w:val="auto"/>
              </w:rPr>
            </w:pPr>
            <w:r>
              <w:rPr>
                <w:rFonts w:ascii="Arial" w:cs="Arial" w:eastAsia="Arial" w:hAnsi="Arial"/>
                <w:sz w:val="13"/>
                <w:szCs w:val="13"/>
                <w:b w:val="1"/>
                <w:bCs w:val="1"/>
                <w:color w:val="auto"/>
              </w:rPr>
              <w:t>($)</w:t>
            </w:r>
          </w:p>
        </w:tc>
        <w:tc>
          <w:tcPr>
            <w:tcW w:w="1380" w:type="dxa"/>
            <w:vAlign w:val="bottom"/>
            <w:shd w:val="clear" w:color="auto" w:fill="E1D7AC"/>
          </w:tcPr>
          <w:p>
            <w:pPr>
              <w:jc w:val="right"/>
              <w:ind w:right="94"/>
              <w:spacing w:after="0"/>
              <w:rPr>
                <w:sz w:val="20"/>
                <w:szCs w:val="20"/>
                <w:color w:val="auto"/>
              </w:rPr>
            </w:pPr>
            <w:r>
              <w:rPr>
                <w:rFonts w:ascii="Arial" w:cs="Arial" w:eastAsia="Arial" w:hAnsi="Arial"/>
                <w:sz w:val="13"/>
                <w:szCs w:val="13"/>
                <w:b w:val="1"/>
                <w:bCs w:val="1"/>
                <w:color w:val="auto"/>
              </w:rPr>
              <w:t>($)</w:t>
            </w:r>
          </w:p>
        </w:tc>
      </w:tr>
      <w:tr>
        <w:trPr>
          <w:trHeight w:val="76"/>
        </w:trPr>
        <w:tc>
          <w:tcPr>
            <w:tcW w:w="2080" w:type="dxa"/>
            <w:vAlign w:val="bottom"/>
            <w:shd w:val="clear" w:color="auto" w:fill="E1D7AC"/>
          </w:tcPr>
          <w:p>
            <w:pPr>
              <w:spacing w:after="0"/>
              <w:rPr>
                <w:sz w:val="6"/>
                <w:szCs w:val="6"/>
                <w:color w:val="auto"/>
              </w:rPr>
            </w:pPr>
          </w:p>
        </w:tc>
        <w:tc>
          <w:tcPr>
            <w:tcW w:w="1740" w:type="dxa"/>
            <w:vAlign w:val="bottom"/>
            <w:shd w:val="clear" w:color="auto" w:fill="E1D7AC"/>
          </w:tcPr>
          <w:p>
            <w:pPr>
              <w:spacing w:after="0"/>
              <w:rPr>
                <w:sz w:val="6"/>
                <w:szCs w:val="6"/>
                <w:color w:val="auto"/>
              </w:rPr>
            </w:pPr>
          </w:p>
        </w:tc>
        <w:tc>
          <w:tcPr>
            <w:tcW w:w="1500" w:type="dxa"/>
            <w:vAlign w:val="bottom"/>
            <w:shd w:val="clear" w:color="auto" w:fill="E1D7AC"/>
          </w:tcPr>
          <w:p>
            <w:pPr>
              <w:spacing w:after="0"/>
              <w:rPr>
                <w:sz w:val="6"/>
                <w:szCs w:val="6"/>
                <w:color w:val="auto"/>
              </w:rPr>
            </w:pPr>
          </w:p>
        </w:tc>
        <w:tc>
          <w:tcPr>
            <w:tcW w:w="1680" w:type="dxa"/>
            <w:vAlign w:val="bottom"/>
            <w:shd w:val="clear" w:color="auto" w:fill="E1D7AC"/>
          </w:tcPr>
          <w:p>
            <w:pPr>
              <w:spacing w:after="0"/>
              <w:rPr>
                <w:sz w:val="6"/>
                <w:szCs w:val="6"/>
                <w:color w:val="auto"/>
              </w:rPr>
            </w:pPr>
          </w:p>
        </w:tc>
        <w:tc>
          <w:tcPr>
            <w:tcW w:w="2180" w:type="dxa"/>
            <w:vAlign w:val="bottom"/>
            <w:shd w:val="clear" w:color="auto" w:fill="E1D7AC"/>
          </w:tcPr>
          <w:p>
            <w:pPr>
              <w:spacing w:after="0"/>
              <w:rPr>
                <w:sz w:val="6"/>
                <w:szCs w:val="6"/>
                <w:color w:val="auto"/>
              </w:rPr>
            </w:pPr>
          </w:p>
        </w:tc>
        <w:tc>
          <w:tcPr>
            <w:tcW w:w="1380" w:type="dxa"/>
            <w:vAlign w:val="bottom"/>
            <w:shd w:val="clear" w:color="auto" w:fill="E1D7AC"/>
          </w:tcPr>
          <w:p>
            <w:pPr>
              <w:spacing w:after="0"/>
              <w:rPr>
                <w:sz w:val="6"/>
                <w:szCs w:val="6"/>
                <w:color w:val="auto"/>
              </w:rPr>
            </w:pPr>
          </w:p>
        </w:tc>
      </w:tr>
      <w:tr>
        <w:trPr>
          <w:trHeight w:val="204"/>
        </w:trPr>
        <w:tc>
          <w:tcPr>
            <w:tcW w:w="20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b w:val="1"/>
                <w:bCs w:val="1"/>
                <w:color w:val="auto"/>
              </w:rPr>
              <w:t>Steve Lawrence</w:t>
            </w: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12,000</w:t>
            </w:r>
          </w:p>
        </w:tc>
        <w:tc>
          <w:tcPr>
            <w:tcW w:w="1500" w:type="dxa"/>
            <w:vAlign w:val="bottom"/>
            <w:tcBorders>
              <w:bottom w:val="single" w:sz="8" w:color="DBDBDB"/>
            </w:tcBorders>
            <w:shd w:val="clear" w:color="auto" w:fill="DBDBDB"/>
          </w:tcPr>
          <w:p>
            <w:pPr>
              <w:jc w:val="right"/>
              <w:ind w:right="156"/>
              <w:spacing w:after="0"/>
              <w:rPr>
                <w:sz w:val="20"/>
                <w:szCs w:val="20"/>
                <w:color w:val="auto"/>
              </w:rPr>
            </w:pPr>
            <w:r>
              <w:rPr>
                <w:rFonts w:ascii="Arial" w:cs="Arial" w:eastAsia="Arial" w:hAnsi="Arial"/>
                <w:sz w:val="13"/>
                <w:szCs w:val="13"/>
                <w:color w:val="auto"/>
              </w:rPr>
              <w:t>2,150</w:t>
            </w:r>
          </w:p>
        </w:tc>
        <w:tc>
          <w:tcPr>
            <w:tcW w:w="1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21,104</w:t>
            </w:r>
          </w:p>
        </w:tc>
        <w:tc>
          <w:tcPr>
            <w:tcW w:w="2180" w:type="dxa"/>
            <w:vAlign w:val="bottom"/>
            <w:tcBorders>
              <w:bottom w:val="single" w:sz="8" w:color="DBDBDB"/>
            </w:tcBorders>
            <w:shd w:val="clear" w:color="auto" w:fill="DBDBDB"/>
          </w:tcPr>
          <w:p>
            <w:pPr>
              <w:jc w:val="right"/>
              <w:ind w:right="238"/>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3"/>
                <w:szCs w:val="13"/>
                <w:color w:val="auto"/>
              </w:rPr>
              <w:t>35,254</w:t>
            </w:r>
          </w:p>
        </w:tc>
      </w:tr>
      <w:tr>
        <w:trPr>
          <w:trHeight w:val="197"/>
        </w:trPr>
        <w:tc>
          <w:tcPr>
            <w:tcW w:w="2080" w:type="dxa"/>
            <w:vAlign w:val="bottom"/>
          </w:tcPr>
          <w:p>
            <w:pPr>
              <w:ind w:left="80"/>
              <w:spacing w:after="0"/>
              <w:rPr>
                <w:sz w:val="20"/>
                <w:szCs w:val="20"/>
                <w:color w:val="auto"/>
              </w:rPr>
            </w:pPr>
            <w:r>
              <w:rPr>
                <w:rFonts w:ascii="Arial" w:cs="Arial" w:eastAsia="Arial" w:hAnsi="Arial"/>
                <w:sz w:val="13"/>
                <w:szCs w:val="13"/>
                <w:b w:val="1"/>
                <w:bCs w:val="1"/>
                <w:color w:val="auto"/>
              </w:rPr>
              <w:t>Sam Johnson</w:t>
            </w:r>
          </w:p>
        </w:tc>
        <w:tc>
          <w:tcPr>
            <w:tcW w:w="1740" w:type="dxa"/>
            <w:vAlign w:val="bottom"/>
          </w:tcPr>
          <w:p>
            <w:pPr>
              <w:jc w:val="right"/>
              <w:spacing w:after="0"/>
              <w:rPr>
                <w:sz w:val="20"/>
                <w:szCs w:val="20"/>
                <w:color w:val="auto"/>
              </w:rPr>
            </w:pPr>
            <w:r>
              <w:rPr>
                <w:rFonts w:ascii="Arial" w:cs="Arial" w:eastAsia="Arial" w:hAnsi="Arial"/>
                <w:sz w:val="13"/>
                <w:szCs w:val="13"/>
                <w:color w:val="auto"/>
              </w:rPr>
              <w:t>12,000</w:t>
            </w:r>
          </w:p>
        </w:tc>
        <w:tc>
          <w:tcPr>
            <w:tcW w:w="1500" w:type="dxa"/>
            <w:vAlign w:val="bottom"/>
          </w:tcPr>
          <w:p>
            <w:pPr>
              <w:jc w:val="right"/>
              <w:ind w:right="156"/>
              <w:spacing w:after="0"/>
              <w:rPr>
                <w:sz w:val="20"/>
                <w:szCs w:val="20"/>
                <w:color w:val="auto"/>
              </w:rPr>
            </w:pPr>
            <w:r>
              <w:rPr>
                <w:rFonts w:ascii="Arial" w:cs="Arial" w:eastAsia="Arial" w:hAnsi="Arial"/>
                <w:sz w:val="13"/>
                <w:szCs w:val="13"/>
                <w:color w:val="auto"/>
              </w:rPr>
              <w:t>2,090</w:t>
            </w:r>
          </w:p>
        </w:tc>
        <w:tc>
          <w:tcPr>
            <w:tcW w:w="1680" w:type="dxa"/>
            <w:vAlign w:val="bottom"/>
          </w:tcPr>
          <w:p>
            <w:pPr>
              <w:jc w:val="right"/>
              <w:spacing w:after="0"/>
              <w:rPr>
                <w:sz w:val="20"/>
                <w:szCs w:val="20"/>
                <w:color w:val="auto"/>
              </w:rPr>
            </w:pPr>
            <w:r>
              <w:rPr>
                <w:rFonts w:ascii="Arial" w:cs="Arial" w:eastAsia="Arial" w:hAnsi="Arial"/>
                <w:sz w:val="13"/>
                <w:szCs w:val="13"/>
                <w:color w:val="auto"/>
              </w:rPr>
              <w:t>20,821</w:t>
            </w:r>
          </w:p>
        </w:tc>
        <w:tc>
          <w:tcPr>
            <w:tcW w:w="218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94"/>
              <w:spacing w:after="0"/>
              <w:rPr>
                <w:sz w:val="20"/>
                <w:szCs w:val="20"/>
                <w:color w:val="auto"/>
              </w:rPr>
            </w:pPr>
            <w:r>
              <w:rPr>
                <w:rFonts w:ascii="Arial" w:cs="Arial" w:eastAsia="Arial" w:hAnsi="Arial"/>
                <w:sz w:val="13"/>
                <w:szCs w:val="13"/>
                <w:color w:val="auto"/>
              </w:rPr>
              <w:t>34,911</w:t>
            </w:r>
          </w:p>
        </w:tc>
      </w:tr>
      <w:tr>
        <w:trPr>
          <w:trHeight w:val="27"/>
        </w:trPr>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4"/>
        </w:trPr>
        <w:tc>
          <w:tcPr>
            <w:tcW w:w="20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b w:val="1"/>
                <w:bCs w:val="1"/>
                <w:color w:val="auto"/>
              </w:rPr>
              <w:t>Carl Ford</w:t>
            </w:r>
            <w:r>
              <w:rPr>
                <w:rFonts w:ascii="Arial" w:cs="Arial" w:eastAsia="Arial" w:hAnsi="Arial"/>
                <w:sz w:val="8"/>
                <w:szCs w:val="8"/>
                <w:b w:val="1"/>
                <w:bCs w:val="1"/>
                <w:color w:val="auto"/>
              </w:rPr>
              <w:t>(a)</w:t>
            </w: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DBDBDB"/>
            </w:tcBorders>
            <w:shd w:val="clear" w:color="auto" w:fill="DBDBDB"/>
          </w:tcPr>
          <w:p>
            <w:pPr>
              <w:jc w:val="right"/>
              <w:ind w:right="156"/>
              <w:spacing w:after="0"/>
              <w:rPr>
                <w:sz w:val="20"/>
                <w:szCs w:val="20"/>
                <w:color w:val="auto"/>
              </w:rPr>
            </w:pPr>
            <w:r>
              <w:rPr>
                <w:rFonts w:ascii="Arial" w:cs="Arial" w:eastAsia="Arial" w:hAnsi="Arial"/>
                <w:sz w:val="12"/>
                <w:szCs w:val="12"/>
                <w:color w:val="auto"/>
              </w:rPr>
              <w:t>—</w:t>
            </w:r>
          </w:p>
        </w:tc>
        <w:tc>
          <w:tcPr>
            <w:tcW w:w="1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20,902</w:t>
            </w:r>
          </w:p>
        </w:tc>
        <w:tc>
          <w:tcPr>
            <w:tcW w:w="2180" w:type="dxa"/>
            <w:vAlign w:val="bottom"/>
            <w:tcBorders>
              <w:bottom w:val="single" w:sz="8" w:color="DBDBDB"/>
            </w:tcBorders>
            <w:shd w:val="clear" w:color="auto" w:fill="DBDBDB"/>
          </w:tcPr>
          <w:p>
            <w:pPr>
              <w:jc w:val="right"/>
              <w:ind w:right="238"/>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3"/>
                <w:szCs w:val="13"/>
                <w:color w:val="auto"/>
              </w:rPr>
              <w:t>20,902</w:t>
            </w:r>
          </w:p>
        </w:tc>
      </w:tr>
      <w:tr>
        <w:trPr>
          <w:trHeight w:val="197"/>
        </w:trPr>
        <w:tc>
          <w:tcPr>
            <w:tcW w:w="2080" w:type="dxa"/>
            <w:vAlign w:val="bottom"/>
          </w:tcPr>
          <w:p>
            <w:pPr>
              <w:ind w:left="80"/>
              <w:spacing w:after="0"/>
              <w:rPr>
                <w:sz w:val="20"/>
                <w:szCs w:val="20"/>
                <w:color w:val="auto"/>
              </w:rPr>
            </w:pPr>
            <w:r>
              <w:rPr>
                <w:rFonts w:ascii="Arial" w:cs="Arial" w:eastAsia="Arial" w:hAnsi="Arial"/>
                <w:sz w:val="13"/>
                <w:szCs w:val="13"/>
                <w:b w:val="1"/>
                <w:bCs w:val="1"/>
                <w:color w:val="auto"/>
              </w:rPr>
              <w:t>Matt McCabe</w:t>
            </w:r>
            <w:r>
              <w:rPr>
                <w:rFonts w:ascii="Arial" w:cs="Arial" w:eastAsia="Arial" w:hAnsi="Arial"/>
                <w:sz w:val="8"/>
                <w:szCs w:val="8"/>
                <w:b w:val="1"/>
                <w:bCs w:val="1"/>
                <w:color w:val="auto"/>
              </w:rPr>
              <w:t>(a)</w:t>
            </w:r>
          </w:p>
        </w:tc>
        <w:tc>
          <w:tcPr>
            <w:tcW w:w="1740" w:type="dxa"/>
            <w:vAlign w:val="bottom"/>
          </w:tcPr>
          <w:p>
            <w:pPr>
              <w:jc w:val="right"/>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56"/>
              <w:spacing w:after="0"/>
              <w:rPr>
                <w:sz w:val="20"/>
                <w:szCs w:val="20"/>
                <w:color w:val="auto"/>
              </w:rPr>
            </w:pPr>
            <w:r>
              <w:rPr>
                <w:rFonts w:ascii="Arial" w:cs="Arial" w:eastAsia="Arial" w:hAnsi="Arial"/>
                <w:sz w:val="12"/>
                <w:szCs w:val="12"/>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15,330</w:t>
            </w:r>
          </w:p>
        </w:tc>
        <w:tc>
          <w:tcPr>
            <w:tcW w:w="218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94"/>
              <w:spacing w:after="0"/>
              <w:rPr>
                <w:sz w:val="20"/>
                <w:szCs w:val="20"/>
                <w:color w:val="auto"/>
              </w:rPr>
            </w:pPr>
            <w:r>
              <w:rPr>
                <w:rFonts w:ascii="Arial" w:cs="Arial" w:eastAsia="Arial" w:hAnsi="Arial"/>
                <w:sz w:val="13"/>
                <w:szCs w:val="13"/>
                <w:color w:val="auto"/>
              </w:rPr>
              <w:t>15,330</w:t>
            </w:r>
          </w:p>
        </w:tc>
      </w:tr>
      <w:tr>
        <w:trPr>
          <w:trHeight w:val="27"/>
        </w:trPr>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7"/>
        </w:trPr>
        <w:tc>
          <w:tcPr>
            <w:tcW w:w="2080" w:type="dxa"/>
            <w:vAlign w:val="bottom"/>
            <w:shd w:val="clear" w:color="auto" w:fill="DBDBDB"/>
          </w:tcPr>
          <w:p>
            <w:pPr>
              <w:ind w:left="80"/>
              <w:spacing w:after="0"/>
              <w:rPr>
                <w:sz w:val="20"/>
                <w:szCs w:val="20"/>
                <w:color w:val="auto"/>
              </w:rPr>
            </w:pPr>
            <w:r>
              <w:rPr>
                <w:rFonts w:ascii="Arial" w:cs="Arial" w:eastAsia="Arial" w:hAnsi="Arial"/>
                <w:sz w:val="13"/>
                <w:szCs w:val="13"/>
                <w:b w:val="1"/>
                <w:bCs w:val="1"/>
                <w:color w:val="auto"/>
              </w:rPr>
              <w:t>Ken Hicks</w:t>
            </w:r>
          </w:p>
        </w:tc>
        <w:tc>
          <w:tcPr>
            <w:tcW w:w="1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11,690</w:t>
            </w:r>
          </w:p>
        </w:tc>
        <w:tc>
          <w:tcPr>
            <w:tcW w:w="1500" w:type="dxa"/>
            <w:vAlign w:val="bottom"/>
            <w:shd w:val="clear" w:color="auto" w:fill="DBDBDB"/>
          </w:tcPr>
          <w:p>
            <w:pPr>
              <w:jc w:val="right"/>
              <w:ind w:right="156"/>
              <w:spacing w:after="0"/>
              <w:rPr>
                <w:sz w:val="20"/>
                <w:szCs w:val="20"/>
                <w:color w:val="auto"/>
              </w:rPr>
            </w:pPr>
            <w:r>
              <w:rPr>
                <w:rFonts w:ascii="Arial" w:cs="Arial" w:eastAsia="Arial" w:hAnsi="Arial"/>
                <w:sz w:val="13"/>
                <w:szCs w:val="13"/>
                <w:color w:val="auto"/>
              </w:rPr>
              <w:t>2,150</w:t>
            </w:r>
          </w:p>
        </w:tc>
        <w:tc>
          <w:tcPr>
            <w:tcW w:w="1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15,031</w:t>
            </w:r>
          </w:p>
        </w:tc>
        <w:tc>
          <w:tcPr>
            <w:tcW w:w="2180" w:type="dxa"/>
            <w:vAlign w:val="bottom"/>
            <w:shd w:val="clear" w:color="auto" w:fill="DBDBDB"/>
          </w:tcPr>
          <w:p>
            <w:pPr>
              <w:jc w:val="right"/>
              <w:ind w:right="238"/>
              <w:spacing w:after="0"/>
              <w:rPr>
                <w:sz w:val="20"/>
                <w:szCs w:val="20"/>
                <w:color w:val="auto"/>
              </w:rPr>
            </w:pPr>
            <w:r>
              <w:rPr>
                <w:rFonts w:ascii="Arial" w:cs="Arial" w:eastAsia="Arial" w:hAnsi="Arial"/>
                <w:sz w:val="13"/>
                <w:szCs w:val="13"/>
                <w:color w:val="auto"/>
              </w:rPr>
              <w:t>118,269</w:t>
            </w:r>
          </w:p>
        </w:tc>
        <w:tc>
          <w:tcPr>
            <w:tcW w:w="138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147,140</w:t>
            </w:r>
          </w:p>
        </w:tc>
      </w:tr>
      <w:tr>
        <w:trPr>
          <w:trHeight w:val="27"/>
        </w:trPr>
        <w:tc>
          <w:tcPr>
            <w:tcW w:w="2080" w:type="dxa"/>
            <w:vAlign w:val="bottom"/>
            <w:shd w:val="clear" w:color="auto" w:fill="DBDBDB"/>
          </w:tcPr>
          <w:p>
            <w:pPr>
              <w:spacing w:after="0"/>
              <w:rPr>
                <w:sz w:val="2"/>
                <w:szCs w:val="2"/>
                <w:color w:val="auto"/>
              </w:rPr>
            </w:pPr>
          </w:p>
        </w:tc>
        <w:tc>
          <w:tcPr>
            <w:tcW w:w="174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1680" w:type="dxa"/>
            <w:vAlign w:val="bottom"/>
            <w:shd w:val="clear" w:color="auto" w:fill="DBDBDB"/>
          </w:tcPr>
          <w:p>
            <w:pPr>
              <w:spacing w:after="0"/>
              <w:rPr>
                <w:sz w:val="2"/>
                <w:szCs w:val="2"/>
                <w:color w:val="auto"/>
              </w:rPr>
            </w:pPr>
          </w:p>
        </w:tc>
        <w:tc>
          <w:tcPr>
            <w:tcW w:w="2180" w:type="dxa"/>
            <w:vAlign w:val="bottom"/>
            <w:shd w:val="clear" w:color="auto" w:fill="DBDBDB"/>
          </w:tcPr>
          <w:p>
            <w:pPr>
              <w:spacing w:after="0"/>
              <w:rPr>
                <w:sz w:val="2"/>
                <w:szCs w:val="2"/>
                <w:color w:val="auto"/>
              </w:rPr>
            </w:pPr>
          </w:p>
        </w:tc>
        <w:tc>
          <w:tcPr>
            <w:tcW w:w="1380" w:type="dxa"/>
            <w:vAlign w:val="bottom"/>
            <w:shd w:val="clear" w:color="auto" w:fill="DBDBDB"/>
          </w:tcPr>
          <w:p>
            <w:pPr>
              <w:spacing w:after="0"/>
              <w:rPr>
                <w:sz w:val="2"/>
                <w:szCs w:val="2"/>
                <w:color w:val="auto"/>
              </w:rPr>
            </w:pPr>
          </w:p>
        </w:tc>
      </w:tr>
    </w:tbl>
    <w:p>
      <w:pPr>
        <w:spacing w:after="0" w:line="183" w:lineRule="exact"/>
        <w:rPr>
          <w:sz w:val="20"/>
          <w:szCs w:val="20"/>
          <w:color w:val="auto"/>
        </w:rPr>
      </w:pPr>
    </w:p>
    <w:p>
      <w:pPr>
        <w:ind w:left="601" w:hanging="302"/>
        <w:spacing w:after="0"/>
        <w:tabs>
          <w:tab w:leader="none" w:pos="601" w:val="left"/>
        </w:tabs>
        <w:numPr>
          <w:ilvl w:val="0"/>
          <w:numId w:val="75"/>
        </w:numPr>
        <w:rPr>
          <w:rFonts w:ascii="Arial" w:cs="Arial" w:eastAsia="Arial" w:hAnsi="Arial"/>
          <w:sz w:val="12"/>
          <w:szCs w:val="12"/>
          <w:color w:val="auto"/>
        </w:rPr>
      </w:pPr>
      <w:r>
        <w:rPr>
          <w:rFonts w:ascii="Arial" w:cs="Arial" w:eastAsia="Arial" w:hAnsi="Arial"/>
          <w:sz w:val="12"/>
          <w:szCs w:val="12"/>
          <w:color w:val="auto"/>
        </w:rPr>
        <w:t>Messrs. Ford and McCabe each received perquisites and personal benefits during 2024 valued at less than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7168515" cy="4127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829945</wp:posOffset>
            </wp:positionV>
            <wp:extent cx="789305" cy="18923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69" w:name="page70"/>
    <w:bookmarkEnd w:id="69"/>
    <w:p>
      <w:pPr>
        <w:ind w:left="1"/>
        <w:spacing w:after="0"/>
        <w:rPr>
          <w:sz w:val="20"/>
          <w:szCs w:val="20"/>
          <w:color w:val="auto"/>
        </w:rPr>
      </w:pPr>
      <w:r>
        <w:rPr>
          <w:rFonts w:ascii="Arial" w:cs="Arial" w:eastAsia="Arial" w:hAnsi="Arial"/>
          <w:sz w:val="13"/>
          <w:szCs w:val="13"/>
          <w:b w:val="1"/>
          <w:bCs w:val="1"/>
          <w:color w:val="007EC4"/>
        </w:rPr>
        <w:t xml:space="preserve">64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Grants of Plan Based Awards in 2024</w:t>
      </w:r>
    </w:p>
    <w:p>
      <w:pPr>
        <w:spacing w:after="0" w:line="144" w:lineRule="exact"/>
        <w:rPr>
          <w:sz w:val="20"/>
          <w:szCs w:val="20"/>
          <w:color w:val="auto"/>
        </w:rPr>
      </w:pPr>
    </w:p>
    <w:p>
      <w:pPr>
        <w:ind w:left="1" w:right="220"/>
        <w:spacing w:after="0" w:line="293" w:lineRule="auto"/>
        <w:rPr>
          <w:sz w:val="20"/>
          <w:szCs w:val="20"/>
          <w:color w:val="auto"/>
        </w:rPr>
      </w:pPr>
      <w:r>
        <w:rPr>
          <w:rFonts w:ascii="Arial" w:cs="Arial" w:eastAsia="Arial" w:hAnsi="Arial"/>
          <w:sz w:val="15"/>
          <w:szCs w:val="15"/>
          <w:color w:val="auto"/>
        </w:rPr>
        <w:t>The following table provides information with regard to 2024 grants to the NEOs under any incentive plan during 2024. For additional information regarding non-equity incentive plan awards, please see “2024 Executive Team Bonus Plan.” For additional information regarding equity incentive plan awards, please see “Long-Term Equity Incentive Compensation.”</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405"/>
        </w:trPr>
        <w:tc>
          <w:tcPr>
            <w:tcW w:w="900" w:type="dxa"/>
            <w:vAlign w:val="bottom"/>
            <w:shd w:val="clear" w:color="auto" w:fill="E1D7AC"/>
          </w:tcPr>
          <w:p>
            <w:pPr>
              <w:spacing w:after="0"/>
              <w:rPr>
                <w:sz w:val="24"/>
                <w:szCs w:val="24"/>
                <w:color w:val="auto"/>
              </w:rPr>
            </w:pPr>
          </w:p>
        </w:tc>
        <w:tc>
          <w:tcPr>
            <w:tcW w:w="1020" w:type="dxa"/>
            <w:vAlign w:val="bottom"/>
            <w:shd w:val="clear" w:color="auto" w:fill="E1D7AC"/>
          </w:tcPr>
          <w:p>
            <w:pPr>
              <w:spacing w:after="0"/>
              <w:rPr>
                <w:sz w:val="24"/>
                <w:szCs w:val="24"/>
                <w:color w:val="auto"/>
              </w:rPr>
            </w:pPr>
          </w:p>
        </w:tc>
        <w:tc>
          <w:tcPr>
            <w:tcW w:w="820" w:type="dxa"/>
            <w:vAlign w:val="bottom"/>
            <w:shd w:val="clear" w:color="auto" w:fill="E1D7AC"/>
          </w:tcPr>
          <w:p>
            <w:pPr>
              <w:spacing w:after="0"/>
              <w:rPr>
                <w:sz w:val="24"/>
                <w:szCs w:val="24"/>
                <w:color w:val="auto"/>
              </w:rPr>
            </w:pPr>
          </w:p>
        </w:tc>
        <w:tc>
          <w:tcPr>
            <w:tcW w:w="2720" w:type="dxa"/>
            <w:vAlign w:val="bottom"/>
            <w:gridSpan w:val="4"/>
            <w:shd w:val="clear" w:color="auto" w:fill="E1D7AC"/>
          </w:tcPr>
          <w:p>
            <w:pPr>
              <w:ind w:left="80"/>
              <w:spacing w:after="0"/>
              <w:rPr>
                <w:sz w:val="20"/>
                <w:szCs w:val="20"/>
                <w:color w:val="auto"/>
              </w:rPr>
            </w:pPr>
            <w:r>
              <w:rPr>
                <w:rFonts w:ascii="Arial" w:cs="Arial" w:eastAsia="Arial" w:hAnsi="Arial"/>
                <w:sz w:val="12"/>
                <w:szCs w:val="12"/>
                <w:b w:val="1"/>
                <w:bCs w:val="1"/>
                <w:color w:val="auto"/>
              </w:rPr>
              <w:t>Estimated Future Payouts Under Non-Equity</w:t>
            </w:r>
          </w:p>
        </w:tc>
        <w:tc>
          <w:tcPr>
            <w:tcW w:w="2380" w:type="dxa"/>
            <w:vAlign w:val="bottom"/>
            <w:gridSpan w:val="3"/>
            <w:shd w:val="clear" w:color="auto" w:fill="E1D7AC"/>
          </w:tcPr>
          <w:p>
            <w:pPr>
              <w:jc w:val="right"/>
              <w:ind w:right="42"/>
              <w:spacing w:after="0"/>
              <w:rPr>
                <w:sz w:val="20"/>
                <w:szCs w:val="20"/>
                <w:color w:val="auto"/>
              </w:rPr>
            </w:pPr>
            <w:r>
              <w:rPr>
                <w:rFonts w:ascii="Arial" w:cs="Arial" w:eastAsia="Arial" w:hAnsi="Arial"/>
                <w:sz w:val="12"/>
                <w:szCs w:val="12"/>
                <w:b w:val="1"/>
                <w:bCs w:val="1"/>
                <w:color w:val="auto"/>
                <w:w w:val="99"/>
              </w:rPr>
              <w:t>Estimated Future Payouts Under Equity</w:t>
            </w:r>
          </w:p>
        </w:tc>
        <w:tc>
          <w:tcPr>
            <w:tcW w:w="74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All Other</w:t>
            </w:r>
          </w:p>
        </w:tc>
        <w:tc>
          <w:tcPr>
            <w:tcW w:w="1020" w:type="dxa"/>
            <w:vAlign w:val="bottom"/>
            <w:vMerge w:val="restart"/>
            <w:shd w:val="clear" w:color="auto" w:fill="E1D7AC"/>
          </w:tcPr>
          <w:p>
            <w:pPr>
              <w:jc w:val="right"/>
              <w:ind w:right="22"/>
              <w:spacing w:after="0"/>
              <w:rPr>
                <w:sz w:val="20"/>
                <w:szCs w:val="20"/>
                <w:color w:val="auto"/>
              </w:rPr>
            </w:pPr>
            <w:r>
              <w:rPr>
                <w:rFonts w:ascii="Arial" w:cs="Arial" w:eastAsia="Arial" w:hAnsi="Arial"/>
                <w:sz w:val="12"/>
                <w:szCs w:val="12"/>
                <w:b w:val="1"/>
                <w:bCs w:val="1"/>
                <w:color w:val="auto"/>
                <w:w w:val="99"/>
              </w:rPr>
              <w:t>All Other Option</w:t>
            </w:r>
          </w:p>
        </w:tc>
        <w:tc>
          <w:tcPr>
            <w:tcW w:w="780" w:type="dxa"/>
            <w:vAlign w:val="bottom"/>
            <w:shd w:val="clear" w:color="auto" w:fill="E1D7AC"/>
          </w:tcPr>
          <w:p>
            <w:pPr>
              <w:spacing w:after="0"/>
              <w:rPr>
                <w:sz w:val="24"/>
                <w:szCs w:val="24"/>
                <w:color w:val="auto"/>
              </w:rPr>
            </w:pPr>
          </w:p>
        </w:tc>
        <w:tc>
          <w:tcPr>
            <w:tcW w:w="780" w:type="dxa"/>
            <w:vAlign w:val="bottom"/>
            <w:shd w:val="clear" w:color="auto" w:fill="E1D7AC"/>
          </w:tcPr>
          <w:p>
            <w:pPr>
              <w:spacing w:after="0"/>
              <w:rPr>
                <w:sz w:val="24"/>
                <w:szCs w:val="24"/>
                <w:color w:val="auto"/>
              </w:rPr>
            </w:pPr>
          </w:p>
        </w:tc>
        <w:tc>
          <w:tcPr>
            <w:tcW w:w="80" w:type="dxa"/>
            <w:vAlign w:val="bottom"/>
            <w:shd w:val="clear" w:color="auto" w:fill="E1D7AC"/>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00" w:type="dxa"/>
            <w:vAlign w:val="bottom"/>
            <w:shd w:val="clear" w:color="auto" w:fill="E1D7AC"/>
          </w:tcPr>
          <w:p>
            <w:pPr>
              <w:spacing w:after="0"/>
              <w:rPr>
                <w:sz w:val="7"/>
                <w:szCs w:val="7"/>
                <w:color w:val="auto"/>
              </w:rPr>
            </w:pPr>
          </w:p>
        </w:tc>
        <w:tc>
          <w:tcPr>
            <w:tcW w:w="1020" w:type="dxa"/>
            <w:vAlign w:val="bottom"/>
            <w:shd w:val="clear" w:color="auto" w:fill="E1D7AC"/>
          </w:tcPr>
          <w:p>
            <w:pPr>
              <w:spacing w:after="0"/>
              <w:rPr>
                <w:sz w:val="7"/>
                <w:szCs w:val="7"/>
                <w:color w:val="auto"/>
              </w:rPr>
            </w:pPr>
          </w:p>
        </w:tc>
        <w:tc>
          <w:tcPr>
            <w:tcW w:w="820" w:type="dxa"/>
            <w:vAlign w:val="bottom"/>
            <w:shd w:val="clear" w:color="auto" w:fill="E1D7AC"/>
          </w:tcPr>
          <w:p>
            <w:pPr>
              <w:spacing w:after="0"/>
              <w:rPr>
                <w:sz w:val="7"/>
                <w:szCs w:val="7"/>
                <w:color w:val="auto"/>
              </w:rPr>
            </w:pPr>
          </w:p>
        </w:tc>
        <w:tc>
          <w:tcPr>
            <w:tcW w:w="1880" w:type="dxa"/>
            <w:vAlign w:val="bottom"/>
            <w:gridSpan w:val="2"/>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Incentive Plan Awards</w:t>
            </w:r>
          </w:p>
        </w:tc>
        <w:tc>
          <w:tcPr>
            <w:tcW w:w="740" w:type="dxa"/>
            <w:vAlign w:val="bottom"/>
            <w:shd w:val="clear" w:color="auto" w:fill="E1D7AC"/>
          </w:tcPr>
          <w:p>
            <w:pPr>
              <w:jc w:val="right"/>
              <w:ind w:right="583"/>
              <w:spacing w:after="0" w:line="87" w:lineRule="exact"/>
              <w:rPr>
                <w:sz w:val="20"/>
                <w:szCs w:val="20"/>
                <w:color w:val="auto"/>
              </w:rPr>
            </w:pPr>
            <w:r>
              <w:rPr>
                <w:rFonts w:ascii="Arial" w:cs="Arial" w:eastAsia="Arial" w:hAnsi="Arial"/>
                <w:sz w:val="8"/>
                <w:szCs w:val="8"/>
                <w:b w:val="1"/>
                <w:bCs w:val="1"/>
                <w:color w:val="auto"/>
                <w:w w:val="81"/>
              </w:rPr>
              <w:t>(1)</w:t>
            </w:r>
          </w:p>
        </w:tc>
        <w:tc>
          <w:tcPr>
            <w:tcW w:w="100" w:type="dxa"/>
            <w:vAlign w:val="bottom"/>
            <w:shd w:val="clear" w:color="auto" w:fill="E1D7AC"/>
          </w:tcPr>
          <w:p>
            <w:pPr>
              <w:spacing w:after="0"/>
              <w:rPr>
                <w:sz w:val="7"/>
                <w:szCs w:val="7"/>
                <w:color w:val="auto"/>
              </w:rPr>
            </w:pPr>
          </w:p>
        </w:tc>
        <w:tc>
          <w:tcPr>
            <w:tcW w:w="1820" w:type="dxa"/>
            <w:vAlign w:val="bottom"/>
            <w:gridSpan w:val="2"/>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Incentive Plan Awards</w:t>
            </w:r>
          </w:p>
        </w:tc>
        <w:tc>
          <w:tcPr>
            <w:tcW w:w="560" w:type="dxa"/>
            <w:vAlign w:val="bottom"/>
            <w:shd w:val="clear" w:color="auto" w:fill="E1D7AC"/>
          </w:tcPr>
          <w:p>
            <w:pPr>
              <w:spacing w:after="0"/>
              <w:rPr>
                <w:sz w:val="7"/>
                <w:szCs w:val="7"/>
                <w:color w:val="auto"/>
              </w:rPr>
            </w:pPr>
          </w:p>
        </w:tc>
        <w:tc>
          <w:tcPr>
            <w:tcW w:w="740" w:type="dxa"/>
            <w:vAlign w:val="bottom"/>
            <w:vMerge w:val="continue"/>
            <w:shd w:val="clear" w:color="auto" w:fill="E1D7AC"/>
          </w:tcPr>
          <w:p>
            <w:pPr>
              <w:spacing w:after="0"/>
              <w:rPr>
                <w:sz w:val="7"/>
                <w:szCs w:val="7"/>
                <w:color w:val="auto"/>
              </w:rPr>
            </w:pPr>
          </w:p>
        </w:tc>
        <w:tc>
          <w:tcPr>
            <w:tcW w:w="1020" w:type="dxa"/>
            <w:vAlign w:val="bottom"/>
            <w:vMerge w:val="continue"/>
            <w:shd w:val="clear" w:color="auto" w:fill="E1D7AC"/>
          </w:tcPr>
          <w:p>
            <w:pPr>
              <w:spacing w:after="0"/>
              <w:rPr>
                <w:sz w:val="7"/>
                <w:szCs w:val="7"/>
                <w:color w:val="auto"/>
              </w:rPr>
            </w:pPr>
          </w:p>
        </w:tc>
        <w:tc>
          <w:tcPr>
            <w:tcW w:w="780" w:type="dxa"/>
            <w:vAlign w:val="bottom"/>
            <w:shd w:val="clear" w:color="auto" w:fill="E1D7AC"/>
          </w:tcPr>
          <w:p>
            <w:pPr>
              <w:spacing w:after="0"/>
              <w:rPr>
                <w:sz w:val="7"/>
                <w:szCs w:val="7"/>
                <w:color w:val="auto"/>
              </w:rPr>
            </w:pPr>
          </w:p>
        </w:tc>
        <w:tc>
          <w:tcPr>
            <w:tcW w:w="78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900" w:type="dxa"/>
            <w:vAlign w:val="bottom"/>
            <w:shd w:val="clear" w:color="auto" w:fill="E1D7AC"/>
          </w:tcPr>
          <w:p>
            <w:pPr>
              <w:spacing w:after="0"/>
              <w:rPr>
                <w:sz w:val="5"/>
                <w:szCs w:val="5"/>
                <w:color w:val="auto"/>
              </w:rPr>
            </w:pPr>
          </w:p>
        </w:tc>
        <w:tc>
          <w:tcPr>
            <w:tcW w:w="1020" w:type="dxa"/>
            <w:vAlign w:val="bottom"/>
            <w:shd w:val="clear" w:color="auto" w:fill="E1D7AC"/>
          </w:tcPr>
          <w:p>
            <w:pPr>
              <w:spacing w:after="0"/>
              <w:rPr>
                <w:sz w:val="5"/>
                <w:szCs w:val="5"/>
                <w:color w:val="auto"/>
              </w:rPr>
            </w:pPr>
          </w:p>
        </w:tc>
        <w:tc>
          <w:tcPr>
            <w:tcW w:w="820" w:type="dxa"/>
            <w:vAlign w:val="bottom"/>
            <w:shd w:val="clear" w:color="auto" w:fill="E1D7AC"/>
          </w:tcPr>
          <w:p>
            <w:pPr>
              <w:spacing w:after="0"/>
              <w:rPr>
                <w:sz w:val="5"/>
                <w:szCs w:val="5"/>
                <w:color w:val="auto"/>
              </w:rPr>
            </w:pPr>
          </w:p>
        </w:tc>
        <w:tc>
          <w:tcPr>
            <w:tcW w:w="1880" w:type="dxa"/>
            <w:vAlign w:val="bottom"/>
            <w:gridSpan w:val="2"/>
            <w:vMerge w:val="continue"/>
            <w:shd w:val="clear" w:color="auto" w:fill="E1D7AC"/>
          </w:tcPr>
          <w:p>
            <w:pPr>
              <w:spacing w:after="0"/>
              <w:rPr>
                <w:sz w:val="5"/>
                <w:szCs w:val="5"/>
                <w:color w:val="auto"/>
              </w:rPr>
            </w:pPr>
          </w:p>
        </w:tc>
        <w:tc>
          <w:tcPr>
            <w:tcW w:w="740" w:type="dxa"/>
            <w:vAlign w:val="bottom"/>
            <w:shd w:val="clear" w:color="auto" w:fill="E1D7AC"/>
          </w:tcPr>
          <w:p>
            <w:pPr>
              <w:spacing w:after="0"/>
              <w:rPr>
                <w:sz w:val="5"/>
                <w:szCs w:val="5"/>
                <w:color w:val="auto"/>
              </w:rPr>
            </w:pPr>
          </w:p>
        </w:tc>
        <w:tc>
          <w:tcPr>
            <w:tcW w:w="100" w:type="dxa"/>
            <w:vAlign w:val="bottom"/>
            <w:shd w:val="clear" w:color="auto" w:fill="E1D7AC"/>
          </w:tcPr>
          <w:p>
            <w:pPr>
              <w:spacing w:after="0"/>
              <w:rPr>
                <w:sz w:val="5"/>
                <w:szCs w:val="5"/>
                <w:color w:val="auto"/>
              </w:rPr>
            </w:pPr>
          </w:p>
        </w:tc>
        <w:tc>
          <w:tcPr>
            <w:tcW w:w="1820" w:type="dxa"/>
            <w:vAlign w:val="bottom"/>
            <w:gridSpan w:val="2"/>
            <w:vMerge w:val="continue"/>
            <w:shd w:val="clear" w:color="auto" w:fill="E1D7AC"/>
          </w:tcPr>
          <w:p>
            <w:pPr>
              <w:spacing w:after="0"/>
              <w:rPr>
                <w:sz w:val="5"/>
                <w:szCs w:val="5"/>
                <w:color w:val="auto"/>
              </w:rPr>
            </w:pPr>
          </w:p>
        </w:tc>
        <w:tc>
          <w:tcPr>
            <w:tcW w:w="560" w:type="dxa"/>
            <w:vAlign w:val="bottom"/>
            <w:shd w:val="clear" w:color="auto" w:fill="E1D7AC"/>
          </w:tcPr>
          <w:p>
            <w:pPr>
              <w:spacing w:after="0"/>
              <w:rPr>
                <w:sz w:val="5"/>
                <w:szCs w:val="5"/>
                <w:color w:val="auto"/>
              </w:rPr>
            </w:pPr>
          </w:p>
        </w:tc>
        <w:tc>
          <w:tcPr>
            <w:tcW w:w="740" w:type="dxa"/>
            <w:vAlign w:val="bottom"/>
            <w:shd w:val="clear" w:color="auto" w:fill="E1D7AC"/>
          </w:tcPr>
          <w:p>
            <w:pPr>
              <w:jc w:val="right"/>
              <w:spacing w:after="0" w:line="62" w:lineRule="exact"/>
              <w:rPr>
                <w:sz w:val="20"/>
                <w:szCs w:val="20"/>
                <w:color w:val="auto"/>
              </w:rPr>
            </w:pPr>
            <w:r>
              <w:rPr>
                <w:rFonts w:ascii="Arial" w:cs="Arial" w:eastAsia="Arial" w:hAnsi="Arial"/>
                <w:sz w:val="7"/>
                <w:szCs w:val="7"/>
                <w:b w:val="1"/>
                <w:bCs w:val="1"/>
                <w:color w:val="auto"/>
              </w:rPr>
              <w:t>Stock</w:t>
            </w:r>
          </w:p>
        </w:tc>
        <w:tc>
          <w:tcPr>
            <w:tcW w:w="1020" w:type="dxa"/>
            <w:vAlign w:val="bottom"/>
            <w:vMerge w:val="continue"/>
            <w:shd w:val="clear" w:color="auto" w:fill="E1D7AC"/>
          </w:tcPr>
          <w:p>
            <w:pPr>
              <w:spacing w:after="0"/>
              <w:rPr>
                <w:sz w:val="5"/>
                <w:szCs w:val="5"/>
                <w:color w:val="auto"/>
              </w:rPr>
            </w:pPr>
          </w:p>
        </w:tc>
        <w:tc>
          <w:tcPr>
            <w:tcW w:w="780" w:type="dxa"/>
            <w:vAlign w:val="bottom"/>
            <w:shd w:val="clear" w:color="auto" w:fill="E1D7AC"/>
          </w:tcPr>
          <w:p>
            <w:pPr>
              <w:spacing w:after="0"/>
              <w:rPr>
                <w:sz w:val="5"/>
                <w:szCs w:val="5"/>
                <w:color w:val="auto"/>
              </w:rPr>
            </w:pPr>
          </w:p>
        </w:tc>
        <w:tc>
          <w:tcPr>
            <w:tcW w:w="78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Grant Date</w:t>
            </w:r>
          </w:p>
        </w:tc>
        <w:tc>
          <w:tcPr>
            <w:tcW w:w="80" w:type="dxa"/>
            <w:vAlign w:val="bottom"/>
            <w:shd w:val="clear" w:color="auto" w:fill="E1D7AC"/>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E1D7AC"/>
          </w:tcPr>
          <w:p>
            <w:pPr>
              <w:spacing w:after="0"/>
              <w:rPr>
                <w:sz w:val="11"/>
                <w:szCs w:val="11"/>
                <w:color w:val="auto"/>
              </w:rPr>
            </w:pPr>
          </w:p>
        </w:tc>
        <w:tc>
          <w:tcPr>
            <w:tcW w:w="1020" w:type="dxa"/>
            <w:vAlign w:val="bottom"/>
            <w:shd w:val="clear" w:color="auto" w:fill="E1D7AC"/>
          </w:tcPr>
          <w:p>
            <w:pPr>
              <w:spacing w:after="0"/>
              <w:rPr>
                <w:sz w:val="11"/>
                <w:szCs w:val="11"/>
                <w:color w:val="auto"/>
              </w:rPr>
            </w:pPr>
          </w:p>
        </w:tc>
        <w:tc>
          <w:tcPr>
            <w:tcW w:w="820" w:type="dxa"/>
            <w:vAlign w:val="bottom"/>
            <w:shd w:val="clear" w:color="auto" w:fill="E1D7AC"/>
          </w:tcPr>
          <w:p>
            <w:pPr>
              <w:spacing w:after="0"/>
              <w:rPr>
                <w:sz w:val="11"/>
                <w:szCs w:val="11"/>
                <w:color w:val="auto"/>
              </w:rPr>
            </w:pPr>
          </w:p>
        </w:tc>
        <w:tc>
          <w:tcPr>
            <w:tcW w:w="1040" w:type="dxa"/>
            <w:vAlign w:val="bottom"/>
            <w:shd w:val="clear" w:color="auto" w:fill="E1D7AC"/>
          </w:tcPr>
          <w:p>
            <w:pPr>
              <w:spacing w:after="0"/>
              <w:rPr>
                <w:sz w:val="11"/>
                <w:szCs w:val="11"/>
                <w:color w:val="auto"/>
              </w:rPr>
            </w:pPr>
          </w:p>
        </w:tc>
        <w:tc>
          <w:tcPr>
            <w:tcW w:w="840" w:type="dxa"/>
            <w:vAlign w:val="bottom"/>
            <w:shd w:val="clear" w:color="auto" w:fill="E1D7AC"/>
          </w:tcPr>
          <w:p>
            <w:pPr>
              <w:spacing w:after="0"/>
              <w:rPr>
                <w:sz w:val="11"/>
                <w:szCs w:val="11"/>
                <w:color w:val="auto"/>
              </w:rPr>
            </w:pPr>
          </w:p>
        </w:tc>
        <w:tc>
          <w:tcPr>
            <w:tcW w:w="740" w:type="dxa"/>
            <w:vAlign w:val="bottom"/>
            <w:shd w:val="clear" w:color="auto" w:fill="E1D7AC"/>
          </w:tcPr>
          <w:p>
            <w:pPr>
              <w:spacing w:after="0"/>
              <w:rPr>
                <w:sz w:val="11"/>
                <w:szCs w:val="11"/>
                <w:color w:val="auto"/>
              </w:rPr>
            </w:pPr>
          </w:p>
        </w:tc>
        <w:tc>
          <w:tcPr>
            <w:tcW w:w="100" w:type="dxa"/>
            <w:vAlign w:val="bottom"/>
            <w:shd w:val="clear" w:color="auto" w:fill="E1D7AC"/>
          </w:tcPr>
          <w:p>
            <w:pPr>
              <w:spacing w:after="0"/>
              <w:rPr>
                <w:sz w:val="11"/>
                <w:szCs w:val="11"/>
                <w:color w:val="auto"/>
              </w:rPr>
            </w:pPr>
          </w:p>
        </w:tc>
        <w:tc>
          <w:tcPr>
            <w:tcW w:w="1020" w:type="dxa"/>
            <w:vAlign w:val="bottom"/>
            <w:shd w:val="clear" w:color="auto" w:fill="E1D7AC"/>
          </w:tcPr>
          <w:p>
            <w:pPr>
              <w:spacing w:after="0"/>
              <w:rPr>
                <w:sz w:val="11"/>
                <w:szCs w:val="11"/>
                <w:color w:val="auto"/>
              </w:rPr>
            </w:pPr>
          </w:p>
        </w:tc>
        <w:tc>
          <w:tcPr>
            <w:tcW w:w="800" w:type="dxa"/>
            <w:vAlign w:val="bottom"/>
            <w:shd w:val="clear" w:color="auto" w:fill="E1D7AC"/>
          </w:tcPr>
          <w:p>
            <w:pPr>
              <w:spacing w:after="0"/>
              <w:rPr>
                <w:sz w:val="11"/>
                <w:szCs w:val="11"/>
                <w:color w:val="auto"/>
              </w:rPr>
            </w:pPr>
          </w:p>
        </w:tc>
        <w:tc>
          <w:tcPr>
            <w:tcW w:w="560" w:type="dxa"/>
            <w:vAlign w:val="bottom"/>
            <w:shd w:val="clear" w:color="auto" w:fill="E1D7AC"/>
          </w:tcPr>
          <w:p>
            <w:pPr>
              <w:spacing w:after="0"/>
              <w:rPr>
                <w:sz w:val="11"/>
                <w:szCs w:val="11"/>
                <w:color w:val="auto"/>
              </w:rPr>
            </w:pPr>
          </w:p>
        </w:tc>
        <w:tc>
          <w:tcPr>
            <w:tcW w:w="74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Awards:</w:t>
            </w:r>
          </w:p>
        </w:tc>
        <w:tc>
          <w:tcPr>
            <w:tcW w:w="102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Awards:</w:t>
            </w:r>
          </w:p>
        </w:tc>
        <w:tc>
          <w:tcPr>
            <w:tcW w:w="780" w:type="dxa"/>
            <w:vAlign w:val="bottom"/>
            <w:shd w:val="clear" w:color="auto" w:fill="E1D7AC"/>
          </w:tcPr>
          <w:p>
            <w:pPr>
              <w:spacing w:after="0"/>
              <w:rPr>
                <w:sz w:val="11"/>
                <w:szCs w:val="11"/>
                <w:color w:val="auto"/>
              </w:rPr>
            </w:pPr>
          </w:p>
        </w:tc>
        <w:tc>
          <w:tcPr>
            <w:tcW w:w="780" w:type="dxa"/>
            <w:vAlign w:val="bottom"/>
            <w:vMerge w:val="continue"/>
            <w:shd w:val="clear" w:color="auto" w:fill="E1D7AC"/>
          </w:tcPr>
          <w:p>
            <w:pPr>
              <w:spacing w:after="0"/>
              <w:rPr>
                <w:sz w:val="11"/>
                <w:szCs w:val="11"/>
                <w:color w:val="auto"/>
              </w:rPr>
            </w:pPr>
          </w:p>
        </w:tc>
        <w:tc>
          <w:tcPr>
            <w:tcW w:w="80" w:type="dxa"/>
            <w:vAlign w:val="bottom"/>
            <w:shd w:val="clear" w:color="auto" w:fill="E1D7A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00" w:type="dxa"/>
            <w:vAlign w:val="bottom"/>
            <w:tcBorders>
              <w:bottom w:val="single" w:sz="8" w:color="E1D7AC"/>
            </w:tcBorders>
            <w:shd w:val="clear" w:color="auto" w:fill="E1D7AC"/>
          </w:tcPr>
          <w:p>
            <w:pPr>
              <w:spacing w:after="0"/>
              <w:rPr>
                <w:sz w:val="12"/>
                <w:szCs w:val="12"/>
                <w:color w:val="auto"/>
              </w:rPr>
            </w:pPr>
          </w:p>
        </w:tc>
        <w:tc>
          <w:tcPr>
            <w:tcW w:w="1020" w:type="dxa"/>
            <w:vAlign w:val="bottom"/>
            <w:tcBorders>
              <w:bottom w:val="single" w:sz="8" w:color="E1D7AC"/>
            </w:tcBorders>
            <w:shd w:val="clear" w:color="auto" w:fill="E1D7AC"/>
          </w:tcPr>
          <w:p>
            <w:pPr>
              <w:spacing w:after="0"/>
              <w:rPr>
                <w:sz w:val="12"/>
                <w:szCs w:val="12"/>
                <w:color w:val="auto"/>
              </w:rPr>
            </w:pPr>
          </w:p>
        </w:tc>
        <w:tc>
          <w:tcPr>
            <w:tcW w:w="820" w:type="dxa"/>
            <w:vAlign w:val="bottom"/>
            <w:tcBorders>
              <w:bottom w:val="single" w:sz="8" w:color="E1D7AC"/>
            </w:tcBorders>
            <w:shd w:val="clear" w:color="auto" w:fill="E1D7AC"/>
          </w:tcPr>
          <w:p>
            <w:pPr>
              <w:spacing w:after="0"/>
              <w:rPr>
                <w:sz w:val="12"/>
                <w:szCs w:val="12"/>
                <w:color w:val="auto"/>
              </w:rPr>
            </w:pPr>
          </w:p>
        </w:tc>
        <w:tc>
          <w:tcPr>
            <w:tcW w:w="1040" w:type="dxa"/>
            <w:vAlign w:val="bottom"/>
            <w:tcBorders>
              <w:bottom w:val="single" w:sz="8" w:color="E1D7AC"/>
            </w:tcBorders>
            <w:shd w:val="clear" w:color="auto" w:fill="E1D7AC"/>
          </w:tcPr>
          <w:p>
            <w:pPr>
              <w:spacing w:after="0"/>
              <w:rPr>
                <w:sz w:val="12"/>
                <w:szCs w:val="12"/>
                <w:color w:val="auto"/>
              </w:rPr>
            </w:pPr>
          </w:p>
        </w:tc>
        <w:tc>
          <w:tcPr>
            <w:tcW w:w="840" w:type="dxa"/>
            <w:vAlign w:val="bottom"/>
            <w:tcBorders>
              <w:bottom w:val="single" w:sz="8" w:color="E1D7AC"/>
            </w:tcBorders>
            <w:shd w:val="clear" w:color="auto" w:fill="E1D7AC"/>
          </w:tcPr>
          <w:p>
            <w:pPr>
              <w:spacing w:after="0"/>
              <w:rPr>
                <w:sz w:val="12"/>
                <w:szCs w:val="12"/>
                <w:color w:val="auto"/>
              </w:rPr>
            </w:pPr>
          </w:p>
        </w:tc>
        <w:tc>
          <w:tcPr>
            <w:tcW w:w="740" w:type="dxa"/>
            <w:vAlign w:val="bottom"/>
            <w:tcBorders>
              <w:bottom w:val="single" w:sz="8" w:color="E1D7AC"/>
            </w:tcBorders>
            <w:shd w:val="clear" w:color="auto" w:fill="E1D7AC"/>
          </w:tcPr>
          <w:p>
            <w:pPr>
              <w:spacing w:after="0"/>
              <w:rPr>
                <w:sz w:val="12"/>
                <w:szCs w:val="12"/>
                <w:color w:val="auto"/>
              </w:rPr>
            </w:pPr>
          </w:p>
        </w:tc>
        <w:tc>
          <w:tcPr>
            <w:tcW w:w="100" w:type="dxa"/>
            <w:vAlign w:val="bottom"/>
            <w:tcBorders>
              <w:bottom w:val="single" w:sz="8" w:color="E1D7AC"/>
            </w:tcBorders>
            <w:shd w:val="clear" w:color="auto" w:fill="E1D7AC"/>
          </w:tcPr>
          <w:p>
            <w:pPr>
              <w:spacing w:after="0"/>
              <w:rPr>
                <w:sz w:val="12"/>
                <w:szCs w:val="12"/>
                <w:color w:val="auto"/>
              </w:rPr>
            </w:pPr>
          </w:p>
        </w:tc>
        <w:tc>
          <w:tcPr>
            <w:tcW w:w="1020" w:type="dxa"/>
            <w:vAlign w:val="bottom"/>
            <w:tcBorders>
              <w:bottom w:val="single" w:sz="8" w:color="E1D7AC"/>
            </w:tcBorders>
            <w:shd w:val="clear" w:color="auto" w:fill="E1D7AC"/>
          </w:tcPr>
          <w:p>
            <w:pPr>
              <w:spacing w:after="0"/>
              <w:rPr>
                <w:sz w:val="12"/>
                <w:szCs w:val="12"/>
                <w:color w:val="auto"/>
              </w:rPr>
            </w:pPr>
          </w:p>
        </w:tc>
        <w:tc>
          <w:tcPr>
            <w:tcW w:w="800" w:type="dxa"/>
            <w:vAlign w:val="bottom"/>
            <w:tcBorders>
              <w:bottom w:val="single" w:sz="8" w:color="E1D7AC"/>
            </w:tcBorders>
            <w:shd w:val="clear" w:color="auto" w:fill="E1D7AC"/>
          </w:tcPr>
          <w:p>
            <w:pPr>
              <w:spacing w:after="0"/>
              <w:rPr>
                <w:sz w:val="12"/>
                <w:szCs w:val="12"/>
                <w:color w:val="auto"/>
              </w:rPr>
            </w:pPr>
          </w:p>
        </w:tc>
        <w:tc>
          <w:tcPr>
            <w:tcW w:w="560" w:type="dxa"/>
            <w:vAlign w:val="bottom"/>
            <w:tcBorders>
              <w:bottom w:val="single" w:sz="8" w:color="E1D7AC"/>
            </w:tcBorders>
            <w:shd w:val="clear" w:color="auto" w:fill="E1D7AC"/>
          </w:tcPr>
          <w:p>
            <w:pPr>
              <w:spacing w:after="0"/>
              <w:rPr>
                <w:sz w:val="12"/>
                <w:szCs w:val="12"/>
                <w:color w:val="auto"/>
              </w:rPr>
            </w:pPr>
          </w:p>
        </w:tc>
        <w:tc>
          <w:tcPr>
            <w:tcW w:w="740" w:type="dxa"/>
            <w:vAlign w:val="bottom"/>
            <w:tcBorders>
              <w:bottom w:val="single" w:sz="8" w:color="E1D7AC"/>
            </w:tcBorders>
            <w:vMerge w:val="continue"/>
            <w:shd w:val="clear" w:color="auto" w:fill="E1D7AC"/>
          </w:tcPr>
          <w:p>
            <w:pPr>
              <w:spacing w:after="0"/>
              <w:rPr>
                <w:sz w:val="12"/>
                <w:szCs w:val="12"/>
                <w:color w:val="auto"/>
              </w:rPr>
            </w:pPr>
          </w:p>
        </w:tc>
        <w:tc>
          <w:tcPr>
            <w:tcW w:w="1020" w:type="dxa"/>
            <w:vAlign w:val="bottom"/>
            <w:tcBorders>
              <w:bottom w:val="single" w:sz="8" w:color="E1D7AC"/>
            </w:tcBorders>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Number of</w:t>
            </w:r>
          </w:p>
        </w:tc>
        <w:tc>
          <w:tcPr>
            <w:tcW w:w="780" w:type="dxa"/>
            <w:vAlign w:val="bottom"/>
            <w:tcBorders>
              <w:bottom w:val="single" w:sz="8" w:color="E1D7AC"/>
            </w:tcBorders>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Exercise or</w:t>
            </w:r>
          </w:p>
        </w:tc>
        <w:tc>
          <w:tcPr>
            <w:tcW w:w="78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Fair Value of</w:t>
            </w:r>
          </w:p>
        </w:tc>
        <w:tc>
          <w:tcPr>
            <w:tcW w:w="80" w:type="dxa"/>
            <w:vAlign w:val="bottom"/>
            <w:tcBorders>
              <w:bottom w:val="single" w:sz="8" w:color="E1D7AC"/>
            </w:tcBorders>
            <w:shd w:val="clear" w:color="auto" w:fill="E1D7AC"/>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900" w:type="dxa"/>
            <w:vAlign w:val="bottom"/>
            <w:tcBorders>
              <w:top w:val="single" w:sz="8" w:color="E1D7AC"/>
            </w:tcBorders>
            <w:shd w:val="clear" w:color="auto" w:fill="E1D7AC"/>
          </w:tcPr>
          <w:p>
            <w:pPr>
              <w:spacing w:after="0"/>
              <w:rPr>
                <w:sz w:val="7"/>
                <w:szCs w:val="7"/>
                <w:color w:val="auto"/>
              </w:rPr>
            </w:pPr>
          </w:p>
        </w:tc>
        <w:tc>
          <w:tcPr>
            <w:tcW w:w="1020" w:type="dxa"/>
            <w:vAlign w:val="bottom"/>
            <w:tcBorders>
              <w:top w:val="single" w:sz="8" w:color="E1D7AC"/>
            </w:tcBorders>
            <w:shd w:val="clear" w:color="auto" w:fill="E1D7AC"/>
          </w:tcPr>
          <w:p>
            <w:pPr>
              <w:spacing w:after="0"/>
              <w:rPr>
                <w:sz w:val="7"/>
                <w:szCs w:val="7"/>
                <w:color w:val="auto"/>
              </w:rPr>
            </w:pPr>
          </w:p>
        </w:tc>
        <w:tc>
          <w:tcPr>
            <w:tcW w:w="820" w:type="dxa"/>
            <w:vAlign w:val="bottom"/>
            <w:tcBorders>
              <w:top w:val="single" w:sz="8" w:color="E1D7AC"/>
            </w:tcBorders>
            <w:shd w:val="clear" w:color="auto" w:fill="E1D7AC"/>
          </w:tcPr>
          <w:p>
            <w:pPr>
              <w:spacing w:after="0"/>
              <w:rPr>
                <w:sz w:val="7"/>
                <w:szCs w:val="7"/>
                <w:color w:val="auto"/>
              </w:rPr>
            </w:pPr>
          </w:p>
        </w:tc>
        <w:tc>
          <w:tcPr>
            <w:tcW w:w="1040" w:type="dxa"/>
            <w:vAlign w:val="bottom"/>
            <w:tcBorders>
              <w:top w:val="single" w:sz="8" w:color="auto"/>
            </w:tcBorders>
            <w:shd w:val="clear" w:color="auto" w:fill="E1D7AC"/>
          </w:tcPr>
          <w:p>
            <w:pPr>
              <w:spacing w:after="0"/>
              <w:rPr>
                <w:sz w:val="7"/>
                <w:szCs w:val="7"/>
                <w:color w:val="auto"/>
              </w:rPr>
            </w:pPr>
          </w:p>
        </w:tc>
        <w:tc>
          <w:tcPr>
            <w:tcW w:w="840" w:type="dxa"/>
            <w:vAlign w:val="bottom"/>
            <w:tcBorders>
              <w:top w:val="single" w:sz="8" w:color="auto"/>
            </w:tcBorders>
            <w:shd w:val="clear" w:color="auto" w:fill="E1D7AC"/>
          </w:tcPr>
          <w:p>
            <w:pPr>
              <w:spacing w:after="0"/>
              <w:rPr>
                <w:sz w:val="7"/>
                <w:szCs w:val="7"/>
                <w:color w:val="auto"/>
              </w:rPr>
            </w:pPr>
          </w:p>
        </w:tc>
        <w:tc>
          <w:tcPr>
            <w:tcW w:w="740" w:type="dxa"/>
            <w:vAlign w:val="bottom"/>
            <w:tcBorders>
              <w:top w:val="single" w:sz="8" w:color="auto"/>
            </w:tcBorders>
            <w:shd w:val="clear" w:color="auto" w:fill="E1D7AC"/>
          </w:tcPr>
          <w:p>
            <w:pPr>
              <w:spacing w:after="0"/>
              <w:rPr>
                <w:sz w:val="7"/>
                <w:szCs w:val="7"/>
                <w:color w:val="auto"/>
              </w:rPr>
            </w:pPr>
          </w:p>
        </w:tc>
        <w:tc>
          <w:tcPr>
            <w:tcW w:w="100" w:type="dxa"/>
            <w:vAlign w:val="bottom"/>
            <w:tcBorders>
              <w:top w:val="single" w:sz="8" w:color="E1D7AC"/>
            </w:tcBorders>
            <w:shd w:val="clear" w:color="auto" w:fill="E1D7AC"/>
          </w:tcPr>
          <w:p>
            <w:pPr>
              <w:spacing w:after="0"/>
              <w:rPr>
                <w:sz w:val="7"/>
                <w:szCs w:val="7"/>
                <w:color w:val="auto"/>
              </w:rPr>
            </w:pPr>
          </w:p>
        </w:tc>
        <w:tc>
          <w:tcPr>
            <w:tcW w:w="1020" w:type="dxa"/>
            <w:vAlign w:val="bottom"/>
            <w:tcBorders>
              <w:top w:val="single" w:sz="8" w:color="auto"/>
            </w:tcBorders>
            <w:shd w:val="clear" w:color="auto" w:fill="E1D7AC"/>
          </w:tcPr>
          <w:p>
            <w:pPr>
              <w:spacing w:after="0"/>
              <w:rPr>
                <w:sz w:val="7"/>
                <w:szCs w:val="7"/>
                <w:color w:val="auto"/>
              </w:rPr>
            </w:pPr>
          </w:p>
        </w:tc>
        <w:tc>
          <w:tcPr>
            <w:tcW w:w="800" w:type="dxa"/>
            <w:vAlign w:val="bottom"/>
            <w:tcBorders>
              <w:top w:val="single" w:sz="8" w:color="auto"/>
            </w:tcBorders>
            <w:shd w:val="clear" w:color="auto" w:fill="E1D7AC"/>
          </w:tcPr>
          <w:p>
            <w:pPr>
              <w:spacing w:after="0"/>
              <w:rPr>
                <w:sz w:val="7"/>
                <w:szCs w:val="7"/>
                <w:color w:val="auto"/>
              </w:rPr>
            </w:pPr>
          </w:p>
        </w:tc>
        <w:tc>
          <w:tcPr>
            <w:tcW w:w="560" w:type="dxa"/>
            <w:vAlign w:val="bottom"/>
            <w:tcBorders>
              <w:top w:val="single" w:sz="8" w:color="auto"/>
            </w:tcBorders>
            <w:shd w:val="clear" w:color="auto" w:fill="E1D7AC"/>
          </w:tcPr>
          <w:p>
            <w:pPr>
              <w:spacing w:after="0"/>
              <w:rPr>
                <w:sz w:val="7"/>
                <w:szCs w:val="7"/>
                <w:color w:val="auto"/>
              </w:rPr>
            </w:pPr>
          </w:p>
        </w:tc>
        <w:tc>
          <w:tcPr>
            <w:tcW w:w="740" w:type="dxa"/>
            <w:vAlign w:val="bottom"/>
            <w:tcBorders>
              <w:top w:val="single" w:sz="8" w:color="E1D7AC"/>
            </w:tcBorders>
            <w:shd w:val="clear" w:color="auto" w:fill="E1D7AC"/>
          </w:tcPr>
          <w:p>
            <w:pPr>
              <w:jc w:val="right"/>
              <w:spacing w:after="0" w:line="87" w:lineRule="exact"/>
              <w:rPr>
                <w:sz w:val="20"/>
                <w:szCs w:val="20"/>
                <w:color w:val="auto"/>
              </w:rPr>
            </w:pPr>
            <w:r>
              <w:rPr>
                <w:rFonts w:ascii="Arial" w:cs="Arial" w:eastAsia="Arial" w:hAnsi="Arial"/>
                <w:sz w:val="10"/>
                <w:szCs w:val="10"/>
                <w:b w:val="1"/>
                <w:bCs w:val="1"/>
                <w:color w:val="auto"/>
              </w:rPr>
              <w:t>Number of</w:t>
            </w:r>
          </w:p>
        </w:tc>
        <w:tc>
          <w:tcPr>
            <w:tcW w:w="1800" w:type="dxa"/>
            <w:vAlign w:val="bottom"/>
            <w:tcBorders>
              <w:top w:val="single" w:sz="8" w:color="E1D7AC"/>
            </w:tcBorders>
            <w:gridSpan w:val="2"/>
            <w:vMerge w:val="restart"/>
            <w:shd w:val="clear" w:color="auto" w:fill="E1D7AC"/>
          </w:tcPr>
          <w:p>
            <w:pPr>
              <w:jc w:val="right"/>
              <w:ind w:right="2"/>
              <w:spacing w:after="0" w:line="137" w:lineRule="exact"/>
              <w:rPr>
                <w:sz w:val="20"/>
                <w:szCs w:val="20"/>
                <w:color w:val="auto"/>
              </w:rPr>
            </w:pPr>
            <w:r>
              <w:rPr>
                <w:rFonts w:ascii="Arial" w:cs="Arial" w:eastAsia="Arial" w:hAnsi="Arial"/>
                <w:sz w:val="12"/>
                <w:szCs w:val="12"/>
                <w:b w:val="1"/>
                <w:bCs w:val="1"/>
                <w:color w:val="auto"/>
              </w:rPr>
              <w:t>Securities Base Price of</w:t>
            </w:r>
          </w:p>
        </w:tc>
        <w:tc>
          <w:tcPr>
            <w:tcW w:w="780" w:type="dxa"/>
            <w:vAlign w:val="bottom"/>
            <w:tcBorders>
              <w:top w:val="single" w:sz="8" w:color="E1D7AC"/>
            </w:tcBorders>
            <w:vMerge w:val="restart"/>
            <w:shd w:val="clear" w:color="auto" w:fill="E1D7AC"/>
          </w:tcPr>
          <w:p>
            <w:pPr>
              <w:jc w:val="right"/>
              <w:spacing w:after="0" w:line="137" w:lineRule="exact"/>
              <w:rPr>
                <w:sz w:val="20"/>
                <w:szCs w:val="20"/>
                <w:color w:val="auto"/>
              </w:rPr>
            </w:pPr>
            <w:r>
              <w:rPr>
                <w:rFonts w:ascii="Arial" w:cs="Arial" w:eastAsia="Arial" w:hAnsi="Arial"/>
                <w:sz w:val="12"/>
                <w:szCs w:val="12"/>
                <w:b w:val="1"/>
                <w:bCs w:val="1"/>
                <w:color w:val="auto"/>
              </w:rPr>
              <w:t>Stock and</w:t>
            </w:r>
          </w:p>
        </w:tc>
        <w:tc>
          <w:tcPr>
            <w:tcW w:w="80" w:type="dxa"/>
            <w:vAlign w:val="bottom"/>
            <w:tcBorders>
              <w:top w:val="single" w:sz="8" w:color="E1D7AC"/>
            </w:tcBorders>
            <w:shd w:val="clear" w:color="auto" w:fill="E1D7AC"/>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900" w:type="dxa"/>
            <w:vAlign w:val="bottom"/>
            <w:shd w:val="clear" w:color="auto" w:fill="E1D7AC"/>
          </w:tcPr>
          <w:p>
            <w:pPr>
              <w:spacing w:after="0"/>
              <w:rPr>
                <w:sz w:val="4"/>
                <w:szCs w:val="4"/>
                <w:color w:val="auto"/>
              </w:rPr>
            </w:pPr>
          </w:p>
        </w:tc>
        <w:tc>
          <w:tcPr>
            <w:tcW w:w="1020" w:type="dxa"/>
            <w:vAlign w:val="bottom"/>
            <w:shd w:val="clear" w:color="auto" w:fill="E1D7AC"/>
          </w:tcPr>
          <w:p>
            <w:pPr>
              <w:spacing w:after="0"/>
              <w:rPr>
                <w:sz w:val="4"/>
                <w:szCs w:val="4"/>
                <w:color w:val="auto"/>
              </w:rPr>
            </w:pPr>
          </w:p>
        </w:tc>
        <w:tc>
          <w:tcPr>
            <w:tcW w:w="820" w:type="dxa"/>
            <w:vAlign w:val="bottom"/>
            <w:shd w:val="clear" w:color="auto" w:fill="E1D7AC"/>
          </w:tcPr>
          <w:p>
            <w:pPr>
              <w:spacing w:after="0"/>
              <w:rPr>
                <w:sz w:val="4"/>
                <w:szCs w:val="4"/>
                <w:color w:val="auto"/>
              </w:rPr>
            </w:pPr>
          </w:p>
        </w:tc>
        <w:tc>
          <w:tcPr>
            <w:tcW w:w="1040" w:type="dxa"/>
            <w:vAlign w:val="bottom"/>
            <w:shd w:val="clear" w:color="auto" w:fill="E1D7AC"/>
          </w:tcPr>
          <w:p>
            <w:pPr>
              <w:spacing w:after="0"/>
              <w:rPr>
                <w:sz w:val="4"/>
                <w:szCs w:val="4"/>
                <w:color w:val="auto"/>
              </w:rPr>
            </w:pPr>
          </w:p>
        </w:tc>
        <w:tc>
          <w:tcPr>
            <w:tcW w:w="840" w:type="dxa"/>
            <w:vAlign w:val="bottom"/>
            <w:shd w:val="clear" w:color="auto" w:fill="E1D7AC"/>
          </w:tcPr>
          <w:p>
            <w:pPr>
              <w:spacing w:after="0"/>
              <w:rPr>
                <w:sz w:val="4"/>
                <w:szCs w:val="4"/>
                <w:color w:val="auto"/>
              </w:rPr>
            </w:pPr>
          </w:p>
        </w:tc>
        <w:tc>
          <w:tcPr>
            <w:tcW w:w="740" w:type="dxa"/>
            <w:vAlign w:val="bottom"/>
            <w:shd w:val="clear" w:color="auto" w:fill="E1D7AC"/>
          </w:tcPr>
          <w:p>
            <w:pPr>
              <w:spacing w:after="0"/>
              <w:rPr>
                <w:sz w:val="4"/>
                <w:szCs w:val="4"/>
                <w:color w:val="auto"/>
              </w:rPr>
            </w:pPr>
          </w:p>
        </w:tc>
        <w:tc>
          <w:tcPr>
            <w:tcW w:w="100" w:type="dxa"/>
            <w:vAlign w:val="bottom"/>
            <w:shd w:val="clear" w:color="auto" w:fill="E1D7AC"/>
          </w:tcPr>
          <w:p>
            <w:pPr>
              <w:spacing w:after="0"/>
              <w:rPr>
                <w:sz w:val="4"/>
                <w:szCs w:val="4"/>
                <w:color w:val="auto"/>
              </w:rPr>
            </w:pPr>
          </w:p>
        </w:tc>
        <w:tc>
          <w:tcPr>
            <w:tcW w:w="1020" w:type="dxa"/>
            <w:vAlign w:val="bottom"/>
            <w:shd w:val="clear" w:color="auto" w:fill="E1D7AC"/>
          </w:tcPr>
          <w:p>
            <w:pPr>
              <w:spacing w:after="0"/>
              <w:rPr>
                <w:sz w:val="4"/>
                <w:szCs w:val="4"/>
                <w:color w:val="auto"/>
              </w:rPr>
            </w:pPr>
          </w:p>
        </w:tc>
        <w:tc>
          <w:tcPr>
            <w:tcW w:w="800" w:type="dxa"/>
            <w:vAlign w:val="bottom"/>
            <w:shd w:val="clear" w:color="auto" w:fill="E1D7AC"/>
          </w:tcPr>
          <w:p>
            <w:pPr>
              <w:spacing w:after="0"/>
              <w:rPr>
                <w:sz w:val="4"/>
                <w:szCs w:val="4"/>
                <w:color w:val="auto"/>
              </w:rPr>
            </w:pPr>
          </w:p>
        </w:tc>
        <w:tc>
          <w:tcPr>
            <w:tcW w:w="560" w:type="dxa"/>
            <w:vAlign w:val="bottom"/>
            <w:shd w:val="clear" w:color="auto" w:fill="E1D7AC"/>
          </w:tcPr>
          <w:p>
            <w:pPr>
              <w:spacing w:after="0"/>
              <w:rPr>
                <w:sz w:val="4"/>
                <w:szCs w:val="4"/>
                <w:color w:val="auto"/>
              </w:rPr>
            </w:pPr>
          </w:p>
        </w:tc>
        <w:tc>
          <w:tcPr>
            <w:tcW w:w="74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Shares of</w:t>
            </w:r>
          </w:p>
        </w:tc>
        <w:tc>
          <w:tcPr>
            <w:tcW w:w="1800" w:type="dxa"/>
            <w:vAlign w:val="bottom"/>
            <w:gridSpan w:val="2"/>
            <w:vMerge w:val="continue"/>
            <w:shd w:val="clear" w:color="auto" w:fill="E1D7AC"/>
          </w:tcPr>
          <w:p>
            <w:pPr>
              <w:spacing w:after="0"/>
              <w:rPr>
                <w:sz w:val="4"/>
                <w:szCs w:val="4"/>
                <w:color w:val="auto"/>
              </w:rPr>
            </w:pPr>
          </w:p>
        </w:tc>
        <w:tc>
          <w:tcPr>
            <w:tcW w:w="780" w:type="dxa"/>
            <w:vAlign w:val="bottom"/>
            <w:vMerge w:val="continue"/>
            <w:shd w:val="clear" w:color="auto" w:fill="E1D7AC"/>
          </w:tcPr>
          <w:p>
            <w:pPr>
              <w:spacing w:after="0"/>
              <w:rPr>
                <w:sz w:val="4"/>
                <w:szCs w:val="4"/>
                <w:color w:val="auto"/>
              </w:rPr>
            </w:pPr>
          </w:p>
        </w:tc>
        <w:tc>
          <w:tcPr>
            <w:tcW w:w="80" w:type="dxa"/>
            <w:vAlign w:val="bottom"/>
            <w:shd w:val="clear" w:color="auto" w:fill="E1D7AC"/>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900" w:type="dxa"/>
            <w:vAlign w:val="bottom"/>
            <w:shd w:val="clear" w:color="auto" w:fill="E1D7AC"/>
          </w:tcPr>
          <w:p>
            <w:pPr>
              <w:spacing w:after="0"/>
              <w:rPr>
                <w:sz w:val="8"/>
                <w:szCs w:val="8"/>
                <w:color w:val="auto"/>
              </w:rPr>
            </w:pPr>
          </w:p>
        </w:tc>
        <w:tc>
          <w:tcPr>
            <w:tcW w:w="1020" w:type="dxa"/>
            <w:vAlign w:val="bottom"/>
            <w:shd w:val="clear" w:color="auto" w:fill="E1D7AC"/>
          </w:tcPr>
          <w:p>
            <w:pPr>
              <w:spacing w:after="0"/>
              <w:rPr>
                <w:sz w:val="8"/>
                <w:szCs w:val="8"/>
                <w:color w:val="auto"/>
              </w:rPr>
            </w:pPr>
          </w:p>
        </w:tc>
        <w:tc>
          <w:tcPr>
            <w:tcW w:w="820" w:type="dxa"/>
            <w:vAlign w:val="bottom"/>
            <w:shd w:val="clear" w:color="auto" w:fill="E1D7AC"/>
          </w:tcPr>
          <w:p>
            <w:pPr>
              <w:spacing w:after="0"/>
              <w:rPr>
                <w:sz w:val="8"/>
                <w:szCs w:val="8"/>
                <w:color w:val="auto"/>
              </w:rPr>
            </w:pPr>
          </w:p>
        </w:tc>
        <w:tc>
          <w:tcPr>
            <w:tcW w:w="1040" w:type="dxa"/>
            <w:vAlign w:val="bottom"/>
            <w:shd w:val="clear" w:color="auto" w:fill="E1D7AC"/>
          </w:tcPr>
          <w:p>
            <w:pPr>
              <w:spacing w:after="0"/>
              <w:rPr>
                <w:sz w:val="8"/>
                <w:szCs w:val="8"/>
                <w:color w:val="auto"/>
              </w:rPr>
            </w:pPr>
          </w:p>
        </w:tc>
        <w:tc>
          <w:tcPr>
            <w:tcW w:w="840" w:type="dxa"/>
            <w:vAlign w:val="bottom"/>
            <w:shd w:val="clear" w:color="auto" w:fill="E1D7AC"/>
          </w:tcPr>
          <w:p>
            <w:pPr>
              <w:spacing w:after="0"/>
              <w:rPr>
                <w:sz w:val="8"/>
                <w:szCs w:val="8"/>
                <w:color w:val="auto"/>
              </w:rPr>
            </w:pPr>
          </w:p>
        </w:tc>
        <w:tc>
          <w:tcPr>
            <w:tcW w:w="740" w:type="dxa"/>
            <w:vAlign w:val="bottom"/>
            <w:shd w:val="clear" w:color="auto" w:fill="E1D7AC"/>
          </w:tcPr>
          <w:p>
            <w:pPr>
              <w:spacing w:after="0"/>
              <w:rPr>
                <w:sz w:val="8"/>
                <w:szCs w:val="8"/>
                <w:color w:val="auto"/>
              </w:rPr>
            </w:pPr>
          </w:p>
        </w:tc>
        <w:tc>
          <w:tcPr>
            <w:tcW w:w="100" w:type="dxa"/>
            <w:vAlign w:val="bottom"/>
            <w:shd w:val="clear" w:color="auto" w:fill="E1D7AC"/>
          </w:tcPr>
          <w:p>
            <w:pPr>
              <w:spacing w:after="0"/>
              <w:rPr>
                <w:sz w:val="8"/>
                <w:szCs w:val="8"/>
                <w:color w:val="auto"/>
              </w:rPr>
            </w:pPr>
          </w:p>
        </w:tc>
        <w:tc>
          <w:tcPr>
            <w:tcW w:w="1020" w:type="dxa"/>
            <w:vAlign w:val="bottom"/>
            <w:shd w:val="clear" w:color="auto" w:fill="E1D7AC"/>
          </w:tcPr>
          <w:p>
            <w:pPr>
              <w:spacing w:after="0"/>
              <w:rPr>
                <w:sz w:val="8"/>
                <w:szCs w:val="8"/>
                <w:color w:val="auto"/>
              </w:rPr>
            </w:pPr>
          </w:p>
        </w:tc>
        <w:tc>
          <w:tcPr>
            <w:tcW w:w="800" w:type="dxa"/>
            <w:vAlign w:val="bottom"/>
            <w:shd w:val="clear" w:color="auto" w:fill="E1D7AC"/>
          </w:tcPr>
          <w:p>
            <w:pPr>
              <w:spacing w:after="0"/>
              <w:rPr>
                <w:sz w:val="8"/>
                <w:szCs w:val="8"/>
                <w:color w:val="auto"/>
              </w:rPr>
            </w:pPr>
          </w:p>
        </w:tc>
        <w:tc>
          <w:tcPr>
            <w:tcW w:w="560" w:type="dxa"/>
            <w:vAlign w:val="bottom"/>
            <w:shd w:val="clear" w:color="auto" w:fill="E1D7AC"/>
          </w:tcPr>
          <w:p>
            <w:pPr>
              <w:spacing w:after="0"/>
              <w:rPr>
                <w:sz w:val="8"/>
                <w:szCs w:val="8"/>
                <w:color w:val="auto"/>
              </w:rPr>
            </w:pPr>
          </w:p>
        </w:tc>
        <w:tc>
          <w:tcPr>
            <w:tcW w:w="740" w:type="dxa"/>
            <w:vAlign w:val="bottom"/>
            <w:vMerge w:val="continue"/>
            <w:shd w:val="clear" w:color="auto" w:fill="E1D7AC"/>
          </w:tcPr>
          <w:p>
            <w:pPr>
              <w:spacing w:after="0"/>
              <w:rPr>
                <w:sz w:val="8"/>
                <w:szCs w:val="8"/>
                <w:color w:val="auto"/>
              </w:rPr>
            </w:pPr>
          </w:p>
        </w:tc>
        <w:tc>
          <w:tcPr>
            <w:tcW w:w="1020" w:type="dxa"/>
            <w:vAlign w:val="bottom"/>
            <w:vMerge w:val="restart"/>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Underlying</w:t>
            </w:r>
          </w:p>
        </w:tc>
        <w:tc>
          <w:tcPr>
            <w:tcW w:w="780" w:type="dxa"/>
            <w:vAlign w:val="bottom"/>
            <w:vMerge w:val="restart"/>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Option</w:t>
            </w:r>
          </w:p>
        </w:tc>
        <w:tc>
          <w:tcPr>
            <w:tcW w:w="78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Option</w:t>
            </w:r>
          </w:p>
        </w:tc>
        <w:tc>
          <w:tcPr>
            <w:tcW w:w="80" w:type="dxa"/>
            <w:vAlign w:val="bottom"/>
            <w:shd w:val="clear" w:color="auto" w:fill="E1D7AC"/>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900" w:type="dxa"/>
            <w:vAlign w:val="bottom"/>
            <w:shd w:val="clear" w:color="auto" w:fill="E1D7AC"/>
          </w:tcPr>
          <w:p>
            <w:pPr>
              <w:spacing w:after="0"/>
              <w:rPr>
                <w:sz w:val="4"/>
                <w:szCs w:val="4"/>
                <w:color w:val="auto"/>
              </w:rPr>
            </w:pPr>
          </w:p>
        </w:tc>
        <w:tc>
          <w:tcPr>
            <w:tcW w:w="1020" w:type="dxa"/>
            <w:vAlign w:val="bottom"/>
            <w:shd w:val="clear" w:color="auto" w:fill="E1D7AC"/>
          </w:tcPr>
          <w:p>
            <w:pPr>
              <w:spacing w:after="0"/>
              <w:rPr>
                <w:sz w:val="4"/>
                <w:szCs w:val="4"/>
                <w:color w:val="auto"/>
              </w:rPr>
            </w:pPr>
          </w:p>
        </w:tc>
        <w:tc>
          <w:tcPr>
            <w:tcW w:w="820" w:type="dxa"/>
            <w:vAlign w:val="bottom"/>
            <w:shd w:val="clear" w:color="auto" w:fill="E1D7AC"/>
          </w:tcPr>
          <w:p>
            <w:pPr>
              <w:spacing w:after="0"/>
              <w:rPr>
                <w:sz w:val="4"/>
                <w:szCs w:val="4"/>
                <w:color w:val="auto"/>
              </w:rPr>
            </w:pPr>
          </w:p>
        </w:tc>
        <w:tc>
          <w:tcPr>
            <w:tcW w:w="1040" w:type="dxa"/>
            <w:vAlign w:val="bottom"/>
            <w:shd w:val="clear" w:color="auto" w:fill="E1D7AC"/>
          </w:tcPr>
          <w:p>
            <w:pPr>
              <w:spacing w:after="0"/>
              <w:rPr>
                <w:sz w:val="4"/>
                <w:szCs w:val="4"/>
                <w:color w:val="auto"/>
              </w:rPr>
            </w:pPr>
          </w:p>
        </w:tc>
        <w:tc>
          <w:tcPr>
            <w:tcW w:w="840" w:type="dxa"/>
            <w:vAlign w:val="bottom"/>
            <w:shd w:val="clear" w:color="auto" w:fill="E1D7AC"/>
          </w:tcPr>
          <w:p>
            <w:pPr>
              <w:spacing w:after="0"/>
              <w:rPr>
                <w:sz w:val="4"/>
                <w:szCs w:val="4"/>
                <w:color w:val="auto"/>
              </w:rPr>
            </w:pPr>
          </w:p>
        </w:tc>
        <w:tc>
          <w:tcPr>
            <w:tcW w:w="740" w:type="dxa"/>
            <w:vAlign w:val="bottom"/>
            <w:shd w:val="clear" w:color="auto" w:fill="E1D7AC"/>
          </w:tcPr>
          <w:p>
            <w:pPr>
              <w:spacing w:after="0"/>
              <w:rPr>
                <w:sz w:val="4"/>
                <w:szCs w:val="4"/>
                <w:color w:val="auto"/>
              </w:rPr>
            </w:pPr>
          </w:p>
        </w:tc>
        <w:tc>
          <w:tcPr>
            <w:tcW w:w="100" w:type="dxa"/>
            <w:vAlign w:val="bottom"/>
            <w:shd w:val="clear" w:color="auto" w:fill="E1D7AC"/>
          </w:tcPr>
          <w:p>
            <w:pPr>
              <w:spacing w:after="0"/>
              <w:rPr>
                <w:sz w:val="4"/>
                <w:szCs w:val="4"/>
                <w:color w:val="auto"/>
              </w:rPr>
            </w:pPr>
          </w:p>
        </w:tc>
        <w:tc>
          <w:tcPr>
            <w:tcW w:w="1020" w:type="dxa"/>
            <w:vAlign w:val="bottom"/>
            <w:shd w:val="clear" w:color="auto" w:fill="E1D7AC"/>
          </w:tcPr>
          <w:p>
            <w:pPr>
              <w:spacing w:after="0"/>
              <w:rPr>
                <w:sz w:val="4"/>
                <w:szCs w:val="4"/>
                <w:color w:val="auto"/>
              </w:rPr>
            </w:pPr>
          </w:p>
        </w:tc>
        <w:tc>
          <w:tcPr>
            <w:tcW w:w="800" w:type="dxa"/>
            <w:vAlign w:val="bottom"/>
            <w:shd w:val="clear" w:color="auto" w:fill="E1D7AC"/>
          </w:tcPr>
          <w:p>
            <w:pPr>
              <w:spacing w:after="0"/>
              <w:rPr>
                <w:sz w:val="4"/>
                <w:szCs w:val="4"/>
                <w:color w:val="auto"/>
              </w:rPr>
            </w:pPr>
          </w:p>
        </w:tc>
        <w:tc>
          <w:tcPr>
            <w:tcW w:w="560" w:type="dxa"/>
            <w:vAlign w:val="bottom"/>
            <w:shd w:val="clear" w:color="auto" w:fill="E1D7AC"/>
          </w:tcPr>
          <w:p>
            <w:pPr>
              <w:spacing w:after="0"/>
              <w:rPr>
                <w:sz w:val="4"/>
                <w:szCs w:val="4"/>
                <w:color w:val="auto"/>
              </w:rPr>
            </w:pPr>
          </w:p>
        </w:tc>
        <w:tc>
          <w:tcPr>
            <w:tcW w:w="74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Stock</w:t>
            </w:r>
          </w:p>
        </w:tc>
        <w:tc>
          <w:tcPr>
            <w:tcW w:w="1020" w:type="dxa"/>
            <w:vAlign w:val="bottom"/>
            <w:vMerge w:val="continue"/>
            <w:shd w:val="clear" w:color="auto" w:fill="E1D7AC"/>
          </w:tcPr>
          <w:p>
            <w:pPr>
              <w:spacing w:after="0"/>
              <w:rPr>
                <w:sz w:val="4"/>
                <w:szCs w:val="4"/>
                <w:color w:val="auto"/>
              </w:rPr>
            </w:pPr>
          </w:p>
        </w:tc>
        <w:tc>
          <w:tcPr>
            <w:tcW w:w="780" w:type="dxa"/>
            <w:vAlign w:val="bottom"/>
            <w:vMerge w:val="continue"/>
            <w:shd w:val="clear" w:color="auto" w:fill="E1D7AC"/>
          </w:tcPr>
          <w:p>
            <w:pPr>
              <w:spacing w:after="0"/>
              <w:rPr>
                <w:sz w:val="4"/>
                <w:szCs w:val="4"/>
                <w:color w:val="auto"/>
              </w:rPr>
            </w:pPr>
          </w:p>
        </w:tc>
        <w:tc>
          <w:tcPr>
            <w:tcW w:w="780" w:type="dxa"/>
            <w:vAlign w:val="bottom"/>
            <w:vMerge w:val="continue"/>
            <w:shd w:val="clear" w:color="auto" w:fill="E1D7AC"/>
          </w:tcPr>
          <w:p>
            <w:pPr>
              <w:spacing w:after="0"/>
              <w:rPr>
                <w:sz w:val="4"/>
                <w:szCs w:val="4"/>
                <w:color w:val="auto"/>
              </w:rPr>
            </w:pPr>
          </w:p>
        </w:tc>
        <w:tc>
          <w:tcPr>
            <w:tcW w:w="80" w:type="dxa"/>
            <w:vAlign w:val="bottom"/>
            <w:shd w:val="clear" w:color="auto" w:fill="E1D7AC"/>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900" w:type="dxa"/>
            <w:vAlign w:val="bottom"/>
            <w:shd w:val="clear" w:color="auto" w:fill="E1D7AC"/>
          </w:tcPr>
          <w:p>
            <w:pPr>
              <w:spacing w:after="0"/>
              <w:rPr>
                <w:sz w:val="9"/>
                <w:szCs w:val="9"/>
                <w:color w:val="auto"/>
              </w:rPr>
            </w:pPr>
          </w:p>
        </w:tc>
        <w:tc>
          <w:tcPr>
            <w:tcW w:w="1020" w:type="dxa"/>
            <w:vAlign w:val="bottom"/>
            <w:shd w:val="clear" w:color="auto" w:fill="E1D7AC"/>
          </w:tcPr>
          <w:p>
            <w:pPr>
              <w:spacing w:after="0"/>
              <w:rPr>
                <w:sz w:val="9"/>
                <w:szCs w:val="9"/>
                <w:color w:val="auto"/>
              </w:rPr>
            </w:pPr>
          </w:p>
        </w:tc>
        <w:tc>
          <w:tcPr>
            <w:tcW w:w="820" w:type="dxa"/>
            <w:vAlign w:val="bottom"/>
            <w:shd w:val="clear" w:color="auto" w:fill="E1D7AC"/>
          </w:tcPr>
          <w:p>
            <w:pPr>
              <w:spacing w:after="0"/>
              <w:rPr>
                <w:sz w:val="9"/>
                <w:szCs w:val="9"/>
                <w:color w:val="auto"/>
              </w:rPr>
            </w:pPr>
          </w:p>
        </w:tc>
        <w:tc>
          <w:tcPr>
            <w:tcW w:w="1040" w:type="dxa"/>
            <w:vAlign w:val="bottom"/>
            <w:vMerge w:val="restart"/>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Threshold</w:t>
            </w:r>
          </w:p>
        </w:tc>
        <w:tc>
          <w:tcPr>
            <w:tcW w:w="840" w:type="dxa"/>
            <w:vAlign w:val="bottom"/>
            <w:vMerge w:val="restart"/>
            <w:shd w:val="clear" w:color="auto" w:fill="E1D7AC"/>
          </w:tcPr>
          <w:p>
            <w:pPr>
              <w:jc w:val="right"/>
              <w:ind w:right="82"/>
              <w:spacing w:after="0"/>
              <w:rPr>
                <w:sz w:val="20"/>
                <w:szCs w:val="20"/>
                <w:color w:val="auto"/>
              </w:rPr>
            </w:pPr>
            <w:r>
              <w:rPr>
                <w:rFonts w:ascii="Arial" w:cs="Arial" w:eastAsia="Arial" w:hAnsi="Arial"/>
                <w:sz w:val="12"/>
                <w:szCs w:val="12"/>
                <w:b w:val="1"/>
                <w:bCs w:val="1"/>
                <w:color w:val="auto"/>
              </w:rPr>
              <w:t>Target</w:t>
            </w:r>
          </w:p>
        </w:tc>
        <w:tc>
          <w:tcPr>
            <w:tcW w:w="840" w:type="dxa"/>
            <w:vAlign w:val="bottom"/>
            <w:gridSpan w:val="2"/>
            <w:vMerge w:val="restart"/>
            <w:shd w:val="clear" w:color="auto" w:fill="E1D7AC"/>
          </w:tcPr>
          <w:p>
            <w:pPr>
              <w:ind w:left="200"/>
              <w:spacing w:after="0"/>
              <w:rPr>
                <w:sz w:val="20"/>
                <w:szCs w:val="20"/>
                <w:color w:val="auto"/>
              </w:rPr>
            </w:pPr>
            <w:r>
              <w:rPr>
                <w:rFonts w:ascii="Arial" w:cs="Arial" w:eastAsia="Arial" w:hAnsi="Arial"/>
                <w:sz w:val="12"/>
                <w:szCs w:val="12"/>
                <w:b w:val="1"/>
                <w:bCs w:val="1"/>
                <w:color w:val="auto"/>
              </w:rPr>
              <w:t>Maximum</w:t>
            </w:r>
          </w:p>
        </w:tc>
        <w:tc>
          <w:tcPr>
            <w:tcW w:w="1020" w:type="dxa"/>
            <w:vAlign w:val="bottom"/>
            <w:vMerge w:val="restart"/>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Threshold</w:t>
            </w:r>
          </w:p>
        </w:tc>
        <w:tc>
          <w:tcPr>
            <w:tcW w:w="800" w:type="dxa"/>
            <w:vAlign w:val="bottom"/>
            <w:vMerge w:val="restart"/>
            <w:shd w:val="clear" w:color="auto" w:fill="E1D7AC"/>
          </w:tcPr>
          <w:p>
            <w:pPr>
              <w:jc w:val="right"/>
              <w:ind w:right="242"/>
              <w:spacing w:after="0"/>
              <w:rPr>
                <w:sz w:val="20"/>
                <w:szCs w:val="20"/>
                <w:color w:val="auto"/>
              </w:rPr>
            </w:pPr>
            <w:r>
              <w:rPr>
                <w:rFonts w:ascii="Arial" w:cs="Arial" w:eastAsia="Arial" w:hAnsi="Arial"/>
                <w:sz w:val="12"/>
                <w:szCs w:val="12"/>
                <w:b w:val="1"/>
                <w:bCs w:val="1"/>
                <w:color w:val="auto"/>
              </w:rPr>
              <w:t>Target</w:t>
            </w:r>
          </w:p>
        </w:tc>
        <w:tc>
          <w:tcPr>
            <w:tcW w:w="56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w w:val="93"/>
              </w:rPr>
              <w:t>Maximum</w:t>
            </w:r>
          </w:p>
        </w:tc>
        <w:tc>
          <w:tcPr>
            <w:tcW w:w="740" w:type="dxa"/>
            <w:vAlign w:val="bottom"/>
            <w:vMerge w:val="continue"/>
            <w:shd w:val="clear" w:color="auto" w:fill="E1D7AC"/>
          </w:tcPr>
          <w:p>
            <w:pPr>
              <w:spacing w:after="0"/>
              <w:rPr>
                <w:sz w:val="9"/>
                <w:szCs w:val="9"/>
                <w:color w:val="auto"/>
              </w:rPr>
            </w:pPr>
          </w:p>
        </w:tc>
        <w:tc>
          <w:tcPr>
            <w:tcW w:w="1020" w:type="dxa"/>
            <w:vAlign w:val="bottom"/>
            <w:vMerge w:val="restart"/>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Options</w:t>
            </w:r>
          </w:p>
        </w:tc>
        <w:tc>
          <w:tcPr>
            <w:tcW w:w="780" w:type="dxa"/>
            <w:vAlign w:val="bottom"/>
            <w:vMerge w:val="restart"/>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Awards</w:t>
            </w:r>
          </w:p>
        </w:tc>
        <w:tc>
          <w:tcPr>
            <w:tcW w:w="78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Awards</w:t>
            </w:r>
          </w:p>
        </w:tc>
        <w:tc>
          <w:tcPr>
            <w:tcW w:w="80" w:type="dxa"/>
            <w:vAlign w:val="bottom"/>
            <w:shd w:val="clear" w:color="auto" w:fill="E1D7A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900" w:type="dxa"/>
            <w:vAlign w:val="bottom"/>
            <w:shd w:val="clear" w:color="auto" w:fill="E1D7AC"/>
          </w:tcPr>
          <w:p>
            <w:pPr>
              <w:spacing w:after="0"/>
              <w:rPr>
                <w:sz w:val="3"/>
                <w:szCs w:val="3"/>
                <w:color w:val="auto"/>
              </w:rPr>
            </w:pPr>
          </w:p>
        </w:tc>
        <w:tc>
          <w:tcPr>
            <w:tcW w:w="1020" w:type="dxa"/>
            <w:vAlign w:val="bottom"/>
            <w:shd w:val="clear" w:color="auto" w:fill="E1D7AC"/>
          </w:tcPr>
          <w:p>
            <w:pPr>
              <w:spacing w:after="0"/>
              <w:rPr>
                <w:sz w:val="3"/>
                <w:szCs w:val="3"/>
                <w:color w:val="auto"/>
              </w:rPr>
            </w:pPr>
          </w:p>
        </w:tc>
        <w:tc>
          <w:tcPr>
            <w:tcW w:w="820" w:type="dxa"/>
            <w:vAlign w:val="bottom"/>
            <w:shd w:val="clear" w:color="auto" w:fill="E1D7AC"/>
          </w:tcPr>
          <w:p>
            <w:pPr>
              <w:spacing w:after="0"/>
              <w:rPr>
                <w:sz w:val="3"/>
                <w:szCs w:val="3"/>
                <w:color w:val="auto"/>
              </w:rPr>
            </w:pPr>
          </w:p>
        </w:tc>
        <w:tc>
          <w:tcPr>
            <w:tcW w:w="1040" w:type="dxa"/>
            <w:vAlign w:val="bottom"/>
            <w:vMerge w:val="continue"/>
            <w:shd w:val="clear" w:color="auto" w:fill="E1D7AC"/>
          </w:tcPr>
          <w:p>
            <w:pPr>
              <w:spacing w:after="0"/>
              <w:rPr>
                <w:sz w:val="3"/>
                <w:szCs w:val="3"/>
                <w:color w:val="auto"/>
              </w:rPr>
            </w:pPr>
          </w:p>
        </w:tc>
        <w:tc>
          <w:tcPr>
            <w:tcW w:w="840" w:type="dxa"/>
            <w:vAlign w:val="bottom"/>
            <w:vMerge w:val="continue"/>
            <w:shd w:val="clear" w:color="auto" w:fill="E1D7AC"/>
          </w:tcPr>
          <w:p>
            <w:pPr>
              <w:spacing w:after="0"/>
              <w:rPr>
                <w:sz w:val="3"/>
                <w:szCs w:val="3"/>
                <w:color w:val="auto"/>
              </w:rPr>
            </w:pPr>
          </w:p>
        </w:tc>
        <w:tc>
          <w:tcPr>
            <w:tcW w:w="840" w:type="dxa"/>
            <w:vAlign w:val="bottom"/>
            <w:gridSpan w:val="2"/>
            <w:vMerge w:val="continue"/>
            <w:shd w:val="clear" w:color="auto" w:fill="E1D7AC"/>
          </w:tcPr>
          <w:p>
            <w:pPr>
              <w:spacing w:after="0"/>
              <w:rPr>
                <w:sz w:val="3"/>
                <w:szCs w:val="3"/>
                <w:color w:val="auto"/>
              </w:rPr>
            </w:pPr>
          </w:p>
        </w:tc>
        <w:tc>
          <w:tcPr>
            <w:tcW w:w="1020" w:type="dxa"/>
            <w:vAlign w:val="bottom"/>
            <w:vMerge w:val="continue"/>
            <w:shd w:val="clear" w:color="auto" w:fill="E1D7AC"/>
          </w:tcPr>
          <w:p>
            <w:pPr>
              <w:spacing w:after="0"/>
              <w:rPr>
                <w:sz w:val="3"/>
                <w:szCs w:val="3"/>
                <w:color w:val="auto"/>
              </w:rPr>
            </w:pPr>
          </w:p>
        </w:tc>
        <w:tc>
          <w:tcPr>
            <w:tcW w:w="800" w:type="dxa"/>
            <w:vAlign w:val="bottom"/>
            <w:vMerge w:val="continue"/>
            <w:shd w:val="clear" w:color="auto" w:fill="E1D7AC"/>
          </w:tcPr>
          <w:p>
            <w:pPr>
              <w:spacing w:after="0"/>
              <w:rPr>
                <w:sz w:val="3"/>
                <w:szCs w:val="3"/>
                <w:color w:val="auto"/>
              </w:rPr>
            </w:pPr>
          </w:p>
        </w:tc>
        <w:tc>
          <w:tcPr>
            <w:tcW w:w="560" w:type="dxa"/>
            <w:vAlign w:val="bottom"/>
            <w:vMerge w:val="continue"/>
            <w:shd w:val="clear" w:color="auto" w:fill="E1D7AC"/>
          </w:tcPr>
          <w:p>
            <w:pPr>
              <w:spacing w:after="0"/>
              <w:rPr>
                <w:sz w:val="3"/>
                <w:szCs w:val="3"/>
                <w:color w:val="auto"/>
              </w:rPr>
            </w:pPr>
          </w:p>
        </w:tc>
        <w:tc>
          <w:tcPr>
            <w:tcW w:w="740" w:type="dxa"/>
            <w:vAlign w:val="bottom"/>
            <w:shd w:val="clear" w:color="auto" w:fill="E1D7AC"/>
          </w:tcPr>
          <w:p>
            <w:pPr>
              <w:spacing w:after="0"/>
              <w:rPr>
                <w:sz w:val="3"/>
                <w:szCs w:val="3"/>
                <w:color w:val="auto"/>
              </w:rPr>
            </w:pPr>
          </w:p>
        </w:tc>
        <w:tc>
          <w:tcPr>
            <w:tcW w:w="1020" w:type="dxa"/>
            <w:vAlign w:val="bottom"/>
            <w:vMerge w:val="continue"/>
            <w:shd w:val="clear" w:color="auto" w:fill="E1D7AC"/>
          </w:tcPr>
          <w:p>
            <w:pPr>
              <w:spacing w:after="0"/>
              <w:rPr>
                <w:sz w:val="3"/>
                <w:szCs w:val="3"/>
                <w:color w:val="auto"/>
              </w:rPr>
            </w:pPr>
          </w:p>
        </w:tc>
        <w:tc>
          <w:tcPr>
            <w:tcW w:w="780" w:type="dxa"/>
            <w:vAlign w:val="bottom"/>
            <w:vMerge w:val="continue"/>
            <w:shd w:val="clear" w:color="auto" w:fill="E1D7AC"/>
          </w:tcPr>
          <w:p>
            <w:pPr>
              <w:spacing w:after="0"/>
              <w:rPr>
                <w:sz w:val="3"/>
                <w:szCs w:val="3"/>
                <w:color w:val="auto"/>
              </w:rPr>
            </w:pPr>
          </w:p>
        </w:tc>
        <w:tc>
          <w:tcPr>
            <w:tcW w:w="780" w:type="dxa"/>
            <w:vAlign w:val="bottom"/>
            <w:vMerge w:val="continue"/>
            <w:shd w:val="clear" w:color="auto" w:fill="E1D7AC"/>
          </w:tcPr>
          <w:p>
            <w:pPr>
              <w:spacing w:after="0"/>
              <w:rPr>
                <w:sz w:val="3"/>
                <w:szCs w:val="3"/>
                <w:color w:val="auto"/>
              </w:rPr>
            </w:pPr>
          </w:p>
        </w:tc>
        <w:tc>
          <w:tcPr>
            <w:tcW w:w="80" w:type="dxa"/>
            <w:vAlign w:val="bottom"/>
            <w:shd w:val="clear" w:color="auto" w:fill="E1D7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90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2"/>
                <w:szCs w:val="12"/>
                <w:b w:val="1"/>
                <w:bCs w:val="1"/>
                <w:color w:val="auto"/>
              </w:rPr>
              <w:t>Name</w:t>
            </w:r>
          </w:p>
        </w:tc>
        <w:tc>
          <w:tcPr>
            <w:tcW w:w="1020" w:type="dxa"/>
            <w:vAlign w:val="bottom"/>
            <w:tcBorders>
              <w:bottom w:val="single" w:sz="8" w:color="E1D7AC"/>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2"/>
              </w:rPr>
              <w:t>Award Type</w:t>
            </w:r>
            <w:r>
              <w:rPr>
                <w:rFonts w:ascii="Arial" w:cs="Arial" w:eastAsia="Arial" w:hAnsi="Arial"/>
                <w:sz w:val="15"/>
                <w:szCs w:val="15"/>
                <w:b w:val="1"/>
                <w:bCs w:val="1"/>
                <w:color w:val="auto"/>
                <w:w w:val="92"/>
                <w:vertAlign w:val="superscript"/>
              </w:rPr>
              <w:t>(2)</w:t>
            </w:r>
          </w:p>
        </w:tc>
        <w:tc>
          <w:tcPr>
            <w:tcW w:w="82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2"/>
                <w:szCs w:val="12"/>
                <w:b w:val="1"/>
                <w:bCs w:val="1"/>
                <w:color w:val="auto"/>
              </w:rPr>
              <w:t>Grant Date</w:t>
            </w:r>
          </w:p>
        </w:tc>
        <w:tc>
          <w:tcPr>
            <w:tcW w:w="1040" w:type="dxa"/>
            <w:vAlign w:val="bottom"/>
            <w:tcBorders>
              <w:bottom w:val="single" w:sz="8" w:color="E1D7AC"/>
            </w:tcBorders>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E1D7AC"/>
            </w:tcBorders>
            <w:shd w:val="clear" w:color="auto" w:fill="E1D7AC"/>
          </w:tcPr>
          <w:p>
            <w:pPr>
              <w:jc w:val="right"/>
              <w:ind w:right="82"/>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E1D7AC"/>
            </w:tcBorders>
            <w:shd w:val="clear" w:color="auto" w:fill="E1D7AC"/>
          </w:tcPr>
          <w:p>
            <w:pPr>
              <w:spacing w:after="0"/>
              <w:rPr>
                <w:sz w:val="19"/>
                <w:szCs w:val="19"/>
                <w:color w:val="auto"/>
              </w:rPr>
            </w:pPr>
          </w:p>
        </w:tc>
        <w:tc>
          <w:tcPr>
            <w:tcW w:w="1020" w:type="dxa"/>
            <w:vAlign w:val="bottom"/>
            <w:tcBorders>
              <w:bottom w:val="single" w:sz="8" w:color="E1D7AC"/>
            </w:tcBorders>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E1D7AC"/>
            </w:tcBorders>
            <w:shd w:val="clear" w:color="auto" w:fill="E1D7AC"/>
          </w:tcPr>
          <w:p>
            <w:pPr>
              <w:jc w:val="right"/>
              <w:ind w:right="242"/>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1020" w:type="dxa"/>
            <w:vAlign w:val="bottom"/>
            <w:tcBorders>
              <w:bottom w:val="single" w:sz="8" w:color="E1D7AC"/>
            </w:tcBorders>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w:t>
            </w:r>
          </w:p>
        </w:tc>
        <w:tc>
          <w:tcPr>
            <w:tcW w:w="780" w:type="dxa"/>
            <w:vAlign w:val="bottom"/>
            <w:tcBorders>
              <w:bottom w:val="single" w:sz="8" w:color="E1D7AC"/>
            </w:tcBorders>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($/share)</w:t>
            </w:r>
          </w:p>
        </w:tc>
        <w:tc>
          <w:tcPr>
            <w:tcW w:w="78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(3)</w:t>
            </w:r>
          </w:p>
        </w:tc>
        <w:tc>
          <w:tcPr>
            <w:tcW w:w="80" w:type="dxa"/>
            <w:vAlign w:val="bottom"/>
            <w:tcBorders>
              <w:bottom w:val="single" w:sz="8" w:color="E1D7AC"/>
            </w:tcBorders>
            <w:shd w:val="clear" w:color="auto" w:fill="E1D7A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DBDBDB"/>
          </w:tcPr>
          <w:p>
            <w:pPr>
              <w:spacing w:after="0"/>
              <w:rPr>
                <w:sz w:val="19"/>
                <w:szCs w:val="19"/>
                <w:color w:val="auto"/>
              </w:rPr>
            </w:pPr>
          </w:p>
        </w:tc>
        <w:tc>
          <w:tcPr>
            <w:tcW w:w="10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Annual Bonus</w:t>
            </w:r>
          </w:p>
        </w:tc>
        <w:tc>
          <w:tcPr>
            <w:tcW w:w="8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918,750</w:t>
            </w:r>
          </w:p>
        </w:tc>
        <w:tc>
          <w:tcPr>
            <w:tcW w:w="8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1,837,500</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3,675,000</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900" w:type="dxa"/>
            <w:vAlign w:val="bottom"/>
            <w:tcBorders>
              <w:bottom w:val="single" w:sz="8" w:color="DBDBDB"/>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20" w:type="dxa"/>
            <w:vAlign w:val="bottom"/>
            <w:tcBorders>
              <w:bottom w:val="single" w:sz="8" w:color="B6B6B6"/>
            </w:tcBorders>
            <w:shd w:val="clear" w:color="auto" w:fill="DBDBDB"/>
          </w:tcPr>
          <w:p>
            <w:pPr>
              <w:spacing w:after="0"/>
              <w:rPr>
                <w:sz w:val="6"/>
                <w:szCs w:val="6"/>
                <w:color w:val="auto"/>
              </w:rPr>
            </w:pPr>
          </w:p>
        </w:tc>
        <w:tc>
          <w:tcPr>
            <w:tcW w:w="1040" w:type="dxa"/>
            <w:vAlign w:val="bottom"/>
            <w:tcBorders>
              <w:bottom w:val="single" w:sz="8" w:color="B6B6B6"/>
            </w:tcBorders>
            <w:shd w:val="clear" w:color="auto" w:fill="DBDBDB"/>
          </w:tcPr>
          <w:p>
            <w:pPr>
              <w:spacing w:after="0"/>
              <w:rPr>
                <w:sz w:val="6"/>
                <w:szCs w:val="6"/>
                <w:color w:val="auto"/>
              </w:rPr>
            </w:pPr>
          </w:p>
        </w:tc>
        <w:tc>
          <w:tcPr>
            <w:tcW w:w="84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00" w:type="dxa"/>
            <w:vAlign w:val="bottom"/>
            <w:tcBorders>
              <w:bottom w:val="single" w:sz="8" w:color="B6B6B6"/>
            </w:tcBorders>
            <w:shd w:val="clear" w:color="auto" w:fill="DBDBDB"/>
          </w:tcPr>
          <w:p>
            <w:pPr>
              <w:spacing w:after="0"/>
              <w:rPr>
                <w:sz w:val="6"/>
                <w:szCs w:val="6"/>
                <w:color w:val="auto"/>
              </w:rPr>
            </w:pPr>
          </w:p>
        </w:tc>
        <w:tc>
          <w:tcPr>
            <w:tcW w:w="56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80" w:type="dxa"/>
            <w:vAlign w:val="bottom"/>
            <w:tcBorders>
              <w:bottom w:val="single" w:sz="8" w:color="DBDBDB"/>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00" w:type="dxa"/>
            <w:vAlign w:val="bottom"/>
            <w:vMerge w:val="restart"/>
            <w:shd w:val="clear" w:color="auto" w:fill="DBDBDB"/>
          </w:tcPr>
          <w:p>
            <w:pPr>
              <w:ind w:left="100"/>
              <w:spacing w:after="0"/>
              <w:rPr>
                <w:sz w:val="20"/>
                <w:szCs w:val="20"/>
                <w:color w:val="auto"/>
              </w:rPr>
            </w:pPr>
            <w:r>
              <w:rPr>
                <w:rFonts w:ascii="Arial" w:cs="Arial" w:eastAsia="Arial" w:hAnsi="Arial"/>
                <w:sz w:val="12"/>
                <w:szCs w:val="12"/>
                <w:b w:val="1"/>
                <w:bCs w:val="1"/>
                <w:color w:val="auto"/>
              </w:rPr>
              <w:t>Steve</w:t>
            </w:r>
          </w:p>
        </w:tc>
        <w:tc>
          <w:tcPr>
            <w:tcW w:w="10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6"/>
              </w:rPr>
              <w:t>Performance</w:t>
            </w:r>
          </w:p>
        </w:tc>
        <w:tc>
          <w:tcPr>
            <w:tcW w:w="8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vMerge w:val="restart"/>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DBDBDB"/>
          </w:tcPr>
          <w:p>
            <w:pPr>
              <w:jc w:val="right"/>
              <w:ind w:right="102"/>
              <w:spacing w:after="0"/>
              <w:rPr>
                <w:sz w:val="20"/>
                <w:szCs w:val="20"/>
                <w:color w:val="auto"/>
              </w:rPr>
            </w:pPr>
            <w:r>
              <w:rPr>
                <w:rFonts w:ascii="Arial" w:cs="Arial" w:eastAsia="Arial" w:hAnsi="Arial"/>
                <w:sz w:val="12"/>
                <w:szCs w:val="12"/>
                <w:color w:val="auto"/>
              </w:rPr>
              <w:t>24,816</w:t>
            </w:r>
          </w:p>
        </w:tc>
        <w:tc>
          <w:tcPr>
            <w:tcW w:w="800" w:type="dxa"/>
            <w:vAlign w:val="bottom"/>
            <w:vMerge w:val="restart"/>
            <w:shd w:val="clear" w:color="auto" w:fill="DBDBDB"/>
          </w:tcPr>
          <w:p>
            <w:pPr>
              <w:jc w:val="right"/>
              <w:ind w:right="242"/>
              <w:spacing w:after="0"/>
              <w:rPr>
                <w:sz w:val="20"/>
                <w:szCs w:val="20"/>
                <w:color w:val="auto"/>
              </w:rPr>
            </w:pPr>
            <w:r>
              <w:rPr>
                <w:rFonts w:ascii="Arial" w:cs="Arial" w:eastAsia="Arial" w:hAnsi="Arial"/>
                <w:sz w:val="12"/>
                <w:szCs w:val="12"/>
                <w:color w:val="auto"/>
              </w:rPr>
              <w:t>49,633</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99,266</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3,249,969</w:t>
            </w:r>
          </w:p>
        </w:tc>
        <w:tc>
          <w:tcPr>
            <w:tcW w:w="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vMerge w:val="continue"/>
            <w:shd w:val="clear" w:color="auto" w:fill="DBDBDB"/>
          </w:tcPr>
          <w:p>
            <w:pPr>
              <w:spacing w:after="0"/>
              <w:rPr>
                <w:sz w:val="4"/>
                <w:szCs w:val="4"/>
                <w:color w:val="auto"/>
              </w:rPr>
            </w:pPr>
          </w:p>
        </w:tc>
        <w:tc>
          <w:tcPr>
            <w:tcW w:w="10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5"/>
              </w:rPr>
              <w:t>RSUs</w:t>
            </w:r>
          </w:p>
        </w:tc>
        <w:tc>
          <w:tcPr>
            <w:tcW w:w="820" w:type="dxa"/>
            <w:vAlign w:val="bottom"/>
            <w:vMerge w:val="continue"/>
            <w:shd w:val="clear" w:color="auto" w:fill="DBDBDB"/>
          </w:tcPr>
          <w:p>
            <w:pPr>
              <w:spacing w:after="0"/>
              <w:rPr>
                <w:sz w:val="4"/>
                <w:szCs w:val="4"/>
                <w:color w:val="auto"/>
              </w:rPr>
            </w:pPr>
          </w:p>
        </w:tc>
        <w:tc>
          <w:tcPr>
            <w:tcW w:w="1040" w:type="dxa"/>
            <w:vAlign w:val="bottom"/>
            <w:vMerge w:val="continue"/>
            <w:shd w:val="clear" w:color="auto" w:fill="DBDBDB"/>
          </w:tcPr>
          <w:p>
            <w:pPr>
              <w:spacing w:after="0"/>
              <w:rPr>
                <w:sz w:val="4"/>
                <w:szCs w:val="4"/>
                <w:color w:val="auto"/>
              </w:rPr>
            </w:pPr>
          </w:p>
        </w:tc>
        <w:tc>
          <w:tcPr>
            <w:tcW w:w="840" w:type="dxa"/>
            <w:vAlign w:val="bottom"/>
            <w:vMerge w:val="continue"/>
            <w:shd w:val="clear" w:color="auto" w:fill="DBDBDB"/>
          </w:tcPr>
          <w:p>
            <w:pPr>
              <w:spacing w:after="0"/>
              <w:rPr>
                <w:sz w:val="4"/>
                <w:szCs w:val="4"/>
                <w:color w:val="auto"/>
              </w:rPr>
            </w:pPr>
          </w:p>
        </w:tc>
        <w:tc>
          <w:tcPr>
            <w:tcW w:w="840" w:type="dxa"/>
            <w:vAlign w:val="bottom"/>
            <w:gridSpan w:val="2"/>
            <w:vMerge w:val="continue"/>
            <w:shd w:val="clear" w:color="auto" w:fill="DBDBDB"/>
          </w:tcPr>
          <w:p>
            <w:pPr>
              <w:spacing w:after="0"/>
              <w:rPr>
                <w:sz w:val="4"/>
                <w:szCs w:val="4"/>
                <w:color w:val="auto"/>
              </w:rPr>
            </w:pPr>
          </w:p>
        </w:tc>
        <w:tc>
          <w:tcPr>
            <w:tcW w:w="1020" w:type="dxa"/>
            <w:vAlign w:val="bottom"/>
            <w:vMerge w:val="continue"/>
            <w:shd w:val="clear" w:color="auto" w:fill="DBDBDB"/>
          </w:tcPr>
          <w:p>
            <w:pPr>
              <w:spacing w:after="0"/>
              <w:rPr>
                <w:sz w:val="4"/>
                <w:szCs w:val="4"/>
                <w:color w:val="auto"/>
              </w:rPr>
            </w:pPr>
          </w:p>
        </w:tc>
        <w:tc>
          <w:tcPr>
            <w:tcW w:w="800" w:type="dxa"/>
            <w:vAlign w:val="bottom"/>
            <w:vMerge w:val="continue"/>
            <w:shd w:val="clear" w:color="auto" w:fill="DBDBDB"/>
          </w:tcPr>
          <w:p>
            <w:pPr>
              <w:spacing w:after="0"/>
              <w:rPr>
                <w:sz w:val="4"/>
                <w:szCs w:val="4"/>
                <w:color w:val="auto"/>
              </w:rPr>
            </w:pPr>
          </w:p>
        </w:tc>
        <w:tc>
          <w:tcPr>
            <w:tcW w:w="560" w:type="dxa"/>
            <w:vAlign w:val="bottom"/>
            <w:vMerge w:val="continue"/>
            <w:shd w:val="clear" w:color="auto" w:fill="DBDBDB"/>
          </w:tcPr>
          <w:p>
            <w:pPr>
              <w:spacing w:after="0"/>
              <w:rPr>
                <w:sz w:val="4"/>
                <w:szCs w:val="4"/>
                <w:color w:val="auto"/>
              </w:rPr>
            </w:pPr>
          </w:p>
        </w:tc>
        <w:tc>
          <w:tcPr>
            <w:tcW w:w="740" w:type="dxa"/>
            <w:vAlign w:val="bottom"/>
            <w:vMerge w:val="continue"/>
            <w:shd w:val="clear" w:color="auto" w:fill="DBDBDB"/>
          </w:tcPr>
          <w:p>
            <w:pPr>
              <w:spacing w:after="0"/>
              <w:rPr>
                <w:sz w:val="4"/>
                <w:szCs w:val="4"/>
                <w:color w:val="auto"/>
              </w:rPr>
            </w:pPr>
          </w:p>
        </w:tc>
        <w:tc>
          <w:tcPr>
            <w:tcW w:w="1020" w:type="dxa"/>
            <w:vAlign w:val="bottom"/>
            <w:vMerge w:val="continue"/>
            <w:shd w:val="clear" w:color="auto" w:fill="DBDBDB"/>
          </w:tcPr>
          <w:p>
            <w:pPr>
              <w:spacing w:after="0"/>
              <w:rPr>
                <w:sz w:val="4"/>
                <w:szCs w:val="4"/>
                <w:color w:val="auto"/>
              </w:rPr>
            </w:pPr>
          </w:p>
        </w:tc>
        <w:tc>
          <w:tcPr>
            <w:tcW w:w="780" w:type="dxa"/>
            <w:vAlign w:val="bottom"/>
            <w:vMerge w:val="continue"/>
            <w:shd w:val="clear" w:color="auto" w:fill="DBDBDB"/>
          </w:tcPr>
          <w:p>
            <w:pPr>
              <w:spacing w:after="0"/>
              <w:rPr>
                <w:sz w:val="4"/>
                <w:szCs w:val="4"/>
                <w:color w:val="auto"/>
              </w:rPr>
            </w:pPr>
          </w:p>
        </w:tc>
        <w:tc>
          <w:tcPr>
            <w:tcW w:w="78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9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2"/>
                <w:szCs w:val="12"/>
                <w:b w:val="1"/>
                <w:bCs w:val="1"/>
                <w:color w:val="auto"/>
              </w:rPr>
              <w:t>Lawrence</w:t>
            </w:r>
          </w:p>
        </w:tc>
        <w:tc>
          <w:tcPr>
            <w:tcW w:w="1020" w:type="dxa"/>
            <w:vAlign w:val="bottom"/>
            <w:tcBorders>
              <w:bottom w:val="single" w:sz="8" w:color="DBDBDB"/>
            </w:tcBorders>
            <w:vMerge w:val="continue"/>
            <w:shd w:val="clear" w:color="auto" w:fill="DBDBDB"/>
          </w:tcPr>
          <w:p>
            <w:pPr>
              <w:spacing w:after="0"/>
              <w:rPr>
                <w:sz w:val="13"/>
                <w:szCs w:val="13"/>
                <w:color w:val="auto"/>
              </w:rPr>
            </w:pPr>
          </w:p>
        </w:tc>
        <w:tc>
          <w:tcPr>
            <w:tcW w:w="82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spacing w:after="0"/>
              <w:rPr>
                <w:sz w:val="13"/>
                <w:szCs w:val="13"/>
                <w:color w:val="auto"/>
              </w:rPr>
            </w:pPr>
          </w:p>
        </w:tc>
        <w:tc>
          <w:tcPr>
            <w:tcW w:w="740" w:type="dxa"/>
            <w:vAlign w:val="bottom"/>
            <w:tcBorders>
              <w:bottom w:val="single" w:sz="8" w:color="DBDBDB"/>
            </w:tcBorders>
            <w:shd w:val="clear" w:color="auto" w:fill="DBDBDB"/>
          </w:tcPr>
          <w:p>
            <w:pPr>
              <w:spacing w:after="0"/>
              <w:rPr>
                <w:sz w:val="13"/>
                <w:szCs w:val="13"/>
                <w:color w:val="auto"/>
              </w:rPr>
            </w:pPr>
          </w:p>
        </w:tc>
        <w:tc>
          <w:tcPr>
            <w:tcW w:w="10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74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900" w:type="dxa"/>
            <w:vAlign w:val="bottom"/>
            <w:tcBorders>
              <w:top w:val="single" w:sz="8" w:color="DBDBDB"/>
            </w:tcBorders>
            <w:shd w:val="clear" w:color="auto" w:fill="DBDBDB"/>
          </w:tcPr>
          <w:p>
            <w:pPr>
              <w:spacing w:after="0"/>
              <w:rPr>
                <w:sz w:val="21"/>
                <w:szCs w:val="21"/>
                <w:color w:val="auto"/>
              </w:rPr>
            </w:pPr>
          </w:p>
        </w:tc>
        <w:tc>
          <w:tcPr>
            <w:tcW w:w="10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2"/>
                <w:szCs w:val="12"/>
                <w:color w:val="auto"/>
                <w:w w:val="94"/>
              </w:rPr>
              <w:t>Time RSUs</w:t>
            </w:r>
          </w:p>
        </w:tc>
        <w:tc>
          <w:tcPr>
            <w:tcW w:w="8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tcBorders>
              <w:top w:val="single" w:sz="8" w:color="B6B6B6"/>
            </w:tcBorders>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B6B6B6"/>
            </w:tcBorders>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B6B6B6"/>
            </w:tcBorders>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B6B6B6"/>
            </w:tcBorders>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B6B6B6"/>
            </w:tcBorders>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49,633</w:t>
            </w:r>
          </w:p>
        </w:tc>
        <w:tc>
          <w:tcPr>
            <w:tcW w:w="1020" w:type="dxa"/>
            <w:vAlign w:val="bottom"/>
            <w:tcBorders>
              <w:top w:val="single" w:sz="8" w:color="B6B6B6"/>
            </w:tcBorders>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B6B6B6"/>
            </w:tcBorders>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3,249,969</w:t>
            </w:r>
          </w:p>
        </w:tc>
        <w:tc>
          <w:tcPr>
            <w:tcW w:w="80" w:type="dxa"/>
            <w:vAlign w:val="bottom"/>
            <w:tcBorders>
              <w:top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90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c>
          <w:tcPr>
            <w:tcW w:w="84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860" w:type="dxa"/>
            <w:vAlign w:val="bottom"/>
            <w:gridSpan w:val="2"/>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98"/>
              </w:rPr>
              <w:t>Annual Bonus</w:t>
            </w:r>
          </w:p>
        </w:tc>
        <w:tc>
          <w:tcPr>
            <w:tcW w:w="8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588,000</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1,176,000</w:t>
            </w:r>
          </w:p>
        </w:tc>
        <w:tc>
          <w:tcPr>
            <w:tcW w:w="740" w:type="dxa"/>
            <w:vAlign w:val="bottom"/>
          </w:tcPr>
          <w:p>
            <w:pPr>
              <w:jc w:val="right"/>
              <w:spacing w:after="0"/>
              <w:rPr>
                <w:sz w:val="20"/>
                <w:szCs w:val="20"/>
                <w:color w:val="auto"/>
              </w:rPr>
            </w:pPr>
            <w:r>
              <w:rPr>
                <w:rFonts w:ascii="Arial" w:cs="Arial" w:eastAsia="Arial" w:hAnsi="Arial"/>
                <w:sz w:val="12"/>
                <w:szCs w:val="12"/>
                <w:color w:val="auto"/>
              </w:rPr>
              <w:t>2,352,000</w:t>
            </w:r>
          </w:p>
        </w:tc>
        <w:tc>
          <w:tcPr>
            <w:tcW w:w="100" w:type="dxa"/>
            <w:vAlign w:val="bottom"/>
          </w:tcPr>
          <w:p>
            <w:pPr>
              <w:spacing w:after="0"/>
              <w:rPr>
                <w:sz w:val="19"/>
                <w:szCs w:val="19"/>
                <w:color w:val="auto"/>
              </w:rPr>
            </w:pP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900" w:type="dxa"/>
            <w:vAlign w:val="bottom"/>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820" w:type="dxa"/>
            <w:vAlign w:val="bottom"/>
            <w:tcBorders>
              <w:bottom w:val="single" w:sz="8" w:color="B6B6B6"/>
            </w:tcBorders>
          </w:tcPr>
          <w:p>
            <w:pPr>
              <w:spacing w:after="0"/>
              <w:rPr>
                <w:sz w:val="6"/>
                <w:szCs w:val="6"/>
                <w:color w:val="auto"/>
              </w:rPr>
            </w:pPr>
          </w:p>
        </w:tc>
        <w:tc>
          <w:tcPr>
            <w:tcW w:w="1040" w:type="dxa"/>
            <w:vAlign w:val="bottom"/>
            <w:tcBorders>
              <w:bottom w:val="single" w:sz="8" w:color="B6B6B6"/>
            </w:tcBorders>
          </w:tcPr>
          <w:p>
            <w:pPr>
              <w:spacing w:after="0"/>
              <w:rPr>
                <w:sz w:val="6"/>
                <w:szCs w:val="6"/>
                <w:color w:val="auto"/>
              </w:rPr>
            </w:pPr>
          </w:p>
        </w:tc>
        <w:tc>
          <w:tcPr>
            <w:tcW w:w="840" w:type="dxa"/>
            <w:vAlign w:val="bottom"/>
            <w:tcBorders>
              <w:bottom w:val="single" w:sz="8" w:color="B6B6B6"/>
            </w:tcBorders>
          </w:tcPr>
          <w:p>
            <w:pPr>
              <w:spacing w:after="0"/>
              <w:rPr>
                <w:sz w:val="6"/>
                <w:szCs w:val="6"/>
                <w:color w:val="auto"/>
              </w:rPr>
            </w:pPr>
          </w:p>
        </w:tc>
        <w:tc>
          <w:tcPr>
            <w:tcW w:w="740" w:type="dxa"/>
            <w:vAlign w:val="bottom"/>
            <w:tcBorders>
              <w:bottom w:val="single" w:sz="8" w:color="B6B6B6"/>
            </w:tcBorders>
          </w:tcPr>
          <w:p>
            <w:pPr>
              <w:spacing w:after="0"/>
              <w:rPr>
                <w:sz w:val="6"/>
                <w:szCs w:val="6"/>
                <w:color w:val="auto"/>
              </w:rPr>
            </w:pPr>
          </w:p>
        </w:tc>
        <w:tc>
          <w:tcPr>
            <w:tcW w:w="100" w:type="dxa"/>
            <w:vAlign w:val="bottom"/>
            <w:tcBorders>
              <w:bottom w:val="single" w:sz="8" w:color="B6B6B6"/>
            </w:tcBorders>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800" w:type="dxa"/>
            <w:vAlign w:val="bottom"/>
            <w:tcBorders>
              <w:bottom w:val="single" w:sz="8" w:color="B6B6B6"/>
            </w:tcBorders>
          </w:tcPr>
          <w:p>
            <w:pPr>
              <w:spacing w:after="0"/>
              <w:rPr>
                <w:sz w:val="6"/>
                <w:szCs w:val="6"/>
                <w:color w:val="auto"/>
              </w:rPr>
            </w:pPr>
          </w:p>
        </w:tc>
        <w:tc>
          <w:tcPr>
            <w:tcW w:w="560" w:type="dxa"/>
            <w:vAlign w:val="bottom"/>
            <w:tcBorders>
              <w:bottom w:val="single" w:sz="8" w:color="B6B6B6"/>
            </w:tcBorders>
          </w:tcPr>
          <w:p>
            <w:pPr>
              <w:spacing w:after="0"/>
              <w:rPr>
                <w:sz w:val="6"/>
                <w:szCs w:val="6"/>
                <w:color w:val="auto"/>
              </w:rPr>
            </w:pPr>
          </w:p>
        </w:tc>
        <w:tc>
          <w:tcPr>
            <w:tcW w:w="740" w:type="dxa"/>
            <w:vAlign w:val="bottom"/>
            <w:tcBorders>
              <w:bottom w:val="single" w:sz="8" w:color="B6B6B6"/>
            </w:tcBorders>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780" w:type="dxa"/>
            <w:vAlign w:val="bottom"/>
            <w:tcBorders>
              <w:bottom w:val="single" w:sz="8" w:color="B6B6B6"/>
            </w:tcBorders>
          </w:tcPr>
          <w:p>
            <w:pPr>
              <w:spacing w:after="0"/>
              <w:rPr>
                <w:sz w:val="6"/>
                <w:szCs w:val="6"/>
                <w:color w:val="auto"/>
              </w:rPr>
            </w:pPr>
          </w:p>
        </w:tc>
        <w:tc>
          <w:tcPr>
            <w:tcW w:w="780" w:type="dxa"/>
            <w:vAlign w:val="bottom"/>
            <w:tcBorders>
              <w:bottom w:val="single" w:sz="8" w:color="B6B6B6"/>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0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Sam Johnson</w:t>
            </w:r>
          </w:p>
        </w:tc>
        <w:tc>
          <w:tcPr>
            <w:tcW w:w="1020" w:type="dxa"/>
            <w:vAlign w:val="bottom"/>
          </w:tcPr>
          <w:p>
            <w:pPr>
              <w:jc w:val="center"/>
              <w:spacing w:after="0"/>
              <w:rPr>
                <w:sz w:val="20"/>
                <w:szCs w:val="20"/>
                <w:color w:val="auto"/>
              </w:rPr>
            </w:pPr>
            <w:r>
              <w:rPr>
                <w:rFonts w:ascii="Arial" w:cs="Arial" w:eastAsia="Arial" w:hAnsi="Arial"/>
                <w:sz w:val="12"/>
                <w:szCs w:val="12"/>
                <w:color w:val="auto"/>
                <w:w w:val="96"/>
              </w:rPr>
              <w:t>Performance</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vMerge w:val="restart"/>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ind w:right="102"/>
              <w:spacing w:after="0"/>
              <w:rPr>
                <w:sz w:val="20"/>
                <w:szCs w:val="20"/>
                <w:color w:val="auto"/>
              </w:rPr>
            </w:pPr>
            <w:r>
              <w:rPr>
                <w:rFonts w:ascii="Arial" w:cs="Arial" w:eastAsia="Arial" w:hAnsi="Arial"/>
                <w:sz w:val="12"/>
                <w:szCs w:val="12"/>
                <w:color w:val="auto"/>
              </w:rPr>
              <w:t>11,453</w:t>
            </w:r>
          </w:p>
        </w:tc>
        <w:tc>
          <w:tcPr>
            <w:tcW w:w="800" w:type="dxa"/>
            <w:vAlign w:val="bottom"/>
            <w:vMerge w:val="restart"/>
          </w:tcPr>
          <w:p>
            <w:pPr>
              <w:jc w:val="right"/>
              <w:ind w:right="242"/>
              <w:spacing w:after="0"/>
              <w:rPr>
                <w:sz w:val="20"/>
                <w:szCs w:val="20"/>
                <w:color w:val="auto"/>
              </w:rPr>
            </w:pPr>
            <w:r>
              <w:rPr>
                <w:rFonts w:ascii="Arial" w:cs="Arial" w:eastAsia="Arial" w:hAnsi="Arial"/>
                <w:sz w:val="12"/>
                <w:szCs w:val="12"/>
                <w:color w:val="auto"/>
              </w:rPr>
              <w:t>22,907</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45,814</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1,499,950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color w:val="auto"/>
                <w:w w:val="95"/>
              </w:rPr>
              <w:t>RSUs</w:t>
            </w:r>
          </w:p>
        </w:tc>
        <w:tc>
          <w:tcPr>
            <w:tcW w:w="8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9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8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100" w:type="dxa"/>
            <w:vAlign w:val="bottom"/>
            <w:tcBorders>
              <w:bottom w:val="single" w:sz="8" w:color="B6B6B6"/>
            </w:tcBorders>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800" w:type="dxa"/>
            <w:vAlign w:val="bottom"/>
            <w:tcBorders>
              <w:bottom w:val="single" w:sz="8" w:color="B6B6B6"/>
            </w:tcBorders>
          </w:tcPr>
          <w:p>
            <w:pPr>
              <w:spacing w:after="0"/>
              <w:rPr>
                <w:sz w:val="4"/>
                <w:szCs w:val="4"/>
                <w:color w:val="auto"/>
              </w:rPr>
            </w:pPr>
          </w:p>
        </w:tc>
        <w:tc>
          <w:tcPr>
            <w:tcW w:w="56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94"/>
              </w:rPr>
              <w:t>Time RSUs</w:t>
            </w:r>
          </w:p>
        </w:tc>
        <w:tc>
          <w:tcPr>
            <w:tcW w:w="820" w:type="dxa"/>
            <w:vAlign w:val="bottom"/>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22,907</w:t>
            </w: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1,499,950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DBDBDB"/>
          </w:tcPr>
          <w:p>
            <w:pPr>
              <w:spacing w:after="0"/>
              <w:rPr>
                <w:sz w:val="19"/>
                <w:szCs w:val="19"/>
                <w:color w:val="auto"/>
              </w:rPr>
            </w:pPr>
          </w:p>
        </w:tc>
        <w:tc>
          <w:tcPr>
            <w:tcW w:w="10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Annual Bonus</w:t>
            </w:r>
          </w:p>
        </w:tc>
        <w:tc>
          <w:tcPr>
            <w:tcW w:w="8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315,000</w:t>
            </w:r>
          </w:p>
        </w:tc>
        <w:tc>
          <w:tcPr>
            <w:tcW w:w="8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630,000</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1,260,000</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900" w:type="dxa"/>
            <w:vAlign w:val="bottom"/>
            <w:tcBorders>
              <w:bottom w:val="single" w:sz="8" w:color="DBDBDB"/>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20" w:type="dxa"/>
            <w:vAlign w:val="bottom"/>
            <w:tcBorders>
              <w:bottom w:val="single" w:sz="8" w:color="B6B6B6"/>
            </w:tcBorders>
            <w:shd w:val="clear" w:color="auto" w:fill="DBDBDB"/>
          </w:tcPr>
          <w:p>
            <w:pPr>
              <w:spacing w:after="0"/>
              <w:rPr>
                <w:sz w:val="6"/>
                <w:szCs w:val="6"/>
                <w:color w:val="auto"/>
              </w:rPr>
            </w:pPr>
          </w:p>
        </w:tc>
        <w:tc>
          <w:tcPr>
            <w:tcW w:w="1040" w:type="dxa"/>
            <w:vAlign w:val="bottom"/>
            <w:tcBorders>
              <w:bottom w:val="single" w:sz="8" w:color="B6B6B6"/>
            </w:tcBorders>
            <w:shd w:val="clear" w:color="auto" w:fill="DBDBDB"/>
          </w:tcPr>
          <w:p>
            <w:pPr>
              <w:spacing w:after="0"/>
              <w:rPr>
                <w:sz w:val="6"/>
                <w:szCs w:val="6"/>
                <w:color w:val="auto"/>
              </w:rPr>
            </w:pPr>
          </w:p>
        </w:tc>
        <w:tc>
          <w:tcPr>
            <w:tcW w:w="84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00" w:type="dxa"/>
            <w:vAlign w:val="bottom"/>
            <w:tcBorders>
              <w:bottom w:val="single" w:sz="8" w:color="B6B6B6"/>
            </w:tcBorders>
            <w:shd w:val="clear" w:color="auto" w:fill="DBDBDB"/>
          </w:tcPr>
          <w:p>
            <w:pPr>
              <w:spacing w:after="0"/>
              <w:rPr>
                <w:sz w:val="6"/>
                <w:szCs w:val="6"/>
                <w:color w:val="auto"/>
              </w:rPr>
            </w:pPr>
          </w:p>
        </w:tc>
        <w:tc>
          <w:tcPr>
            <w:tcW w:w="56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80" w:type="dxa"/>
            <w:vAlign w:val="bottom"/>
            <w:tcBorders>
              <w:bottom w:val="single" w:sz="8" w:color="DBDBDB"/>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00" w:type="dxa"/>
            <w:vAlign w:val="bottom"/>
            <w:vMerge w:val="restart"/>
            <w:shd w:val="clear" w:color="auto" w:fill="DBDBDB"/>
          </w:tcPr>
          <w:p>
            <w:pPr>
              <w:ind w:left="100"/>
              <w:spacing w:after="0"/>
              <w:rPr>
                <w:sz w:val="20"/>
                <w:szCs w:val="20"/>
                <w:color w:val="auto"/>
              </w:rPr>
            </w:pPr>
            <w:r>
              <w:rPr>
                <w:rFonts w:ascii="Arial" w:cs="Arial" w:eastAsia="Arial" w:hAnsi="Arial"/>
                <w:sz w:val="12"/>
                <w:szCs w:val="12"/>
                <w:b w:val="1"/>
                <w:bCs w:val="1"/>
                <w:color w:val="auto"/>
              </w:rPr>
              <w:t>Carl Ford</w:t>
            </w:r>
          </w:p>
        </w:tc>
        <w:tc>
          <w:tcPr>
            <w:tcW w:w="10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6"/>
              </w:rPr>
              <w:t>Performance</w:t>
            </w:r>
          </w:p>
        </w:tc>
        <w:tc>
          <w:tcPr>
            <w:tcW w:w="8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vMerge w:val="restart"/>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DBDBDB"/>
          </w:tcPr>
          <w:p>
            <w:pPr>
              <w:jc w:val="right"/>
              <w:ind w:right="102"/>
              <w:spacing w:after="0"/>
              <w:rPr>
                <w:sz w:val="20"/>
                <w:szCs w:val="20"/>
                <w:color w:val="auto"/>
              </w:rPr>
            </w:pPr>
            <w:r>
              <w:rPr>
                <w:rFonts w:ascii="Arial" w:cs="Arial" w:eastAsia="Arial" w:hAnsi="Arial"/>
                <w:sz w:val="12"/>
                <w:szCs w:val="12"/>
                <w:color w:val="auto"/>
              </w:rPr>
              <w:t>4,772</w:t>
            </w:r>
          </w:p>
        </w:tc>
        <w:tc>
          <w:tcPr>
            <w:tcW w:w="800" w:type="dxa"/>
            <w:vAlign w:val="bottom"/>
            <w:vMerge w:val="restart"/>
            <w:shd w:val="clear" w:color="auto" w:fill="DBDBDB"/>
          </w:tcPr>
          <w:p>
            <w:pPr>
              <w:jc w:val="right"/>
              <w:ind w:right="242"/>
              <w:spacing w:after="0"/>
              <w:rPr>
                <w:sz w:val="20"/>
                <w:szCs w:val="20"/>
                <w:color w:val="auto"/>
              </w:rPr>
            </w:pPr>
            <w:r>
              <w:rPr>
                <w:rFonts w:ascii="Arial" w:cs="Arial" w:eastAsia="Arial" w:hAnsi="Arial"/>
                <w:sz w:val="12"/>
                <w:szCs w:val="12"/>
                <w:color w:val="auto"/>
              </w:rPr>
              <w:t>9,544</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19,088</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624,941</w:t>
            </w:r>
          </w:p>
        </w:tc>
        <w:tc>
          <w:tcPr>
            <w:tcW w:w="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shd w:val="clear" w:color="auto" w:fill="DBDBDB"/>
          </w:tcPr>
          <w:p>
            <w:pPr>
              <w:spacing w:after="0"/>
              <w:rPr>
                <w:sz w:val="7"/>
                <w:szCs w:val="7"/>
                <w:color w:val="auto"/>
              </w:rPr>
            </w:pPr>
          </w:p>
        </w:tc>
        <w:tc>
          <w:tcPr>
            <w:tcW w:w="10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5"/>
              </w:rPr>
              <w:t>RSUs</w:t>
            </w:r>
          </w:p>
        </w:tc>
        <w:tc>
          <w:tcPr>
            <w:tcW w:w="820" w:type="dxa"/>
            <w:vAlign w:val="bottom"/>
            <w:vMerge w:val="continue"/>
            <w:shd w:val="clear" w:color="auto" w:fill="DBDBDB"/>
          </w:tcPr>
          <w:p>
            <w:pPr>
              <w:spacing w:after="0"/>
              <w:rPr>
                <w:sz w:val="7"/>
                <w:szCs w:val="7"/>
                <w:color w:val="auto"/>
              </w:rPr>
            </w:pPr>
          </w:p>
        </w:tc>
        <w:tc>
          <w:tcPr>
            <w:tcW w:w="1040" w:type="dxa"/>
            <w:vAlign w:val="bottom"/>
            <w:vMerge w:val="continue"/>
            <w:shd w:val="clear" w:color="auto" w:fill="DBDBDB"/>
          </w:tcPr>
          <w:p>
            <w:pPr>
              <w:spacing w:after="0"/>
              <w:rPr>
                <w:sz w:val="7"/>
                <w:szCs w:val="7"/>
                <w:color w:val="auto"/>
              </w:rPr>
            </w:pPr>
          </w:p>
        </w:tc>
        <w:tc>
          <w:tcPr>
            <w:tcW w:w="840" w:type="dxa"/>
            <w:vAlign w:val="bottom"/>
            <w:vMerge w:val="continue"/>
            <w:shd w:val="clear" w:color="auto" w:fill="DBDBDB"/>
          </w:tcPr>
          <w:p>
            <w:pPr>
              <w:spacing w:after="0"/>
              <w:rPr>
                <w:sz w:val="7"/>
                <w:szCs w:val="7"/>
                <w:color w:val="auto"/>
              </w:rPr>
            </w:pPr>
          </w:p>
        </w:tc>
        <w:tc>
          <w:tcPr>
            <w:tcW w:w="840" w:type="dxa"/>
            <w:vAlign w:val="bottom"/>
            <w:gridSpan w:val="2"/>
            <w:vMerge w:val="continue"/>
            <w:shd w:val="clear" w:color="auto" w:fill="DBDBDB"/>
          </w:tcPr>
          <w:p>
            <w:pPr>
              <w:spacing w:after="0"/>
              <w:rPr>
                <w:sz w:val="7"/>
                <w:szCs w:val="7"/>
                <w:color w:val="auto"/>
              </w:rPr>
            </w:pPr>
          </w:p>
        </w:tc>
        <w:tc>
          <w:tcPr>
            <w:tcW w:w="1020" w:type="dxa"/>
            <w:vAlign w:val="bottom"/>
            <w:vMerge w:val="continue"/>
            <w:shd w:val="clear" w:color="auto" w:fill="DBDBDB"/>
          </w:tcPr>
          <w:p>
            <w:pPr>
              <w:spacing w:after="0"/>
              <w:rPr>
                <w:sz w:val="7"/>
                <w:szCs w:val="7"/>
                <w:color w:val="auto"/>
              </w:rPr>
            </w:pPr>
          </w:p>
        </w:tc>
        <w:tc>
          <w:tcPr>
            <w:tcW w:w="800" w:type="dxa"/>
            <w:vAlign w:val="bottom"/>
            <w:vMerge w:val="continue"/>
            <w:shd w:val="clear" w:color="auto" w:fill="DBDBDB"/>
          </w:tcPr>
          <w:p>
            <w:pPr>
              <w:spacing w:after="0"/>
              <w:rPr>
                <w:sz w:val="7"/>
                <w:szCs w:val="7"/>
                <w:color w:val="auto"/>
              </w:rPr>
            </w:pPr>
          </w:p>
        </w:tc>
        <w:tc>
          <w:tcPr>
            <w:tcW w:w="560" w:type="dxa"/>
            <w:vAlign w:val="bottom"/>
            <w:vMerge w:val="continue"/>
            <w:shd w:val="clear" w:color="auto" w:fill="DBDBDB"/>
          </w:tcPr>
          <w:p>
            <w:pPr>
              <w:spacing w:after="0"/>
              <w:rPr>
                <w:sz w:val="7"/>
                <w:szCs w:val="7"/>
                <w:color w:val="auto"/>
              </w:rPr>
            </w:pPr>
          </w:p>
        </w:tc>
        <w:tc>
          <w:tcPr>
            <w:tcW w:w="740" w:type="dxa"/>
            <w:vAlign w:val="bottom"/>
            <w:vMerge w:val="continue"/>
            <w:shd w:val="clear" w:color="auto" w:fill="DBDBDB"/>
          </w:tcPr>
          <w:p>
            <w:pPr>
              <w:spacing w:after="0"/>
              <w:rPr>
                <w:sz w:val="7"/>
                <w:szCs w:val="7"/>
                <w:color w:val="auto"/>
              </w:rPr>
            </w:pPr>
          </w:p>
        </w:tc>
        <w:tc>
          <w:tcPr>
            <w:tcW w:w="1020" w:type="dxa"/>
            <w:vAlign w:val="bottom"/>
            <w:vMerge w:val="continue"/>
            <w:shd w:val="clear" w:color="auto" w:fill="DBDBDB"/>
          </w:tcPr>
          <w:p>
            <w:pPr>
              <w:spacing w:after="0"/>
              <w:rPr>
                <w:sz w:val="7"/>
                <w:szCs w:val="7"/>
                <w:color w:val="auto"/>
              </w:rPr>
            </w:pPr>
          </w:p>
        </w:tc>
        <w:tc>
          <w:tcPr>
            <w:tcW w:w="780" w:type="dxa"/>
            <w:vAlign w:val="bottom"/>
            <w:vMerge w:val="continue"/>
            <w:shd w:val="clear" w:color="auto" w:fill="DBDBDB"/>
          </w:tcPr>
          <w:p>
            <w:pPr>
              <w:spacing w:after="0"/>
              <w:rPr>
                <w:sz w:val="7"/>
                <w:szCs w:val="7"/>
                <w:color w:val="auto"/>
              </w:rPr>
            </w:pPr>
          </w:p>
        </w:tc>
        <w:tc>
          <w:tcPr>
            <w:tcW w:w="780" w:type="dxa"/>
            <w:vAlign w:val="bottom"/>
            <w:vMerge w:val="continue"/>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90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vMerge w:val="continue"/>
            <w:shd w:val="clear" w:color="auto" w:fill="DBDBDB"/>
          </w:tcPr>
          <w:p>
            <w:pPr>
              <w:spacing w:after="0"/>
              <w:rPr>
                <w:sz w:val="10"/>
                <w:szCs w:val="10"/>
                <w:color w:val="auto"/>
              </w:rPr>
            </w:pPr>
          </w:p>
        </w:tc>
        <w:tc>
          <w:tcPr>
            <w:tcW w:w="820" w:type="dxa"/>
            <w:vAlign w:val="bottom"/>
            <w:tcBorders>
              <w:bottom w:val="single" w:sz="8" w:color="DBDBDB"/>
            </w:tcBorders>
            <w:shd w:val="clear" w:color="auto" w:fill="DBDBDB"/>
          </w:tcPr>
          <w:p>
            <w:pPr>
              <w:spacing w:after="0"/>
              <w:rPr>
                <w:sz w:val="10"/>
                <w:szCs w:val="10"/>
                <w:color w:val="auto"/>
              </w:rPr>
            </w:pPr>
          </w:p>
        </w:tc>
        <w:tc>
          <w:tcPr>
            <w:tcW w:w="1040" w:type="dxa"/>
            <w:vAlign w:val="bottom"/>
            <w:tcBorders>
              <w:bottom w:val="single" w:sz="8" w:color="DBDBDB"/>
            </w:tcBorders>
            <w:shd w:val="clear" w:color="auto" w:fill="DBDBDB"/>
          </w:tcPr>
          <w:p>
            <w:pPr>
              <w:spacing w:after="0"/>
              <w:rPr>
                <w:sz w:val="10"/>
                <w:szCs w:val="10"/>
                <w:color w:val="auto"/>
              </w:rPr>
            </w:pPr>
          </w:p>
        </w:tc>
        <w:tc>
          <w:tcPr>
            <w:tcW w:w="840" w:type="dxa"/>
            <w:vAlign w:val="bottom"/>
            <w:tcBorders>
              <w:bottom w:val="single" w:sz="8" w:color="DBDBDB"/>
            </w:tcBorders>
            <w:shd w:val="clear" w:color="auto" w:fill="DBDBDB"/>
          </w:tcPr>
          <w:p>
            <w:pPr>
              <w:spacing w:after="0"/>
              <w:rPr>
                <w:sz w:val="10"/>
                <w:szCs w:val="10"/>
                <w:color w:val="auto"/>
              </w:rPr>
            </w:pPr>
          </w:p>
        </w:tc>
        <w:tc>
          <w:tcPr>
            <w:tcW w:w="740" w:type="dxa"/>
            <w:vAlign w:val="bottom"/>
            <w:tcBorders>
              <w:bottom w:val="single" w:sz="8" w:color="DBDBDB"/>
            </w:tcBorders>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shd w:val="clear" w:color="auto" w:fill="DBDBDB"/>
          </w:tcPr>
          <w:p>
            <w:pPr>
              <w:spacing w:after="0"/>
              <w:rPr>
                <w:sz w:val="10"/>
                <w:szCs w:val="10"/>
                <w:color w:val="auto"/>
              </w:rPr>
            </w:pPr>
          </w:p>
        </w:tc>
        <w:tc>
          <w:tcPr>
            <w:tcW w:w="800" w:type="dxa"/>
            <w:vAlign w:val="bottom"/>
            <w:tcBorders>
              <w:bottom w:val="single" w:sz="8" w:color="DBDBDB"/>
            </w:tcBorders>
            <w:shd w:val="clear" w:color="auto" w:fill="DBDBDB"/>
          </w:tcPr>
          <w:p>
            <w:pPr>
              <w:spacing w:after="0"/>
              <w:rPr>
                <w:sz w:val="10"/>
                <w:szCs w:val="10"/>
                <w:color w:val="auto"/>
              </w:rPr>
            </w:pPr>
          </w:p>
        </w:tc>
        <w:tc>
          <w:tcPr>
            <w:tcW w:w="560" w:type="dxa"/>
            <w:vAlign w:val="bottom"/>
            <w:tcBorders>
              <w:bottom w:val="single" w:sz="8" w:color="DBDBDB"/>
            </w:tcBorders>
            <w:shd w:val="clear" w:color="auto" w:fill="DBDBDB"/>
          </w:tcPr>
          <w:p>
            <w:pPr>
              <w:spacing w:after="0"/>
              <w:rPr>
                <w:sz w:val="10"/>
                <w:szCs w:val="10"/>
                <w:color w:val="auto"/>
              </w:rPr>
            </w:pPr>
          </w:p>
        </w:tc>
        <w:tc>
          <w:tcPr>
            <w:tcW w:w="74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shd w:val="clear" w:color="auto" w:fill="DBDBDB"/>
          </w:tcPr>
          <w:p>
            <w:pPr>
              <w:spacing w:after="0"/>
              <w:rPr>
                <w:sz w:val="10"/>
                <w:szCs w:val="10"/>
                <w:color w:val="auto"/>
              </w:rPr>
            </w:pPr>
          </w:p>
        </w:tc>
        <w:tc>
          <w:tcPr>
            <w:tcW w:w="780" w:type="dxa"/>
            <w:vAlign w:val="bottom"/>
            <w:tcBorders>
              <w:bottom w:val="single" w:sz="8" w:color="DBDBDB"/>
            </w:tcBorders>
            <w:shd w:val="clear" w:color="auto" w:fill="DBDBDB"/>
          </w:tcPr>
          <w:p>
            <w:pPr>
              <w:spacing w:after="0"/>
              <w:rPr>
                <w:sz w:val="10"/>
                <w:szCs w:val="10"/>
                <w:color w:val="auto"/>
              </w:rPr>
            </w:pPr>
          </w:p>
        </w:tc>
        <w:tc>
          <w:tcPr>
            <w:tcW w:w="780" w:type="dxa"/>
            <w:vAlign w:val="bottom"/>
            <w:tcBorders>
              <w:bottom w:val="single" w:sz="8" w:color="DBDBDB"/>
            </w:tcBorders>
            <w:shd w:val="clear" w:color="auto" w:fill="DBDBDB"/>
          </w:tcPr>
          <w:p>
            <w:pPr>
              <w:spacing w:after="0"/>
              <w:rPr>
                <w:sz w:val="10"/>
                <w:szCs w:val="10"/>
                <w:color w:val="auto"/>
              </w:rPr>
            </w:pPr>
          </w:p>
        </w:tc>
        <w:tc>
          <w:tcPr>
            <w:tcW w:w="80" w:type="dxa"/>
            <w:vAlign w:val="bottom"/>
            <w:tcBorders>
              <w:bottom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900" w:type="dxa"/>
            <w:vAlign w:val="bottom"/>
            <w:tcBorders>
              <w:top w:val="single" w:sz="8" w:color="DBDBDB"/>
            </w:tcBorders>
            <w:shd w:val="clear" w:color="auto" w:fill="DBDBDB"/>
          </w:tcPr>
          <w:p>
            <w:pPr>
              <w:spacing w:after="0"/>
              <w:rPr>
                <w:sz w:val="17"/>
                <w:szCs w:val="17"/>
                <w:color w:val="auto"/>
              </w:rPr>
            </w:pPr>
          </w:p>
        </w:tc>
        <w:tc>
          <w:tcPr>
            <w:tcW w:w="10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2"/>
                <w:szCs w:val="12"/>
                <w:color w:val="auto"/>
                <w:w w:val="94"/>
              </w:rPr>
              <w:t>Time RSUs</w:t>
            </w:r>
          </w:p>
        </w:tc>
        <w:tc>
          <w:tcPr>
            <w:tcW w:w="8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tcBorders>
              <w:top w:val="single" w:sz="8" w:color="B6B6B6"/>
            </w:tcBorders>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B6B6B6"/>
            </w:tcBorders>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B6B6B6"/>
            </w:tcBorders>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B6B6B6"/>
            </w:tcBorders>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B6B6B6"/>
            </w:tcBorders>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9,544</w:t>
            </w:r>
          </w:p>
        </w:tc>
        <w:tc>
          <w:tcPr>
            <w:tcW w:w="1020" w:type="dxa"/>
            <w:vAlign w:val="bottom"/>
            <w:tcBorders>
              <w:top w:val="single" w:sz="8" w:color="B6B6B6"/>
            </w:tcBorders>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B6B6B6"/>
            </w:tcBorders>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624,941</w:t>
            </w:r>
          </w:p>
        </w:tc>
        <w:tc>
          <w:tcPr>
            <w:tcW w:w="80" w:type="dxa"/>
            <w:vAlign w:val="bottom"/>
            <w:tcBorders>
              <w:top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90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82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840" w:type="dxa"/>
            <w:vAlign w:val="bottom"/>
            <w:shd w:val="clear" w:color="auto" w:fill="DBDBDB"/>
          </w:tcPr>
          <w:p>
            <w:pPr>
              <w:spacing w:after="0"/>
              <w:rPr>
                <w:sz w:val="6"/>
                <w:szCs w:val="6"/>
                <w:color w:val="auto"/>
              </w:rPr>
            </w:pPr>
          </w:p>
        </w:tc>
        <w:tc>
          <w:tcPr>
            <w:tcW w:w="74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800" w:type="dxa"/>
            <w:vAlign w:val="bottom"/>
            <w:shd w:val="clear" w:color="auto" w:fill="DBDBDB"/>
          </w:tcPr>
          <w:p>
            <w:pPr>
              <w:spacing w:after="0"/>
              <w:rPr>
                <w:sz w:val="6"/>
                <w:szCs w:val="6"/>
                <w:color w:val="auto"/>
              </w:rPr>
            </w:pPr>
          </w:p>
        </w:tc>
        <w:tc>
          <w:tcPr>
            <w:tcW w:w="560" w:type="dxa"/>
            <w:vAlign w:val="bottom"/>
            <w:shd w:val="clear" w:color="auto" w:fill="DBDBDB"/>
          </w:tcPr>
          <w:p>
            <w:pPr>
              <w:spacing w:after="0"/>
              <w:rPr>
                <w:sz w:val="6"/>
                <w:szCs w:val="6"/>
                <w:color w:val="auto"/>
              </w:rPr>
            </w:pPr>
          </w:p>
        </w:tc>
        <w:tc>
          <w:tcPr>
            <w:tcW w:w="74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780" w:type="dxa"/>
            <w:vAlign w:val="bottom"/>
            <w:shd w:val="clear" w:color="auto" w:fill="DBDBDB"/>
          </w:tcPr>
          <w:p>
            <w:pPr>
              <w:spacing w:after="0"/>
              <w:rPr>
                <w:sz w:val="6"/>
                <w:szCs w:val="6"/>
                <w:color w:val="auto"/>
              </w:rPr>
            </w:pPr>
          </w:p>
        </w:tc>
        <w:tc>
          <w:tcPr>
            <w:tcW w:w="860" w:type="dxa"/>
            <w:vAlign w:val="bottom"/>
            <w:gridSpan w:val="2"/>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98"/>
              </w:rPr>
              <w:t>Annual Bonus</w:t>
            </w:r>
          </w:p>
        </w:tc>
        <w:tc>
          <w:tcPr>
            <w:tcW w:w="8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315,000</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630,000</w:t>
            </w:r>
          </w:p>
        </w:tc>
        <w:tc>
          <w:tcPr>
            <w:tcW w:w="740" w:type="dxa"/>
            <w:vAlign w:val="bottom"/>
          </w:tcPr>
          <w:p>
            <w:pPr>
              <w:jc w:val="right"/>
              <w:spacing w:after="0"/>
              <w:rPr>
                <w:sz w:val="20"/>
                <w:szCs w:val="20"/>
                <w:color w:val="auto"/>
              </w:rPr>
            </w:pPr>
            <w:r>
              <w:rPr>
                <w:rFonts w:ascii="Arial" w:cs="Arial" w:eastAsia="Arial" w:hAnsi="Arial"/>
                <w:sz w:val="12"/>
                <w:szCs w:val="12"/>
                <w:color w:val="auto"/>
              </w:rPr>
              <w:t>1,260,000</w:t>
            </w:r>
          </w:p>
        </w:tc>
        <w:tc>
          <w:tcPr>
            <w:tcW w:w="100" w:type="dxa"/>
            <w:vAlign w:val="bottom"/>
          </w:tcPr>
          <w:p>
            <w:pPr>
              <w:spacing w:after="0"/>
              <w:rPr>
                <w:sz w:val="19"/>
                <w:szCs w:val="19"/>
                <w:color w:val="auto"/>
              </w:rPr>
            </w:pP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900" w:type="dxa"/>
            <w:vAlign w:val="bottom"/>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820" w:type="dxa"/>
            <w:vAlign w:val="bottom"/>
            <w:tcBorders>
              <w:bottom w:val="single" w:sz="8" w:color="B6B6B6"/>
            </w:tcBorders>
          </w:tcPr>
          <w:p>
            <w:pPr>
              <w:spacing w:after="0"/>
              <w:rPr>
                <w:sz w:val="6"/>
                <w:szCs w:val="6"/>
                <w:color w:val="auto"/>
              </w:rPr>
            </w:pPr>
          </w:p>
        </w:tc>
        <w:tc>
          <w:tcPr>
            <w:tcW w:w="1040" w:type="dxa"/>
            <w:vAlign w:val="bottom"/>
            <w:tcBorders>
              <w:bottom w:val="single" w:sz="8" w:color="B6B6B6"/>
            </w:tcBorders>
          </w:tcPr>
          <w:p>
            <w:pPr>
              <w:spacing w:after="0"/>
              <w:rPr>
                <w:sz w:val="6"/>
                <w:szCs w:val="6"/>
                <w:color w:val="auto"/>
              </w:rPr>
            </w:pPr>
          </w:p>
        </w:tc>
        <w:tc>
          <w:tcPr>
            <w:tcW w:w="840" w:type="dxa"/>
            <w:vAlign w:val="bottom"/>
            <w:tcBorders>
              <w:bottom w:val="single" w:sz="8" w:color="B6B6B6"/>
            </w:tcBorders>
          </w:tcPr>
          <w:p>
            <w:pPr>
              <w:spacing w:after="0"/>
              <w:rPr>
                <w:sz w:val="6"/>
                <w:szCs w:val="6"/>
                <w:color w:val="auto"/>
              </w:rPr>
            </w:pPr>
          </w:p>
        </w:tc>
        <w:tc>
          <w:tcPr>
            <w:tcW w:w="740" w:type="dxa"/>
            <w:vAlign w:val="bottom"/>
            <w:tcBorders>
              <w:bottom w:val="single" w:sz="8" w:color="B6B6B6"/>
            </w:tcBorders>
          </w:tcPr>
          <w:p>
            <w:pPr>
              <w:spacing w:after="0"/>
              <w:rPr>
                <w:sz w:val="6"/>
                <w:szCs w:val="6"/>
                <w:color w:val="auto"/>
              </w:rPr>
            </w:pPr>
          </w:p>
        </w:tc>
        <w:tc>
          <w:tcPr>
            <w:tcW w:w="100" w:type="dxa"/>
            <w:vAlign w:val="bottom"/>
            <w:tcBorders>
              <w:bottom w:val="single" w:sz="8" w:color="B6B6B6"/>
            </w:tcBorders>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800" w:type="dxa"/>
            <w:vAlign w:val="bottom"/>
            <w:tcBorders>
              <w:bottom w:val="single" w:sz="8" w:color="B6B6B6"/>
            </w:tcBorders>
          </w:tcPr>
          <w:p>
            <w:pPr>
              <w:spacing w:after="0"/>
              <w:rPr>
                <w:sz w:val="6"/>
                <w:szCs w:val="6"/>
                <w:color w:val="auto"/>
              </w:rPr>
            </w:pPr>
          </w:p>
        </w:tc>
        <w:tc>
          <w:tcPr>
            <w:tcW w:w="560" w:type="dxa"/>
            <w:vAlign w:val="bottom"/>
            <w:tcBorders>
              <w:bottom w:val="single" w:sz="8" w:color="B6B6B6"/>
            </w:tcBorders>
          </w:tcPr>
          <w:p>
            <w:pPr>
              <w:spacing w:after="0"/>
              <w:rPr>
                <w:sz w:val="6"/>
                <w:szCs w:val="6"/>
                <w:color w:val="auto"/>
              </w:rPr>
            </w:pPr>
          </w:p>
        </w:tc>
        <w:tc>
          <w:tcPr>
            <w:tcW w:w="740" w:type="dxa"/>
            <w:vAlign w:val="bottom"/>
            <w:tcBorders>
              <w:bottom w:val="single" w:sz="8" w:color="B6B6B6"/>
            </w:tcBorders>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780" w:type="dxa"/>
            <w:vAlign w:val="bottom"/>
            <w:tcBorders>
              <w:bottom w:val="single" w:sz="8" w:color="B6B6B6"/>
            </w:tcBorders>
          </w:tcPr>
          <w:p>
            <w:pPr>
              <w:spacing w:after="0"/>
              <w:rPr>
                <w:sz w:val="6"/>
                <w:szCs w:val="6"/>
                <w:color w:val="auto"/>
              </w:rPr>
            </w:pPr>
          </w:p>
        </w:tc>
        <w:tc>
          <w:tcPr>
            <w:tcW w:w="780" w:type="dxa"/>
            <w:vAlign w:val="bottom"/>
            <w:tcBorders>
              <w:bottom w:val="single" w:sz="8" w:color="B6B6B6"/>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Matt McCabe</w:t>
            </w:r>
          </w:p>
        </w:tc>
        <w:tc>
          <w:tcPr>
            <w:tcW w:w="1020" w:type="dxa"/>
            <w:vAlign w:val="bottom"/>
          </w:tcPr>
          <w:p>
            <w:pPr>
              <w:jc w:val="center"/>
              <w:spacing w:after="0"/>
              <w:rPr>
                <w:sz w:val="20"/>
                <w:szCs w:val="20"/>
                <w:color w:val="auto"/>
              </w:rPr>
            </w:pPr>
            <w:r>
              <w:rPr>
                <w:rFonts w:ascii="Arial" w:cs="Arial" w:eastAsia="Arial" w:hAnsi="Arial"/>
                <w:sz w:val="12"/>
                <w:szCs w:val="12"/>
                <w:color w:val="auto"/>
                <w:w w:val="96"/>
              </w:rPr>
              <w:t>Performance</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vMerge w:val="restart"/>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ind w:right="102"/>
              <w:spacing w:after="0"/>
              <w:rPr>
                <w:sz w:val="20"/>
                <w:szCs w:val="20"/>
                <w:color w:val="auto"/>
              </w:rPr>
            </w:pPr>
            <w:r>
              <w:rPr>
                <w:rFonts w:ascii="Arial" w:cs="Arial" w:eastAsia="Arial" w:hAnsi="Arial"/>
                <w:sz w:val="12"/>
                <w:szCs w:val="12"/>
                <w:color w:val="auto"/>
              </w:rPr>
              <w:t>4,772</w:t>
            </w:r>
          </w:p>
        </w:tc>
        <w:tc>
          <w:tcPr>
            <w:tcW w:w="800" w:type="dxa"/>
            <w:vAlign w:val="bottom"/>
            <w:vMerge w:val="restart"/>
          </w:tcPr>
          <w:p>
            <w:pPr>
              <w:jc w:val="right"/>
              <w:ind w:right="242"/>
              <w:spacing w:after="0"/>
              <w:rPr>
                <w:sz w:val="20"/>
                <w:szCs w:val="20"/>
                <w:color w:val="auto"/>
              </w:rPr>
            </w:pPr>
            <w:r>
              <w:rPr>
                <w:rFonts w:ascii="Arial" w:cs="Arial" w:eastAsia="Arial" w:hAnsi="Arial"/>
                <w:sz w:val="12"/>
                <w:szCs w:val="12"/>
                <w:color w:val="auto"/>
              </w:rPr>
              <w:t>9,544</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19,088</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624,941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color w:val="auto"/>
                <w:w w:val="95"/>
              </w:rPr>
              <w:t>RSUs</w:t>
            </w:r>
          </w:p>
        </w:tc>
        <w:tc>
          <w:tcPr>
            <w:tcW w:w="8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9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8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100" w:type="dxa"/>
            <w:vAlign w:val="bottom"/>
            <w:tcBorders>
              <w:bottom w:val="single" w:sz="8" w:color="B6B6B6"/>
            </w:tcBorders>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800" w:type="dxa"/>
            <w:vAlign w:val="bottom"/>
            <w:tcBorders>
              <w:bottom w:val="single" w:sz="8" w:color="B6B6B6"/>
            </w:tcBorders>
          </w:tcPr>
          <w:p>
            <w:pPr>
              <w:spacing w:after="0"/>
              <w:rPr>
                <w:sz w:val="4"/>
                <w:szCs w:val="4"/>
                <w:color w:val="auto"/>
              </w:rPr>
            </w:pPr>
          </w:p>
        </w:tc>
        <w:tc>
          <w:tcPr>
            <w:tcW w:w="56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94"/>
              </w:rPr>
              <w:t>Time RSUs</w:t>
            </w:r>
          </w:p>
        </w:tc>
        <w:tc>
          <w:tcPr>
            <w:tcW w:w="820" w:type="dxa"/>
            <w:vAlign w:val="bottom"/>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9,544</w:t>
            </w: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624,941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900" w:type="dxa"/>
            <w:vAlign w:val="bottom"/>
            <w:vMerge w:val="restart"/>
            <w:shd w:val="clear" w:color="auto" w:fill="DBDBDB"/>
          </w:tcPr>
          <w:p>
            <w:pPr>
              <w:ind w:left="100"/>
              <w:spacing w:after="0"/>
              <w:rPr>
                <w:sz w:val="20"/>
                <w:szCs w:val="20"/>
                <w:color w:val="auto"/>
              </w:rPr>
            </w:pPr>
            <w:r>
              <w:rPr>
                <w:rFonts w:ascii="Arial" w:cs="Arial" w:eastAsia="Arial" w:hAnsi="Arial"/>
                <w:sz w:val="12"/>
                <w:szCs w:val="12"/>
                <w:b w:val="1"/>
                <w:bCs w:val="1"/>
                <w:color w:val="auto"/>
              </w:rPr>
              <w:t>Ken Hicks</w:t>
            </w:r>
          </w:p>
        </w:tc>
        <w:tc>
          <w:tcPr>
            <w:tcW w:w="10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Annual Bonus</w:t>
            </w:r>
          </w:p>
        </w:tc>
        <w:tc>
          <w:tcPr>
            <w:tcW w:w="8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420,000</w:t>
            </w:r>
          </w:p>
        </w:tc>
        <w:tc>
          <w:tcPr>
            <w:tcW w:w="8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840,000</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1,680,000</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900" w:type="dxa"/>
            <w:vAlign w:val="bottom"/>
            <w:tcBorders>
              <w:bottom w:val="single" w:sz="8" w:color="DBDBDB"/>
            </w:tcBorders>
            <w:vMerge w:val="continue"/>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20" w:type="dxa"/>
            <w:vAlign w:val="bottom"/>
            <w:tcBorders>
              <w:bottom w:val="single" w:sz="8" w:color="B6B6B6"/>
            </w:tcBorders>
            <w:shd w:val="clear" w:color="auto" w:fill="DBDBDB"/>
          </w:tcPr>
          <w:p>
            <w:pPr>
              <w:spacing w:after="0"/>
              <w:rPr>
                <w:sz w:val="6"/>
                <w:szCs w:val="6"/>
                <w:color w:val="auto"/>
              </w:rPr>
            </w:pPr>
          </w:p>
        </w:tc>
        <w:tc>
          <w:tcPr>
            <w:tcW w:w="1040" w:type="dxa"/>
            <w:vAlign w:val="bottom"/>
            <w:tcBorders>
              <w:bottom w:val="single" w:sz="8" w:color="B6B6B6"/>
            </w:tcBorders>
            <w:shd w:val="clear" w:color="auto" w:fill="DBDBDB"/>
          </w:tcPr>
          <w:p>
            <w:pPr>
              <w:spacing w:after="0"/>
              <w:rPr>
                <w:sz w:val="6"/>
                <w:szCs w:val="6"/>
                <w:color w:val="auto"/>
              </w:rPr>
            </w:pPr>
          </w:p>
        </w:tc>
        <w:tc>
          <w:tcPr>
            <w:tcW w:w="84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00" w:type="dxa"/>
            <w:vAlign w:val="bottom"/>
            <w:tcBorders>
              <w:bottom w:val="single" w:sz="8" w:color="B6B6B6"/>
            </w:tcBorders>
            <w:shd w:val="clear" w:color="auto" w:fill="DBDBDB"/>
          </w:tcPr>
          <w:p>
            <w:pPr>
              <w:spacing w:after="0"/>
              <w:rPr>
                <w:sz w:val="6"/>
                <w:szCs w:val="6"/>
                <w:color w:val="auto"/>
              </w:rPr>
            </w:pPr>
          </w:p>
        </w:tc>
        <w:tc>
          <w:tcPr>
            <w:tcW w:w="56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80" w:type="dxa"/>
            <w:vAlign w:val="bottom"/>
            <w:tcBorders>
              <w:bottom w:val="single" w:sz="8" w:color="DBDBDB"/>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900" w:type="dxa"/>
            <w:vAlign w:val="bottom"/>
            <w:vMerge w:val="continue"/>
            <w:shd w:val="clear" w:color="auto" w:fill="DBDBDB"/>
          </w:tcPr>
          <w:p>
            <w:pPr>
              <w:spacing w:after="0"/>
              <w:rPr>
                <w:sz w:val="5"/>
                <w:szCs w:val="5"/>
                <w:color w:val="auto"/>
              </w:rPr>
            </w:pPr>
          </w:p>
        </w:tc>
        <w:tc>
          <w:tcPr>
            <w:tcW w:w="10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4"/>
              </w:rPr>
              <w:t>Time RSUs</w:t>
            </w:r>
          </w:p>
        </w:tc>
        <w:tc>
          <w:tcPr>
            <w:tcW w:w="8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7"/>
              </w:rPr>
              <w:t>6/14/2024</w:t>
            </w:r>
          </w:p>
        </w:tc>
        <w:tc>
          <w:tcPr>
            <w:tcW w:w="1040" w:type="dxa"/>
            <w:vAlign w:val="bottom"/>
            <w:vMerge w:val="restart"/>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5,218</w:t>
            </w:r>
          </w:p>
        </w:tc>
        <w:tc>
          <w:tcPr>
            <w:tcW w:w="1020" w:type="dxa"/>
            <w:vAlign w:val="bottom"/>
            <w:vMerge w:val="restart"/>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270,240</w:t>
            </w:r>
          </w:p>
        </w:tc>
        <w:tc>
          <w:tcPr>
            <w:tcW w:w="8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00" w:type="dxa"/>
            <w:vAlign w:val="bottom"/>
            <w:shd w:val="clear" w:color="auto" w:fill="DBDBDB"/>
          </w:tcPr>
          <w:p>
            <w:pPr>
              <w:spacing w:after="0"/>
              <w:rPr>
                <w:sz w:val="12"/>
                <w:szCs w:val="12"/>
                <w:color w:val="auto"/>
              </w:rPr>
            </w:pPr>
          </w:p>
        </w:tc>
        <w:tc>
          <w:tcPr>
            <w:tcW w:w="1020" w:type="dxa"/>
            <w:vAlign w:val="bottom"/>
            <w:vMerge w:val="continue"/>
            <w:shd w:val="clear" w:color="auto" w:fill="DBDBDB"/>
          </w:tcPr>
          <w:p>
            <w:pPr>
              <w:spacing w:after="0"/>
              <w:rPr>
                <w:sz w:val="12"/>
                <w:szCs w:val="12"/>
                <w:color w:val="auto"/>
              </w:rPr>
            </w:pPr>
          </w:p>
        </w:tc>
        <w:tc>
          <w:tcPr>
            <w:tcW w:w="820" w:type="dxa"/>
            <w:vAlign w:val="bottom"/>
            <w:vMerge w:val="continue"/>
            <w:shd w:val="clear" w:color="auto" w:fill="DBDBDB"/>
          </w:tcPr>
          <w:p>
            <w:pPr>
              <w:spacing w:after="0"/>
              <w:rPr>
                <w:sz w:val="12"/>
                <w:szCs w:val="12"/>
                <w:color w:val="auto"/>
              </w:rPr>
            </w:pPr>
          </w:p>
        </w:tc>
        <w:tc>
          <w:tcPr>
            <w:tcW w:w="1040" w:type="dxa"/>
            <w:vAlign w:val="bottom"/>
            <w:vMerge w:val="continue"/>
            <w:shd w:val="clear" w:color="auto" w:fill="DBDBDB"/>
          </w:tcPr>
          <w:p>
            <w:pPr>
              <w:spacing w:after="0"/>
              <w:rPr>
                <w:sz w:val="12"/>
                <w:szCs w:val="12"/>
                <w:color w:val="auto"/>
              </w:rPr>
            </w:pPr>
          </w:p>
        </w:tc>
        <w:tc>
          <w:tcPr>
            <w:tcW w:w="840" w:type="dxa"/>
            <w:vAlign w:val="bottom"/>
            <w:vMerge w:val="continue"/>
            <w:shd w:val="clear" w:color="auto" w:fill="DBDBDB"/>
          </w:tcPr>
          <w:p>
            <w:pPr>
              <w:spacing w:after="0"/>
              <w:rPr>
                <w:sz w:val="12"/>
                <w:szCs w:val="12"/>
                <w:color w:val="auto"/>
              </w:rPr>
            </w:pPr>
          </w:p>
        </w:tc>
        <w:tc>
          <w:tcPr>
            <w:tcW w:w="840" w:type="dxa"/>
            <w:vAlign w:val="bottom"/>
            <w:gridSpan w:val="2"/>
            <w:vMerge w:val="continue"/>
            <w:shd w:val="clear" w:color="auto" w:fill="DBDBDB"/>
          </w:tcPr>
          <w:p>
            <w:pPr>
              <w:spacing w:after="0"/>
              <w:rPr>
                <w:sz w:val="12"/>
                <w:szCs w:val="12"/>
                <w:color w:val="auto"/>
              </w:rPr>
            </w:pPr>
          </w:p>
        </w:tc>
        <w:tc>
          <w:tcPr>
            <w:tcW w:w="1020" w:type="dxa"/>
            <w:vAlign w:val="bottom"/>
            <w:vMerge w:val="continue"/>
            <w:shd w:val="clear" w:color="auto" w:fill="DBDBDB"/>
          </w:tcPr>
          <w:p>
            <w:pPr>
              <w:spacing w:after="0"/>
              <w:rPr>
                <w:sz w:val="12"/>
                <w:szCs w:val="12"/>
                <w:color w:val="auto"/>
              </w:rPr>
            </w:pPr>
          </w:p>
        </w:tc>
        <w:tc>
          <w:tcPr>
            <w:tcW w:w="800" w:type="dxa"/>
            <w:vAlign w:val="bottom"/>
            <w:vMerge w:val="continue"/>
            <w:shd w:val="clear" w:color="auto" w:fill="DBDBDB"/>
          </w:tcPr>
          <w:p>
            <w:pPr>
              <w:spacing w:after="0"/>
              <w:rPr>
                <w:sz w:val="12"/>
                <w:szCs w:val="12"/>
                <w:color w:val="auto"/>
              </w:rPr>
            </w:pPr>
          </w:p>
        </w:tc>
        <w:tc>
          <w:tcPr>
            <w:tcW w:w="560" w:type="dxa"/>
            <w:vAlign w:val="bottom"/>
            <w:vMerge w:val="continue"/>
            <w:shd w:val="clear" w:color="auto" w:fill="DBDBDB"/>
          </w:tcPr>
          <w:p>
            <w:pPr>
              <w:spacing w:after="0"/>
              <w:rPr>
                <w:sz w:val="12"/>
                <w:szCs w:val="12"/>
                <w:color w:val="auto"/>
              </w:rPr>
            </w:pPr>
          </w:p>
        </w:tc>
        <w:tc>
          <w:tcPr>
            <w:tcW w:w="740" w:type="dxa"/>
            <w:vAlign w:val="bottom"/>
            <w:vMerge w:val="continue"/>
            <w:shd w:val="clear" w:color="auto" w:fill="DBDBDB"/>
          </w:tcPr>
          <w:p>
            <w:pPr>
              <w:spacing w:after="0"/>
              <w:rPr>
                <w:sz w:val="12"/>
                <w:szCs w:val="12"/>
                <w:color w:val="auto"/>
              </w:rPr>
            </w:pPr>
          </w:p>
        </w:tc>
        <w:tc>
          <w:tcPr>
            <w:tcW w:w="1020" w:type="dxa"/>
            <w:vAlign w:val="bottom"/>
            <w:vMerge w:val="continue"/>
            <w:shd w:val="clear" w:color="auto" w:fill="DBDBDB"/>
          </w:tcPr>
          <w:p>
            <w:pPr>
              <w:spacing w:after="0"/>
              <w:rPr>
                <w:sz w:val="12"/>
                <w:szCs w:val="12"/>
                <w:color w:val="auto"/>
              </w:rPr>
            </w:pPr>
          </w:p>
        </w:tc>
        <w:tc>
          <w:tcPr>
            <w:tcW w:w="780" w:type="dxa"/>
            <w:vAlign w:val="bottom"/>
            <w:vMerge w:val="continue"/>
            <w:shd w:val="clear" w:color="auto" w:fill="DBDBDB"/>
          </w:tcPr>
          <w:p>
            <w:pPr>
              <w:spacing w:after="0"/>
              <w:rPr>
                <w:sz w:val="12"/>
                <w:szCs w:val="12"/>
                <w:color w:val="auto"/>
              </w:rPr>
            </w:pPr>
          </w:p>
        </w:tc>
        <w:tc>
          <w:tcPr>
            <w:tcW w:w="78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0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82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840" w:type="dxa"/>
            <w:vAlign w:val="bottom"/>
            <w:shd w:val="clear" w:color="auto" w:fill="DBDBDB"/>
          </w:tcPr>
          <w:p>
            <w:pPr>
              <w:spacing w:after="0"/>
              <w:rPr>
                <w:sz w:val="6"/>
                <w:szCs w:val="6"/>
                <w:color w:val="auto"/>
              </w:rPr>
            </w:pPr>
          </w:p>
        </w:tc>
        <w:tc>
          <w:tcPr>
            <w:tcW w:w="74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800" w:type="dxa"/>
            <w:vAlign w:val="bottom"/>
            <w:shd w:val="clear" w:color="auto" w:fill="DBDBDB"/>
          </w:tcPr>
          <w:p>
            <w:pPr>
              <w:spacing w:after="0"/>
              <w:rPr>
                <w:sz w:val="6"/>
                <w:szCs w:val="6"/>
                <w:color w:val="auto"/>
              </w:rPr>
            </w:pPr>
          </w:p>
        </w:tc>
        <w:tc>
          <w:tcPr>
            <w:tcW w:w="560" w:type="dxa"/>
            <w:vAlign w:val="bottom"/>
            <w:shd w:val="clear" w:color="auto" w:fill="DBDBDB"/>
          </w:tcPr>
          <w:p>
            <w:pPr>
              <w:spacing w:after="0"/>
              <w:rPr>
                <w:sz w:val="6"/>
                <w:szCs w:val="6"/>
                <w:color w:val="auto"/>
              </w:rPr>
            </w:pPr>
          </w:p>
        </w:tc>
        <w:tc>
          <w:tcPr>
            <w:tcW w:w="74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780" w:type="dxa"/>
            <w:vAlign w:val="bottom"/>
            <w:shd w:val="clear" w:color="auto" w:fill="DBDBDB"/>
          </w:tcPr>
          <w:p>
            <w:pPr>
              <w:spacing w:after="0"/>
              <w:rPr>
                <w:sz w:val="6"/>
                <w:szCs w:val="6"/>
                <w:color w:val="auto"/>
              </w:rPr>
            </w:pPr>
          </w:p>
        </w:tc>
        <w:tc>
          <w:tcPr>
            <w:tcW w:w="78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01" w:hanging="301"/>
        <w:spacing w:after="0" w:line="248" w:lineRule="auto"/>
        <w:tabs>
          <w:tab w:leader="none" w:pos="298" w:val="left"/>
        </w:tabs>
        <w:numPr>
          <w:ilvl w:val="0"/>
          <w:numId w:val="76"/>
        </w:numPr>
        <w:rPr>
          <w:rFonts w:ascii="Arial" w:cs="Arial" w:eastAsia="Arial" w:hAnsi="Arial"/>
          <w:sz w:val="12"/>
          <w:szCs w:val="12"/>
          <w:color w:val="auto"/>
        </w:rPr>
      </w:pPr>
      <w:r>
        <w:rPr>
          <w:rFonts w:ascii="Arial" w:cs="Arial" w:eastAsia="Arial" w:hAnsi="Arial"/>
          <w:sz w:val="12"/>
          <w:szCs w:val="12"/>
          <w:color w:val="auto"/>
        </w:rPr>
        <w:t>Amounts in the “Estimated Future Payouts Under Non-Equity Incentive Plan Awards” column relate to amounts payable to each NEO with respect to 2024 under the Executive Bonus Plan at threshold, target and maximum levels of performance, in each case calculated by multiplying each NEO’s fiscal year end base salary level by the applicable percentage at which the bonus would pay out based on the combined weighted achievement of the Company and individual performance metrics at each such level. The actual amounts paid to our NEOs are set forth in the “Summary Compensation Table” above and the calculation of the actual amounts paid is discussed more fully in “2024 Executive Team Bonus Plan” above. Although Mr. Hicks, initially participated in the 2024 Executive Team Bonus, he was not eligible for a payment due to his planned transition to non-employee Chairman of the Board in June 2024.</w:t>
      </w:r>
    </w:p>
    <w:p>
      <w:pPr>
        <w:spacing w:after="0" w:line="82" w:lineRule="exact"/>
        <w:rPr>
          <w:rFonts w:ascii="Arial" w:cs="Arial" w:eastAsia="Arial" w:hAnsi="Arial"/>
          <w:sz w:val="12"/>
          <w:szCs w:val="12"/>
          <w:color w:val="auto"/>
        </w:rPr>
      </w:pPr>
    </w:p>
    <w:p>
      <w:pPr>
        <w:ind w:left="301" w:hanging="301"/>
        <w:spacing w:after="0"/>
        <w:tabs>
          <w:tab w:leader="none" w:pos="301"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vesting schedule applicable to each time-based RSU and performance-based RSU award is set forth in the “Outstanding Equity Awards at 2024 Fiscal Year End Table” table.</w:t>
      </w:r>
    </w:p>
    <w:p>
      <w:pPr>
        <w:spacing w:after="0" w:line="110" w:lineRule="exact"/>
        <w:rPr>
          <w:rFonts w:ascii="Arial" w:cs="Arial" w:eastAsia="Arial" w:hAnsi="Arial"/>
          <w:sz w:val="12"/>
          <w:szCs w:val="12"/>
          <w:color w:val="auto"/>
        </w:rPr>
      </w:pPr>
    </w:p>
    <w:p>
      <w:pPr>
        <w:ind w:left="301" w:right="180" w:hanging="301"/>
        <w:spacing w:after="0" w:line="245" w:lineRule="auto"/>
        <w:tabs>
          <w:tab w:leader="none" w:pos="298"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grant date fair value of the time-based RSUs, and performance-based RSUs granted to each of the NEOs in 2024, computed in accordance with FASB Accounting Standards Codification Topic 718, excluding the effects of estimated forfeitures. The valuation assumptions used in determining such amounts are described in Note 8, Share-Based Compensation to our audited consolidated financial statements included in our Annual Report on Form 10-K. The grant date fair value of the performance-based RSUs, is based upon the probable outcome of the performance conditions at the date of grant and assumes the “target” level of performance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965200</wp:posOffset>
            </wp:positionV>
            <wp:extent cx="7168515" cy="4127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678180</wp:posOffset>
            </wp:positionV>
            <wp:extent cx="789305" cy="18923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Outstanding Equity Awards at 2024 Fiscal Year End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with regard to the outstanding equity awards held by each NEO on February 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 w:type="dxa"/>
            <w:vAlign w:val="bottom"/>
            <w:tcBorders>
              <w:bottom w:val="single" w:sz="8" w:color="E1D7AC"/>
            </w:tcBorders>
            <w:shd w:val="clear" w:color="auto" w:fill="E1D7AC"/>
          </w:tcPr>
          <w:p>
            <w:pPr>
              <w:spacing w:after="0"/>
              <w:rPr>
                <w:sz w:val="17"/>
                <w:szCs w:val="17"/>
                <w:color w:val="auto"/>
              </w:rPr>
            </w:pPr>
          </w:p>
        </w:tc>
        <w:tc>
          <w:tcPr>
            <w:tcW w:w="880" w:type="dxa"/>
            <w:vAlign w:val="bottom"/>
            <w:tcBorders>
              <w:bottom w:val="single" w:sz="8" w:color="E1D7AC"/>
            </w:tcBorders>
            <w:shd w:val="clear" w:color="auto" w:fill="E1D7AC"/>
          </w:tcPr>
          <w:p>
            <w:pPr>
              <w:spacing w:after="0"/>
              <w:rPr>
                <w:sz w:val="17"/>
                <w:szCs w:val="17"/>
                <w:color w:val="auto"/>
              </w:rPr>
            </w:pPr>
          </w:p>
        </w:tc>
        <w:tc>
          <w:tcPr>
            <w:tcW w:w="1080" w:type="dxa"/>
            <w:vAlign w:val="bottom"/>
            <w:tcBorders>
              <w:bottom w:val="single" w:sz="8" w:color="E1D7AC"/>
            </w:tcBorders>
            <w:shd w:val="clear" w:color="auto" w:fill="E1D7AC"/>
          </w:tcPr>
          <w:p>
            <w:pPr>
              <w:spacing w:after="0"/>
              <w:rPr>
                <w:sz w:val="17"/>
                <w:szCs w:val="17"/>
                <w:color w:val="auto"/>
              </w:rPr>
            </w:pPr>
          </w:p>
        </w:tc>
        <w:tc>
          <w:tcPr>
            <w:tcW w:w="1060" w:type="dxa"/>
            <w:vAlign w:val="bottom"/>
            <w:tcBorders>
              <w:bottom w:val="single" w:sz="8" w:color="E1D7AC"/>
            </w:tcBorders>
            <w:shd w:val="clear" w:color="auto" w:fill="E1D7AC"/>
          </w:tcPr>
          <w:p>
            <w:pPr>
              <w:spacing w:after="0"/>
              <w:rPr>
                <w:sz w:val="17"/>
                <w:szCs w:val="17"/>
                <w:color w:val="auto"/>
              </w:rPr>
            </w:pPr>
          </w:p>
        </w:tc>
        <w:tc>
          <w:tcPr>
            <w:tcW w:w="1880" w:type="dxa"/>
            <w:vAlign w:val="bottom"/>
            <w:tcBorders>
              <w:bottom w:val="single" w:sz="8" w:color="E1D7AC"/>
            </w:tcBorders>
            <w:gridSpan w:val="2"/>
            <w:shd w:val="clear" w:color="auto" w:fill="E1D7AC"/>
          </w:tcPr>
          <w:p>
            <w:pPr>
              <w:ind w:left="1060"/>
              <w:spacing w:after="0"/>
              <w:rPr>
                <w:sz w:val="20"/>
                <w:szCs w:val="20"/>
                <w:color w:val="auto"/>
              </w:rPr>
            </w:pPr>
            <w:r>
              <w:rPr>
                <w:rFonts w:ascii="Arial" w:cs="Arial" w:eastAsia="Arial" w:hAnsi="Arial"/>
                <w:sz w:val="12"/>
                <w:szCs w:val="12"/>
                <w:b w:val="1"/>
                <w:bCs w:val="1"/>
                <w:color w:val="auto"/>
                <w:w w:val="93"/>
                <w:shd w:val="clear" w:color="auto" w:fill="E1D7AC"/>
              </w:rPr>
              <w:t>Option Awards</w:t>
            </w:r>
          </w:p>
        </w:tc>
        <w:tc>
          <w:tcPr>
            <w:tcW w:w="380" w:type="dxa"/>
            <w:vAlign w:val="bottom"/>
            <w:tcBorders>
              <w:bottom w:val="single" w:sz="8" w:color="E1D7AC"/>
            </w:tcBorders>
            <w:shd w:val="clear" w:color="auto" w:fill="E1D7AC"/>
          </w:tcPr>
          <w:p>
            <w:pPr>
              <w:spacing w:after="0"/>
              <w:rPr>
                <w:sz w:val="17"/>
                <w:szCs w:val="17"/>
                <w:color w:val="auto"/>
              </w:rPr>
            </w:pPr>
          </w:p>
        </w:tc>
        <w:tc>
          <w:tcPr>
            <w:tcW w:w="800" w:type="dxa"/>
            <w:vAlign w:val="bottom"/>
            <w:tcBorders>
              <w:bottom w:val="single" w:sz="8" w:color="E1D7AC"/>
            </w:tcBorders>
            <w:shd w:val="clear" w:color="auto" w:fill="E1D7AC"/>
          </w:tcPr>
          <w:p>
            <w:pPr>
              <w:spacing w:after="0"/>
              <w:rPr>
                <w:sz w:val="17"/>
                <w:szCs w:val="17"/>
                <w:color w:val="auto"/>
              </w:rPr>
            </w:pPr>
          </w:p>
        </w:tc>
        <w:tc>
          <w:tcPr>
            <w:tcW w:w="940" w:type="dxa"/>
            <w:vAlign w:val="bottom"/>
            <w:tcBorders>
              <w:bottom w:val="single" w:sz="8" w:color="E1D7AC"/>
            </w:tcBorders>
            <w:shd w:val="clear" w:color="auto" w:fill="E1D7AC"/>
          </w:tcPr>
          <w:p>
            <w:pPr>
              <w:spacing w:after="0"/>
              <w:rPr>
                <w:sz w:val="17"/>
                <w:szCs w:val="17"/>
                <w:color w:val="auto"/>
              </w:rPr>
            </w:pPr>
          </w:p>
        </w:tc>
        <w:tc>
          <w:tcPr>
            <w:tcW w:w="80" w:type="dxa"/>
            <w:vAlign w:val="bottom"/>
            <w:tcBorders>
              <w:bottom w:val="single" w:sz="8" w:color="E1D7AC"/>
            </w:tcBorders>
            <w:shd w:val="clear" w:color="auto" w:fill="E1D7AC"/>
          </w:tcPr>
          <w:p>
            <w:pPr>
              <w:spacing w:after="0"/>
              <w:rPr>
                <w:sz w:val="17"/>
                <w:szCs w:val="17"/>
                <w:color w:val="auto"/>
              </w:rPr>
            </w:pPr>
          </w:p>
        </w:tc>
        <w:tc>
          <w:tcPr>
            <w:tcW w:w="860" w:type="dxa"/>
            <w:vAlign w:val="bottom"/>
            <w:tcBorders>
              <w:bottom w:val="single" w:sz="8" w:color="E1D7AC"/>
            </w:tcBorders>
            <w:shd w:val="clear" w:color="auto" w:fill="E1D7AC"/>
          </w:tcPr>
          <w:p>
            <w:pPr>
              <w:spacing w:after="0"/>
              <w:rPr>
                <w:sz w:val="17"/>
                <w:szCs w:val="17"/>
                <w:color w:val="auto"/>
              </w:rPr>
            </w:pPr>
          </w:p>
        </w:tc>
        <w:tc>
          <w:tcPr>
            <w:tcW w:w="1520" w:type="dxa"/>
            <w:vAlign w:val="bottom"/>
            <w:tcBorders>
              <w:bottom w:val="single" w:sz="8" w:color="E1D7AC"/>
            </w:tcBorders>
            <w:gridSpan w:val="2"/>
            <w:shd w:val="clear" w:color="auto" w:fill="E1D7AC"/>
          </w:tcPr>
          <w:p>
            <w:pPr>
              <w:ind w:left="760"/>
              <w:spacing w:after="0"/>
              <w:rPr>
                <w:sz w:val="20"/>
                <w:szCs w:val="20"/>
                <w:color w:val="auto"/>
              </w:rPr>
            </w:pPr>
            <w:r>
              <w:rPr>
                <w:rFonts w:ascii="Arial" w:cs="Arial" w:eastAsia="Arial" w:hAnsi="Arial"/>
                <w:sz w:val="12"/>
                <w:szCs w:val="12"/>
                <w:b w:val="1"/>
                <w:bCs w:val="1"/>
                <w:color w:val="auto"/>
                <w:w w:val="93"/>
                <w:shd w:val="clear" w:color="auto" w:fill="E1D7AC"/>
              </w:rPr>
              <w:t>Stock Awards</w:t>
            </w:r>
          </w:p>
        </w:tc>
        <w:tc>
          <w:tcPr>
            <w:tcW w:w="480" w:type="dxa"/>
            <w:vAlign w:val="bottom"/>
            <w:tcBorders>
              <w:bottom w:val="single" w:sz="8" w:color="E1D7AC"/>
            </w:tcBorders>
            <w:shd w:val="clear" w:color="auto" w:fill="E1D7AC"/>
          </w:tcPr>
          <w:p>
            <w:pPr>
              <w:spacing w:after="0"/>
              <w:rPr>
                <w:sz w:val="17"/>
                <w:szCs w:val="17"/>
                <w:color w:val="auto"/>
              </w:rPr>
            </w:pPr>
          </w:p>
        </w:tc>
        <w:tc>
          <w:tcPr>
            <w:tcW w:w="1120" w:type="dxa"/>
            <w:vAlign w:val="bottom"/>
            <w:tcBorders>
              <w:bottom w:val="single" w:sz="8" w:color="E1D7AC"/>
            </w:tcBorders>
            <w:shd w:val="clear" w:color="auto" w:fill="E1D7AC"/>
          </w:tcPr>
          <w:p>
            <w:pPr>
              <w:spacing w:after="0"/>
              <w:rPr>
                <w:sz w:val="17"/>
                <w:szCs w:val="17"/>
                <w:color w:val="auto"/>
              </w:rPr>
            </w:pPr>
          </w:p>
        </w:tc>
        <w:tc>
          <w:tcPr>
            <w:tcW w:w="80" w:type="dxa"/>
            <w:vAlign w:val="bottom"/>
            <w:tcBorders>
              <w:bottom w:val="single" w:sz="8" w:color="E1D7AC"/>
            </w:tcBorders>
            <w:shd w:val="clear" w:color="auto" w:fill="E1D7A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 w:type="dxa"/>
            <w:vAlign w:val="bottom"/>
            <w:tcBorders>
              <w:top w:val="single" w:sz="8" w:color="E1D7AC"/>
            </w:tcBorders>
            <w:shd w:val="clear" w:color="auto" w:fill="E1D7AC"/>
          </w:tcPr>
          <w:p>
            <w:pPr>
              <w:spacing w:after="0"/>
              <w:rPr>
                <w:sz w:val="14"/>
                <w:szCs w:val="14"/>
                <w:color w:val="auto"/>
              </w:rPr>
            </w:pPr>
          </w:p>
        </w:tc>
        <w:tc>
          <w:tcPr>
            <w:tcW w:w="880" w:type="dxa"/>
            <w:vAlign w:val="bottom"/>
            <w:tcBorders>
              <w:top w:val="single" w:sz="8" w:color="E1D7AC"/>
            </w:tcBorders>
            <w:shd w:val="clear" w:color="auto" w:fill="E1D7AC"/>
          </w:tcPr>
          <w:p>
            <w:pPr>
              <w:spacing w:after="0"/>
              <w:rPr>
                <w:sz w:val="14"/>
                <w:szCs w:val="14"/>
                <w:color w:val="auto"/>
              </w:rPr>
            </w:pPr>
          </w:p>
        </w:tc>
        <w:tc>
          <w:tcPr>
            <w:tcW w:w="1080" w:type="dxa"/>
            <w:vAlign w:val="bottom"/>
            <w:tcBorders>
              <w:top w:val="single" w:sz="8" w:color="E1D7AC"/>
            </w:tcBorders>
            <w:shd w:val="clear" w:color="auto" w:fill="E1D7AC"/>
          </w:tcPr>
          <w:p>
            <w:pPr>
              <w:spacing w:after="0"/>
              <w:rPr>
                <w:sz w:val="14"/>
                <w:szCs w:val="14"/>
                <w:color w:val="auto"/>
              </w:rPr>
            </w:pPr>
          </w:p>
        </w:tc>
        <w:tc>
          <w:tcPr>
            <w:tcW w:w="1060" w:type="dxa"/>
            <w:vAlign w:val="bottom"/>
            <w:tcBorders>
              <w:top w:val="single" w:sz="8" w:color="auto"/>
            </w:tcBorders>
            <w:shd w:val="clear" w:color="auto" w:fill="E1D7AC"/>
          </w:tcPr>
          <w:p>
            <w:pPr>
              <w:spacing w:after="0"/>
              <w:rPr>
                <w:sz w:val="14"/>
                <w:szCs w:val="14"/>
                <w:color w:val="auto"/>
              </w:rPr>
            </w:pPr>
          </w:p>
        </w:tc>
        <w:tc>
          <w:tcPr>
            <w:tcW w:w="1180" w:type="dxa"/>
            <w:vAlign w:val="bottom"/>
            <w:tcBorders>
              <w:top w:val="single" w:sz="8" w:color="auto"/>
            </w:tcBorders>
            <w:shd w:val="clear" w:color="auto" w:fill="E1D7AC"/>
          </w:tcPr>
          <w:p>
            <w:pPr>
              <w:spacing w:after="0"/>
              <w:rPr>
                <w:sz w:val="14"/>
                <w:szCs w:val="14"/>
                <w:color w:val="auto"/>
              </w:rPr>
            </w:pPr>
          </w:p>
        </w:tc>
        <w:tc>
          <w:tcPr>
            <w:tcW w:w="108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800" w:type="dxa"/>
            <w:vAlign w:val="bottom"/>
            <w:tcBorders>
              <w:top w:val="single" w:sz="8" w:color="auto"/>
            </w:tcBorders>
            <w:shd w:val="clear" w:color="auto" w:fill="E1D7AC"/>
          </w:tcPr>
          <w:p>
            <w:pPr>
              <w:spacing w:after="0"/>
              <w:rPr>
                <w:sz w:val="14"/>
                <w:szCs w:val="14"/>
                <w:color w:val="auto"/>
              </w:rPr>
            </w:pPr>
          </w:p>
        </w:tc>
        <w:tc>
          <w:tcPr>
            <w:tcW w:w="940" w:type="dxa"/>
            <w:vAlign w:val="bottom"/>
            <w:tcBorders>
              <w:top w:val="single" w:sz="8" w:color="auto"/>
            </w:tcBorders>
            <w:shd w:val="clear" w:color="auto" w:fill="E1D7AC"/>
          </w:tcPr>
          <w:p>
            <w:pPr>
              <w:spacing w:after="0"/>
              <w:rPr>
                <w:sz w:val="14"/>
                <w:szCs w:val="14"/>
                <w:color w:val="auto"/>
              </w:rPr>
            </w:pPr>
          </w:p>
        </w:tc>
        <w:tc>
          <w:tcPr>
            <w:tcW w:w="80" w:type="dxa"/>
            <w:vAlign w:val="bottom"/>
            <w:tcBorders>
              <w:top w:val="single" w:sz="8" w:color="E1D7AC"/>
            </w:tcBorders>
            <w:shd w:val="clear" w:color="auto" w:fill="E1D7AC"/>
          </w:tcPr>
          <w:p>
            <w:pPr>
              <w:spacing w:after="0"/>
              <w:rPr>
                <w:sz w:val="14"/>
                <w:szCs w:val="14"/>
                <w:color w:val="auto"/>
              </w:rPr>
            </w:pPr>
          </w:p>
        </w:tc>
        <w:tc>
          <w:tcPr>
            <w:tcW w:w="860" w:type="dxa"/>
            <w:vAlign w:val="bottom"/>
            <w:tcBorders>
              <w:top w:val="single" w:sz="8" w:color="auto"/>
            </w:tcBorders>
            <w:shd w:val="clear" w:color="auto" w:fill="E1D7AC"/>
          </w:tcPr>
          <w:p>
            <w:pPr>
              <w:spacing w:after="0"/>
              <w:rPr>
                <w:sz w:val="14"/>
                <w:szCs w:val="14"/>
                <w:color w:val="auto"/>
              </w:rPr>
            </w:pPr>
          </w:p>
        </w:tc>
        <w:tc>
          <w:tcPr>
            <w:tcW w:w="940" w:type="dxa"/>
            <w:vAlign w:val="bottom"/>
            <w:tcBorders>
              <w:top w:val="single" w:sz="8" w:color="auto"/>
            </w:tcBorders>
            <w:shd w:val="clear" w:color="auto" w:fill="E1D7AC"/>
          </w:tcPr>
          <w:p>
            <w:pPr>
              <w:spacing w:after="0"/>
              <w:rPr>
                <w:sz w:val="14"/>
                <w:szCs w:val="14"/>
                <w:color w:val="auto"/>
              </w:rPr>
            </w:pPr>
          </w:p>
        </w:tc>
        <w:tc>
          <w:tcPr>
            <w:tcW w:w="106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112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80" w:type="dxa"/>
            <w:vAlign w:val="bottom"/>
            <w:tcBorders>
              <w:top w:val="single" w:sz="8" w:color="E1D7AC"/>
            </w:tcBorders>
            <w:shd w:val="clear" w:color="auto" w:fill="E1D7A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11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Plan Awards:</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Plan Awards:</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Plan Awards:</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11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w:t>
            </w:r>
          </w:p>
        </w:tc>
        <w:tc>
          <w:tcPr>
            <w:tcW w:w="940" w:type="dxa"/>
            <w:vAlign w:val="bottom"/>
            <w:shd w:val="clear" w:color="auto" w:fill="E1D7AC"/>
          </w:tcPr>
          <w:p>
            <w:pPr>
              <w:spacing w:after="0"/>
              <w:rPr>
                <w:sz w:val="12"/>
                <w:szCs w:val="12"/>
                <w:color w:val="auto"/>
              </w:rPr>
            </w:pP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Market or Payout</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11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of Shares of</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Market Value of</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Unearned</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Value of Unearned</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11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w:t>
            </w: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Stock that</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w w:val="99"/>
              </w:rPr>
              <w:t>Shares of Stock</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Shares, or Other</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Shares, or Other</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Options</w:t>
            </w:r>
          </w:p>
        </w:tc>
        <w:tc>
          <w:tcPr>
            <w:tcW w:w="11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Options</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Exercise</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w:t>
            </w: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Have Not</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That Have Not</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Rights That Have</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Rights That Have</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Exercisable</w:t>
            </w:r>
          </w:p>
        </w:tc>
        <w:tc>
          <w:tcPr>
            <w:tcW w:w="2260" w:type="dxa"/>
            <w:vAlign w:val="bottom"/>
            <w:gridSpan w:val="3"/>
            <w:shd w:val="clear" w:color="auto" w:fill="E1D7AC"/>
          </w:tcPr>
          <w:p>
            <w:pPr>
              <w:jc w:val="right"/>
              <w:spacing w:after="0"/>
              <w:rPr>
                <w:sz w:val="20"/>
                <w:szCs w:val="20"/>
                <w:color w:val="auto"/>
              </w:rPr>
            </w:pPr>
            <w:r>
              <w:rPr>
                <w:rFonts w:ascii="Arial" w:cs="Arial" w:eastAsia="Arial" w:hAnsi="Arial"/>
                <w:sz w:val="12"/>
                <w:szCs w:val="12"/>
                <w:b w:val="1"/>
                <w:bCs w:val="1"/>
                <w:color w:val="auto"/>
              </w:rPr>
              <w:t>Unexercisable Unearned Options</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Price</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Expiration</w:t>
            </w: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Not Vested</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Not Vested</w:t>
            </w:r>
          </w:p>
        </w:tc>
        <w:tc>
          <w:tcPr>
            <w:tcW w:w="0" w:type="dxa"/>
            <w:vAlign w:val="bottom"/>
          </w:tcPr>
          <w:p>
            <w:pPr>
              <w:spacing w:after="0"/>
              <w:rPr>
                <w:sz w:val="1"/>
                <w:szCs w:val="1"/>
                <w:color w:val="auto"/>
              </w:rPr>
            </w:pPr>
          </w:p>
        </w:tc>
      </w:tr>
      <w:tr>
        <w:trPr>
          <w:trHeight w:val="154"/>
        </w:trPr>
        <w:tc>
          <w:tcPr>
            <w:tcW w:w="80" w:type="dxa"/>
            <w:vAlign w:val="bottom"/>
            <w:shd w:val="clear" w:color="auto" w:fill="E1D7AC"/>
          </w:tcPr>
          <w:p>
            <w:pPr>
              <w:spacing w:after="0"/>
              <w:rPr>
                <w:sz w:val="13"/>
                <w:szCs w:val="13"/>
                <w:color w:val="auto"/>
              </w:rPr>
            </w:pPr>
          </w:p>
        </w:tc>
        <w:tc>
          <w:tcPr>
            <w:tcW w:w="880" w:type="dxa"/>
            <w:vAlign w:val="bottom"/>
            <w:shd w:val="clear" w:color="auto" w:fill="E1D7AC"/>
          </w:tcPr>
          <w:p>
            <w:pPr>
              <w:ind w:left="20"/>
              <w:spacing w:after="0"/>
              <w:rPr>
                <w:sz w:val="20"/>
                <w:szCs w:val="20"/>
                <w:color w:val="auto"/>
              </w:rPr>
            </w:pPr>
            <w:r>
              <w:rPr>
                <w:rFonts w:ascii="Arial" w:cs="Arial" w:eastAsia="Arial" w:hAnsi="Arial"/>
                <w:sz w:val="12"/>
                <w:szCs w:val="12"/>
                <w:b w:val="1"/>
                <w:bCs w:val="1"/>
                <w:color w:val="auto"/>
                <w:shd w:val="clear" w:color="auto" w:fill="E1D7AC"/>
              </w:rPr>
              <w:t>Name</w:t>
            </w:r>
          </w:p>
        </w:tc>
        <w:tc>
          <w:tcPr>
            <w:tcW w:w="1080" w:type="dxa"/>
            <w:vAlign w:val="bottom"/>
            <w:shd w:val="clear" w:color="auto" w:fill="E1D7AC"/>
          </w:tcPr>
          <w:p>
            <w:pPr>
              <w:ind w:left="240"/>
              <w:spacing w:after="0"/>
              <w:rPr>
                <w:sz w:val="20"/>
                <w:szCs w:val="20"/>
                <w:color w:val="auto"/>
              </w:rPr>
            </w:pPr>
            <w:r>
              <w:rPr>
                <w:rFonts w:ascii="Arial" w:cs="Arial" w:eastAsia="Arial" w:hAnsi="Arial"/>
                <w:sz w:val="12"/>
                <w:szCs w:val="12"/>
                <w:b w:val="1"/>
                <w:bCs w:val="1"/>
                <w:color w:val="auto"/>
              </w:rPr>
              <w:t>Grant Date</w:t>
            </w:r>
          </w:p>
        </w:tc>
        <w:tc>
          <w:tcPr>
            <w:tcW w:w="106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(1)</w:t>
            </w:r>
          </w:p>
        </w:tc>
        <w:tc>
          <w:tcPr>
            <w:tcW w:w="118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(2)</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5"/>
                <w:szCs w:val="15"/>
                <w:b w:val="1"/>
                <w:bCs w:val="1"/>
                <w:color w:val="auto"/>
                <w:vertAlign w:val="superscript"/>
              </w:rPr>
              <w:t>(3)</w:t>
            </w:r>
          </w:p>
        </w:tc>
        <w:tc>
          <w:tcPr>
            <w:tcW w:w="940" w:type="dxa"/>
            <w:vAlign w:val="bottom"/>
            <w:gridSpan w:val="2"/>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(4)</w:t>
            </w:r>
          </w:p>
        </w:tc>
        <w:tc>
          <w:tcPr>
            <w:tcW w:w="94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(5)</w:t>
            </w:r>
          </w:p>
        </w:tc>
        <w:tc>
          <w:tcPr>
            <w:tcW w:w="1060" w:type="dxa"/>
            <w:vAlign w:val="bottom"/>
            <w:gridSpan w:val="2"/>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(6)</w:t>
            </w:r>
          </w:p>
        </w:tc>
        <w:tc>
          <w:tcPr>
            <w:tcW w:w="112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(5)</w:t>
            </w:r>
          </w:p>
        </w:tc>
        <w:tc>
          <w:tcPr>
            <w:tcW w:w="80" w:type="dxa"/>
            <w:vAlign w:val="bottom"/>
            <w:shd w:val="clear" w:color="auto" w:fill="E1D7AC"/>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 w:type="dxa"/>
            <w:vAlign w:val="bottom"/>
            <w:shd w:val="clear" w:color="auto" w:fill="E1D7AC"/>
          </w:tcPr>
          <w:p>
            <w:pPr>
              <w:spacing w:after="0"/>
              <w:rPr>
                <w:sz w:val="7"/>
                <w:szCs w:val="7"/>
                <w:color w:val="auto"/>
              </w:rPr>
            </w:pPr>
          </w:p>
        </w:tc>
        <w:tc>
          <w:tcPr>
            <w:tcW w:w="880" w:type="dxa"/>
            <w:vAlign w:val="bottom"/>
            <w:shd w:val="clear" w:color="auto" w:fill="E1D7AC"/>
          </w:tcPr>
          <w:p>
            <w:pPr>
              <w:spacing w:after="0"/>
              <w:rPr>
                <w:sz w:val="7"/>
                <w:szCs w:val="7"/>
                <w:color w:val="auto"/>
              </w:rPr>
            </w:pPr>
          </w:p>
        </w:tc>
        <w:tc>
          <w:tcPr>
            <w:tcW w:w="1080" w:type="dxa"/>
            <w:vAlign w:val="bottom"/>
            <w:shd w:val="clear" w:color="auto" w:fill="E1D7AC"/>
          </w:tcPr>
          <w:p>
            <w:pPr>
              <w:spacing w:after="0"/>
              <w:rPr>
                <w:sz w:val="7"/>
                <w:szCs w:val="7"/>
                <w:color w:val="auto"/>
              </w:rPr>
            </w:pPr>
          </w:p>
        </w:tc>
        <w:tc>
          <w:tcPr>
            <w:tcW w:w="1060" w:type="dxa"/>
            <w:vAlign w:val="bottom"/>
            <w:shd w:val="clear" w:color="auto" w:fill="E1D7AC"/>
          </w:tcPr>
          <w:p>
            <w:pPr>
              <w:spacing w:after="0"/>
              <w:rPr>
                <w:sz w:val="7"/>
                <w:szCs w:val="7"/>
                <w:color w:val="auto"/>
              </w:rPr>
            </w:pPr>
          </w:p>
        </w:tc>
        <w:tc>
          <w:tcPr>
            <w:tcW w:w="1180" w:type="dxa"/>
            <w:vAlign w:val="bottom"/>
            <w:shd w:val="clear" w:color="auto" w:fill="E1D7AC"/>
          </w:tcPr>
          <w:p>
            <w:pPr>
              <w:spacing w:after="0"/>
              <w:rPr>
                <w:sz w:val="7"/>
                <w:szCs w:val="7"/>
                <w:color w:val="auto"/>
              </w:rPr>
            </w:pPr>
          </w:p>
        </w:tc>
        <w:tc>
          <w:tcPr>
            <w:tcW w:w="700" w:type="dxa"/>
            <w:vAlign w:val="bottom"/>
            <w:shd w:val="clear" w:color="auto" w:fill="E1D7AC"/>
          </w:tcPr>
          <w:p>
            <w:pPr>
              <w:spacing w:after="0"/>
              <w:rPr>
                <w:sz w:val="7"/>
                <w:szCs w:val="7"/>
                <w:color w:val="auto"/>
              </w:rPr>
            </w:pPr>
          </w:p>
        </w:tc>
        <w:tc>
          <w:tcPr>
            <w:tcW w:w="380" w:type="dxa"/>
            <w:vAlign w:val="bottom"/>
            <w:shd w:val="clear" w:color="auto" w:fill="E1D7AC"/>
          </w:tcPr>
          <w:p>
            <w:pPr>
              <w:spacing w:after="0"/>
              <w:rPr>
                <w:sz w:val="7"/>
                <w:szCs w:val="7"/>
                <w:color w:val="auto"/>
              </w:rPr>
            </w:pPr>
          </w:p>
        </w:tc>
        <w:tc>
          <w:tcPr>
            <w:tcW w:w="800" w:type="dxa"/>
            <w:vAlign w:val="bottom"/>
            <w:shd w:val="clear" w:color="auto" w:fill="E1D7AC"/>
          </w:tcPr>
          <w:p>
            <w:pPr>
              <w:spacing w:after="0"/>
              <w:rPr>
                <w:sz w:val="7"/>
                <w:szCs w:val="7"/>
                <w:color w:val="auto"/>
              </w:rPr>
            </w:pPr>
          </w:p>
        </w:tc>
        <w:tc>
          <w:tcPr>
            <w:tcW w:w="94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860" w:type="dxa"/>
            <w:vAlign w:val="bottom"/>
            <w:shd w:val="clear" w:color="auto" w:fill="E1D7AC"/>
          </w:tcPr>
          <w:p>
            <w:pPr>
              <w:spacing w:after="0"/>
              <w:rPr>
                <w:sz w:val="7"/>
                <w:szCs w:val="7"/>
                <w:color w:val="auto"/>
              </w:rPr>
            </w:pPr>
          </w:p>
        </w:tc>
        <w:tc>
          <w:tcPr>
            <w:tcW w:w="940" w:type="dxa"/>
            <w:vAlign w:val="bottom"/>
            <w:shd w:val="clear" w:color="auto" w:fill="E1D7AC"/>
          </w:tcPr>
          <w:p>
            <w:pPr>
              <w:spacing w:after="0"/>
              <w:rPr>
                <w:sz w:val="7"/>
                <w:szCs w:val="7"/>
                <w:color w:val="auto"/>
              </w:rPr>
            </w:pPr>
          </w:p>
        </w:tc>
        <w:tc>
          <w:tcPr>
            <w:tcW w:w="580" w:type="dxa"/>
            <w:vAlign w:val="bottom"/>
            <w:shd w:val="clear" w:color="auto" w:fill="E1D7AC"/>
          </w:tcPr>
          <w:p>
            <w:pPr>
              <w:spacing w:after="0"/>
              <w:rPr>
                <w:sz w:val="7"/>
                <w:szCs w:val="7"/>
                <w:color w:val="auto"/>
              </w:rPr>
            </w:pPr>
          </w:p>
        </w:tc>
        <w:tc>
          <w:tcPr>
            <w:tcW w:w="480" w:type="dxa"/>
            <w:vAlign w:val="bottom"/>
            <w:shd w:val="clear" w:color="auto" w:fill="E1D7AC"/>
          </w:tcPr>
          <w:p>
            <w:pPr>
              <w:spacing w:after="0"/>
              <w:rPr>
                <w:sz w:val="7"/>
                <w:szCs w:val="7"/>
                <w:color w:val="auto"/>
              </w:rPr>
            </w:pPr>
          </w:p>
        </w:tc>
        <w:tc>
          <w:tcPr>
            <w:tcW w:w="112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3/31/2021</w:t>
            </w:r>
            <w:r>
              <w:rPr>
                <w:rFonts w:ascii="Arial" w:cs="Arial" w:eastAsia="Arial" w:hAnsi="Arial"/>
                <w:sz w:val="15"/>
                <w:szCs w:val="15"/>
                <w:color w:val="auto"/>
                <w:w w:val="91"/>
                <w:vertAlign w:val="superscript"/>
              </w:rPr>
              <w:t>(7)</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42,632</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14,211</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26.99</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3/31/2031</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(8)</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1,991</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104,149</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(9)</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540</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28,247</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(7)</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20,347</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20,348</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39.17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3/30/2032</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(10)</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11,597</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606,639</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0" w:type="dxa"/>
            <w:vAlign w:val="bottom"/>
            <w:shd w:val="clear" w:color="auto" w:fill="DBDBDB"/>
          </w:tcPr>
          <w:p>
            <w:pPr>
              <w:spacing w:after="0"/>
              <w:rPr>
                <w:sz w:val="18"/>
                <w:szCs w:val="18"/>
                <w:color w:val="auto"/>
              </w:rPr>
            </w:pPr>
          </w:p>
        </w:tc>
        <w:tc>
          <w:tcPr>
            <w:tcW w:w="880" w:type="dxa"/>
            <w:vAlign w:val="bottom"/>
            <w:vMerge w:val="restart"/>
            <w:shd w:val="clear" w:color="auto" w:fill="DBDBDB"/>
          </w:tcPr>
          <w:p>
            <w:pPr>
              <w:ind w:left="20"/>
              <w:spacing w:after="0"/>
              <w:rPr>
                <w:sz w:val="20"/>
                <w:szCs w:val="20"/>
                <w:color w:val="auto"/>
              </w:rPr>
            </w:pPr>
            <w:r>
              <w:rPr>
                <w:rFonts w:ascii="Arial" w:cs="Arial" w:eastAsia="Arial" w:hAnsi="Arial"/>
                <w:sz w:val="12"/>
                <w:szCs w:val="12"/>
                <w:b w:val="1"/>
                <w:bCs w:val="1"/>
                <w:color w:val="auto"/>
              </w:rPr>
              <w:t>Steve</w:t>
            </w: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(11)</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4,176</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8,353</w:t>
            </w:r>
          </w:p>
        </w:tc>
        <w:tc>
          <w:tcPr>
            <w:tcW w:w="700" w:type="dxa"/>
            <w:vAlign w:val="bottom"/>
            <w:shd w:val="clear" w:color="auto" w:fill="DBDBDB"/>
          </w:tcPr>
          <w:p>
            <w:pPr>
              <w:spacing w:after="0"/>
              <w:rPr>
                <w:sz w:val="18"/>
                <w:szCs w:val="18"/>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64.67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3/21/2033</w:t>
            </w:r>
          </w:p>
        </w:tc>
        <w:tc>
          <w:tcPr>
            <w:tcW w:w="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18"/>
                <w:szCs w:val="18"/>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7"/>
        </w:trPr>
        <w:tc>
          <w:tcPr>
            <w:tcW w:w="80" w:type="dxa"/>
            <w:vAlign w:val="bottom"/>
            <w:shd w:val="clear" w:color="auto" w:fill="DBDBDB"/>
          </w:tcPr>
          <w:p>
            <w:pPr>
              <w:spacing w:after="0"/>
              <w:rPr>
                <w:sz w:val="3"/>
                <w:szCs w:val="3"/>
                <w:color w:val="auto"/>
              </w:rPr>
            </w:pPr>
          </w:p>
        </w:tc>
        <w:tc>
          <w:tcPr>
            <w:tcW w:w="880" w:type="dxa"/>
            <w:vAlign w:val="bottom"/>
            <w:vMerge w:val="continue"/>
            <w:shd w:val="clear" w:color="auto" w:fill="DBDBDB"/>
          </w:tcPr>
          <w:p>
            <w:pPr>
              <w:spacing w:after="0"/>
              <w:rPr>
                <w:sz w:val="3"/>
                <w:szCs w:val="3"/>
                <w:color w:val="auto"/>
              </w:rPr>
            </w:pPr>
          </w:p>
        </w:tc>
        <w:tc>
          <w:tcPr>
            <w:tcW w:w="1080" w:type="dxa"/>
            <w:vAlign w:val="bottom"/>
            <w:shd w:val="clear" w:color="auto" w:fill="DBDBDB"/>
          </w:tcPr>
          <w:p>
            <w:pPr>
              <w:spacing w:after="0"/>
              <w:rPr>
                <w:sz w:val="3"/>
                <w:szCs w:val="3"/>
                <w:color w:val="auto"/>
              </w:rPr>
            </w:pPr>
          </w:p>
        </w:tc>
        <w:tc>
          <w:tcPr>
            <w:tcW w:w="1060" w:type="dxa"/>
            <w:vAlign w:val="bottom"/>
            <w:shd w:val="clear" w:color="auto" w:fill="DBDBDB"/>
          </w:tcPr>
          <w:p>
            <w:pPr>
              <w:spacing w:after="0"/>
              <w:rPr>
                <w:sz w:val="3"/>
                <w:szCs w:val="3"/>
                <w:color w:val="auto"/>
              </w:rPr>
            </w:pPr>
          </w:p>
        </w:tc>
        <w:tc>
          <w:tcPr>
            <w:tcW w:w="1180" w:type="dxa"/>
            <w:vAlign w:val="bottom"/>
            <w:shd w:val="clear" w:color="auto" w:fill="DBDBDB"/>
          </w:tcPr>
          <w:p>
            <w:pPr>
              <w:spacing w:after="0"/>
              <w:rPr>
                <w:sz w:val="3"/>
                <w:szCs w:val="3"/>
                <w:color w:val="auto"/>
              </w:rPr>
            </w:pPr>
          </w:p>
        </w:tc>
        <w:tc>
          <w:tcPr>
            <w:tcW w:w="700" w:type="dxa"/>
            <w:vAlign w:val="bottom"/>
            <w:shd w:val="clear" w:color="auto" w:fill="DBDBDB"/>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800" w:type="dxa"/>
            <w:vAlign w:val="bottom"/>
            <w:shd w:val="clear" w:color="auto" w:fill="DBDBDB"/>
          </w:tcPr>
          <w:p>
            <w:pPr>
              <w:spacing w:after="0"/>
              <w:rPr>
                <w:sz w:val="3"/>
                <w:szCs w:val="3"/>
                <w:color w:val="auto"/>
              </w:rPr>
            </w:pPr>
          </w:p>
        </w:tc>
        <w:tc>
          <w:tcPr>
            <w:tcW w:w="94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860" w:type="dxa"/>
            <w:vAlign w:val="bottom"/>
            <w:shd w:val="clear" w:color="auto" w:fill="DBDBDB"/>
          </w:tcPr>
          <w:p>
            <w:pPr>
              <w:spacing w:after="0"/>
              <w:rPr>
                <w:sz w:val="3"/>
                <w:szCs w:val="3"/>
                <w:color w:val="auto"/>
              </w:rPr>
            </w:pPr>
          </w:p>
        </w:tc>
        <w:tc>
          <w:tcPr>
            <w:tcW w:w="940" w:type="dxa"/>
            <w:vAlign w:val="bottom"/>
            <w:shd w:val="clear" w:color="auto" w:fill="DBDBDB"/>
          </w:tcPr>
          <w:p>
            <w:pPr>
              <w:spacing w:after="0"/>
              <w:rPr>
                <w:sz w:val="3"/>
                <w:szCs w:val="3"/>
                <w:color w:val="auto"/>
              </w:rPr>
            </w:pPr>
          </w:p>
        </w:tc>
        <w:tc>
          <w:tcPr>
            <w:tcW w:w="58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112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Lawrence</w:t>
            </w: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3,866</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202,230</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(10)</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59,500</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3,112,445</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(11)</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20,064</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40,128</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50.42</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6/9/2033</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19,834</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1,037,517</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(13)</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49,633</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2,596,302</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49,633</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2,596,302</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646"/>
        </w:trPr>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-323215</wp:posOffset>
            </wp:positionV>
            <wp:extent cx="789305" cy="18923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color w:val="007EC4"/>
        </w:rPr>
        <w:t xml:space="preserve">66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 w:type="dxa"/>
            <w:vAlign w:val="bottom"/>
            <w:tcBorders>
              <w:bottom w:val="single" w:sz="8" w:color="E1D7AC"/>
            </w:tcBorders>
            <w:shd w:val="clear" w:color="auto" w:fill="E1D7AC"/>
          </w:tcPr>
          <w:p>
            <w:pPr>
              <w:spacing w:after="0"/>
              <w:rPr>
                <w:sz w:val="17"/>
                <w:szCs w:val="17"/>
                <w:color w:val="auto"/>
              </w:rPr>
            </w:pPr>
          </w:p>
        </w:tc>
        <w:tc>
          <w:tcPr>
            <w:tcW w:w="880" w:type="dxa"/>
            <w:vAlign w:val="bottom"/>
            <w:tcBorders>
              <w:bottom w:val="single" w:sz="8" w:color="E1D7AC"/>
            </w:tcBorders>
            <w:shd w:val="clear" w:color="auto" w:fill="E1D7AC"/>
          </w:tcPr>
          <w:p>
            <w:pPr>
              <w:spacing w:after="0"/>
              <w:rPr>
                <w:sz w:val="17"/>
                <w:szCs w:val="17"/>
                <w:color w:val="auto"/>
              </w:rPr>
            </w:pPr>
          </w:p>
        </w:tc>
        <w:tc>
          <w:tcPr>
            <w:tcW w:w="1080" w:type="dxa"/>
            <w:vAlign w:val="bottom"/>
            <w:tcBorders>
              <w:bottom w:val="single" w:sz="8" w:color="E1D7AC"/>
            </w:tcBorders>
            <w:shd w:val="clear" w:color="auto" w:fill="E1D7AC"/>
          </w:tcPr>
          <w:p>
            <w:pPr>
              <w:spacing w:after="0"/>
              <w:rPr>
                <w:sz w:val="17"/>
                <w:szCs w:val="17"/>
                <w:color w:val="auto"/>
              </w:rPr>
            </w:pPr>
          </w:p>
        </w:tc>
        <w:tc>
          <w:tcPr>
            <w:tcW w:w="1060" w:type="dxa"/>
            <w:vAlign w:val="bottom"/>
            <w:tcBorders>
              <w:bottom w:val="single" w:sz="8" w:color="E1D7AC"/>
            </w:tcBorders>
            <w:shd w:val="clear" w:color="auto" w:fill="E1D7AC"/>
          </w:tcPr>
          <w:p>
            <w:pPr>
              <w:spacing w:after="0"/>
              <w:rPr>
                <w:sz w:val="17"/>
                <w:szCs w:val="17"/>
                <w:color w:val="auto"/>
              </w:rPr>
            </w:pPr>
          </w:p>
        </w:tc>
        <w:tc>
          <w:tcPr>
            <w:tcW w:w="1060" w:type="dxa"/>
            <w:vAlign w:val="bottom"/>
            <w:tcBorders>
              <w:bottom w:val="single" w:sz="8" w:color="E1D7AC"/>
            </w:tcBorders>
            <w:shd w:val="clear" w:color="auto" w:fill="E1D7AC"/>
          </w:tcPr>
          <w:p>
            <w:pPr>
              <w:spacing w:after="0"/>
              <w:rPr>
                <w:sz w:val="17"/>
                <w:szCs w:val="17"/>
                <w:color w:val="auto"/>
              </w:rPr>
            </w:pPr>
          </w:p>
        </w:tc>
        <w:tc>
          <w:tcPr>
            <w:tcW w:w="820" w:type="dxa"/>
            <w:vAlign w:val="bottom"/>
            <w:tcBorders>
              <w:bottom w:val="single" w:sz="8" w:color="E1D7AC"/>
            </w:tcBorders>
            <w:gridSpan w:val="2"/>
            <w:shd w:val="clear" w:color="auto" w:fill="E1D7AC"/>
          </w:tcPr>
          <w:p>
            <w:pPr>
              <w:spacing w:after="0"/>
              <w:rPr>
                <w:sz w:val="20"/>
                <w:szCs w:val="20"/>
                <w:color w:val="auto"/>
              </w:rPr>
            </w:pPr>
            <w:r>
              <w:rPr>
                <w:rFonts w:ascii="Arial" w:cs="Arial" w:eastAsia="Arial" w:hAnsi="Arial"/>
                <w:sz w:val="12"/>
                <w:szCs w:val="12"/>
                <w:b w:val="1"/>
                <w:bCs w:val="1"/>
                <w:color w:val="auto"/>
                <w:w w:val="93"/>
                <w:shd w:val="clear" w:color="auto" w:fill="E1D7AC"/>
              </w:rPr>
              <w:t>Option Awards</w:t>
            </w:r>
          </w:p>
        </w:tc>
        <w:tc>
          <w:tcPr>
            <w:tcW w:w="380" w:type="dxa"/>
            <w:vAlign w:val="bottom"/>
            <w:tcBorders>
              <w:bottom w:val="single" w:sz="8" w:color="E1D7AC"/>
            </w:tcBorders>
            <w:shd w:val="clear" w:color="auto" w:fill="E1D7AC"/>
          </w:tcPr>
          <w:p>
            <w:pPr>
              <w:spacing w:after="0"/>
              <w:rPr>
                <w:sz w:val="17"/>
                <w:szCs w:val="17"/>
                <w:color w:val="auto"/>
              </w:rPr>
            </w:pPr>
          </w:p>
        </w:tc>
        <w:tc>
          <w:tcPr>
            <w:tcW w:w="800" w:type="dxa"/>
            <w:vAlign w:val="bottom"/>
            <w:tcBorders>
              <w:bottom w:val="single" w:sz="8" w:color="E1D7AC"/>
            </w:tcBorders>
            <w:shd w:val="clear" w:color="auto" w:fill="E1D7AC"/>
          </w:tcPr>
          <w:p>
            <w:pPr>
              <w:spacing w:after="0"/>
              <w:rPr>
                <w:sz w:val="17"/>
                <w:szCs w:val="17"/>
                <w:color w:val="auto"/>
              </w:rPr>
            </w:pPr>
          </w:p>
        </w:tc>
        <w:tc>
          <w:tcPr>
            <w:tcW w:w="940" w:type="dxa"/>
            <w:vAlign w:val="bottom"/>
            <w:tcBorders>
              <w:bottom w:val="single" w:sz="8" w:color="E1D7AC"/>
            </w:tcBorders>
            <w:shd w:val="clear" w:color="auto" w:fill="E1D7AC"/>
          </w:tcPr>
          <w:p>
            <w:pPr>
              <w:spacing w:after="0"/>
              <w:rPr>
                <w:sz w:val="17"/>
                <w:szCs w:val="17"/>
                <w:color w:val="auto"/>
              </w:rPr>
            </w:pPr>
          </w:p>
        </w:tc>
        <w:tc>
          <w:tcPr>
            <w:tcW w:w="80" w:type="dxa"/>
            <w:vAlign w:val="bottom"/>
            <w:tcBorders>
              <w:bottom w:val="single" w:sz="8" w:color="E1D7AC"/>
            </w:tcBorders>
            <w:shd w:val="clear" w:color="auto" w:fill="E1D7AC"/>
          </w:tcPr>
          <w:p>
            <w:pPr>
              <w:spacing w:after="0"/>
              <w:rPr>
                <w:sz w:val="17"/>
                <w:szCs w:val="17"/>
                <w:color w:val="auto"/>
              </w:rPr>
            </w:pPr>
          </w:p>
        </w:tc>
        <w:tc>
          <w:tcPr>
            <w:tcW w:w="860" w:type="dxa"/>
            <w:vAlign w:val="bottom"/>
            <w:tcBorders>
              <w:bottom w:val="single" w:sz="8" w:color="E1D7AC"/>
            </w:tcBorders>
            <w:shd w:val="clear" w:color="auto" w:fill="E1D7AC"/>
          </w:tcPr>
          <w:p>
            <w:pPr>
              <w:spacing w:after="0"/>
              <w:rPr>
                <w:sz w:val="17"/>
                <w:szCs w:val="17"/>
                <w:color w:val="auto"/>
              </w:rPr>
            </w:pPr>
          </w:p>
        </w:tc>
        <w:tc>
          <w:tcPr>
            <w:tcW w:w="740" w:type="dxa"/>
            <w:vAlign w:val="bottom"/>
            <w:tcBorders>
              <w:bottom w:val="single" w:sz="8" w:color="E1D7AC"/>
            </w:tcBorders>
            <w:shd w:val="clear" w:color="auto" w:fill="E1D7AC"/>
          </w:tcPr>
          <w:p>
            <w:pPr>
              <w:spacing w:after="0"/>
              <w:rPr>
                <w:sz w:val="17"/>
                <w:szCs w:val="17"/>
                <w:color w:val="auto"/>
              </w:rPr>
            </w:pPr>
          </w:p>
        </w:tc>
        <w:tc>
          <w:tcPr>
            <w:tcW w:w="780" w:type="dxa"/>
            <w:vAlign w:val="bottom"/>
            <w:tcBorders>
              <w:bottom w:val="single" w:sz="8" w:color="E1D7AC"/>
            </w:tcBorders>
            <w:gridSpan w:val="2"/>
            <w:shd w:val="clear" w:color="auto" w:fill="E1D7AC"/>
          </w:tcPr>
          <w:p>
            <w:pPr>
              <w:ind w:left="20"/>
              <w:spacing w:after="0"/>
              <w:rPr>
                <w:sz w:val="20"/>
                <w:szCs w:val="20"/>
                <w:color w:val="auto"/>
              </w:rPr>
            </w:pPr>
            <w:r>
              <w:rPr>
                <w:rFonts w:ascii="Arial" w:cs="Arial" w:eastAsia="Arial" w:hAnsi="Arial"/>
                <w:sz w:val="12"/>
                <w:szCs w:val="12"/>
                <w:b w:val="1"/>
                <w:bCs w:val="1"/>
                <w:color w:val="auto"/>
                <w:w w:val="93"/>
                <w:shd w:val="clear" w:color="auto" w:fill="E1D7AC"/>
              </w:rPr>
              <w:t>Stock Awards</w:t>
            </w:r>
          </w:p>
        </w:tc>
        <w:tc>
          <w:tcPr>
            <w:tcW w:w="520" w:type="dxa"/>
            <w:vAlign w:val="bottom"/>
            <w:tcBorders>
              <w:bottom w:val="single" w:sz="8" w:color="E1D7AC"/>
            </w:tcBorders>
            <w:shd w:val="clear" w:color="auto" w:fill="E1D7AC"/>
          </w:tcPr>
          <w:p>
            <w:pPr>
              <w:spacing w:after="0"/>
              <w:rPr>
                <w:sz w:val="17"/>
                <w:szCs w:val="17"/>
                <w:color w:val="auto"/>
              </w:rPr>
            </w:pPr>
          </w:p>
        </w:tc>
        <w:tc>
          <w:tcPr>
            <w:tcW w:w="1080" w:type="dxa"/>
            <w:vAlign w:val="bottom"/>
            <w:tcBorders>
              <w:bottom w:val="single" w:sz="8" w:color="E1D7AC"/>
            </w:tcBorders>
            <w:shd w:val="clear" w:color="auto" w:fill="E1D7AC"/>
          </w:tcPr>
          <w:p>
            <w:pPr>
              <w:spacing w:after="0"/>
              <w:rPr>
                <w:sz w:val="17"/>
                <w:szCs w:val="17"/>
                <w:color w:val="auto"/>
              </w:rPr>
            </w:pPr>
          </w:p>
        </w:tc>
        <w:tc>
          <w:tcPr>
            <w:tcW w:w="80" w:type="dxa"/>
            <w:vAlign w:val="bottom"/>
            <w:tcBorders>
              <w:bottom w:val="single" w:sz="8" w:color="E1D7AC"/>
            </w:tcBorders>
            <w:shd w:val="clear" w:color="auto" w:fill="E1D7A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 w:type="dxa"/>
            <w:vAlign w:val="bottom"/>
            <w:tcBorders>
              <w:top w:val="single" w:sz="8" w:color="E1D7AC"/>
            </w:tcBorders>
            <w:shd w:val="clear" w:color="auto" w:fill="E1D7AC"/>
          </w:tcPr>
          <w:p>
            <w:pPr>
              <w:spacing w:after="0"/>
              <w:rPr>
                <w:sz w:val="14"/>
                <w:szCs w:val="14"/>
                <w:color w:val="auto"/>
              </w:rPr>
            </w:pPr>
          </w:p>
        </w:tc>
        <w:tc>
          <w:tcPr>
            <w:tcW w:w="880" w:type="dxa"/>
            <w:vAlign w:val="bottom"/>
            <w:tcBorders>
              <w:top w:val="single" w:sz="8" w:color="E1D7AC"/>
            </w:tcBorders>
            <w:shd w:val="clear" w:color="auto" w:fill="E1D7AC"/>
          </w:tcPr>
          <w:p>
            <w:pPr>
              <w:spacing w:after="0"/>
              <w:rPr>
                <w:sz w:val="14"/>
                <w:szCs w:val="14"/>
                <w:color w:val="auto"/>
              </w:rPr>
            </w:pPr>
          </w:p>
        </w:tc>
        <w:tc>
          <w:tcPr>
            <w:tcW w:w="1080" w:type="dxa"/>
            <w:vAlign w:val="bottom"/>
            <w:tcBorders>
              <w:top w:val="single" w:sz="8" w:color="E1D7AC"/>
            </w:tcBorders>
            <w:shd w:val="clear" w:color="auto" w:fill="E1D7AC"/>
          </w:tcPr>
          <w:p>
            <w:pPr>
              <w:spacing w:after="0"/>
              <w:rPr>
                <w:sz w:val="14"/>
                <w:szCs w:val="14"/>
                <w:color w:val="auto"/>
              </w:rPr>
            </w:pPr>
          </w:p>
        </w:tc>
        <w:tc>
          <w:tcPr>
            <w:tcW w:w="1060" w:type="dxa"/>
            <w:vAlign w:val="bottom"/>
            <w:tcBorders>
              <w:top w:val="single" w:sz="8" w:color="auto"/>
            </w:tcBorders>
            <w:shd w:val="clear" w:color="auto" w:fill="E1D7AC"/>
          </w:tcPr>
          <w:p>
            <w:pPr>
              <w:spacing w:after="0"/>
              <w:rPr>
                <w:sz w:val="14"/>
                <w:szCs w:val="14"/>
                <w:color w:val="auto"/>
              </w:rPr>
            </w:pPr>
          </w:p>
        </w:tc>
        <w:tc>
          <w:tcPr>
            <w:tcW w:w="1060" w:type="dxa"/>
            <w:vAlign w:val="bottom"/>
            <w:tcBorders>
              <w:top w:val="single" w:sz="8" w:color="auto"/>
            </w:tcBorders>
            <w:shd w:val="clear" w:color="auto" w:fill="E1D7AC"/>
          </w:tcPr>
          <w:p>
            <w:pPr>
              <w:spacing w:after="0"/>
              <w:rPr>
                <w:sz w:val="14"/>
                <w:szCs w:val="14"/>
                <w:color w:val="auto"/>
              </w:rPr>
            </w:pPr>
          </w:p>
        </w:tc>
        <w:tc>
          <w:tcPr>
            <w:tcW w:w="120" w:type="dxa"/>
            <w:vAlign w:val="bottom"/>
            <w:tcBorders>
              <w:top w:val="single" w:sz="8" w:color="auto"/>
            </w:tcBorders>
            <w:shd w:val="clear" w:color="auto" w:fill="E1D7AC"/>
          </w:tcPr>
          <w:p>
            <w:pPr>
              <w:spacing w:after="0"/>
              <w:rPr>
                <w:sz w:val="14"/>
                <w:szCs w:val="14"/>
                <w:color w:val="auto"/>
              </w:rPr>
            </w:pPr>
          </w:p>
        </w:tc>
        <w:tc>
          <w:tcPr>
            <w:tcW w:w="108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800" w:type="dxa"/>
            <w:vAlign w:val="bottom"/>
            <w:tcBorders>
              <w:top w:val="single" w:sz="8" w:color="auto"/>
            </w:tcBorders>
            <w:shd w:val="clear" w:color="auto" w:fill="E1D7AC"/>
          </w:tcPr>
          <w:p>
            <w:pPr>
              <w:spacing w:after="0"/>
              <w:rPr>
                <w:sz w:val="14"/>
                <w:szCs w:val="14"/>
                <w:color w:val="auto"/>
              </w:rPr>
            </w:pPr>
          </w:p>
        </w:tc>
        <w:tc>
          <w:tcPr>
            <w:tcW w:w="940" w:type="dxa"/>
            <w:vAlign w:val="bottom"/>
            <w:tcBorders>
              <w:top w:val="single" w:sz="8" w:color="auto"/>
            </w:tcBorders>
            <w:shd w:val="clear" w:color="auto" w:fill="E1D7AC"/>
          </w:tcPr>
          <w:p>
            <w:pPr>
              <w:spacing w:after="0"/>
              <w:rPr>
                <w:sz w:val="14"/>
                <w:szCs w:val="14"/>
                <w:color w:val="auto"/>
              </w:rPr>
            </w:pPr>
          </w:p>
        </w:tc>
        <w:tc>
          <w:tcPr>
            <w:tcW w:w="80" w:type="dxa"/>
            <w:vAlign w:val="bottom"/>
            <w:tcBorders>
              <w:top w:val="single" w:sz="8" w:color="E1D7AC"/>
            </w:tcBorders>
            <w:shd w:val="clear" w:color="auto" w:fill="E1D7AC"/>
          </w:tcPr>
          <w:p>
            <w:pPr>
              <w:spacing w:after="0"/>
              <w:rPr>
                <w:sz w:val="14"/>
                <w:szCs w:val="14"/>
                <w:color w:val="auto"/>
              </w:rPr>
            </w:pPr>
          </w:p>
        </w:tc>
        <w:tc>
          <w:tcPr>
            <w:tcW w:w="860" w:type="dxa"/>
            <w:vAlign w:val="bottom"/>
            <w:tcBorders>
              <w:top w:val="single" w:sz="8" w:color="auto"/>
            </w:tcBorders>
            <w:shd w:val="clear" w:color="auto" w:fill="E1D7AC"/>
          </w:tcPr>
          <w:p>
            <w:pPr>
              <w:spacing w:after="0"/>
              <w:rPr>
                <w:sz w:val="14"/>
                <w:szCs w:val="14"/>
                <w:color w:val="auto"/>
              </w:rPr>
            </w:pPr>
          </w:p>
        </w:tc>
        <w:tc>
          <w:tcPr>
            <w:tcW w:w="740" w:type="dxa"/>
            <w:vAlign w:val="bottom"/>
            <w:tcBorders>
              <w:top w:val="single" w:sz="8" w:color="auto"/>
            </w:tcBorders>
            <w:shd w:val="clear" w:color="auto" w:fill="E1D7AC"/>
          </w:tcPr>
          <w:p>
            <w:pPr>
              <w:spacing w:after="0"/>
              <w:rPr>
                <w:sz w:val="14"/>
                <w:szCs w:val="14"/>
                <w:color w:val="auto"/>
              </w:rPr>
            </w:pPr>
          </w:p>
        </w:tc>
        <w:tc>
          <w:tcPr>
            <w:tcW w:w="200" w:type="dxa"/>
            <w:vAlign w:val="bottom"/>
            <w:tcBorders>
              <w:top w:val="single" w:sz="8" w:color="auto"/>
            </w:tcBorders>
            <w:shd w:val="clear" w:color="auto" w:fill="E1D7AC"/>
          </w:tcPr>
          <w:p>
            <w:pPr>
              <w:spacing w:after="0"/>
              <w:rPr>
                <w:sz w:val="14"/>
                <w:szCs w:val="14"/>
                <w:color w:val="auto"/>
              </w:rPr>
            </w:pPr>
          </w:p>
        </w:tc>
        <w:tc>
          <w:tcPr>
            <w:tcW w:w="1100" w:type="dxa"/>
            <w:vAlign w:val="bottom"/>
            <w:tcBorders>
              <w:top w:val="single" w:sz="8" w:color="auto"/>
            </w:tcBorders>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Equity Incentive</w:t>
            </w:r>
          </w:p>
        </w:tc>
        <w:tc>
          <w:tcPr>
            <w:tcW w:w="108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80" w:type="dxa"/>
            <w:vAlign w:val="bottom"/>
            <w:tcBorders>
              <w:top w:val="single" w:sz="8" w:color="E1D7AC"/>
            </w:tcBorders>
            <w:shd w:val="clear" w:color="auto" w:fill="E1D7A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Plan Awards:</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spacing w:after="0"/>
              <w:rPr>
                <w:sz w:val="12"/>
                <w:szCs w:val="12"/>
                <w:color w:val="auto"/>
              </w:rPr>
            </w:pPr>
          </w:p>
        </w:tc>
        <w:tc>
          <w:tcPr>
            <w:tcW w:w="740" w:type="dxa"/>
            <w:vAlign w:val="bottom"/>
            <w:shd w:val="clear" w:color="auto" w:fill="E1D7AC"/>
          </w:tcPr>
          <w:p>
            <w:pPr>
              <w:spacing w:after="0"/>
              <w:rPr>
                <w:sz w:val="12"/>
                <w:szCs w:val="12"/>
                <w:color w:val="auto"/>
              </w:rPr>
            </w:pPr>
          </w:p>
        </w:tc>
        <w:tc>
          <w:tcPr>
            <w:tcW w:w="200" w:type="dxa"/>
            <w:vAlign w:val="bottom"/>
            <w:shd w:val="clear" w:color="auto" w:fill="E1D7AC"/>
          </w:tcPr>
          <w:p>
            <w:pPr>
              <w:spacing w:after="0"/>
              <w:rPr>
                <w:sz w:val="12"/>
                <w:szCs w:val="12"/>
                <w:color w:val="auto"/>
              </w:rPr>
            </w:pP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Plan Awards:</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Plan Awards:</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w:t>
            </w:r>
          </w:p>
        </w:tc>
        <w:tc>
          <w:tcPr>
            <w:tcW w:w="740" w:type="dxa"/>
            <w:vAlign w:val="bottom"/>
            <w:shd w:val="clear" w:color="auto" w:fill="E1D7AC"/>
          </w:tcPr>
          <w:p>
            <w:pPr>
              <w:spacing w:after="0"/>
              <w:rPr>
                <w:sz w:val="12"/>
                <w:szCs w:val="12"/>
                <w:color w:val="auto"/>
              </w:rPr>
            </w:pPr>
          </w:p>
        </w:tc>
        <w:tc>
          <w:tcPr>
            <w:tcW w:w="200" w:type="dxa"/>
            <w:vAlign w:val="bottom"/>
            <w:shd w:val="clear" w:color="auto" w:fill="E1D7AC"/>
          </w:tcPr>
          <w:p>
            <w:pPr>
              <w:spacing w:after="0"/>
              <w:rPr>
                <w:sz w:val="12"/>
                <w:szCs w:val="12"/>
                <w:color w:val="auto"/>
              </w:rPr>
            </w:pP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Number of</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Market or Payout</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of Shares of</w:t>
            </w:r>
          </w:p>
        </w:tc>
        <w:tc>
          <w:tcPr>
            <w:tcW w:w="94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Market Value of</w:t>
            </w: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Unearned</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w w:val="98"/>
              </w:rPr>
              <w:t>Value of Unearned</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w:t>
            </w: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Stock that</w:t>
            </w:r>
          </w:p>
        </w:tc>
        <w:tc>
          <w:tcPr>
            <w:tcW w:w="94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w w:val="99"/>
              </w:rPr>
              <w:t>Shares of Stock</w:t>
            </w: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Shares, or Other</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Shares, or Other</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Options</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Options</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Exercise</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w:t>
            </w: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Have Not</w:t>
            </w:r>
          </w:p>
        </w:tc>
        <w:tc>
          <w:tcPr>
            <w:tcW w:w="94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That Have Not</w:t>
            </w: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Rights That Have</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Rights That Have</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Exercisable</w:t>
            </w:r>
          </w:p>
        </w:tc>
        <w:tc>
          <w:tcPr>
            <w:tcW w:w="2260" w:type="dxa"/>
            <w:vAlign w:val="bottom"/>
            <w:gridSpan w:val="4"/>
            <w:shd w:val="clear" w:color="auto" w:fill="E1D7AC"/>
          </w:tcPr>
          <w:p>
            <w:pPr>
              <w:jc w:val="right"/>
              <w:spacing w:after="0"/>
              <w:rPr>
                <w:sz w:val="20"/>
                <w:szCs w:val="20"/>
                <w:color w:val="auto"/>
              </w:rPr>
            </w:pPr>
            <w:r>
              <w:rPr>
                <w:rFonts w:ascii="Arial" w:cs="Arial" w:eastAsia="Arial" w:hAnsi="Arial"/>
                <w:sz w:val="12"/>
                <w:szCs w:val="12"/>
                <w:b w:val="1"/>
                <w:bCs w:val="1"/>
                <w:color w:val="auto"/>
              </w:rPr>
              <w:t>Unexercisable Unearned Options</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Price</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Expiration</w:t>
            </w: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94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Not Vested</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Not Vested</w:t>
            </w:r>
          </w:p>
        </w:tc>
        <w:tc>
          <w:tcPr>
            <w:tcW w:w="0" w:type="dxa"/>
            <w:vAlign w:val="bottom"/>
          </w:tcPr>
          <w:p>
            <w:pPr>
              <w:spacing w:after="0"/>
              <w:rPr>
                <w:sz w:val="1"/>
                <w:szCs w:val="1"/>
                <w:color w:val="auto"/>
              </w:rPr>
            </w:pPr>
          </w:p>
        </w:tc>
      </w:tr>
      <w:tr>
        <w:trPr>
          <w:trHeight w:val="154"/>
        </w:trPr>
        <w:tc>
          <w:tcPr>
            <w:tcW w:w="80" w:type="dxa"/>
            <w:vAlign w:val="bottom"/>
            <w:shd w:val="clear" w:color="auto" w:fill="E1D7AC"/>
          </w:tcPr>
          <w:p>
            <w:pPr>
              <w:spacing w:after="0"/>
              <w:rPr>
                <w:sz w:val="13"/>
                <w:szCs w:val="13"/>
                <w:color w:val="auto"/>
              </w:rPr>
            </w:pPr>
          </w:p>
        </w:tc>
        <w:tc>
          <w:tcPr>
            <w:tcW w:w="880" w:type="dxa"/>
            <w:vAlign w:val="bottom"/>
            <w:shd w:val="clear" w:color="auto" w:fill="E1D7AC"/>
          </w:tcPr>
          <w:p>
            <w:pPr>
              <w:ind w:left="20"/>
              <w:spacing w:after="0"/>
              <w:rPr>
                <w:sz w:val="20"/>
                <w:szCs w:val="20"/>
                <w:color w:val="auto"/>
              </w:rPr>
            </w:pPr>
            <w:r>
              <w:rPr>
                <w:rFonts w:ascii="Arial" w:cs="Arial" w:eastAsia="Arial" w:hAnsi="Arial"/>
                <w:sz w:val="12"/>
                <w:szCs w:val="12"/>
                <w:b w:val="1"/>
                <w:bCs w:val="1"/>
                <w:color w:val="auto"/>
                <w:shd w:val="clear" w:color="auto" w:fill="E1D7AC"/>
              </w:rPr>
              <w:t>Name</w:t>
            </w:r>
          </w:p>
        </w:tc>
        <w:tc>
          <w:tcPr>
            <w:tcW w:w="1080" w:type="dxa"/>
            <w:vAlign w:val="bottom"/>
            <w:shd w:val="clear" w:color="auto" w:fill="E1D7AC"/>
          </w:tcPr>
          <w:p>
            <w:pPr>
              <w:ind w:left="240"/>
              <w:spacing w:after="0"/>
              <w:rPr>
                <w:sz w:val="20"/>
                <w:szCs w:val="20"/>
                <w:color w:val="auto"/>
              </w:rPr>
            </w:pPr>
            <w:r>
              <w:rPr>
                <w:rFonts w:ascii="Arial" w:cs="Arial" w:eastAsia="Arial" w:hAnsi="Arial"/>
                <w:sz w:val="12"/>
                <w:szCs w:val="12"/>
                <w:b w:val="1"/>
                <w:bCs w:val="1"/>
                <w:color w:val="auto"/>
              </w:rPr>
              <w:t>Grant Date</w:t>
            </w:r>
          </w:p>
        </w:tc>
        <w:tc>
          <w:tcPr>
            <w:tcW w:w="106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(1)</w:t>
            </w:r>
          </w:p>
        </w:tc>
        <w:tc>
          <w:tcPr>
            <w:tcW w:w="1180" w:type="dxa"/>
            <w:vAlign w:val="bottom"/>
            <w:gridSpan w:val="2"/>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(2)</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5"/>
                <w:szCs w:val="15"/>
                <w:b w:val="1"/>
                <w:bCs w:val="1"/>
                <w:color w:val="auto"/>
                <w:vertAlign w:val="superscript"/>
              </w:rPr>
              <w:t>(3)</w:t>
            </w:r>
          </w:p>
        </w:tc>
        <w:tc>
          <w:tcPr>
            <w:tcW w:w="940" w:type="dxa"/>
            <w:vAlign w:val="bottom"/>
            <w:gridSpan w:val="2"/>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(4)</w:t>
            </w:r>
          </w:p>
        </w:tc>
        <w:tc>
          <w:tcPr>
            <w:tcW w:w="940" w:type="dxa"/>
            <w:vAlign w:val="bottom"/>
            <w:gridSpan w:val="2"/>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(5)</w:t>
            </w:r>
          </w:p>
        </w:tc>
        <w:tc>
          <w:tcPr>
            <w:tcW w:w="1100" w:type="dxa"/>
            <w:vAlign w:val="bottom"/>
            <w:gridSpan w:val="2"/>
            <w:shd w:val="clear" w:color="auto" w:fill="E1D7AC"/>
          </w:tcPr>
          <w:p>
            <w:pPr>
              <w:jc w:val="right"/>
              <w:ind w:right="2"/>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(6)</w:t>
            </w:r>
          </w:p>
        </w:tc>
        <w:tc>
          <w:tcPr>
            <w:tcW w:w="108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(5)</w:t>
            </w:r>
          </w:p>
        </w:tc>
        <w:tc>
          <w:tcPr>
            <w:tcW w:w="80" w:type="dxa"/>
            <w:vAlign w:val="bottom"/>
            <w:shd w:val="clear" w:color="auto" w:fill="E1D7AC"/>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 w:type="dxa"/>
            <w:vAlign w:val="bottom"/>
            <w:shd w:val="clear" w:color="auto" w:fill="E1D7AC"/>
          </w:tcPr>
          <w:p>
            <w:pPr>
              <w:spacing w:after="0"/>
              <w:rPr>
                <w:sz w:val="7"/>
                <w:szCs w:val="7"/>
                <w:color w:val="auto"/>
              </w:rPr>
            </w:pPr>
          </w:p>
        </w:tc>
        <w:tc>
          <w:tcPr>
            <w:tcW w:w="880" w:type="dxa"/>
            <w:vAlign w:val="bottom"/>
            <w:shd w:val="clear" w:color="auto" w:fill="E1D7AC"/>
          </w:tcPr>
          <w:p>
            <w:pPr>
              <w:spacing w:after="0"/>
              <w:rPr>
                <w:sz w:val="7"/>
                <w:szCs w:val="7"/>
                <w:color w:val="auto"/>
              </w:rPr>
            </w:pPr>
          </w:p>
        </w:tc>
        <w:tc>
          <w:tcPr>
            <w:tcW w:w="1080" w:type="dxa"/>
            <w:vAlign w:val="bottom"/>
            <w:shd w:val="clear" w:color="auto" w:fill="E1D7AC"/>
          </w:tcPr>
          <w:p>
            <w:pPr>
              <w:spacing w:after="0"/>
              <w:rPr>
                <w:sz w:val="7"/>
                <w:szCs w:val="7"/>
                <w:color w:val="auto"/>
              </w:rPr>
            </w:pPr>
          </w:p>
        </w:tc>
        <w:tc>
          <w:tcPr>
            <w:tcW w:w="1060" w:type="dxa"/>
            <w:vAlign w:val="bottom"/>
            <w:shd w:val="clear" w:color="auto" w:fill="E1D7AC"/>
          </w:tcPr>
          <w:p>
            <w:pPr>
              <w:spacing w:after="0"/>
              <w:rPr>
                <w:sz w:val="7"/>
                <w:szCs w:val="7"/>
                <w:color w:val="auto"/>
              </w:rPr>
            </w:pPr>
          </w:p>
        </w:tc>
        <w:tc>
          <w:tcPr>
            <w:tcW w:w="1060" w:type="dxa"/>
            <w:vAlign w:val="bottom"/>
            <w:shd w:val="clear" w:color="auto" w:fill="E1D7AC"/>
          </w:tcPr>
          <w:p>
            <w:pPr>
              <w:spacing w:after="0"/>
              <w:rPr>
                <w:sz w:val="7"/>
                <w:szCs w:val="7"/>
                <w:color w:val="auto"/>
              </w:rPr>
            </w:pPr>
          </w:p>
        </w:tc>
        <w:tc>
          <w:tcPr>
            <w:tcW w:w="120" w:type="dxa"/>
            <w:vAlign w:val="bottom"/>
            <w:shd w:val="clear" w:color="auto" w:fill="E1D7AC"/>
          </w:tcPr>
          <w:p>
            <w:pPr>
              <w:spacing w:after="0"/>
              <w:rPr>
                <w:sz w:val="7"/>
                <w:szCs w:val="7"/>
                <w:color w:val="auto"/>
              </w:rPr>
            </w:pPr>
          </w:p>
        </w:tc>
        <w:tc>
          <w:tcPr>
            <w:tcW w:w="700" w:type="dxa"/>
            <w:vAlign w:val="bottom"/>
            <w:shd w:val="clear" w:color="auto" w:fill="E1D7AC"/>
          </w:tcPr>
          <w:p>
            <w:pPr>
              <w:spacing w:after="0"/>
              <w:rPr>
                <w:sz w:val="7"/>
                <w:szCs w:val="7"/>
                <w:color w:val="auto"/>
              </w:rPr>
            </w:pPr>
          </w:p>
        </w:tc>
        <w:tc>
          <w:tcPr>
            <w:tcW w:w="380" w:type="dxa"/>
            <w:vAlign w:val="bottom"/>
            <w:shd w:val="clear" w:color="auto" w:fill="E1D7AC"/>
          </w:tcPr>
          <w:p>
            <w:pPr>
              <w:spacing w:after="0"/>
              <w:rPr>
                <w:sz w:val="7"/>
                <w:szCs w:val="7"/>
                <w:color w:val="auto"/>
              </w:rPr>
            </w:pPr>
          </w:p>
        </w:tc>
        <w:tc>
          <w:tcPr>
            <w:tcW w:w="800" w:type="dxa"/>
            <w:vAlign w:val="bottom"/>
            <w:shd w:val="clear" w:color="auto" w:fill="E1D7AC"/>
          </w:tcPr>
          <w:p>
            <w:pPr>
              <w:spacing w:after="0"/>
              <w:rPr>
                <w:sz w:val="7"/>
                <w:szCs w:val="7"/>
                <w:color w:val="auto"/>
              </w:rPr>
            </w:pPr>
          </w:p>
        </w:tc>
        <w:tc>
          <w:tcPr>
            <w:tcW w:w="94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860" w:type="dxa"/>
            <w:vAlign w:val="bottom"/>
            <w:shd w:val="clear" w:color="auto" w:fill="E1D7AC"/>
          </w:tcPr>
          <w:p>
            <w:pPr>
              <w:spacing w:after="0"/>
              <w:rPr>
                <w:sz w:val="7"/>
                <w:szCs w:val="7"/>
                <w:color w:val="auto"/>
              </w:rPr>
            </w:pPr>
          </w:p>
        </w:tc>
        <w:tc>
          <w:tcPr>
            <w:tcW w:w="740" w:type="dxa"/>
            <w:vAlign w:val="bottom"/>
            <w:shd w:val="clear" w:color="auto" w:fill="E1D7AC"/>
          </w:tcPr>
          <w:p>
            <w:pPr>
              <w:spacing w:after="0"/>
              <w:rPr>
                <w:sz w:val="7"/>
                <w:szCs w:val="7"/>
                <w:color w:val="auto"/>
              </w:rPr>
            </w:pPr>
          </w:p>
        </w:tc>
        <w:tc>
          <w:tcPr>
            <w:tcW w:w="200" w:type="dxa"/>
            <w:vAlign w:val="bottom"/>
            <w:shd w:val="clear" w:color="auto" w:fill="E1D7AC"/>
          </w:tcPr>
          <w:p>
            <w:pPr>
              <w:spacing w:after="0"/>
              <w:rPr>
                <w:sz w:val="7"/>
                <w:szCs w:val="7"/>
                <w:color w:val="auto"/>
              </w:rPr>
            </w:pPr>
          </w:p>
        </w:tc>
        <w:tc>
          <w:tcPr>
            <w:tcW w:w="580" w:type="dxa"/>
            <w:vAlign w:val="bottom"/>
            <w:shd w:val="clear" w:color="auto" w:fill="E1D7AC"/>
          </w:tcPr>
          <w:p>
            <w:pPr>
              <w:spacing w:after="0"/>
              <w:rPr>
                <w:sz w:val="7"/>
                <w:szCs w:val="7"/>
                <w:color w:val="auto"/>
              </w:rPr>
            </w:pPr>
          </w:p>
        </w:tc>
        <w:tc>
          <w:tcPr>
            <w:tcW w:w="520" w:type="dxa"/>
            <w:vAlign w:val="bottom"/>
            <w:shd w:val="clear" w:color="auto" w:fill="E1D7AC"/>
          </w:tcPr>
          <w:p>
            <w:pPr>
              <w:spacing w:after="0"/>
              <w:rPr>
                <w:sz w:val="7"/>
                <w:szCs w:val="7"/>
                <w:color w:val="auto"/>
              </w:rPr>
            </w:pPr>
          </w:p>
        </w:tc>
        <w:tc>
          <w:tcPr>
            <w:tcW w:w="108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1"/>
              </w:rPr>
              <w:t>3/31/2021</w:t>
            </w:r>
            <w:r>
              <w:rPr>
                <w:rFonts w:ascii="Arial" w:cs="Arial" w:eastAsia="Arial" w:hAnsi="Arial"/>
                <w:sz w:val="15"/>
                <w:szCs w:val="15"/>
                <w:color w:val="auto"/>
                <w:w w:val="91"/>
                <w:vertAlign w:val="superscript"/>
              </w:rPr>
              <w:t>(7)</w:t>
            </w:r>
          </w:p>
        </w:tc>
        <w:tc>
          <w:tcPr>
            <w:tcW w:w="1060" w:type="dxa"/>
            <w:vAlign w:val="bottom"/>
          </w:tcPr>
          <w:p>
            <w:pPr>
              <w:jc w:val="right"/>
              <w:spacing w:after="0"/>
              <w:rPr>
                <w:sz w:val="20"/>
                <w:szCs w:val="20"/>
                <w:color w:val="auto"/>
              </w:rPr>
            </w:pPr>
            <w:r>
              <w:rPr>
                <w:rFonts w:ascii="Arial" w:cs="Arial" w:eastAsia="Arial" w:hAnsi="Arial"/>
                <w:sz w:val="12"/>
                <w:szCs w:val="12"/>
                <w:color w:val="auto"/>
              </w:rPr>
              <w:t>12,790</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12,790</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26.99</w:t>
            </w:r>
          </w:p>
        </w:tc>
        <w:tc>
          <w:tcPr>
            <w:tcW w:w="940" w:type="dxa"/>
            <w:vAlign w:val="bottom"/>
          </w:tcPr>
          <w:p>
            <w:pPr>
              <w:jc w:val="right"/>
              <w:spacing w:after="0"/>
              <w:rPr>
                <w:sz w:val="20"/>
                <w:szCs w:val="20"/>
                <w:color w:val="auto"/>
              </w:rPr>
            </w:pPr>
            <w:r>
              <w:rPr>
                <w:rFonts w:ascii="Arial" w:cs="Arial" w:eastAsia="Arial" w:hAnsi="Arial"/>
                <w:sz w:val="12"/>
                <w:szCs w:val="12"/>
                <w:color w:val="auto"/>
              </w:rPr>
              <w:t>3/31/2031</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(8)</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1,991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104,149</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(9)</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2"/>
                <w:szCs w:val="12"/>
                <w:color w:val="auto"/>
              </w:rPr>
              <w:t>540</w:t>
            </w:r>
          </w:p>
        </w:tc>
        <w:tc>
          <w:tcPr>
            <w:tcW w:w="1080" w:type="dxa"/>
            <w:vAlign w:val="bottom"/>
          </w:tcPr>
          <w:p>
            <w:pPr>
              <w:jc w:val="right"/>
              <w:spacing w:after="0"/>
              <w:rPr>
                <w:sz w:val="20"/>
                <w:szCs w:val="20"/>
                <w:color w:val="auto"/>
              </w:rPr>
            </w:pPr>
            <w:r>
              <w:rPr>
                <w:rFonts w:ascii="Arial" w:cs="Arial" w:eastAsia="Arial" w:hAnsi="Arial"/>
                <w:sz w:val="12"/>
                <w:szCs w:val="12"/>
                <w:color w:val="auto"/>
              </w:rPr>
              <w:t>28,247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(7)</w:t>
            </w:r>
          </w:p>
        </w:tc>
        <w:tc>
          <w:tcPr>
            <w:tcW w:w="1060" w:type="dxa"/>
            <w:vAlign w:val="bottom"/>
          </w:tcPr>
          <w:p>
            <w:pPr>
              <w:jc w:val="right"/>
              <w:spacing w:after="0"/>
              <w:rPr>
                <w:sz w:val="20"/>
                <w:szCs w:val="20"/>
                <w:color w:val="auto"/>
              </w:rPr>
            </w:pPr>
            <w:r>
              <w:rPr>
                <w:rFonts w:ascii="Arial" w:cs="Arial" w:eastAsia="Arial" w:hAnsi="Arial"/>
                <w:sz w:val="12"/>
                <w:szCs w:val="12"/>
                <w:color w:val="auto"/>
              </w:rPr>
              <w:t>20,347</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20,348</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39.17</w:t>
            </w:r>
          </w:p>
        </w:tc>
        <w:tc>
          <w:tcPr>
            <w:tcW w:w="940" w:type="dxa"/>
            <w:vAlign w:val="bottom"/>
          </w:tcPr>
          <w:p>
            <w:pPr>
              <w:jc w:val="right"/>
              <w:spacing w:after="0"/>
              <w:rPr>
                <w:sz w:val="20"/>
                <w:szCs w:val="20"/>
                <w:color w:val="auto"/>
              </w:rPr>
            </w:pPr>
            <w:r>
              <w:rPr>
                <w:rFonts w:ascii="Arial" w:cs="Arial" w:eastAsia="Arial" w:hAnsi="Arial"/>
                <w:sz w:val="12"/>
                <w:szCs w:val="12"/>
                <w:color w:val="auto"/>
              </w:rPr>
              <w:t>3/30/2032</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(10)</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2"/>
                <w:szCs w:val="12"/>
                <w:color w:val="auto"/>
              </w:rPr>
              <w:t>11,597</w:t>
            </w:r>
          </w:p>
        </w:tc>
        <w:tc>
          <w:tcPr>
            <w:tcW w:w="1080" w:type="dxa"/>
            <w:vAlign w:val="bottom"/>
          </w:tcPr>
          <w:p>
            <w:pPr>
              <w:jc w:val="right"/>
              <w:spacing w:after="0"/>
              <w:rPr>
                <w:sz w:val="20"/>
                <w:szCs w:val="20"/>
                <w:color w:val="auto"/>
              </w:rPr>
            </w:pPr>
            <w:r>
              <w:rPr>
                <w:rFonts w:ascii="Arial" w:cs="Arial" w:eastAsia="Arial" w:hAnsi="Arial"/>
                <w:sz w:val="12"/>
                <w:szCs w:val="12"/>
                <w:color w:val="auto"/>
              </w:rPr>
              <w:t>606,639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(11)</w:t>
            </w:r>
          </w:p>
        </w:tc>
        <w:tc>
          <w:tcPr>
            <w:tcW w:w="1060" w:type="dxa"/>
            <w:vAlign w:val="bottom"/>
          </w:tcPr>
          <w:p>
            <w:pPr>
              <w:jc w:val="right"/>
              <w:spacing w:after="0"/>
              <w:rPr>
                <w:sz w:val="20"/>
                <w:szCs w:val="20"/>
                <w:color w:val="auto"/>
              </w:rPr>
            </w:pPr>
            <w:r>
              <w:rPr>
                <w:rFonts w:ascii="Arial" w:cs="Arial" w:eastAsia="Arial" w:hAnsi="Arial"/>
                <w:sz w:val="12"/>
                <w:szCs w:val="12"/>
                <w:color w:val="auto"/>
              </w:rPr>
              <w:t>4,176</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8,353</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64.67</w:t>
            </w:r>
          </w:p>
        </w:tc>
        <w:tc>
          <w:tcPr>
            <w:tcW w:w="940" w:type="dxa"/>
            <w:vAlign w:val="bottom"/>
          </w:tcPr>
          <w:p>
            <w:pPr>
              <w:jc w:val="right"/>
              <w:spacing w:after="0"/>
              <w:rPr>
                <w:sz w:val="20"/>
                <w:szCs w:val="20"/>
                <w:color w:val="auto"/>
              </w:rPr>
            </w:pPr>
            <w:r>
              <w:rPr>
                <w:rFonts w:ascii="Arial" w:cs="Arial" w:eastAsia="Arial" w:hAnsi="Arial"/>
                <w:sz w:val="12"/>
                <w:szCs w:val="12"/>
                <w:color w:val="auto"/>
              </w:rPr>
              <w:t>3/21/2033</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(12)</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3,866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202,230</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Sam Johnson</w:t>
            </w: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(10)</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2"/>
                <w:szCs w:val="12"/>
                <w:color w:val="auto"/>
              </w:rPr>
              <w:t>4,958</w:t>
            </w:r>
          </w:p>
        </w:tc>
        <w:tc>
          <w:tcPr>
            <w:tcW w:w="1080" w:type="dxa"/>
            <w:vAlign w:val="bottom"/>
          </w:tcPr>
          <w:p>
            <w:pPr>
              <w:jc w:val="right"/>
              <w:spacing w:after="0"/>
              <w:rPr>
                <w:sz w:val="20"/>
                <w:szCs w:val="20"/>
                <w:color w:val="auto"/>
              </w:rPr>
            </w:pPr>
            <w:r>
              <w:rPr>
                <w:rFonts w:ascii="Arial" w:cs="Arial" w:eastAsia="Arial" w:hAnsi="Arial"/>
                <w:sz w:val="12"/>
                <w:szCs w:val="12"/>
                <w:color w:val="auto"/>
              </w:rPr>
              <w:t>259,353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(11)</w:t>
            </w:r>
          </w:p>
        </w:tc>
        <w:tc>
          <w:tcPr>
            <w:tcW w:w="1060" w:type="dxa"/>
            <w:vAlign w:val="bottom"/>
          </w:tcPr>
          <w:p>
            <w:pPr>
              <w:jc w:val="right"/>
              <w:spacing w:after="0"/>
              <w:rPr>
                <w:sz w:val="20"/>
                <w:szCs w:val="20"/>
                <w:color w:val="auto"/>
              </w:rPr>
            </w:pPr>
            <w:r>
              <w:rPr>
                <w:rFonts w:ascii="Arial" w:cs="Arial" w:eastAsia="Arial" w:hAnsi="Arial"/>
                <w:sz w:val="12"/>
                <w:szCs w:val="12"/>
                <w:color w:val="auto"/>
              </w:rPr>
              <w:t>1,672</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3,344</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50.42</w:t>
            </w:r>
          </w:p>
        </w:tc>
        <w:tc>
          <w:tcPr>
            <w:tcW w:w="940" w:type="dxa"/>
            <w:vAlign w:val="bottom"/>
          </w:tcPr>
          <w:p>
            <w:pPr>
              <w:jc w:val="right"/>
              <w:spacing w:after="0"/>
              <w:rPr>
                <w:sz w:val="20"/>
                <w:szCs w:val="20"/>
                <w:color w:val="auto"/>
              </w:rPr>
            </w:pPr>
            <w:r>
              <w:rPr>
                <w:rFonts w:ascii="Arial" w:cs="Arial" w:eastAsia="Arial" w:hAnsi="Arial"/>
                <w:sz w:val="12"/>
                <w:szCs w:val="12"/>
                <w:color w:val="auto"/>
              </w:rPr>
              <w:t>6/9/2033</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(12)</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1,653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86,468</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12/5/2023</w:t>
            </w:r>
            <w:r>
              <w:rPr>
                <w:rFonts w:ascii="Arial" w:cs="Arial" w:eastAsia="Arial" w:hAnsi="Arial"/>
                <w:sz w:val="15"/>
                <w:szCs w:val="15"/>
                <w:color w:val="auto"/>
                <w:w w:val="89"/>
                <w:vertAlign w:val="superscript"/>
              </w:rPr>
              <w:t>(10)</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2"/>
                <w:szCs w:val="12"/>
                <w:color w:val="auto"/>
              </w:rPr>
              <w:t>9,155</w:t>
            </w:r>
          </w:p>
        </w:tc>
        <w:tc>
          <w:tcPr>
            <w:tcW w:w="1080" w:type="dxa"/>
            <w:vAlign w:val="bottom"/>
          </w:tcPr>
          <w:p>
            <w:pPr>
              <w:jc w:val="right"/>
              <w:spacing w:after="0"/>
              <w:rPr>
                <w:sz w:val="20"/>
                <w:szCs w:val="20"/>
                <w:color w:val="auto"/>
              </w:rPr>
            </w:pPr>
            <w:r>
              <w:rPr>
                <w:rFonts w:ascii="Arial" w:cs="Arial" w:eastAsia="Arial" w:hAnsi="Arial"/>
                <w:sz w:val="12"/>
                <w:szCs w:val="12"/>
                <w:color w:val="auto"/>
              </w:rPr>
              <w:t>478,898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12/5/2023</w:t>
            </w:r>
            <w:r>
              <w:rPr>
                <w:rFonts w:ascii="Arial" w:cs="Arial" w:eastAsia="Arial" w:hAnsi="Arial"/>
                <w:sz w:val="15"/>
                <w:szCs w:val="15"/>
                <w:color w:val="auto"/>
                <w:w w:val="89"/>
                <w:vertAlign w:val="superscript"/>
              </w:rPr>
              <w:t>(11)</w:t>
            </w:r>
          </w:p>
        </w:tc>
        <w:tc>
          <w:tcPr>
            <w:tcW w:w="1060" w:type="dxa"/>
            <w:vAlign w:val="bottom"/>
          </w:tcPr>
          <w:p>
            <w:pPr>
              <w:jc w:val="right"/>
              <w:spacing w:after="0"/>
              <w:rPr>
                <w:sz w:val="20"/>
                <w:szCs w:val="20"/>
                <w:color w:val="auto"/>
              </w:rPr>
            </w:pPr>
            <w:r>
              <w:rPr>
                <w:rFonts w:ascii="Arial" w:cs="Arial" w:eastAsia="Arial" w:hAnsi="Arial"/>
                <w:sz w:val="12"/>
                <w:szCs w:val="12"/>
                <w:color w:val="auto"/>
              </w:rPr>
              <w:t>3,280</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6,562</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54.61</w:t>
            </w:r>
          </w:p>
        </w:tc>
        <w:tc>
          <w:tcPr>
            <w:tcW w:w="940" w:type="dxa"/>
            <w:vAlign w:val="bottom"/>
          </w:tcPr>
          <w:p>
            <w:pPr>
              <w:jc w:val="right"/>
              <w:spacing w:after="0"/>
              <w:rPr>
                <w:sz w:val="20"/>
                <w:szCs w:val="20"/>
                <w:color w:val="auto"/>
              </w:rPr>
            </w:pPr>
            <w:r>
              <w:rPr>
                <w:rFonts w:ascii="Arial" w:cs="Arial" w:eastAsia="Arial" w:hAnsi="Arial"/>
                <w:sz w:val="12"/>
                <w:szCs w:val="12"/>
                <w:color w:val="auto"/>
              </w:rPr>
              <w:t>12/5/2033</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12/5/2023</w:t>
            </w:r>
            <w:r>
              <w:rPr>
                <w:rFonts w:ascii="Arial" w:cs="Arial" w:eastAsia="Arial" w:hAnsi="Arial"/>
                <w:sz w:val="15"/>
                <w:szCs w:val="15"/>
                <w:color w:val="auto"/>
                <w:w w:val="89"/>
                <w:vertAlign w:val="superscript"/>
              </w:rPr>
              <w:t>(12)</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3,052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159,650</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(13)</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2"/>
                <w:szCs w:val="12"/>
                <w:color w:val="auto"/>
              </w:rPr>
              <w:t>22,907</w:t>
            </w:r>
          </w:p>
        </w:tc>
        <w:tc>
          <w:tcPr>
            <w:tcW w:w="1080" w:type="dxa"/>
            <w:vAlign w:val="bottom"/>
          </w:tcPr>
          <w:p>
            <w:pPr>
              <w:jc w:val="right"/>
              <w:spacing w:after="0"/>
              <w:rPr>
                <w:sz w:val="20"/>
                <w:szCs w:val="20"/>
                <w:color w:val="auto"/>
              </w:rPr>
            </w:pPr>
            <w:r>
              <w:rPr>
                <w:rFonts w:ascii="Arial" w:cs="Arial" w:eastAsia="Arial" w:hAnsi="Arial"/>
                <w:sz w:val="12"/>
                <w:szCs w:val="12"/>
                <w:color w:val="auto"/>
              </w:rPr>
              <w:t>1,198,265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(12)</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22,907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1,198,265</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3/31/2021</w:t>
            </w:r>
            <w:r>
              <w:rPr>
                <w:rFonts w:ascii="Arial" w:cs="Arial" w:eastAsia="Arial" w:hAnsi="Arial"/>
                <w:sz w:val="15"/>
                <w:szCs w:val="15"/>
                <w:color w:val="auto"/>
                <w:w w:val="91"/>
                <w:vertAlign w:val="superscript"/>
              </w:rPr>
              <w:t>(7)</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8,526</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2,842</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26.99</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3/31/2031</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(8)</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499</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26,103</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(9)</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DBDBDB"/>
          </w:tcPr>
          <w:p>
            <w:pPr>
              <w:jc w:val="right"/>
              <w:ind w:right="2"/>
              <w:spacing w:after="0"/>
              <w:rPr>
                <w:sz w:val="20"/>
                <w:szCs w:val="20"/>
                <w:color w:val="auto"/>
              </w:rPr>
            </w:pPr>
            <w:r>
              <w:rPr>
                <w:rFonts w:ascii="Arial" w:cs="Arial" w:eastAsia="Arial" w:hAnsi="Arial"/>
                <w:sz w:val="12"/>
                <w:szCs w:val="12"/>
                <w:color w:val="auto"/>
              </w:rPr>
              <w:t>135</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7,062</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(7)</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5,086</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5,087</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39.17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3/30/2032</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vMerge w:val="restart"/>
            <w:shd w:val="clear" w:color="auto" w:fill="DBDBDB"/>
          </w:tcPr>
          <w:p>
            <w:pPr>
              <w:ind w:left="20"/>
              <w:spacing w:after="0"/>
              <w:rPr>
                <w:sz w:val="20"/>
                <w:szCs w:val="20"/>
                <w:color w:val="auto"/>
              </w:rPr>
            </w:pPr>
            <w:r>
              <w:rPr>
                <w:rFonts w:ascii="Arial" w:cs="Arial" w:eastAsia="Arial" w:hAnsi="Arial"/>
                <w:sz w:val="12"/>
                <w:szCs w:val="12"/>
                <w:b w:val="1"/>
                <w:bCs w:val="1"/>
                <w:color w:val="auto"/>
              </w:rPr>
              <w:t>Carl Ford</w:t>
            </w: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2,577</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134,803</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9"/>
        </w:trPr>
        <w:tc>
          <w:tcPr>
            <w:tcW w:w="80" w:type="dxa"/>
            <w:vAlign w:val="bottom"/>
            <w:shd w:val="clear" w:color="auto" w:fill="DBDBDB"/>
          </w:tcPr>
          <w:p>
            <w:pPr>
              <w:spacing w:after="0"/>
              <w:rPr>
                <w:sz w:val="6"/>
                <w:szCs w:val="6"/>
                <w:color w:val="auto"/>
              </w:rPr>
            </w:pPr>
          </w:p>
        </w:tc>
        <w:tc>
          <w:tcPr>
            <w:tcW w:w="880" w:type="dxa"/>
            <w:vAlign w:val="bottom"/>
            <w:vMerge w:val="continue"/>
            <w:shd w:val="clear" w:color="auto" w:fill="DBDBDB"/>
          </w:tcPr>
          <w:p>
            <w:pPr>
              <w:spacing w:after="0"/>
              <w:rPr>
                <w:sz w:val="6"/>
                <w:szCs w:val="6"/>
                <w:color w:val="auto"/>
              </w:rPr>
            </w:pPr>
          </w:p>
        </w:tc>
        <w:tc>
          <w:tcPr>
            <w:tcW w:w="108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(10)</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6"/>
                <w:szCs w:val="6"/>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6"/>
                <w:szCs w:val="6"/>
                <w:color w:val="auto"/>
              </w:rPr>
            </w:pPr>
          </w:p>
        </w:tc>
        <w:tc>
          <w:tcPr>
            <w:tcW w:w="3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6"/>
                <w:szCs w:val="6"/>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6"/>
                <w:szCs w:val="6"/>
                <w:color w:val="auto"/>
              </w:rPr>
            </w:pPr>
          </w:p>
        </w:tc>
        <w:tc>
          <w:tcPr>
            <w:tcW w:w="20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vMerge w:val="restart"/>
            <w:shd w:val="clear" w:color="auto" w:fill="DBDBDB"/>
          </w:tcPr>
          <w:p>
            <w:pPr>
              <w:jc w:val="right"/>
              <w:ind w:right="2"/>
              <w:spacing w:after="0"/>
              <w:rPr>
                <w:sz w:val="20"/>
                <w:szCs w:val="20"/>
                <w:color w:val="auto"/>
              </w:rPr>
            </w:pPr>
            <w:r>
              <w:rPr>
                <w:rFonts w:ascii="Arial" w:cs="Arial" w:eastAsia="Arial" w:hAnsi="Arial"/>
                <w:sz w:val="12"/>
                <w:szCs w:val="12"/>
                <w:color w:val="auto"/>
              </w:rPr>
              <w:t>9,727</w:t>
            </w: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508,819</w:t>
            </w:r>
          </w:p>
        </w:tc>
        <w:tc>
          <w:tcPr>
            <w:tcW w:w="8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1080" w:type="dxa"/>
            <w:vAlign w:val="bottom"/>
            <w:vMerge w:val="continue"/>
            <w:shd w:val="clear" w:color="auto" w:fill="DBDBDB"/>
          </w:tcPr>
          <w:p>
            <w:pPr>
              <w:spacing w:after="0"/>
              <w:rPr>
                <w:sz w:val="14"/>
                <w:szCs w:val="14"/>
                <w:color w:val="auto"/>
              </w:rPr>
            </w:pPr>
          </w:p>
        </w:tc>
        <w:tc>
          <w:tcPr>
            <w:tcW w:w="1060" w:type="dxa"/>
            <w:vAlign w:val="bottom"/>
            <w:vMerge w:val="continue"/>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20" w:type="dxa"/>
            <w:vAlign w:val="bottom"/>
            <w:vMerge w:val="continue"/>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380" w:type="dxa"/>
            <w:vAlign w:val="bottom"/>
            <w:vMerge w:val="continue"/>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60" w:type="dxa"/>
            <w:vAlign w:val="bottom"/>
            <w:vMerge w:val="continue"/>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200" w:type="dxa"/>
            <w:vAlign w:val="bottom"/>
            <w:vMerge w:val="continue"/>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108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(11)</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3,279</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6,559</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51.40</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9/6/2033</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3,242</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169,589</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(13)</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DBDBDB"/>
          </w:tcPr>
          <w:p>
            <w:pPr>
              <w:jc w:val="right"/>
              <w:ind w:right="2"/>
              <w:spacing w:after="0"/>
              <w:rPr>
                <w:sz w:val="20"/>
                <w:szCs w:val="20"/>
                <w:color w:val="auto"/>
              </w:rPr>
            </w:pPr>
            <w:r>
              <w:rPr>
                <w:rFonts w:ascii="Arial" w:cs="Arial" w:eastAsia="Arial" w:hAnsi="Arial"/>
                <w:sz w:val="12"/>
                <w:szCs w:val="12"/>
                <w:color w:val="auto"/>
              </w:rPr>
              <w:t>9,544</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499,247</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9,544</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499,247</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6"/>
        </w:trPr>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789305" cy="18923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2" w:name="page73"/>
    <w:bookmarkEnd w:id="72"/>
    <w:p>
      <w:pPr>
        <w:ind w:left="7541"/>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680" w:type="dxa"/>
            <w:vAlign w:val="bottom"/>
            <w:tcBorders>
              <w:bottom w:val="single" w:sz="8" w:color="E1D7AC"/>
            </w:tcBorders>
            <w:shd w:val="clear" w:color="auto" w:fill="E1D7AC"/>
          </w:tcPr>
          <w:p>
            <w:pPr>
              <w:spacing w:after="0"/>
              <w:rPr>
                <w:sz w:val="17"/>
                <w:szCs w:val="17"/>
                <w:color w:val="auto"/>
              </w:rPr>
            </w:pPr>
          </w:p>
        </w:tc>
        <w:tc>
          <w:tcPr>
            <w:tcW w:w="1340" w:type="dxa"/>
            <w:vAlign w:val="bottom"/>
            <w:tcBorders>
              <w:bottom w:val="single" w:sz="8" w:color="E1D7AC"/>
            </w:tcBorders>
            <w:shd w:val="clear" w:color="auto" w:fill="E1D7AC"/>
          </w:tcPr>
          <w:p>
            <w:pPr>
              <w:spacing w:after="0"/>
              <w:rPr>
                <w:sz w:val="17"/>
                <w:szCs w:val="17"/>
                <w:color w:val="auto"/>
              </w:rPr>
            </w:pPr>
          </w:p>
        </w:tc>
        <w:tc>
          <w:tcPr>
            <w:tcW w:w="1260" w:type="dxa"/>
            <w:vAlign w:val="bottom"/>
            <w:tcBorders>
              <w:bottom w:val="single" w:sz="8" w:color="E1D7AC"/>
            </w:tcBorders>
            <w:shd w:val="clear" w:color="auto" w:fill="E1D7AC"/>
          </w:tcPr>
          <w:p>
            <w:pPr>
              <w:spacing w:after="0"/>
              <w:rPr>
                <w:sz w:val="17"/>
                <w:szCs w:val="17"/>
                <w:color w:val="auto"/>
              </w:rPr>
            </w:pPr>
          </w:p>
        </w:tc>
        <w:tc>
          <w:tcPr>
            <w:tcW w:w="2200" w:type="dxa"/>
            <w:vAlign w:val="bottom"/>
            <w:tcBorders>
              <w:bottom w:val="single" w:sz="8" w:color="E1D7AC"/>
            </w:tcBorders>
            <w:gridSpan w:val="2"/>
            <w:shd w:val="clear" w:color="auto" w:fill="E1D7AC"/>
          </w:tcPr>
          <w:p>
            <w:pPr>
              <w:jc w:val="right"/>
              <w:ind w:right="462"/>
              <w:spacing w:after="0"/>
              <w:rPr>
                <w:sz w:val="20"/>
                <w:szCs w:val="20"/>
                <w:color w:val="auto"/>
              </w:rPr>
            </w:pPr>
            <w:r>
              <w:rPr>
                <w:rFonts w:ascii="Arial" w:cs="Arial" w:eastAsia="Arial" w:hAnsi="Arial"/>
                <w:sz w:val="12"/>
                <w:szCs w:val="12"/>
                <w:b w:val="1"/>
                <w:bCs w:val="1"/>
                <w:color w:val="auto"/>
                <w:shd w:val="clear" w:color="auto" w:fill="E1D7AC"/>
              </w:rPr>
              <w:t>Option Awards</w:t>
            </w:r>
          </w:p>
        </w:tc>
        <w:tc>
          <w:tcPr>
            <w:tcW w:w="820" w:type="dxa"/>
            <w:vAlign w:val="bottom"/>
            <w:tcBorders>
              <w:bottom w:val="single" w:sz="8" w:color="E1D7AC"/>
            </w:tcBorders>
            <w:shd w:val="clear" w:color="auto" w:fill="E1D7AC"/>
          </w:tcPr>
          <w:p>
            <w:pPr>
              <w:spacing w:after="0"/>
              <w:rPr>
                <w:sz w:val="17"/>
                <w:szCs w:val="17"/>
                <w:color w:val="auto"/>
              </w:rPr>
            </w:pPr>
          </w:p>
        </w:tc>
        <w:tc>
          <w:tcPr>
            <w:tcW w:w="780" w:type="dxa"/>
            <w:vAlign w:val="bottom"/>
            <w:tcBorders>
              <w:bottom w:val="single" w:sz="8" w:color="E1D7AC"/>
            </w:tcBorders>
            <w:shd w:val="clear" w:color="auto" w:fill="E1D7AC"/>
          </w:tcPr>
          <w:p>
            <w:pPr>
              <w:spacing w:after="0"/>
              <w:rPr>
                <w:sz w:val="17"/>
                <w:szCs w:val="17"/>
                <w:color w:val="auto"/>
              </w:rPr>
            </w:pPr>
          </w:p>
        </w:tc>
        <w:tc>
          <w:tcPr>
            <w:tcW w:w="80" w:type="dxa"/>
            <w:vAlign w:val="bottom"/>
            <w:tcBorders>
              <w:bottom w:val="single" w:sz="8" w:color="E1D7AC"/>
            </w:tcBorders>
            <w:shd w:val="clear" w:color="auto" w:fill="E1D7AC"/>
          </w:tcPr>
          <w:p>
            <w:pPr>
              <w:spacing w:after="0"/>
              <w:rPr>
                <w:sz w:val="17"/>
                <w:szCs w:val="17"/>
                <w:color w:val="auto"/>
              </w:rPr>
            </w:pPr>
          </w:p>
        </w:tc>
        <w:tc>
          <w:tcPr>
            <w:tcW w:w="880" w:type="dxa"/>
            <w:vAlign w:val="bottom"/>
            <w:tcBorders>
              <w:bottom w:val="single" w:sz="8" w:color="E1D7AC"/>
            </w:tcBorders>
            <w:shd w:val="clear" w:color="auto" w:fill="E1D7AC"/>
          </w:tcPr>
          <w:p>
            <w:pPr>
              <w:spacing w:after="0"/>
              <w:rPr>
                <w:sz w:val="17"/>
                <w:szCs w:val="17"/>
                <w:color w:val="auto"/>
              </w:rPr>
            </w:pPr>
          </w:p>
        </w:tc>
        <w:tc>
          <w:tcPr>
            <w:tcW w:w="2000" w:type="dxa"/>
            <w:vAlign w:val="bottom"/>
            <w:tcBorders>
              <w:bottom w:val="single" w:sz="8" w:color="E1D7AC"/>
            </w:tcBorders>
            <w:gridSpan w:val="2"/>
            <w:shd w:val="clear" w:color="auto" w:fill="E1D7AC"/>
          </w:tcPr>
          <w:p>
            <w:pPr>
              <w:jc w:val="right"/>
              <w:ind w:right="462"/>
              <w:spacing w:after="0"/>
              <w:rPr>
                <w:sz w:val="20"/>
                <w:szCs w:val="20"/>
                <w:color w:val="auto"/>
              </w:rPr>
            </w:pPr>
            <w:r>
              <w:rPr>
                <w:rFonts w:ascii="Arial" w:cs="Arial" w:eastAsia="Arial" w:hAnsi="Arial"/>
                <w:sz w:val="12"/>
                <w:szCs w:val="12"/>
                <w:b w:val="1"/>
                <w:bCs w:val="1"/>
                <w:color w:val="auto"/>
                <w:shd w:val="clear" w:color="auto" w:fill="E1D7AC"/>
              </w:rPr>
              <w:t>Stock Awards</w:t>
            </w:r>
          </w:p>
        </w:tc>
        <w:tc>
          <w:tcPr>
            <w:tcW w:w="1080" w:type="dxa"/>
            <w:vAlign w:val="bottom"/>
            <w:tcBorders>
              <w:bottom w:val="single" w:sz="8" w:color="E1D7AC"/>
            </w:tcBorders>
            <w:shd w:val="clear" w:color="auto" w:fill="E1D7AC"/>
          </w:tcPr>
          <w:p>
            <w:pPr>
              <w:spacing w:after="0"/>
              <w:rPr>
                <w:sz w:val="17"/>
                <w:szCs w:val="17"/>
                <w:color w:val="auto"/>
              </w:rPr>
            </w:pPr>
          </w:p>
        </w:tc>
        <w:tc>
          <w:tcPr>
            <w:tcW w:w="120" w:type="dxa"/>
            <w:vAlign w:val="bottom"/>
            <w:tcBorders>
              <w:bottom w:val="single" w:sz="8" w:color="E1D7AC"/>
            </w:tcBorders>
            <w:shd w:val="clear" w:color="auto" w:fill="E1D7AC"/>
          </w:tcPr>
          <w:p>
            <w:pPr>
              <w:spacing w:after="0"/>
              <w:rPr>
                <w:sz w:val="17"/>
                <w:szCs w:val="17"/>
                <w:color w:val="auto"/>
              </w:rPr>
            </w:pPr>
          </w:p>
        </w:tc>
      </w:tr>
      <w:tr>
        <w:trPr>
          <w:trHeight w:val="161"/>
        </w:trPr>
        <w:tc>
          <w:tcPr>
            <w:tcW w:w="680" w:type="dxa"/>
            <w:vAlign w:val="bottom"/>
            <w:tcBorders>
              <w:top w:val="single" w:sz="8" w:color="E1D7AC"/>
            </w:tcBorders>
            <w:shd w:val="clear" w:color="auto" w:fill="E1D7AC"/>
          </w:tcPr>
          <w:p>
            <w:pPr>
              <w:spacing w:after="0"/>
              <w:rPr>
                <w:sz w:val="14"/>
                <w:szCs w:val="14"/>
                <w:color w:val="auto"/>
              </w:rPr>
            </w:pPr>
          </w:p>
        </w:tc>
        <w:tc>
          <w:tcPr>
            <w:tcW w:w="1340" w:type="dxa"/>
            <w:vAlign w:val="bottom"/>
            <w:tcBorders>
              <w:top w:val="single" w:sz="8" w:color="E1D7AC"/>
            </w:tcBorders>
            <w:shd w:val="clear" w:color="auto" w:fill="E1D7AC"/>
          </w:tcPr>
          <w:p>
            <w:pPr>
              <w:spacing w:after="0"/>
              <w:rPr>
                <w:sz w:val="14"/>
                <w:szCs w:val="14"/>
                <w:color w:val="auto"/>
              </w:rPr>
            </w:pPr>
          </w:p>
        </w:tc>
        <w:tc>
          <w:tcPr>
            <w:tcW w:w="1260" w:type="dxa"/>
            <w:vAlign w:val="bottom"/>
            <w:tcBorders>
              <w:top w:val="single" w:sz="8" w:color="auto"/>
            </w:tcBorders>
            <w:shd w:val="clear" w:color="auto" w:fill="E1D7AC"/>
          </w:tcPr>
          <w:p>
            <w:pPr>
              <w:spacing w:after="0"/>
              <w:rPr>
                <w:sz w:val="14"/>
                <w:szCs w:val="14"/>
                <w:color w:val="auto"/>
              </w:rPr>
            </w:pPr>
          </w:p>
        </w:tc>
        <w:tc>
          <w:tcPr>
            <w:tcW w:w="1060" w:type="dxa"/>
            <w:vAlign w:val="bottom"/>
            <w:tcBorders>
              <w:top w:val="single" w:sz="8" w:color="auto"/>
            </w:tcBorders>
            <w:shd w:val="clear" w:color="auto" w:fill="E1D7AC"/>
          </w:tcPr>
          <w:p>
            <w:pPr>
              <w:spacing w:after="0"/>
              <w:rPr>
                <w:sz w:val="14"/>
                <w:szCs w:val="14"/>
                <w:color w:val="auto"/>
              </w:rPr>
            </w:pPr>
          </w:p>
        </w:tc>
        <w:tc>
          <w:tcPr>
            <w:tcW w:w="1140" w:type="dxa"/>
            <w:vAlign w:val="bottom"/>
            <w:tcBorders>
              <w:top w:val="single" w:sz="8" w:color="auto"/>
            </w:tcBorders>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Equity Incentive</w:t>
            </w:r>
          </w:p>
        </w:tc>
        <w:tc>
          <w:tcPr>
            <w:tcW w:w="820" w:type="dxa"/>
            <w:vAlign w:val="bottom"/>
            <w:tcBorders>
              <w:top w:val="single" w:sz="8" w:color="auto"/>
            </w:tcBorders>
            <w:shd w:val="clear" w:color="auto" w:fill="E1D7AC"/>
          </w:tcPr>
          <w:p>
            <w:pPr>
              <w:spacing w:after="0"/>
              <w:rPr>
                <w:sz w:val="14"/>
                <w:szCs w:val="14"/>
                <w:color w:val="auto"/>
              </w:rPr>
            </w:pPr>
          </w:p>
        </w:tc>
        <w:tc>
          <w:tcPr>
            <w:tcW w:w="780" w:type="dxa"/>
            <w:vAlign w:val="bottom"/>
            <w:tcBorders>
              <w:top w:val="single" w:sz="8" w:color="auto"/>
            </w:tcBorders>
            <w:shd w:val="clear" w:color="auto" w:fill="E1D7AC"/>
          </w:tcPr>
          <w:p>
            <w:pPr>
              <w:spacing w:after="0"/>
              <w:rPr>
                <w:sz w:val="14"/>
                <w:szCs w:val="14"/>
                <w:color w:val="auto"/>
              </w:rPr>
            </w:pPr>
          </w:p>
        </w:tc>
        <w:tc>
          <w:tcPr>
            <w:tcW w:w="80" w:type="dxa"/>
            <w:vAlign w:val="bottom"/>
            <w:tcBorders>
              <w:top w:val="single" w:sz="8" w:color="E1D7AC"/>
            </w:tcBorders>
            <w:shd w:val="clear" w:color="auto" w:fill="E1D7AC"/>
          </w:tcPr>
          <w:p>
            <w:pPr>
              <w:spacing w:after="0"/>
              <w:rPr>
                <w:sz w:val="14"/>
                <w:szCs w:val="14"/>
                <w:color w:val="auto"/>
              </w:rPr>
            </w:pPr>
          </w:p>
        </w:tc>
        <w:tc>
          <w:tcPr>
            <w:tcW w:w="880" w:type="dxa"/>
            <w:vAlign w:val="bottom"/>
            <w:tcBorders>
              <w:top w:val="single" w:sz="8" w:color="auto"/>
            </w:tcBorders>
            <w:shd w:val="clear" w:color="auto" w:fill="E1D7AC"/>
          </w:tcPr>
          <w:p>
            <w:pPr>
              <w:spacing w:after="0"/>
              <w:rPr>
                <w:sz w:val="14"/>
                <w:szCs w:val="14"/>
                <w:color w:val="auto"/>
              </w:rPr>
            </w:pPr>
          </w:p>
        </w:tc>
        <w:tc>
          <w:tcPr>
            <w:tcW w:w="940" w:type="dxa"/>
            <w:vAlign w:val="bottom"/>
            <w:tcBorders>
              <w:top w:val="single" w:sz="8" w:color="auto"/>
            </w:tcBorders>
            <w:shd w:val="clear" w:color="auto" w:fill="E1D7AC"/>
          </w:tcPr>
          <w:p>
            <w:pPr>
              <w:spacing w:after="0"/>
              <w:rPr>
                <w:sz w:val="14"/>
                <w:szCs w:val="14"/>
                <w:color w:val="auto"/>
              </w:rPr>
            </w:pPr>
          </w:p>
        </w:tc>
        <w:tc>
          <w:tcPr>
            <w:tcW w:w="1060" w:type="dxa"/>
            <w:vAlign w:val="bottom"/>
            <w:tcBorders>
              <w:top w:val="single" w:sz="8" w:color="auto"/>
            </w:tcBorders>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Equity Incentive</w:t>
            </w:r>
          </w:p>
        </w:tc>
        <w:tc>
          <w:tcPr>
            <w:tcW w:w="108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120" w:type="dxa"/>
            <w:vAlign w:val="bottom"/>
            <w:tcBorders>
              <w:top w:val="single" w:sz="8" w:color="E1D7AC"/>
            </w:tcBorders>
            <w:shd w:val="clear" w:color="auto" w:fill="E1D7AC"/>
          </w:tcPr>
          <w:p>
            <w:pPr>
              <w:spacing w:after="0"/>
              <w:rPr>
                <w:sz w:val="14"/>
                <w:szCs w:val="14"/>
                <w:color w:val="auto"/>
              </w:rPr>
            </w:pP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Number of</w:t>
            </w:r>
          </w:p>
        </w:tc>
        <w:tc>
          <w:tcPr>
            <w:tcW w:w="106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Number of</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Plan Awards:</w:t>
            </w:r>
          </w:p>
        </w:tc>
        <w:tc>
          <w:tcPr>
            <w:tcW w:w="820" w:type="dxa"/>
            <w:vAlign w:val="bottom"/>
            <w:shd w:val="clear" w:color="auto" w:fill="E1D7AC"/>
          </w:tcPr>
          <w:p>
            <w:pPr>
              <w:spacing w:after="0"/>
              <w:rPr>
                <w:sz w:val="12"/>
                <w:szCs w:val="12"/>
                <w:color w:val="auto"/>
              </w:rPr>
            </w:pPr>
          </w:p>
        </w:tc>
        <w:tc>
          <w:tcPr>
            <w:tcW w:w="78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Plan Awards:</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rPr>
              <w:t>Plan Awards:</w:t>
            </w: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Securities</w:t>
            </w:r>
          </w:p>
        </w:tc>
        <w:tc>
          <w:tcPr>
            <w:tcW w:w="106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Securities</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Number of</w:t>
            </w:r>
          </w:p>
        </w:tc>
        <w:tc>
          <w:tcPr>
            <w:tcW w:w="820" w:type="dxa"/>
            <w:vAlign w:val="bottom"/>
            <w:shd w:val="clear" w:color="auto" w:fill="E1D7AC"/>
          </w:tcPr>
          <w:p>
            <w:pPr>
              <w:spacing w:after="0"/>
              <w:rPr>
                <w:sz w:val="12"/>
                <w:szCs w:val="12"/>
                <w:color w:val="auto"/>
              </w:rPr>
            </w:pPr>
          </w:p>
        </w:tc>
        <w:tc>
          <w:tcPr>
            <w:tcW w:w="78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w:t>
            </w:r>
          </w:p>
        </w:tc>
        <w:tc>
          <w:tcPr>
            <w:tcW w:w="940" w:type="dxa"/>
            <w:vAlign w:val="bottom"/>
            <w:shd w:val="clear" w:color="auto" w:fill="E1D7AC"/>
          </w:tcPr>
          <w:p>
            <w:pPr>
              <w:spacing w:after="0"/>
              <w:rPr>
                <w:sz w:val="12"/>
                <w:szCs w:val="12"/>
                <w:color w:val="auto"/>
              </w:rPr>
            </w:pP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Number of</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rPr>
              <w:t>Market or Payout</w:t>
            </w: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Underlying</w:t>
            </w:r>
          </w:p>
        </w:tc>
        <w:tc>
          <w:tcPr>
            <w:tcW w:w="106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Underlying</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Securities</w:t>
            </w:r>
          </w:p>
        </w:tc>
        <w:tc>
          <w:tcPr>
            <w:tcW w:w="820" w:type="dxa"/>
            <w:vAlign w:val="bottom"/>
            <w:shd w:val="clear" w:color="auto" w:fill="E1D7AC"/>
          </w:tcPr>
          <w:p>
            <w:pPr>
              <w:spacing w:after="0"/>
              <w:rPr>
                <w:sz w:val="12"/>
                <w:szCs w:val="12"/>
                <w:color w:val="auto"/>
              </w:rPr>
            </w:pPr>
          </w:p>
        </w:tc>
        <w:tc>
          <w:tcPr>
            <w:tcW w:w="78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of Shares of</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w w:val="99"/>
              </w:rPr>
              <w:t>Market Value of</w:t>
            </w: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Unearned</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w w:val="98"/>
              </w:rPr>
              <w:t>Value of Unearned</w:t>
            </w: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Unexercised</w:t>
            </w:r>
          </w:p>
        </w:tc>
        <w:tc>
          <w:tcPr>
            <w:tcW w:w="106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Unexercised</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Underlying</w:t>
            </w:r>
          </w:p>
        </w:tc>
        <w:tc>
          <w:tcPr>
            <w:tcW w:w="820" w:type="dxa"/>
            <w:vAlign w:val="bottom"/>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Option</w:t>
            </w:r>
          </w:p>
        </w:tc>
        <w:tc>
          <w:tcPr>
            <w:tcW w:w="78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182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Stock that Shares of Stock</w:t>
            </w: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Shares, or Other</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rPr>
              <w:t>Shares, or Other</w:t>
            </w: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Options</w:t>
            </w:r>
          </w:p>
        </w:tc>
        <w:tc>
          <w:tcPr>
            <w:tcW w:w="106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Options</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Unexercised</w:t>
            </w:r>
          </w:p>
        </w:tc>
        <w:tc>
          <w:tcPr>
            <w:tcW w:w="820" w:type="dxa"/>
            <w:vAlign w:val="bottom"/>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Exercise</w:t>
            </w:r>
          </w:p>
        </w:tc>
        <w:tc>
          <w:tcPr>
            <w:tcW w:w="8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Option</w:t>
            </w:r>
          </w:p>
        </w:tc>
        <w:tc>
          <w:tcPr>
            <w:tcW w:w="8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Have Not</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That Have Not</w:t>
            </w: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w w:val="99"/>
              </w:rPr>
              <w:t>Rights That Have</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rPr>
              <w:t>Rights That Have</w:t>
            </w: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Exercisable</w:t>
            </w:r>
          </w:p>
        </w:tc>
        <w:tc>
          <w:tcPr>
            <w:tcW w:w="2200" w:type="dxa"/>
            <w:vAlign w:val="bottom"/>
            <w:gridSpan w:val="2"/>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Unexercisable Unearned Options</w:t>
            </w:r>
          </w:p>
        </w:tc>
        <w:tc>
          <w:tcPr>
            <w:tcW w:w="820" w:type="dxa"/>
            <w:vAlign w:val="bottom"/>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Expiration</w:t>
            </w:r>
          </w:p>
        </w:tc>
        <w:tc>
          <w:tcPr>
            <w:tcW w:w="8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Not Vested</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rPr>
              <w:t>Not Vested</w:t>
            </w:r>
          </w:p>
        </w:tc>
      </w:tr>
      <w:tr>
        <w:trPr>
          <w:trHeight w:val="154"/>
        </w:trPr>
        <w:tc>
          <w:tcPr>
            <w:tcW w:w="680" w:type="dxa"/>
            <w:vAlign w:val="bottom"/>
            <w:shd w:val="clear" w:color="auto" w:fill="E1D7AC"/>
          </w:tcPr>
          <w:p>
            <w:pPr>
              <w:ind w:left="100"/>
              <w:spacing w:after="0"/>
              <w:rPr>
                <w:sz w:val="20"/>
                <w:szCs w:val="20"/>
                <w:color w:val="auto"/>
              </w:rPr>
            </w:pPr>
            <w:r>
              <w:rPr>
                <w:rFonts w:ascii="Arial" w:cs="Arial" w:eastAsia="Arial" w:hAnsi="Arial"/>
                <w:sz w:val="12"/>
                <w:szCs w:val="12"/>
                <w:b w:val="1"/>
                <w:bCs w:val="1"/>
                <w:color w:val="auto"/>
                <w:shd w:val="clear" w:color="auto" w:fill="E1D7AC"/>
              </w:rPr>
              <w:t>Name</w:t>
            </w:r>
          </w:p>
        </w:tc>
        <w:tc>
          <w:tcPr>
            <w:tcW w:w="1340" w:type="dxa"/>
            <w:vAlign w:val="bottom"/>
            <w:shd w:val="clear" w:color="auto" w:fill="E1D7AC"/>
          </w:tcPr>
          <w:p>
            <w:pPr>
              <w:ind w:left="520"/>
              <w:spacing w:after="0"/>
              <w:rPr>
                <w:sz w:val="20"/>
                <w:szCs w:val="20"/>
                <w:color w:val="auto"/>
              </w:rPr>
            </w:pPr>
            <w:r>
              <w:rPr>
                <w:rFonts w:ascii="Arial" w:cs="Arial" w:eastAsia="Arial" w:hAnsi="Arial"/>
                <w:sz w:val="12"/>
                <w:szCs w:val="12"/>
                <w:b w:val="1"/>
                <w:bCs w:val="1"/>
                <w:color w:val="auto"/>
              </w:rPr>
              <w:t>Grant Date</w:t>
            </w:r>
          </w:p>
        </w:tc>
        <w:tc>
          <w:tcPr>
            <w:tcW w:w="1260" w:type="dxa"/>
            <w:vAlign w:val="bottom"/>
            <w:shd w:val="clear" w:color="auto" w:fill="E1D7AC"/>
          </w:tcPr>
          <w:p>
            <w:pPr>
              <w:jc w:val="right"/>
              <w:ind w:right="142"/>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(1)</w:t>
            </w:r>
          </w:p>
        </w:tc>
        <w:tc>
          <w:tcPr>
            <w:tcW w:w="1060" w:type="dxa"/>
            <w:vAlign w:val="bottom"/>
            <w:shd w:val="clear" w:color="auto" w:fill="E1D7AC"/>
          </w:tcPr>
          <w:p>
            <w:pPr>
              <w:jc w:val="right"/>
              <w:ind w:right="22"/>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(2)</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w:t>
            </w:r>
          </w:p>
        </w:tc>
        <w:tc>
          <w:tcPr>
            <w:tcW w:w="820" w:type="dxa"/>
            <w:vAlign w:val="bottom"/>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w:t>
            </w:r>
          </w:p>
        </w:tc>
        <w:tc>
          <w:tcPr>
            <w:tcW w:w="860" w:type="dxa"/>
            <w:vAlign w:val="bottom"/>
            <w:gridSpan w:val="2"/>
            <w:shd w:val="clear" w:color="auto" w:fill="E1D7AC"/>
          </w:tcPr>
          <w:p>
            <w:pPr>
              <w:jc w:val="right"/>
              <w:ind w:right="100"/>
              <w:spacing w:after="0" w:line="154"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5"/>
                <w:szCs w:val="15"/>
                <w:b w:val="1"/>
                <w:bCs w:val="1"/>
                <w:color w:val="auto"/>
                <w:vertAlign w:val="superscript"/>
              </w:rPr>
              <w:t>(3)</w:t>
            </w:r>
          </w:p>
        </w:tc>
        <w:tc>
          <w:tcPr>
            <w:tcW w:w="880" w:type="dxa"/>
            <w:vAlign w:val="bottom"/>
            <w:shd w:val="clear" w:color="auto" w:fill="E1D7AC"/>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6"/>
                <w:szCs w:val="6"/>
                <w:b w:val="1"/>
                <w:bCs w:val="1"/>
                <w:color w:val="auto"/>
              </w:rPr>
              <w:t>(4)</w:t>
            </w:r>
          </w:p>
        </w:tc>
        <w:tc>
          <w:tcPr>
            <w:tcW w:w="940" w:type="dxa"/>
            <w:vAlign w:val="bottom"/>
            <w:shd w:val="clear" w:color="auto" w:fill="E1D7AC"/>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6"/>
                <w:szCs w:val="6"/>
                <w:b w:val="1"/>
                <w:bCs w:val="1"/>
                <w:color w:val="auto"/>
              </w:rPr>
              <w:t>(5)</w:t>
            </w:r>
          </w:p>
        </w:tc>
        <w:tc>
          <w:tcPr>
            <w:tcW w:w="1060" w:type="dxa"/>
            <w:vAlign w:val="bottom"/>
            <w:shd w:val="clear" w:color="auto" w:fill="E1D7AC"/>
          </w:tcPr>
          <w:p>
            <w:pPr>
              <w:jc w:val="right"/>
              <w:ind w:right="2"/>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(6)</w:t>
            </w:r>
          </w:p>
        </w:tc>
        <w:tc>
          <w:tcPr>
            <w:tcW w:w="108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(5)</w:t>
            </w:r>
          </w:p>
        </w:tc>
        <w:tc>
          <w:tcPr>
            <w:tcW w:w="120" w:type="dxa"/>
            <w:vAlign w:val="bottom"/>
            <w:shd w:val="clear" w:color="auto" w:fill="E1D7AC"/>
          </w:tcPr>
          <w:p>
            <w:pPr>
              <w:spacing w:after="0"/>
              <w:rPr>
                <w:sz w:val="13"/>
                <w:szCs w:val="13"/>
                <w:color w:val="auto"/>
              </w:rPr>
            </w:pPr>
          </w:p>
        </w:tc>
      </w:tr>
      <w:tr>
        <w:trPr>
          <w:trHeight w:val="87"/>
        </w:trPr>
        <w:tc>
          <w:tcPr>
            <w:tcW w:w="680" w:type="dxa"/>
            <w:vAlign w:val="bottom"/>
            <w:shd w:val="clear" w:color="auto" w:fill="E1D7AC"/>
          </w:tcPr>
          <w:p>
            <w:pPr>
              <w:spacing w:after="0"/>
              <w:rPr>
                <w:sz w:val="7"/>
                <w:szCs w:val="7"/>
                <w:color w:val="auto"/>
              </w:rPr>
            </w:pPr>
          </w:p>
        </w:tc>
        <w:tc>
          <w:tcPr>
            <w:tcW w:w="1340" w:type="dxa"/>
            <w:vAlign w:val="bottom"/>
            <w:shd w:val="clear" w:color="auto" w:fill="E1D7AC"/>
          </w:tcPr>
          <w:p>
            <w:pPr>
              <w:spacing w:after="0"/>
              <w:rPr>
                <w:sz w:val="7"/>
                <w:szCs w:val="7"/>
                <w:color w:val="auto"/>
              </w:rPr>
            </w:pPr>
          </w:p>
        </w:tc>
        <w:tc>
          <w:tcPr>
            <w:tcW w:w="1260" w:type="dxa"/>
            <w:vAlign w:val="bottom"/>
            <w:shd w:val="clear" w:color="auto" w:fill="E1D7AC"/>
          </w:tcPr>
          <w:p>
            <w:pPr>
              <w:spacing w:after="0"/>
              <w:rPr>
                <w:sz w:val="7"/>
                <w:szCs w:val="7"/>
                <w:color w:val="auto"/>
              </w:rPr>
            </w:pPr>
          </w:p>
        </w:tc>
        <w:tc>
          <w:tcPr>
            <w:tcW w:w="1060" w:type="dxa"/>
            <w:vAlign w:val="bottom"/>
            <w:shd w:val="clear" w:color="auto" w:fill="E1D7AC"/>
          </w:tcPr>
          <w:p>
            <w:pPr>
              <w:spacing w:after="0"/>
              <w:rPr>
                <w:sz w:val="7"/>
                <w:szCs w:val="7"/>
                <w:color w:val="auto"/>
              </w:rPr>
            </w:pPr>
          </w:p>
        </w:tc>
        <w:tc>
          <w:tcPr>
            <w:tcW w:w="1140" w:type="dxa"/>
            <w:vAlign w:val="bottom"/>
            <w:shd w:val="clear" w:color="auto" w:fill="E1D7AC"/>
          </w:tcPr>
          <w:p>
            <w:pPr>
              <w:spacing w:after="0"/>
              <w:rPr>
                <w:sz w:val="7"/>
                <w:szCs w:val="7"/>
                <w:color w:val="auto"/>
              </w:rPr>
            </w:pPr>
          </w:p>
        </w:tc>
        <w:tc>
          <w:tcPr>
            <w:tcW w:w="820" w:type="dxa"/>
            <w:vAlign w:val="bottom"/>
            <w:shd w:val="clear" w:color="auto" w:fill="E1D7AC"/>
          </w:tcPr>
          <w:p>
            <w:pPr>
              <w:spacing w:after="0"/>
              <w:rPr>
                <w:sz w:val="7"/>
                <w:szCs w:val="7"/>
                <w:color w:val="auto"/>
              </w:rPr>
            </w:pPr>
          </w:p>
        </w:tc>
        <w:tc>
          <w:tcPr>
            <w:tcW w:w="78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880" w:type="dxa"/>
            <w:vAlign w:val="bottom"/>
            <w:shd w:val="clear" w:color="auto" w:fill="E1D7AC"/>
          </w:tcPr>
          <w:p>
            <w:pPr>
              <w:spacing w:after="0"/>
              <w:rPr>
                <w:sz w:val="7"/>
                <w:szCs w:val="7"/>
                <w:color w:val="auto"/>
              </w:rPr>
            </w:pPr>
          </w:p>
        </w:tc>
        <w:tc>
          <w:tcPr>
            <w:tcW w:w="940" w:type="dxa"/>
            <w:vAlign w:val="bottom"/>
            <w:shd w:val="clear" w:color="auto" w:fill="E1D7AC"/>
          </w:tcPr>
          <w:p>
            <w:pPr>
              <w:spacing w:after="0"/>
              <w:rPr>
                <w:sz w:val="7"/>
                <w:szCs w:val="7"/>
                <w:color w:val="auto"/>
              </w:rPr>
            </w:pPr>
          </w:p>
        </w:tc>
        <w:tc>
          <w:tcPr>
            <w:tcW w:w="1060" w:type="dxa"/>
            <w:vAlign w:val="bottom"/>
            <w:shd w:val="clear" w:color="auto" w:fill="E1D7AC"/>
          </w:tcPr>
          <w:p>
            <w:pPr>
              <w:spacing w:after="0"/>
              <w:rPr>
                <w:sz w:val="7"/>
                <w:szCs w:val="7"/>
                <w:color w:val="auto"/>
              </w:rPr>
            </w:pPr>
          </w:p>
        </w:tc>
        <w:tc>
          <w:tcPr>
            <w:tcW w:w="1080" w:type="dxa"/>
            <w:vAlign w:val="bottom"/>
            <w:shd w:val="clear" w:color="auto" w:fill="E1D7AC"/>
          </w:tcPr>
          <w:p>
            <w:pPr>
              <w:spacing w:after="0"/>
              <w:rPr>
                <w:sz w:val="7"/>
                <w:szCs w:val="7"/>
                <w:color w:val="auto"/>
              </w:rPr>
            </w:pPr>
          </w:p>
        </w:tc>
        <w:tc>
          <w:tcPr>
            <w:tcW w:w="120" w:type="dxa"/>
            <w:vAlign w:val="bottom"/>
            <w:shd w:val="clear" w:color="auto" w:fill="E1D7AC"/>
          </w:tcPr>
          <w:p>
            <w:pPr>
              <w:spacing w:after="0"/>
              <w:rPr>
                <w:sz w:val="7"/>
                <w:szCs w:val="7"/>
                <w:color w:val="auto"/>
              </w:rPr>
            </w:pPr>
          </w:p>
        </w:tc>
      </w:tr>
    </w:tbl>
    <w:p>
      <w:pPr>
        <w:spacing w:after="0" w:line="47" w:lineRule="exact"/>
        <w:rPr>
          <w:sz w:val="20"/>
          <w:szCs w:val="20"/>
          <w:color w:val="auto"/>
        </w:rPr>
      </w:pPr>
    </w:p>
    <w:p>
      <w:pPr>
        <w:sectPr>
          <w:pgSz w:w="11900" w:h="16838" w:orient="portrait"/>
          <w:cols w:equalWidth="0" w:num="1">
            <w:col w:w="11241"/>
          </w:cols>
          <w:pgMar w:left="319"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1"/>
        <w:spacing w:after="0"/>
        <w:rPr>
          <w:sz w:val="20"/>
          <w:szCs w:val="20"/>
          <w:color w:val="auto"/>
        </w:rPr>
      </w:pPr>
      <w:r>
        <w:rPr>
          <w:rFonts w:ascii="Arial" w:cs="Arial" w:eastAsia="Arial" w:hAnsi="Arial"/>
          <w:sz w:val="10"/>
          <w:szCs w:val="10"/>
          <w:b w:val="1"/>
          <w:bCs w:val="1"/>
          <w:color w:val="auto"/>
        </w:rPr>
        <w:t>Matt McCabe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Ken</w:t>
      </w:r>
    </w:p>
    <w:p>
      <w:pPr>
        <w:spacing w:after="0" w:line="21"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Hicks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jc w:val="center"/>
              <w:spacing w:after="0"/>
              <w:rPr>
                <w:sz w:val="20"/>
                <w:szCs w:val="20"/>
                <w:color w:val="auto"/>
              </w:rPr>
            </w:pPr>
            <w:r>
              <w:rPr>
                <w:rFonts w:ascii="Arial" w:cs="Arial" w:eastAsia="Arial" w:hAnsi="Arial"/>
                <w:sz w:val="12"/>
                <w:szCs w:val="12"/>
                <w:color w:val="auto"/>
                <w:w w:val="94"/>
              </w:rPr>
              <w:t>3/31/2021</w:t>
            </w:r>
            <w:r>
              <w:rPr>
                <w:rFonts w:ascii="Arial" w:cs="Arial" w:eastAsia="Arial" w:hAnsi="Arial"/>
                <w:sz w:val="15"/>
                <w:szCs w:val="15"/>
                <w:color w:val="auto"/>
                <w:w w:val="94"/>
                <w:vertAlign w:val="superscript"/>
              </w:rPr>
              <w:t>(7)</w:t>
            </w:r>
          </w:p>
        </w:tc>
        <w:tc>
          <w:tcPr>
            <w:tcW w:w="1080" w:type="dxa"/>
            <w:vAlign w:val="bottom"/>
          </w:tcPr>
          <w:p>
            <w:pPr>
              <w:jc w:val="right"/>
              <w:spacing w:after="0"/>
              <w:rPr>
                <w:sz w:val="20"/>
                <w:szCs w:val="20"/>
                <w:color w:val="auto"/>
              </w:rPr>
            </w:pPr>
            <w:r>
              <w:rPr>
                <w:rFonts w:ascii="Arial" w:cs="Arial" w:eastAsia="Arial" w:hAnsi="Arial"/>
                <w:sz w:val="12"/>
                <w:szCs w:val="12"/>
                <w:color w:val="auto"/>
              </w:rPr>
              <w:t>8,526</w:t>
            </w:r>
          </w:p>
        </w:tc>
        <w:tc>
          <w:tcPr>
            <w:tcW w:w="1180" w:type="dxa"/>
            <w:vAlign w:val="bottom"/>
          </w:tcPr>
          <w:p>
            <w:pPr>
              <w:jc w:val="right"/>
              <w:spacing w:after="0"/>
              <w:rPr>
                <w:sz w:val="20"/>
                <w:szCs w:val="20"/>
                <w:color w:val="auto"/>
              </w:rPr>
            </w:pPr>
            <w:r>
              <w:rPr>
                <w:rFonts w:ascii="Arial" w:cs="Arial" w:eastAsia="Arial" w:hAnsi="Arial"/>
                <w:sz w:val="12"/>
                <w:szCs w:val="12"/>
                <w:color w:val="auto"/>
              </w:rPr>
              <w:t>2,842</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26.99</w:t>
            </w:r>
          </w:p>
        </w:tc>
        <w:tc>
          <w:tcPr>
            <w:tcW w:w="940" w:type="dxa"/>
            <w:vAlign w:val="bottom"/>
          </w:tcPr>
          <w:p>
            <w:pPr>
              <w:jc w:val="right"/>
              <w:spacing w:after="0"/>
              <w:rPr>
                <w:sz w:val="20"/>
                <w:szCs w:val="20"/>
                <w:color w:val="auto"/>
              </w:rPr>
            </w:pPr>
            <w:r>
              <w:rPr>
                <w:rFonts w:ascii="Arial" w:cs="Arial" w:eastAsia="Arial" w:hAnsi="Arial"/>
                <w:sz w:val="12"/>
                <w:szCs w:val="12"/>
                <w:color w:val="auto"/>
              </w:rPr>
              <w:t>3/31/2031</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4"/>
              </w:rPr>
              <w:t>3/30/2022</w:t>
            </w:r>
            <w:r>
              <w:rPr>
                <w:rFonts w:ascii="Arial" w:cs="Arial" w:eastAsia="Arial" w:hAnsi="Arial"/>
                <w:sz w:val="15"/>
                <w:szCs w:val="15"/>
                <w:color w:val="auto"/>
                <w:w w:val="94"/>
                <w:vertAlign w:val="superscript"/>
              </w:rPr>
              <w:t>(8)</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499</w:t>
            </w:r>
          </w:p>
        </w:tc>
        <w:tc>
          <w:tcPr>
            <w:tcW w:w="920" w:type="dxa"/>
            <w:vAlign w:val="bottom"/>
          </w:tcPr>
          <w:p>
            <w:pPr>
              <w:jc w:val="right"/>
              <w:spacing w:after="0"/>
              <w:rPr>
                <w:sz w:val="20"/>
                <w:szCs w:val="20"/>
                <w:color w:val="auto"/>
              </w:rPr>
            </w:pPr>
            <w:r>
              <w:rPr>
                <w:rFonts w:ascii="Arial" w:cs="Arial" w:eastAsia="Arial" w:hAnsi="Arial"/>
                <w:sz w:val="12"/>
                <w:szCs w:val="12"/>
                <w:color w:val="auto"/>
              </w:rPr>
              <w:t>26,103</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4"/>
              </w:rPr>
              <w:t>3/30/2022</w:t>
            </w:r>
            <w:r>
              <w:rPr>
                <w:rFonts w:ascii="Arial" w:cs="Arial" w:eastAsia="Arial" w:hAnsi="Arial"/>
                <w:sz w:val="15"/>
                <w:szCs w:val="15"/>
                <w:color w:val="auto"/>
                <w:w w:val="94"/>
                <w:vertAlign w:val="superscript"/>
              </w:rPr>
              <w:t>(9)</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135</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7,062</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4"/>
              </w:rPr>
              <w:t>3/30/2022</w:t>
            </w:r>
            <w:r>
              <w:rPr>
                <w:rFonts w:ascii="Arial" w:cs="Arial" w:eastAsia="Arial" w:hAnsi="Arial"/>
                <w:sz w:val="15"/>
                <w:szCs w:val="15"/>
                <w:color w:val="auto"/>
                <w:w w:val="94"/>
                <w:vertAlign w:val="superscript"/>
              </w:rPr>
              <w:t>(7)</w:t>
            </w:r>
          </w:p>
        </w:tc>
        <w:tc>
          <w:tcPr>
            <w:tcW w:w="1080" w:type="dxa"/>
            <w:vAlign w:val="bottom"/>
          </w:tcPr>
          <w:p>
            <w:pPr>
              <w:jc w:val="right"/>
              <w:spacing w:after="0"/>
              <w:rPr>
                <w:sz w:val="20"/>
                <w:szCs w:val="20"/>
                <w:color w:val="auto"/>
              </w:rPr>
            </w:pPr>
            <w:r>
              <w:rPr>
                <w:rFonts w:ascii="Arial" w:cs="Arial" w:eastAsia="Arial" w:hAnsi="Arial"/>
                <w:sz w:val="12"/>
                <w:szCs w:val="12"/>
                <w:color w:val="auto"/>
              </w:rPr>
              <w:t>5,086</w:t>
            </w:r>
          </w:p>
        </w:tc>
        <w:tc>
          <w:tcPr>
            <w:tcW w:w="1180" w:type="dxa"/>
            <w:vAlign w:val="bottom"/>
          </w:tcPr>
          <w:p>
            <w:pPr>
              <w:jc w:val="right"/>
              <w:spacing w:after="0"/>
              <w:rPr>
                <w:sz w:val="20"/>
                <w:szCs w:val="20"/>
                <w:color w:val="auto"/>
              </w:rPr>
            </w:pPr>
            <w:r>
              <w:rPr>
                <w:rFonts w:ascii="Arial" w:cs="Arial" w:eastAsia="Arial" w:hAnsi="Arial"/>
                <w:sz w:val="12"/>
                <w:szCs w:val="12"/>
                <w:color w:val="auto"/>
              </w:rPr>
              <w:t>5,087</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39.17</w:t>
            </w:r>
          </w:p>
        </w:tc>
        <w:tc>
          <w:tcPr>
            <w:tcW w:w="940" w:type="dxa"/>
            <w:vAlign w:val="bottom"/>
          </w:tcPr>
          <w:p>
            <w:pPr>
              <w:jc w:val="right"/>
              <w:spacing w:after="0"/>
              <w:rPr>
                <w:sz w:val="20"/>
                <w:szCs w:val="20"/>
                <w:color w:val="auto"/>
              </w:rPr>
            </w:pPr>
            <w:r>
              <w:rPr>
                <w:rFonts w:ascii="Arial" w:cs="Arial" w:eastAsia="Arial" w:hAnsi="Arial"/>
                <w:sz w:val="12"/>
                <w:szCs w:val="12"/>
                <w:color w:val="auto"/>
              </w:rPr>
              <w:t>3/30/2032</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4/15/2022</w:t>
            </w:r>
            <w:r>
              <w:rPr>
                <w:rFonts w:ascii="Arial" w:cs="Arial" w:eastAsia="Arial" w:hAnsi="Arial"/>
                <w:sz w:val="15"/>
                <w:szCs w:val="15"/>
                <w:color w:val="auto"/>
                <w:w w:val="92"/>
                <w:vertAlign w:val="superscript"/>
              </w:rPr>
              <w:t>(14)</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3,725</w:t>
            </w:r>
          </w:p>
        </w:tc>
        <w:tc>
          <w:tcPr>
            <w:tcW w:w="920" w:type="dxa"/>
            <w:vAlign w:val="bottom"/>
          </w:tcPr>
          <w:p>
            <w:pPr>
              <w:jc w:val="right"/>
              <w:spacing w:after="0"/>
              <w:rPr>
                <w:sz w:val="20"/>
                <w:szCs w:val="20"/>
                <w:color w:val="auto"/>
              </w:rPr>
            </w:pPr>
            <w:r>
              <w:rPr>
                <w:rFonts w:ascii="Arial" w:cs="Arial" w:eastAsia="Arial" w:hAnsi="Arial"/>
                <w:sz w:val="12"/>
                <w:szCs w:val="12"/>
                <w:color w:val="auto"/>
              </w:rPr>
              <w:t>194,855</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3/21/2023</w:t>
            </w:r>
            <w:r>
              <w:rPr>
                <w:rFonts w:ascii="Arial" w:cs="Arial" w:eastAsia="Arial" w:hAnsi="Arial"/>
                <w:sz w:val="15"/>
                <w:szCs w:val="15"/>
                <w:color w:val="auto"/>
                <w:w w:val="92"/>
                <w:vertAlign w:val="superscript"/>
              </w:rPr>
              <w:t>(12)</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2,577</w:t>
            </w:r>
          </w:p>
        </w:tc>
        <w:tc>
          <w:tcPr>
            <w:tcW w:w="920" w:type="dxa"/>
            <w:vAlign w:val="bottom"/>
          </w:tcPr>
          <w:p>
            <w:pPr>
              <w:jc w:val="right"/>
              <w:spacing w:after="0"/>
              <w:rPr>
                <w:sz w:val="20"/>
                <w:szCs w:val="20"/>
                <w:color w:val="auto"/>
              </w:rPr>
            </w:pPr>
            <w:r>
              <w:rPr>
                <w:rFonts w:ascii="Arial" w:cs="Arial" w:eastAsia="Arial" w:hAnsi="Arial"/>
                <w:sz w:val="12"/>
                <w:szCs w:val="12"/>
                <w:color w:val="auto"/>
              </w:rPr>
              <w:t>134,803</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(10)</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9,727</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508,819</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(11)</w:t>
            </w:r>
          </w:p>
        </w:tc>
        <w:tc>
          <w:tcPr>
            <w:tcW w:w="1080" w:type="dxa"/>
            <w:vAlign w:val="bottom"/>
          </w:tcPr>
          <w:p>
            <w:pPr>
              <w:jc w:val="right"/>
              <w:spacing w:after="0"/>
              <w:rPr>
                <w:sz w:val="20"/>
                <w:szCs w:val="20"/>
                <w:color w:val="auto"/>
              </w:rPr>
            </w:pPr>
            <w:r>
              <w:rPr>
                <w:rFonts w:ascii="Arial" w:cs="Arial" w:eastAsia="Arial" w:hAnsi="Arial"/>
                <w:sz w:val="12"/>
                <w:szCs w:val="12"/>
                <w:color w:val="auto"/>
              </w:rPr>
              <w:t>3,279</w:t>
            </w:r>
          </w:p>
        </w:tc>
        <w:tc>
          <w:tcPr>
            <w:tcW w:w="1180" w:type="dxa"/>
            <w:vAlign w:val="bottom"/>
          </w:tcPr>
          <w:p>
            <w:pPr>
              <w:jc w:val="right"/>
              <w:spacing w:after="0"/>
              <w:rPr>
                <w:sz w:val="20"/>
                <w:szCs w:val="20"/>
                <w:color w:val="auto"/>
              </w:rPr>
            </w:pPr>
            <w:r>
              <w:rPr>
                <w:rFonts w:ascii="Arial" w:cs="Arial" w:eastAsia="Arial" w:hAnsi="Arial"/>
                <w:sz w:val="12"/>
                <w:szCs w:val="12"/>
                <w:color w:val="auto"/>
              </w:rPr>
              <w:t>6,559</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51.40</w:t>
            </w:r>
          </w:p>
        </w:tc>
        <w:tc>
          <w:tcPr>
            <w:tcW w:w="940" w:type="dxa"/>
            <w:vAlign w:val="bottom"/>
          </w:tcPr>
          <w:p>
            <w:pPr>
              <w:jc w:val="right"/>
              <w:spacing w:after="0"/>
              <w:rPr>
                <w:sz w:val="20"/>
                <w:szCs w:val="20"/>
                <w:color w:val="auto"/>
              </w:rPr>
            </w:pPr>
            <w:r>
              <w:rPr>
                <w:rFonts w:ascii="Arial" w:cs="Arial" w:eastAsia="Arial" w:hAnsi="Arial"/>
                <w:sz w:val="12"/>
                <w:szCs w:val="12"/>
                <w:color w:val="auto"/>
              </w:rPr>
              <w:t>9/6/2033</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(12)</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3,242</w:t>
            </w:r>
          </w:p>
        </w:tc>
        <w:tc>
          <w:tcPr>
            <w:tcW w:w="920" w:type="dxa"/>
            <w:vAlign w:val="bottom"/>
          </w:tcPr>
          <w:p>
            <w:pPr>
              <w:jc w:val="right"/>
              <w:spacing w:after="0"/>
              <w:rPr>
                <w:sz w:val="20"/>
                <w:szCs w:val="20"/>
                <w:color w:val="auto"/>
              </w:rPr>
            </w:pPr>
            <w:r>
              <w:rPr>
                <w:rFonts w:ascii="Arial" w:cs="Arial" w:eastAsia="Arial" w:hAnsi="Arial"/>
                <w:sz w:val="12"/>
                <w:szCs w:val="12"/>
                <w:color w:val="auto"/>
              </w:rPr>
              <w:t>169,589</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3/26/2024</w:t>
            </w:r>
            <w:r>
              <w:rPr>
                <w:rFonts w:ascii="Arial" w:cs="Arial" w:eastAsia="Arial" w:hAnsi="Arial"/>
                <w:sz w:val="15"/>
                <w:szCs w:val="15"/>
                <w:color w:val="auto"/>
                <w:w w:val="92"/>
                <w:vertAlign w:val="superscript"/>
              </w:rPr>
              <w:t>(13)</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9,544</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499,247</w:t>
            </w:r>
          </w:p>
        </w:tc>
      </w:tr>
      <w:tr>
        <w:trPr>
          <w:trHeight w:val="247"/>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3/26/2024</w:t>
            </w:r>
            <w:r>
              <w:rPr>
                <w:rFonts w:ascii="Arial" w:cs="Arial" w:eastAsia="Arial" w:hAnsi="Arial"/>
                <w:sz w:val="15"/>
                <w:szCs w:val="15"/>
                <w:color w:val="auto"/>
                <w:w w:val="92"/>
                <w:vertAlign w:val="superscript"/>
              </w:rPr>
              <w:t>(12)</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9,544</w:t>
            </w:r>
          </w:p>
        </w:tc>
        <w:tc>
          <w:tcPr>
            <w:tcW w:w="920" w:type="dxa"/>
            <w:vAlign w:val="bottom"/>
          </w:tcPr>
          <w:p>
            <w:pPr>
              <w:jc w:val="right"/>
              <w:spacing w:after="0"/>
              <w:rPr>
                <w:sz w:val="20"/>
                <w:szCs w:val="20"/>
                <w:color w:val="auto"/>
              </w:rPr>
            </w:pPr>
            <w:r>
              <w:rPr>
                <w:rFonts w:ascii="Arial" w:cs="Arial" w:eastAsia="Arial" w:hAnsi="Arial"/>
                <w:sz w:val="12"/>
                <w:szCs w:val="12"/>
                <w:color w:val="auto"/>
              </w:rPr>
              <w:t>499,247</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29"/>
        </w:trPr>
        <w:tc>
          <w:tcPr>
            <w:tcW w:w="10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3"/>
              </w:rPr>
              <w:t>9/16/2018</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164,487</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BDB"/>
            </w:tcBorders>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17.14</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9/16/2028</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22"/>
        </w:trPr>
        <w:tc>
          <w:tcPr>
            <w:tcW w:w="1060" w:type="dxa"/>
            <w:vAlign w:val="bottom"/>
          </w:tcPr>
          <w:p>
            <w:pPr>
              <w:jc w:val="center"/>
              <w:spacing w:after="0"/>
              <w:rPr>
                <w:sz w:val="20"/>
                <w:szCs w:val="20"/>
                <w:color w:val="auto"/>
              </w:rPr>
            </w:pPr>
            <w:r>
              <w:rPr>
                <w:rFonts w:ascii="Arial" w:cs="Arial" w:eastAsia="Arial" w:hAnsi="Arial"/>
                <w:sz w:val="12"/>
                <w:szCs w:val="12"/>
                <w:color w:val="auto"/>
                <w:w w:val="98"/>
              </w:rPr>
              <w:t>3/7/2019</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220,413</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16.57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3/7/2029</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8"/>
              </w:rPr>
              <w:t>3/7/2019</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108,561</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16.57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3/7/2029</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8"/>
              </w:rPr>
              <w:t>3/5/2020</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276,430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17.30</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3/5/2030</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75"/>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3/31/2021</w:t>
            </w:r>
            <w:r>
              <w:rPr>
                <w:rFonts w:ascii="Arial" w:cs="Arial" w:eastAsia="Arial" w:hAnsi="Arial"/>
                <w:sz w:val="15"/>
                <w:szCs w:val="15"/>
                <w:color w:val="auto"/>
                <w:w w:val="92"/>
                <w:vertAlign w:val="superscript"/>
              </w:rPr>
              <w:t>(15)</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275,494</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11,978</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26.99</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3/31/2031</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3/30/2022</w:t>
            </w:r>
            <w:r>
              <w:rPr>
                <w:rFonts w:ascii="Arial" w:cs="Arial" w:eastAsia="Arial" w:hAnsi="Arial"/>
                <w:sz w:val="15"/>
                <w:szCs w:val="15"/>
                <w:color w:val="auto"/>
                <w:w w:val="92"/>
                <w:vertAlign w:val="superscript"/>
              </w:rPr>
              <w:t>(16)</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14,936</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781,302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4"/>
              </w:rPr>
              <w:t>3/30/2022</w:t>
            </w:r>
            <w:r>
              <w:rPr>
                <w:rFonts w:ascii="Arial" w:cs="Arial" w:eastAsia="Arial" w:hAnsi="Arial"/>
                <w:sz w:val="15"/>
                <w:szCs w:val="15"/>
                <w:color w:val="auto"/>
                <w:w w:val="94"/>
                <w:vertAlign w:val="superscript"/>
              </w:rPr>
              <w:t>(9)</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4,047</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211,699</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3/30/2022</w:t>
            </w:r>
            <w:r>
              <w:rPr>
                <w:rFonts w:ascii="Arial" w:cs="Arial" w:eastAsia="Arial" w:hAnsi="Arial"/>
                <w:sz w:val="15"/>
                <w:szCs w:val="15"/>
                <w:color w:val="auto"/>
                <w:w w:val="92"/>
                <w:vertAlign w:val="superscript"/>
              </w:rPr>
              <w:t>(15)</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218,451</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89,964</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39.17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3/30/2032</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3/21/2023</w:t>
            </w:r>
            <w:r>
              <w:rPr>
                <w:rFonts w:ascii="Arial" w:cs="Arial" w:eastAsia="Arial" w:hAnsi="Arial"/>
                <w:sz w:val="15"/>
                <w:szCs w:val="15"/>
                <w:color w:val="auto"/>
                <w:w w:val="92"/>
                <w:vertAlign w:val="superscript"/>
              </w:rPr>
              <w:t>(10)</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57,986</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3,033,248</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3/21/2023</w:t>
            </w:r>
            <w:r>
              <w:rPr>
                <w:rFonts w:ascii="Arial" w:cs="Arial" w:eastAsia="Arial" w:hAnsi="Arial"/>
                <w:sz w:val="15"/>
                <w:szCs w:val="15"/>
                <w:color w:val="auto"/>
                <w:w w:val="92"/>
                <w:vertAlign w:val="superscript"/>
              </w:rPr>
              <w:t>(11)</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20,882</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41,764</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64.67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3/21/2033</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3/21/2023</w:t>
            </w:r>
            <w:r>
              <w:rPr>
                <w:rFonts w:ascii="Arial" w:cs="Arial" w:eastAsia="Arial" w:hAnsi="Arial"/>
                <w:sz w:val="15"/>
                <w:szCs w:val="15"/>
                <w:color w:val="auto"/>
                <w:w w:val="92"/>
                <w:vertAlign w:val="superscript"/>
              </w:rPr>
              <w:t>(12)</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19,329</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1,011,100</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199"/>
        </w:trPr>
        <w:tc>
          <w:tcPr>
            <w:tcW w:w="1060" w:type="dxa"/>
            <w:vAlign w:val="bottom"/>
            <w:tcBorders>
              <w:bottom w:val="single" w:sz="8" w:color="DBDBDB"/>
            </w:tcBorders>
          </w:tcPr>
          <w:p>
            <w:pPr>
              <w:jc w:val="center"/>
              <w:spacing w:after="0"/>
              <w:rPr>
                <w:sz w:val="20"/>
                <w:szCs w:val="20"/>
                <w:color w:val="auto"/>
              </w:rPr>
            </w:pPr>
            <w:r>
              <w:rPr>
                <w:rFonts w:ascii="Arial" w:cs="Arial" w:eastAsia="Arial" w:hAnsi="Arial"/>
                <w:sz w:val="12"/>
                <w:szCs w:val="12"/>
                <w:color w:val="auto"/>
                <w:w w:val="92"/>
              </w:rPr>
              <w:t>6/14/2024</w:t>
            </w:r>
            <w:r>
              <w:rPr>
                <w:rFonts w:ascii="Arial" w:cs="Arial" w:eastAsia="Arial" w:hAnsi="Arial"/>
                <w:sz w:val="15"/>
                <w:szCs w:val="15"/>
                <w:color w:val="auto"/>
                <w:w w:val="92"/>
                <w:vertAlign w:val="superscript"/>
              </w:rPr>
              <w:t>(17)</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BDB"/>
            </w:tcBorders>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5,218</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272,954</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-1870075</wp:posOffset>
            </wp:positionV>
            <wp:extent cx="1286510" cy="18624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286510" cy="18624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801" w:space="160"/>
            <w:col w:w="10280"/>
          </w:cols>
          <w:pgMar w:left="319" w:top="132" w:right="339" w:bottom="1440" w:gutter="0" w:footer="0" w:header="0"/>
          <w:type w:val="continuous"/>
        </w:sectPr>
      </w:pPr>
    </w:p>
    <w:p>
      <w:pPr>
        <w:ind w:left="301" w:hanging="301"/>
        <w:spacing w:after="0"/>
        <w:tabs>
          <w:tab w:leader="none" w:pos="301"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numbers in this column represent vested Options outstanding as of February 1, 2025.</w:t>
      </w:r>
    </w:p>
    <w:p>
      <w:pPr>
        <w:spacing w:after="0" w:line="48" w:lineRule="exact"/>
        <w:rPr>
          <w:rFonts w:ascii="Arial" w:cs="Arial" w:eastAsia="Arial" w:hAnsi="Arial"/>
          <w:sz w:val="12"/>
          <w:szCs w:val="12"/>
          <w:color w:val="auto"/>
        </w:rPr>
      </w:pPr>
    </w:p>
    <w:p>
      <w:pPr>
        <w:ind w:left="301" w:hanging="301"/>
        <w:spacing w:after="0"/>
        <w:tabs>
          <w:tab w:leader="none" w:pos="301"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numbers in this column represent unvested Options outstanding as of February 1, 2025.</w:t>
      </w:r>
    </w:p>
    <w:p>
      <w:pPr>
        <w:spacing w:after="0" w:line="48" w:lineRule="exact"/>
        <w:rPr>
          <w:rFonts w:ascii="Arial" w:cs="Arial" w:eastAsia="Arial" w:hAnsi="Arial"/>
          <w:sz w:val="12"/>
          <w:szCs w:val="12"/>
          <w:color w:val="auto"/>
        </w:rPr>
      </w:pPr>
    </w:p>
    <w:p>
      <w:pPr>
        <w:ind w:left="301" w:hanging="301"/>
        <w:spacing w:after="0"/>
        <w:tabs>
          <w:tab w:leader="none" w:pos="301"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expiration date for each of the Options is the date that is ten years after the initial grant date.</w:t>
      </w:r>
    </w:p>
    <w:p>
      <w:pPr>
        <w:spacing w:after="0" w:line="60" w:lineRule="exact"/>
        <w:rPr>
          <w:rFonts w:ascii="Arial" w:cs="Arial" w:eastAsia="Arial" w:hAnsi="Arial"/>
          <w:sz w:val="12"/>
          <w:szCs w:val="12"/>
          <w:color w:val="auto"/>
        </w:rPr>
      </w:pPr>
    </w:p>
    <w:p>
      <w:pPr>
        <w:ind w:left="301" w:right="40" w:hanging="301"/>
        <w:spacing w:after="0" w:line="260" w:lineRule="auto"/>
        <w:tabs>
          <w:tab w:leader="none" w:pos="298"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numbers in this column represent RSUs that are subject to time vesting conditions, including performance-based RSUs that were earned but still subject to service based vesting requirements (“Earned RSUs”) as of February 1, 2025.</w:t>
      </w:r>
    </w:p>
    <w:p>
      <w:pPr>
        <w:spacing w:after="0" w:line="24" w:lineRule="exact"/>
        <w:rPr>
          <w:rFonts w:ascii="Arial" w:cs="Arial" w:eastAsia="Arial" w:hAnsi="Arial"/>
          <w:sz w:val="12"/>
          <w:szCs w:val="12"/>
          <w:color w:val="auto"/>
        </w:rPr>
      </w:pPr>
    </w:p>
    <w:p>
      <w:pPr>
        <w:ind w:left="301" w:hanging="301"/>
        <w:spacing w:after="0"/>
        <w:tabs>
          <w:tab w:leader="none" w:pos="301" w:val="left"/>
        </w:tabs>
        <w:numPr>
          <w:ilvl w:val="0"/>
          <w:numId w:val="77"/>
        </w:numPr>
        <w:rPr>
          <w:rFonts w:ascii="Arial" w:cs="Arial" w:eastAsia="Arial" w:hAnsi="Arial"/>
          <w:sz w:val="12"/>
          <w:szCs w:val="12"/>
          <w:color w:val="auto"/>
        </w:rPr>
      </w:pPr>
      <w:r>
        <w:rPr>
          <w:rFonts w:ascii="Arial" w:cs="Arial" w:eastAsia="Arial" w:hAnsi="Arial"/>
          <w:sz w:val="12"/>
          <w:szCs w:val="12"/>
          <w:color w:val="auto"/>
        </w:rPr>
        <w:t>Amounts reported are based on $52.31, which was the closing price of our common stock on January 31, 2025, the last trading day before the end of our 2024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943610</wp:posOffset>
            </wp:positionV>
            <wp:extent cx="7168515" cy="4127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648335</wp:posOffset>
            </wp:positionV>
            <wp:extent cx="789305" cy="18923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type w:val="continuous"/>
        </w:sectPr>
      </w:pPr>
    </w:p>
    <w:bookmarkStart w:id="73" w:name="page74"/>
    <w:bookmarkEnd w:id="73"/>
    <w:p>
      <w:pPr>
        <w:ind w:left="1"/>
        <w:spacing w:after="0"/>
        <w:rPr>
          <w:sz w:val="20"/>
          <w:szCs w:val="20"/>
          <w:color w:val="auto"/>
        </w:rPr>
      </w:pPr>
      <w:r>
        <w:rPr>
          <w:rFonts w:ascii="Arial" w:cs="Arial" w:eastAsia="Arial" w:hAnsi="Arial"/>
          <w:sz w:val="13"/>
          <w:szCs w:val="13"/>
          <w:b w:val="1"/>
          <w:bCs w:val="1"/>
          <w:color w:val="007EC4"/>
        </w:rPr>
        <w:t xml:space="preserve">68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1" w:hanging="301"/>
        <w:spacing w:after="0"/>
        <w:tabs>
          <w:tab w:leader="none" w:pos="301"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numbers in this column represent RSUs that are subject to performance-based and time-based vesting conditions that were not earned as of February 1, 2025.</w:t>
      </w:r>
    </w:p>
    <w:p>
      <w:pPr>
        <w:spacing w:after="0" w:line="98" w:lineRule="exact"/>
        <w:rPr>
          <w:rFonts w:ascii="Arial" w:cs="Arial" w:eastAsia="Arial" w:hAnsi="Arial"/>
          <w:sz w:val="12"/>
          <w:szCs w:val="12"/>
          <w:color w:val="auto"/>
        </w:rPr>
      </w:pPr>
    </w:p>
    <w:p>
      <w:pPr>
        <w:ind w:left="301" w:hanging="301"/>
        <w:spacing w:after="0"/>
        <w:tabs>
          <w:tab w:leader="none" w:pos="301"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Options vest as follows: 25% become vested and exercisable on each anniversary of the grant date, subject to the NEO’s continued service through the applicable vesting date.</w:t>
      </w:r>
    </w:p>
    <w:p>
      <w:pPr>
        <w:spacing w:after="0" w:line="60" w:lineRule="exact"/>
        <w:rPr>
          <w:rFonts w:ascii="Arial" w:cs="Arial" w:eastAsia="Arial" w:hAnsi="Arial"/>
          <w:sz w:val="12"/>
          <w:szCs w:val="12"/>
          <w:color w:val="auto"/>
        </w:rPr>
      </w:pPr>
    </w:p>
    <w:p>
      <w:pPr>
        <w:ind w:left="301" w:hanging="301"/>
        <w:spacing w:after="0"/>
        <w:tabs>
          <w:tab w:leader="none" w:pos="301" w:val="left"/>
        </w:tabs>
        <w:numPr>
          <w:ilvl w:val="0"/>
          <w:numId w:val="78"/>
        </w:numPr>
        <w:rPr>
          <w:rFonts w:ascii="Arial" w:cs="Arial" w:eastAsia="Arial" w:hAnsi="Arial"/>
          <w:sz w:val="12"/>
          <w:szCs w:val="12"/>
          <w:color w:val="auto"/>
        </w:rPr>
      </w:pPr>
      <w:r>
        <w:rPr>
          <w:rFonts w:ascii="Arial" w:cs="Arial" w:eastAsia="Arial" w:hAnsi="Arial"/>
          <w:sz w:val="12"/>
          <w:szCs w:val="12"/>
          <w:color w:val="auto"/>
        </w:rPr>
        <w:t>Reflects 93.7% of the 2022 performance-based RSUs that became Earned RSUs and vest on each of the 2nd, 3rd, and 4th anniversaries of the start of the 2022 fiscal year.</w:t>
      </w:r>
    </w:p>
    <w:p>
      <w:pPr>
        <w:spacing w:after="0" w:line="110" w:lineRule="exact"/>
        <w:rPr>
          <w:rFonts w:ascii="Arial" w:cs="Arial" w:eastAsia="Arial" w:hAnsi="Arial"/>
          <w:sz w:val="12"/>
          <w:szCs w:val="12"/>
          <w:color w:val="auto"/>
        </w:rPr>
      </w:pPr>
    </w:p>
    <w:p>
      <w:pPr>
        <w:ind w:left="301" w:right="280" w:hanging="301"/>
        <w:spacing w:after="0" w:line="281" w:lineRule="auto"/>
        <w:tabs>
          <w:tab w:leader="none" w:pos="298" w:val="left"/>
        </w:tabs>
        <w:numPr>
          <w:ilvl w:val="0"/>
          <w:numId w:val="78"/>
        </w:numPr>
        <w:rPr>
          <w:rFonts w:ascii="Arial" w:cs="Arial" w:eastAsia="Arial" w:hAnsi="Arial"/>
          <w:sz w:val="12"/>
          <w:szCs w:val="12"/>
          <w:color w:val="auto"/>
        </w:rPr>
      </w:pPr>
      <w:r>
        <w:rPr>
          <w:rFonts w:ascii="Arial" w:cs="Arial" w:eastAsia="Arial" w:hAnsi="Arial"/>
          <w:sz w:val="12"/>
          <w:szCs w:val="12"/>
          <w:color w:val="auto"/>
        </w:rPr>
        <w:t>Reflects outstanding performance-based RSUs that have not become Earned RSUs. If the Committee determines that the twenty (20) trading-day average fair market value of a share of common stock as of January 30, 2026 equals or exceeds a specified target share price, then these will become vested Earned RSUs upon such determination by the Committee, subject to the NEO’s continued service through the applicable vesting date.</w:t>
      </w:r>
    </w:p>
    <w:p>
      <w:pPr>
        <w:spacing w:after="0" w:line="74" w:lineRule="exact"/>
        <w:rPr>
          <w:rFonts w:ascii="Arial" w:cs="Arial" w:eastAsia="Arial" w:hAnsi="Arial"/>
          <w:sz w:val="12"/>
          <w:szCs w:val="12"/>
          <w:color w:val="auto"/>
        </w:rPr>
      </w:pPr>
    </w:p>
    <w:p>
      <w:pPr>
        <w:ind w:left="301" w:right="200" w:hanging="301"/>
        <w:spacing w:after="0" w:line="270" w:lineRule="auto"/>
        <w:tabs>
          <w:tab w:leader="none" w:pos="3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Reflects 100% of the 2023 performance-based RSUs that are Unearned RSUs. Based on the achievement of the three (3) year cumulative performance metrics, the earned amount will be earned and vest upon such determination by the Committee, subject to the NEO’s continued service through the applicable vesting date. Per the equity agreement, Mr. Hicks’s transition to non-employee Chairman of the Board is deemed continuous service to the Company allowing unvested performance-based RSUs to remaining outstanding and will vest as described.</w:t>
      </w:r>
    </w:p>
    <w:p>
      <w:pPr>
        <w:spacing w:after="0" w:line="81" w:lineRule="exact"/>
        <w:rPr>
          <w:rFonts w:ascii="Arial" w:cs="Arial" w:eastAsia="Arial" w:hAnsi="Arial"/>
          <w:sz w:val="12"/>
          <w:szCs w:val="12"/>
          <w:color w:val="auto"/>
        </w:rPr>
      </w:pPr>
    </w:p>
    <w:p>
      <w:pPr>
        <w:ind w:left="301" w:right="20" w:hanging="301"/>
        <w:spacing w:after="0" w:line="281" w:lineRule="auto"/>
        <w:tabs>
          <w:tab w:leader="none" w:pos="291"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These Options vest as follows: 33% become vested and exercisable on each anniversary of the grant date, subject to the NEO’s continued service through the applicable vesting date. Per the equity agreement, Mr. Hicks’s transition to non-employee Chairman of the Board is deemed continuous service to the Company allowing unvested Options to remaining outstanding and will vest as described.</w:t>
      </w:r>
    </w:p>
    <w:p>
      <w:pPr>
        <w:spacing w:after="0" w:line="74" w:lineRule="exact"/>
        <w:rPr>
          <w:rFonts w:ascii="Arial" w:cs="Arial" w:eastAsia="Arial" w:hAnsi="Arial"/>
          <w:sz w:val="12"/>
          <w:szCs w:val="12"/>
          <w:color w:val="auto"/>
        </w:rPr>
      </w:pPr>
    </w:p>
    <w:p>
      <w:pPr>
        <w:ind w:left="301" w:right="180" w:hanging="301"/>
        <w:spacing w:after="0" w:line="412" w:lineRule="auto"/>
        <w:tabs>
          <w:tab w:leader="none" w:pos="300" w:val="left"/>
        </w:tabs>
        <w:numPr>
          <w:ilvl w:val="0"/>
          <w:numId w:val="78"/>
        </w:numPr>
        <w:rPr>
          <w:rFonts w:ascii="Arial" w:cs="Arial" w:eastAsia="Arial" w:hAnsi="Arial"/>
          <w:sz w:val="10"/>
          <w:szCs w:val="10"/>
          <w:color w:val="auto"/>
        </w:rPr>
      </w:pPr>
      <w:r>
        <w:rPr>
          <w:rFonts w:ascii="Arial" w:cs="Arial" w:eastAsia="Arial" w:hAnsi="Arial"/>
          <w:sz w:val="10"/>
          <w:szCs w:val="10"/>
          <w:color w:val="auto"/>
        </w:rPr>
        <w:t>The time-based RSUs vest as follows: 33% become vested and exercisable on each anniversary of the grant date, subject to the NEO’s continued service through the applicable vesting date. Per the equity agreement, Mr. Hicks’s transition to non-employee Chairman of the Board is deemed continuous service to the Company allowing unvested time-based RSUs to remaining outstanding and will vest as described.</w:t>
      </w:r>
    </w:p>
    <w:p>
      <w:pPr>
        <w:spacing w:after="0" w:line="15" w:lineRule="exact"/>
        <w:rPr>
          <w:rFonts w:ascii="Arial" w:cs="Arial" w:eastAsia="Arial" w:hAnsi="Arial"/>
          <w:sz w:val="10"/>
          <w:szCs w:val="10"/>
          <w:color w:val="auto"/>
        </w:rPr>
      </w:pPr>
    </w:p>
    <w:p>
      <w:pPr>
        <w:ind w:left="301" w:right="200" w:hanging="301"/>
        <w:spacing w:after="0" w:line="281" w:lineRule="auto"/>
        <w:tabs>
          <w:tab w:leader="none" w:pos="3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Reflects 100% of the 2024 performance-based RSUs that are Unearned RSUs. Based on the achievement of the three (3) year cumulative performance metrics, the earned amount will be earned and vest upon such determination by the Committee, subject to the NEO’s continued service through the applicable vesting date.</w:t>
      </w:r>
    </w:p>
    <w:p>
      <w:pPr>
        <w:spacing w:after="0" w:line="74" w:lineRule="exact"/>
        <w:rPr>
          <w:rFonts w:ascii="Arial" w:cs="Arial" w:eastAsia="Arial" w:hAnsi="Arial"/>
          <w:sz w:val="12"/>
          <w:szCs w:val="12"/>
          <w:color w:val="auto"/>
        </w:rPr>
      </w:pPr>
    </w:p>
    <w:p>
      <w:pPr>
        <w:ind w:left="301" w:right="180" w:hanging="301"/>
        <w:spacing w:after="0" w:line="281" w:lineRule="auto"/>
        <w:tabs>
          <w:tab w:leader="none" w:pos="3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These time-based RSUs vest as follows: 50% become vested and exercisable on each of the second and third anniversaries of the grant date, subject to the NEO’s continued employment through the applicable vesting date.</w:t>
      </w:r>
    </w:p>
    <w:p>
      <w:pPr>
        <w:spacing w:after="0" w:line="74" w:lineRule="exact"/>
        <w:rPr>
          <w:rFonts w:ascii="Arial" w:cs="Arial" w:eastAsia="Arial" w:hAnsi="Arial"/>
          <w:sz w:val="12"/>
          <w:szCs w:val="12"/>
          <w:color w:val="auto"/>
        </w:rPr>
      </w:pPr>
    </w:p>
    <w:p>
      <w:pPr>
        <w:ind w:left="301" w:hanging="301"/>
        <w:spacing w:after="0" w:line="270" w:lineRule="auto"/>
        <w:tabs>
          <w:tab w:leader="none" w:pos="3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Options granted to Mr. Hicks vest as follows: 1/48th of the Options become vested and exercisable on each monthly anniversary of the grant date, subject to Mr. Hicks’s continued service through the applicable vesting date. Per the equity agreement, Mr. Hicks’s transition to non-employee Chairman of the Board is deemed continuous service to the Company allowing unvested Options to remaining outstanding and will vest as described.</w:t>
      </w:r>
    </w:p>
    <w:p>
      <w:pPr>
        <w:spacing w:after="0" w:line="93" w:lineRule="exact"/>
        <w:rPr>
          <w:rFonts w:ascii="Arial" w:cs="Arial" w:eastAsia="Arial" w:hAnsi="Arial"/>
          <w:sz w:val="12"/>
          <w:szCs w:val="12"/>
          <w:color w:val="auto"/>
        </w:rPr>
      </w:pPr>
    </w:p>
    <w:p>
      <w:pPr>
        <w:ind w:left="301" w:right="260" w:hanging="301"/>
        <w:spacing w:after="0" w:line="266" w:lineRule="auto"/>
        <w:tabs>
          <w:tab w:leader="none" w:pos="3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Reflects 93.7% of the 2022 performance-based RSUs that became Earned RSUs and will vest in monthly installments thereafter per the terms of Mr. Hicks’s previous employment agreement in his role as Chairman, President, and CEO and will become fully vested by the 4th anniversary of the start of the 2022 fiscal year, subject to Mr. Hicks’s continued service through the applicable vesting date. Per the equity agreement, Mr. Hicks’s transition to non-employee Chairman of the Board is deemed continuous service to the Company allowing unvested performance-based RSUs to remaining outstanding and will vest as described.</w:t>
      </w:r>
    </w:p>
    <w:p>
      <w:pPr>
        <w:spacing w:after="0" w:line="84" w:lineRule="exact"/>
        <w:rPr>
          <w:rFonts w:ascii="Arial" w:cs="Arial" w:eastAsia="Arial" w:hAnsi="Arial"/>
          <w:sz w:val="12"/>
          <w:szCs w:val="12"/>
          <w:color w:val="auto"/>
        </w:rPr>
      </w:pPr>
    </w:p>
    <w:p>
      <w:pPr>
        <w:jc w:val="both"/>
        <w:ind w:left="301" w:hanging="301"/>
        <w:spacing w:after="0" w:line="270" w:lineRule="auto"/>
        <w:tabs>
          <w:tab w:leader="none" w:pos="3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These time-based RSUs awarded in June 2024 reflect Mr. Hicks’s equity retainer as non-employee Chairman of the Board and will vest on the same terms as the annual grants to other non-employee directors, with 100% vesting on the earliest of (i) the first anniversary of the date of grant, or, the date which is the business day immediately preceding the date of the next annual meeting of stockholders, (ii) his termination due to death or Disability (as defined in the 2020 Omnibus Incentive Plan) or (iii) a Change of Control (as defined in the 2020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1098550</wp:posOffset>
            </wp:positionV>
            <wp:extent cx="7168515" cy="4127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811530</wp:posOffset>
            </wp:positionV>
            <wp:extent cx="789305" cy="18923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74" w:name="page75"/>
    <w:bookmarkEnd w:id="74"/>
    <w:p>
      <w:pPr>
        <w:ind w:left="7541"/>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Option Exercises and Stock Awards Vested</w:t>
      </w:r>
    </w:p>
    <w:p>
      <w:pPr>
        <w:spacing w:after="0" w:line="144" w:lineRule="exact"/>
        <w:rPr>
          <w:sz w:val="20"/>
          <w:szCs w:val="20"/>
          <w:color w:val="auto"/>
        </w:rPr>
      </w:pPr>
    </w:p>
    <w:p>
      <w:pPr>
        <w:ind w:left="1" w:right="180"/>
        <w:spacing w:after="0" w:line="310" w:lineRule="auto"/>
        <w:rPr>
          <w:sz w:val="20"/>
          <w:szCs w:val="20"/>
          <w:color w:val="auto"/>
        </w:rPr>
      </w:pPr>
      <w:r>
        <w:rPr>
          <w:rFonts w:ascii="Arial" w:cs="Arial" w:eastAsia="Arial" w:hAnsi="Arial"/>
          <w:sz w:val="15"/>
          <w:szCs w:val="15"/>
          <w:color w:val="auto"/>
        </w:rPr>
        <w:t>The following table provides information on RSU awards that vested during the 2024 fiscal year which ended February 1, 2025. None of the NEOs exercised any Option awards during fiscal 2024.</w:t>
      </w:r>
    </w:p>
    <w:p>
      <w:pPr>
        <w:spacing w:after="0" w:line="76"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80" w:type="dxa"/>
            <w:vAlign w:val="bottom"/>
            <w:tcBorders>
              <w:bottom w:val="single" w:sz="8" w:color="E1D7AC"/>
            </w:tcBorders>
            <w:shd w:val="clear" w:color="auto" w:fill="E1D7AC"/>
          </w:tcPr>
          <w:p>
            <w:pPr>
              <w:spacing w:after="0"/>
              <w:rPr>
                <w:sz w:val="19"/>
                <w:szCs w:val="19"/>
                <w:color w:val="auto"/>
              </w:rPr>
            </w:pPr>
          </w:p>
        </w:tc>
        <w:tc>
          <w:tcPr>
            <w:tcW w:w="360" w:type="dxa"/>
            <w:vAlign w:val="bottom"/>
            <w:tcBorders>
              <w:bottom w:val="single" w:sz="8" w:color="E1D7AC"/>
            </w:tcBorders>
            <w:shd w:val="clear" w:color="auto" w:fill="E1D7AC"/>
          </w:tcPr>
          <w:p>
            <w:pPr>
              <w:spacing w:after="0"/>
              <w:rPr>
                <w:sz w:val="19"/>
                <w:szCs w:val="19"/>
                <w:color w:val="auto"/>
              </w:rPr>
            </w:pPr>
          </w:p>
        </w:tc>
        <w:tc>
          <w:tcPr>
            <w:tcW w:w="1580" w:type="dxa"/>
            <w:vAlign w:val="bottom"/>
            <w:tcBorders>
              <w:bottom w:val="single" w:sz="8" w:color="E1D7AC"/>
            </w:tcBorders>
            <w:shd w:val="clear" w:color="auto" w:fill="E1D7AC"/>
          </w:tcPr>
          <w:p>
            <w:pPr>
              <w:spacing w:after="0"/>
              <w:rPr>
                <w:sz w:val="19"/>
                <w:szCs w:val="19"/>
                <w:color w:val="auto"/>
              </w:rPr>
            </w:pPr>
          </w:p>
        </w:tc>
        <w:tc>
          <w:tcPr>
            <w:tcW w:w="4620" w:type="dxa"/>
            <w:vAlign w:val="bottom"/>
            <w:tcBorders>
              <w:bottom w:val="single" w:sz="8" w:color="E1D7AC"/>
            </w:tcBorders>
            <w:gridSpan w:val="5"/>
            <w:shd w:val="clear" w:color="auto" w:fill="E1D7AC"/>
          </w:tcPr>
          <w:p>
            <w:pPr>
              <w:ind w:left="1400"/>
              <w:spacing w:after="0"/>
              <w:rPr>
                <w:sz w:val="20"/>
                <w:szCs w:val="20"/>
                <w:color w:val="auto"/>
              </w:rPr>
            </w:pPr>
            <w:r>
              <w:rPr>
                <w:rFonts w:ascii="Arial" w:cs="Arial" w:eastAsia="Arial" w:hAnsi="Arial"/>
                <w:sz w:val="13"/>
                <w:szCs w:val="13"/>
                <w:b w:val="1"/>
                <w:bCs w:val="1"/>
                <w:color w:val="auto"/>
              </w:rPr>
              <w:t>Options Awards Exercised</w:t>
            </w:r>
          </w:p>
        </w:tc>
        <w:tc>
          <w:tcPr>
            <w:tcW w:w="4600" w:type="dxa"/>
            <w:vAlign w:val="bottom"/>
            <w:tcBorders>
              <w:bottom w:val="single" w:sz="8" w:color="E1D7AC"/>
            </w:tcBorders>
            <w:gridSpan w:val="6"/>
            <w:shd w:val="clear" w:color="auto" w:fill="E1D7AC"/>
          </w:tcPr>
          <w:p>
            <w:pPr>
              <w:ind w:left="1560"/>
              <w:spacing w:after="0"/>
              <w:rPr>
                <w:sz w:val="20"/>
                <w:szCs w:val="20"/>
                <w:color w:val="auto"/>
              </w:rPr>
            </w:pPr>
            <w:r>
              <w:rPr>
                <w:rFonts w:ascii="Arial" w:cs="Arial" w:eastAsia="Arial" w:hAnsi="Arial"/>
                <w:sz w:val="13"/>
                <w:szCs w:val="13"/>
                <w:b w:val="1"/>
                <w:bCs w:val="1"/>
                <w:color w:val="auto"/>
              </w:rPr>
              <w:t>Stock Awards Vested</w:t>
            </w:r>
          </w:p>
        </w:tc>
        <w:tc>
          <w:tcPr>
            <w:tcW w:w="0" w:type="dxa"/>
            <w:vAlign w:val="bottom"/>
          </w:tcPr>
          <w:p>
            <w:pPr>
              <w:spacing w:after="0"/>
              <w:rPr>
                <w:sz w:val="1"/>
                <w:szCs w:val="1"/>
                <w:color w:val="auto"/>
              </w:rPr>
            </w:pPr>
          </w:p>
        </w:tc>
      </w:tr>
      <w:tr>
        <w:trPr>
          <w:trHeight w:val="166"/>
        </w:trPr>
        <w:tc>
          <w:tcPr>
            <w:tcW w:w="80" w:type="dxa"/>
            <w:vAlign w:val="bottom"/>
            <w:tcBorders>
              <w:top w:val="single" w:sz="8" w:color="E1D7AC"/>
            </w:tcBorders>
            <w:shd w:val="clear" w:color="auto" w:fill="E1D7AC"/>
          </w:tcPr>
          <w:p>
            <w:pPr>
              <w:spacing w:after="0"/>
              <w:rPr>
                <w:sz w:val="14"/>
                <w:szCs w:val="14"/>
                <w:color w:val="auto"/>
              </w:rPr>
            </w:pPr>
          </w:p>
        </w:tc>
        <w:tc>
          <w:tcPr>
            <w:tcW w:w="360" w:type="dxa"/>
            <w:vAlign w:val="bottom"/>
            <w:tcBorders>
              <w:top w:val="single" w:sz="8" w:color="E1D7AC"/>
            </w:tcBorders>
            <w:shd w:val="clear" w:color="auto" w:fill="E1D7AC"/>
          </w:tcPr>
          <w:p>
            <w:pPr>
              <w:spacing w:after="0"/>
              <w:rPr>
                <w:sz w:val="14"/>
                <w:szCs w:val="14"/>
                <w:color w:val="auto"/>
              </w:rPr>
            </w:pPr>
          </w:p>
        </w:tc>
        <w:tc>
          <w:tcPr>
            <w:tcW w:w="1580" w:type="dxa"/>
            <w:vAlign w:val="bottom"/>
            <w:tcBorders>
              <w:top w:val="single" w:sz="8" w:color="E1D7AC"/>
            </w:tcBorders>
            <w:shd w:val="clear" w:color="auto" w:fill="E1D7AC"/>
          </w:tcPr>
          <w:p>
            <w:pPr>
              <w:spacing w:after="0"/>
              <w:rPr>
                <w:sz w:val="14"/>
                <w:szCs w:val="14"/>
                <w:color w:val="auto"/>
              </w:rPr>
            </w:pPr>
          </w:p>
        </w:tc>
        <w:tc>
          <w:tcPr>
            <w:tcW w:w="224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Number of Shares Acquired on</w:t>
            </w:r>
          </w:p>
        </w:tc>
        <w:tc>
          <w:tcPr>
            <w:tcW w:w="2060" w:type="dxa"/>
            <w:vAlign w:val="bottom"/>
            <w:tcBorders>
              <w:top w:val="single" w:sz="8" w:color="auto"/>
            </w:tcBorders>
            <w:shd w:val="clear" w:color="auto" w:fill="E1D7AC"/>
          </w:tcPr>
          <w:p>
            <w:pPr>
              <w:spacing w:after="0"/>
              <w:rPr>
                <w:sz w:val="14"/>
                <w:szCs w:val="14"/>
                <w:color w:val="auto"/>
              </w:rPr>
            </w:pPr>
          </w:p>
        </w:tc>
        <w:tc>
          <w:tcPr>
            <w:tcW w:w="180" w:type="dxa"/>
            <w:vAlign w:val="bottom"/>
            <w:tcBorders>
              <w:top w:val="single" w:sz="8" w:color="auto"/>
            </w:tcBorders>
            <w:shd w:val="clear" w:color="auto" w:fill="E1D7AC"/>
          </w:tcPr>
          <w:p>
            <w:pPr>
              <w:spacing w:after="0"/>
              <w:rPr>
                <w:sz w:val="14"/>
                <w:szCs w:val="14"/>
                <w:color w:val="auto"/>
              </w:rPr>
            </w:pPr>
          </w:p>
        </w:tc>
        <w:tc>
          <w:tcPr>
            <w:tcW w:w="140" w:type="dxa"/>
            <w:vAlign w:val="bottom"/>
            <w:tcBorders>
              <w:top w:val="single" w:sz="8" w:color="E1D7AC"/>
            </w:tcBorders>
            <w:shd w:val="clear" w:color="auto" w:fill="E1D7AC"/>
          </w:tcPr>
          <w:p>
            <w:pPr>
              <w:spacing w:after="0"/>
              <w:rPr>
                <w:sz w:val="14"/>
                <w:szCs w:val="14"/>
                <w:color w:val="auto"/>
              </w:rPr>
            </w:pPr>
          </w:p>
        </w:tc>
        <w:tc>
          <w:tcPr>
            <w:tcW w:w="222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Number of Shares Acquired on</w:t>
            </w:r>
          </w:p>
        </w:tc>
        <w:tc>
          <w:tcPr>
            <w:tcW w:w="1960" w:type="dxa"/>
            <w:vAlign w:val="bottom"/>
            <w:tcBorders>
              <w:top w:val="single" w:sz="8" w:color="auto"/>
            </w:tcBorders>
            <w:shd w:val="clear" w:color="auto" w:fill="E1D7AC"/>
          </w:tcPr>
          <w:p>
            <w:pPr>
              <w:spacing w:after="0"/>
              <w:rPr>
                <w:sz w:val="14"/>
                <w:szCs w:val="14"/>
                <w:color w:val="auto"/>
              </w:rPr>
            </w:pPr>
          </w:p>
        </w:tc>
        <w:tc>
          <w:tcPr>
            <w:tcW w:w="160" w:type="dxa"/>
            <w:vAlign w:val="bottom"/>
            <w:tcBorders>
              <w:top w:val="single" w:sz="8" w:color="auto"/>
            </w:tcBorders>
            <w:shd w:val="clear" w:color="auto" w:fill="E1D7AC"/>
          </w:tcPr>
          <w:p>
            <w:pPr>
              <w:spacing w:after="0"/>
              <w:rPr>
                <w:sz w:val="14"/>
                <w:szCs w:val="14"/>
                <w:color w:val="auto"/>
              </w:rPr>
            </w:pPr>
          </w:p>
        </w:tc>
        <w:tc>
          <w:tcPr>
            <w:tcW w:w="140" w:type="dxa"/>
            <w:vAlign w:val="bottom"/>
            <w:tcBorders>
              <w:top w:val="single" w:sz="8" w:color="auto"/>
            </w:tcBorders>
            <w:shd w:val="clear" w:color="auto" w:fill="E1D7AC"/>
          </w:tcPr>
          <w:p>
            <w:pPr>
              <w:spacing w:after="0"/>
              <w:rPr>
                <w:sz w:val="14"/>
                <w:szCs w:val="14"/>
                <w:color w:val="auto"/>
              </w:rPr>
            </w:pPr>
          </w:p>
        </w:tc>
        <w:tc>
          <w:tcPr>
            <w:tcW w:w="120" w:type="dxa"/>
            <w:vAlign w:val="bottom"/>
            <w:tcBorders>
              <w:top w:val="single" w:sz="8" w:color="E1D7AC"/>
            </w:tcBorders>
            <w:shd w:val="clear" w:color="auto" w:fill="E1D7A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 w:type="dxa"/>
            <w:vAlign w:val="bottom"/>
            <w:shd w:val="clear" w:color="auto" w:fill="E1D7AC"/>
          </w:tcPr>
          <w:p>
            <w:pPr>
              <w:spacing w:after="0"/>
              <w:rPr>
                <w:sz w:val="15"/>
                <w:szCs w:val="15"/>
                <w:color w:val="auto"/>
              </w:rPr>
            </w:pPr>
          </w:p>
        </w:tc>
        <w:tc>
          <w:tcPr>
            <w:tcW w:w="360" w:type="dxa"/>
            <w:vAlign w:val="bottom"/>
            <w:shd w:val="clear" w:color="auto" w:fill="E1D7AC"/>
          </w:tcPr>
          <w:p>
            <w:pPr>
              <w:spacing w:after="0"/>
              <w:rPr>
                <w:sz w:val="15"/>
                <w:szCs w:val="15"/>
                <w:color w:val="auto"/>
              </w:rPr>
            </w:pPr>
          </w:p>
        </w:tc>
        <w:tc>
          <w:tcPr>
            <w:tcW w:w="1580" w:type="dxa"/>
            <w:vAlign w:val="bottom"/>
            <w:shd w:val="clear" w:color="auto" w:fill="E1D7AC"/>
          </w:tcPr>
          <w:p>
            <w:pPr>
              <w:spacing w:after="0"/>
              <w:rPr>
                <w:sz w:val="15"/>
                <w:szCs w:val="15"/>
                <w:color w:val="auto"/>
              </w:rPr>
            </w:pPr>
          </w:p>
        </w:tc>
        <w:tc>
          <w:tcPr>
            <w:tcW w:w="224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Exercise</w:t>
            </w:r>
          </w:p>
        </w:tc>
        <w:tc>
          <w:tcPr>
            <w:tcW w:w="224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Value Realized on Exercise</w:t>
            </w:r>
          </w:p>
        </w:tc>
        <w:tc>
          <w:tcPr>
            <w:tcW w:w="140" w:type="dxa"/>
            <w:vAlign w:val="bottom"/>
            <w:shd w:val="clear" w:color="auto" w:fill="E1D7AC"/>
          </w:tcPr>
          <w:p>
            <w:pPr>
              <w:spacing w:after="0"/>
              <w:rPr>
                <w:sz w:val="15"/>
                <w:szCs w:val="15"/>
                <w:color w:val="auto"/>
              </w:rPr>
            </w:pPr>
          </w:p>
        </w:tc>
        <w:tc>
          <w:tcPr>
            <w:tcW w:w="222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Vesting</w:t>
            </w:r>
          </w:p>
        </w:tc>
        <w:tc>
          <w:tcPr>
            <w:tcW w:w="2260" w:type="dxa"/>
            <w:vAlign w:val="bottom"/>
            <w:gridSpan w:val="3"/>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Value Realized on Vesting</w:t>
            </w:r>
          </w:p>
        </w:tc>
        <w:tc>
          <w:tcPr>
            <w:tcW w:w="120" w:type="dxa"/>
            <w:vAlign w:val="bottom"/>
            <w:shd w:val="clear" w:color="auto" w:fill="E1D7AC"/>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0" w:type="dxa"/>
            <w:vAlign w:val="bottom"/>
            <w:shd w:val="clear" w:color="auto" w:fill="E1D7AC"/>
          </w:tcPr>
          <w:p>
            <w:pPr>
              <w:spacing w:after="0"/>
              <w:rPr>
                <w:sz w:val="11"/>
                <w:szCs w:val="11"/>
                <w:color w:val="auto"/>
              </w:rPr>
            </w:pPr>
          </w:p>
        </w:tc>
        <w:tc>
          <w:tcPr>
            <w:tcW w:w="360" w:type="dxa"/>
            <w:vAlign w:val="bottom"/>
            <w:vMerge w:val="restart"/>
            <w:shd w:val="clear" w:color="auto" w:fill="E1D7AC"/>
          </w:tcPr>
          <w:p>
            <w:pPr>
              <w:ind w:left="20"/>
              <w:spacing w:after="0"/>
              <w:rPr>
                <w:sz w:val="20"/>
                <w:szCs w:val="20"/>
                <w:color w:val="auto"/>
              </w:rPr>
            </w:pPr>
            <w:r>
              <w:rPr>
                <w:rFonts w:ascii="Arial" w:cs="Arial" w:eastAsia="Arial" w:hAnsi="Arial"/>
                <w:sz w:val="13"/>
                <w:szCs w:val="13"/>
                <w:b w:val="1"/>
                <w:bCs w:val="1"/>
                <w:color w:val="auto"/>
                <w:w w:val="90"/>
                <w:shd w:val="clear" w:color="auto" w:fill="E1D7AC"/>
              </w:rPr>
              <w:t>Name</w:t>
            </w:r>
          </w:p>
        </w:tc>
        <w:tc>
          <w:tcPr>
            <w:tcW w:w="1580" w:type="dxa"/>
            <w:vAlign w:val="bottom"/>
            <w:shd w:val="clear" w:color="auto" w:fill="E1D7AC"/>
          </w:tcPr>
          <w:p>
            <w:pPr>
              <w:spacing w:after="0"/>
              <w:rPr>
                <w:sz w:val="11"/>
                <w:szCs w:val="11"/>
                <w:color w:val="auto"/>
              </w:rPr>
            </w:pPr>
          </w:p>
        </w:tc>
        <w:tc>
          <w:tcPr>
            <w:tcW w:w="2040" w:type="dxa"/>
            <w:vAlign w:val="bottom"/>
            <w:shd w:val="clear" w:color="auto" w:fill="E1D7AC"/>
          </w:tcPr>
          <w:p>
            <w:pPr>
              <w:spacing w:after="0"/>
              <w:rPr>
                <w:sz w:val="11"/>
                <w:szCs w:val="11"/>
                <w:color w:val="auto"/>
              </w:rPr>
            </w:pPr>
          </w:p>
        </w:tc>
        <w:tc>
          <w:tcPr>
            <w:tcW w:w="20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2060" w:type="dxa"/>
            <w:vAlign w:val="bottom"/>
            <w:shd w:val="clear" w:color="auto" w:fill="E1D7AC"/>
          </w:tcPr>
          <w:p>
            <w:pPr>
              <w:spacing w:after="0"/>
              <w:rPr>
                <w:sz w:val="11"/>
                <w:szCs w:val="11"/>
                <w:color w:val="auto"/>
              </w:rPr>
            </w:pPr>
          </w:p>
        </w:tc>
        <w:tc>
          <w:tcPr>
            <w:tcW w:w="18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w w:val="87"/>
                <w:shd w:val="clear" w:color="auto" w:fill="E1D7AC"/>
              </w:rPr>
              <w:t>($)</w:t>
            </w:r>
          </w:p>
        </w:tc>
        <w:tc>
          <w:tcPr>
            <w:tcW w:w="140" w:type="dxa"/>
            <w:vAlign w:val="bottom"/>
            <w:shd w:val="clear" w:color="auto" w:fill="E1D7AC"/>
          </w:tcPr>
          <w:p>
            <w:pPr>
              <w:spacing w:after="0"/>
              <w:rPr>
                <w:sz w:val="11"/>
                <w:szCs w:val="11"/>
                <w:color w:val="auto"/>
              </w:rPr>
            </w:pPr>
          </w:p>
        </w:tc>
        <w:tc>
          <w:tcPr>
            <w:tcW w:w="2020" w:type="dxa"/>
            <w:vAlign w:val="bottom"/>
            <w:shd w:val="clear" w:color="auto" w:fill="E1D7AC"/>
          </w:tcPr>
          <w:p>
            <w:pPr>
              <w:spacing w:after="0"/>
              <w:rPr>
                <w:sz w:val="11"/>
                <w:szCs w:val="11"/>
                <w:color w:val="auto"/>
              </w:rPr>
            </w:pPr>
          </w:p>
        </w:tc>
        <w:tc>
          <w:tcPr>
            <w:tcW w:w="20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960" w:type="dxa"/>
            <w:vAlign w:val="bottom"/>
            <w:shd w:val="clear" w:color="auto" w:fill="E1D7AC"/>
          </w:tcPr>
          <w:p>
            <w:pPr>
              <w:spacing w:after="0"/>
              <w:rPr>
                <w:sz w:val="11"/>
                <w:szCs w:val="11"/>
                <w:color w:val="auto"/>
              </w:rPr>
            </w:pPr>
          </w:p>
        </w:tc>
        <w:tc>
          <w:tcPr>
            <w:tcW w:w="16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w w:val="87"/>
                <w:shd w:val="clear" w:color="auto" w:fill="E1D7AC"/>
              </w:rPr>
              <w:t>($)</w:t>
            </w:r>
          </w:p>
        </w:tc>
        <w:tc>
          <w:tcPr>
            <w:tcW w:w="140" w:type="dxa"/>
            <w:vAlign w:val="bottom"/>
            <w:shd w:val="clear" w:color="auto" w:fill="E1D7AC"/>
          </w:tcPr>
          <w:p>
            <w:pPr>
              <w:jc w:val="right"/>
              <w:spacing w:after="0"/>
              <w:rPr>
                <w:sz w:val="20"/>
                <w:szCs w:val="20"/>
                <w:color w:val="auto"/>
              </w:rPr>
            </w:pPr>
            <w:r>
              <w:rPr>
                <w:rFonts w:ascii="Arial" w:cs="Arial" w:eastAsia="Arial" w:hAnsi="Arial"/>
                <w:sz w:val="9"/>
                <w:szCs w:val="9"/>
                <w:b w:val="1"/>
                <w:bCs w:val="1"/>
                <w:color w:val="auto"/>
                <w:w w:val="90"/>
                <w:shd w:val="clear" w:color="auto" w:fill="E1D7AC"/>
              </w:rPr>
              <w:t>(1)</w:t>
            </w:r>
          </w:p>
        </w:tc>
        <w:tc>
          <w:tcPr>
            <w:tcW w:w="120" w:type="dxa"/>
            <w:vAlign w:val="bottom"/>
            <w:shd w:val="clear" w:color="auto" w:fill="E1D7AC"/>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80" w:type="dxa"/>
            <w:vAlign w:val="bottom"/>
            <w:shd w:val="clear" w:color="auto" w:fill="E1D7AC"/>
          </w:tcPr>
          <w:p>
            <w:pPr>
              <w:spacing w:after="0"/>
              <w:rPr>
                <w:sz w:val="3"/>
                <w:szCs w:val="3"/>
                <w:color w:val="auto"/>
              </w:rPr>
            </w:pPr>
          </w:p>
        </w:tc>
        <w:tc>
          <w:tcPr>
            <w:tcW w:w="360" w:type="dxa"/>
            <w:vAlign w:val="bottom"/>
            <w:vMerge w:val="continue"/>
            <w:shd w:val="clear" w:color="auto" w:fill="E1D7AC"/>
          </w:tcPr>
          <w:p>
            <w:pPr>
              <w:spacing w:after="0"/>
              <w:rPr>
                <w:sz w:val="3"/>
                <w:szCs w:val="3"/>
                <w:color w:val="auto"/>
              </w:rPr>
            </w:pPr>
          </w:p>
        </w:tc>
        <w:tc>
          <w:tcPr>
            <w:tcW w:w="1580" w:type="dxa"/>
            <w:vAlign w:val="bottom"/>
            <w:shd w:val="clear" w:color="auto" w:fill="E1D7AC"/>
          </w:tcPr>
          <w:p>
            <w:pPr>
              <w:spacing w:after="0"/>
              <w:rPr>
                <w:sz w:val="3"/>
                <w:szCs w:val="3"/>
                <w:color w:val="auto"/>
              </w:rPr>
            </w:pPr>
          </w:p>
        </w:tc>
        <w:tc>
          <w:tcPr>
            <w:tcW w:w="2040" w:type="dxa"/>
            <w:vAlign w:val="bottom"/>
            <w:shd w:val="clear" w:color="auto" w:fill="E1D7AC"/>
          </w:tcPr>
          <w:p>
            <w:pPr>
              <w:spacing w:after="0"/>
              <w:rPr>
                <w:sz w:val="3"/>
                <w:szCs w:val="3"/>
                <w:color w:val="auto"/>
              </w:rPr>
            </w:pPr>
          </w:p>
        </w:tc>
        <w:tc>
          <w:tcPr>
            <w:tcW w:w="200" w:type="dxa"/>
            <w:vAlign w:val="bottom"/>
            <w:vMerge w:val="continue"/>
            <w:shd w:val="clear" w:color="auto" w:fill="E1D7AC"/>
          </w:tcPr>
          <w:p>
            <w:pPr>
              <w:spacing w:after="0"/>
              <w:rPr>
                <w:sz w:val="3"/>
                <w:szCs w:val="3"/>
                <w:color w:val="auto"/>
              </w:rPr>
            </w:pPr>
          </w:p>
        </w:tc>
        <w:tc>
          <w:tcPr>
            <w:tcW w:w="2060" w:type="dxa"/>
            <w:vAlign w:val="bottom"/>
            <w:shd w:val="clear" w:color="auto" w:fill="E1D7AC"/>
          </w:tcPr>
          <w:p>
            <w:pPr>
              <w:spacing w:after="0"/>
              <w:rPr>
                <w:sz w:val="3"/>
                <w:szCs w:val="3"/>
                <w:color w:val="auto"/>
              </w:rPr>
            </w:pPr>
          </w:p>
        </w:tc>
        <w:tc>
          <w:tcPr>
            <w:tcW w:w="180" w:type="dxa"/>
            <w:vAlign w:val="bottom"/>
            <w:vMerge w:val="continue"/>
            <w:shd w:val="clear" w:color="auto" w:fill="E1D7AC"/>
          </w:tcPr>
          <w:p>
            <w:pPr>
              <w:spacing w:after="0"/>
              <w:rPr>
                <w:sz w:val="3"/>
                <w:szCs w:val="3"/>
                <w:color w:val="auto"/>
              </w:rPr>
            </w:pPr>
          </w:p>
        </w:tc>
        <w:tc>
          <w:tcPr>
            <w:tcW w:w="140" w:type="dxa"/>
            <w:vAlign w:val="bottom"/>
            <w:shd w:val="clear" w:color="auto" w:fill="E1D7AC"/>
          </w:tcPr>
          <w:p>
            <w:pPr>
              <w:spacing w:after="0"/>
              <w:rPr>
                <w:sz w:val="3"/>
                <w:szCs w:val="3"/>
                <w:color w:val="auto"/>
              </w:rPr>
            </w:pPr>
          </w:p>
        </w:tc>
        <w:tc>
          <w:tcPr>
            <w:tcW w:w="2020" w:type="dxa"/>
            <w:vAlign w:val="bottom"/>
            <w:shd w:val="clear" w:color="auto" w:fill="E1D7AC"/>
          </w:tcPr>
          <w:p>
            <w:pPr>
              <w:spacing w:after="0"/>
              <w:rPr>
                <w:sz w:val="3"/>
                <w:szCs w:val="3"/>
                <w:color w:val="auto"/>
              </w:rPr>
            </w:pPr>
          </w:p>
        </w:tc>
        <w:tc>
          <w:tcPr>
            <w:tcW w:w="200" w:type="dxa"/>
            <w:vAlign w:val="bottom"/>
            <w:vMerge w:val="continue"/>
            <w:shd w:val="clear" w:color="auto" w:fill="E1D7AC"/>
          </w:tcPr>
          <w:p>
            <w:pPr>
              <w:spacing w:after="0"/>
              <w:rPr>
                <w:sz w:val="3"/>
                <w:szCs w:val="3"/>
                <w:color w:val="auto"/>
              </w:rPr>
            </w:pPr>
          </w:p>
        </w:tc>
        <w:tc>
          <w:tcPr>
            <w:tcW w:w="1960" w:type="dxa"/>
            <w:vAlign w:val="bottom"/>
            <w:shd w:val="clear" w:color="auto" w:fill="E1D7AC"/>
          </w:tcPr>
          <w:p>
            <w:pPr>
              <w:spacing w:after="0"/>
              <w:rPr>
                <w:sz w:val="3"/>
                <w:szCs w:val="3"/>
                <w:color w:val="auto"/>
              </w:rPr>
            </w:pPr>
          </w:p>
        </w:tc>
        <w:tc>
          <w:tcPr>
            <w:tcW w:w="160" w:type="dxa"/>
            <w:vAlign w:val="bottom"/>
            <w:vMerge w:val="continue"/>
            <w:shd w:val="clear" w:color="auto" w:fill="E1D7AC"/>
          </w:tcPr>
          <w:p>
            <w:pPr>
              <w:spacing w:after="0"/>
              <w:rPr>
                <w:sz w:val="3"/>
                <w:szCs w:val="3"/>
                <w:color w:val="auto"/>
              </w:rPr>
            </w:pPr>
          </w:p>
        </w:tc>
        <w:tc>
          <w:tcPr>
            <w:tcW w:w="140" w:type="dxa"/>
            <w:vAlign w:val="bottom"/>
            <w:shd w:val="clear" w:color="auto" w:fill="E1D7AC"/>
          </w:tcPr>
          <w:p>
            <w:pPr>
              <w:spacing w:after="0"/>
              <w:rPr>
                <w:sz w:val="3"/>
                <w:szCs w:val="3"/>
                <w:color w:val="auto"/>
              </w:rPr>
            </w:pPr>
          </w:p>
        </w:tc>
        <w:tc>
          <w:tcPr>
            <w:tcW w:w="120" w:type="dxa"/>
            <w:vAlign w:val="bottom"/>
            <w:shd w:val="clear" w:color="auto" w:fill="E1D7AC"/>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80" w:type="dxa"/>
            <w:vAlign w:val="bottom"/>
            <w:shd w:val="clear" w:color="auto" w:fill="E1D7AC"/>
          </w:tcPr>
          <w:p>
            <w:pPr>
              <w:spacing w:after="0"/>
              <w:rPr>
                <w:sz w:val="8"/>
                <w:szCs w:val="8"/>
                <w:color w:val="auto"/>
              </w:rPr>
            </w:pPr>
          </w:p>
        </w:tc>
        <w:tc>
          <w:tcPr>
            <w:tcW w:w="360" w:type="dxa"/>
            <w:vAlign w:val="bottom"/>
            <w:shd w:val="clear" w:color="auto" w:fill="E1D7AC"/>
          </w:tcPr>
          <w:p>
            <w:pPr>
              <w:spacing w:after="0"/>
              <w:rPr>
                <w:sz w:val="8"/>
                <w:szCs w:val="8"/>
                <w:color w:val="auto"/>
              </w:rPr>
            </w:pPr>
          </w:p>
        </w:tc>
        <w:tc>
          <w:tcPr>
            <w:tcW w:w="1580" w:type="dxa"/>
            <w:vAlign w:val="bottom"/>
            <w:shd w:val="clear" w:color="auto" w:fill="E1D7AC"/>
          </w:tcPr>
          <w:p>
            <w:pPr>
              <w:spacing w:after="0"/>
              <w:rPr>
                <w:sz w:val="8"/>
                <w:szCs w:val="8"/>
                <w:color w:val="auto"/>
              </w:rPr>
            </w:pPr>
          </w:p>
        </w:tc>
        <w:tc>
          <w:tcPr>
            <w:tcW w:w="2040" w:type="dxa"/>
            <w:vAlign w:val="bottom"/>
            <w:shd w:val="clear" w:color="auto" w:fill="E1D7AC"/>
          </w:tcPr>
          <w:p>
            <w:pPr>
              <w:spacing w:after="0"/>
              <w:rPr>
                <w:sz w:val="8"/>
                <w:szCs w:val="8"/>
                <w:color w:val="auto"/>
              </w:rPr>
            </w:pPr>
          </w:p>
        </w:tc>
        <w:tc>
          <w:tcPr>
            <w:tcW w:w="200" w:type="dxa"/>
            <w:vAlign w:val="bottom"/>
            <w:shd w:val="clear" w:color="auto" w:fill="E1D7AC"/>
          </w:tcPr>
          <w:p>
            <w:pPr>
              <w:spacing w:after="0"/>
              <w:rPr>
                <w:sz w:val="8"/>
                <w:szCs w:val="8"/>
                <w:color w:val="auto"/>
              </w:rPr>
            </w:pPr>
          </w:p>
        </w:tc>
        <w:tc>
          <w:tcPr>
            <w:tcW w:w="2060" w:type="dxa"/>
            <w:vAlign w:val="bottom"/>
            <w:shd w:val="clear" w:color="auto" w:fill="E1D7AC"/>
          </w:tcPr>
          <w:p>
            <w:pPr>
              <w:spacing w:after="0"/>
              <w:rPr>
                <w:sz w:val="8"/>
                <w:szCs w:val="8"/>
                <w:color w:val="auto"/>
              </w:rPr>
            </w:pPr>
          </w:p>
        </w:tc>
        <w:tc>
          <w:tcPr>
            <w:tcW w:w="180" w:type="dxa"/>
            <w:vAlign w:val="bottom"/>
            <w:shd w:val="clear" w:color="auto" w:fill="E1D7AC"/>
          </w:tcPr>
          <w:p>
            <w:pPr>
              <w:spacing w:after="0"/>
              <w:rPr>
                <w:sz w:val="8"/>
                <w:szCs w:val="8"/>
                <w:color w:val="auto"/>
              </w:rPr>
            </w:pPr>
          </w:p>
        </w:tc>
        <w:tc>
          <w:tcPr>
            <w:tcW w:w="140" w:type="dxa"/>
            <w:vAlign w:val="bottom"/>
            <w:shd w:val="clear" w:color="auto" w:fill="E1D7AC"/>
          </w:tcPr>
          <w:p>
            <w:pPr>
              <w:spacing w:after="0"/>
              <w:rPr>
                <w:sz w:val="8"/>
                <w:szCs w:val="8"/>
                <w:color w:val="auto"/>
              </w:rPr>
            </w:pPr>
          </w:p>
        </w:tc>
        <w:tc>
          <w:tcPr>
            <w:tcW w:w="2020" w:type="dxa"/>
            <w:vAlign w:val="bottom"/>
            <w:shd w:val="clear" w:color="auto" w:fill="E1D7AC"/>
          </w:tcPr>
          <w:p>
            <w:pPr>
              <w:spacing w:after="0"/>
              <w:rPr>
                <w:sz w:val="8"/>
                <w:szCs w:val="8"/>
                <w:color w:val="auto"/>
              </w:rPr>
            </w:pPr>
          </w:p>
        </w:tc>
        <w:tc>
          <w:tcPr>
            <w:tcW w:w="200" w:type="dxa"/>
            <w:vAlign w:val="bottom"/>
            <w:shd w:val="clear" w:color="auto" w:fill="E1D7AC"/>
          </w:tcPr>
          <w:p>
            <w:pPr>
              <w:spacing w:after="0"/>
              <w:rPr>
                <w:sz w:val="8"/>
                <w:szCs w:val="8"/>
                <w:color w:val="auto"/>
              </w:rPr>
            </w:pPr>
          </w:p>
        </w:tc>
        <w:tc>
          <w:tcPr>
            <w:tcW w:w="1960" w:type="dxa"/>
            <w:vAlign w:val="bottom"/>
            <w:shd w:val="clear" w:color="auto" w:fill="E1D7AC"/>
          </w:tcPr>
          <w:p>
            <w:pPr>
              <w:spacing w:after="0"/>
              <w:rPr>
                <w:sz w:val="8"/>
                <w:szCs w:val="8"/>
                <w:color w:val="auto"/>
              </w:rPr>
            </w:pPr>
          </w:p>
        </w:tc>
        <w:tc>
          <w:tcPr>
            <w:tcW w:w="160" w:type="dxa"/>
            <w:vAlign w:val="bottom"/>
            <w:shd w:val="clear" w:color="auto" w:fill="E1D7AC"/>
          </w:tcPr>
          <w:p>
            <w:pPr>
              <w:spacing w:after="0"/>
              <w:rPr>
                <w:sz w:val="8"/>
                <w:szCs w:val="8"/>
                <w:color w:val="auto"/>
              </w:rPr>
            </w:pPr>
          </w:p>
        </w:tc>
        <w:tc>
          <w:tcPr>
            <w:tcW w:w="140" w:type="dxa"/>
            <w:vAlign w:val="bottom"/>
            <w:shd w:val="clear" w:color="auto" w:fill="E1D7AC"/>
          </w:tcPr>
          <w:p>
            <w:pPr>
              <w:spacing w:after="0"/>
              <w:rPr>
                <w:sz w:val="8"/>
                <w:szCs w:val="8"/>
                <w:color w:val="auto"/>
              </w:rPr>
            </w:pPr>
          </w:p>
        </w:tc>
        <w:tc>
          <w:tcPr>
            <w:tcW w:w="120" w:type="dxa"/>
            <w:vAlign w:val="bottom"/>
            <w:shd w:val="clear" w:color="auto" w:fill="E1D7AC"/>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19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Steve Lawrence</w:t>
            </w:r>
          </w:p>
        </w:tc>
        <w:tc>
          <w:tcPr>
            <w:tcW w:w="204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6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2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27,826</w:t>
            </w:r>
          </w:p>
        </w:tc>
        <w:tc>
          <w:tcPr>
            <w:tcW w:w="2260" w:type="dxa"/>
            <w:vAlign w:val="bottom"/>
            <w:tcBorders>
              <w:bottom w:val="single" w:sz="8" w:color="DBDBDB"/>
            </w:tcBorders>
            <w:gridSpan w:val="3"/>
            <w:shd w:val="clear" w:color="auto" w:fill="DBDBDB"/>
          </w:tcPr>
          <w:p>
            <w:pPr>
              <w:jc w:val="right"/>
              <w:ind w:right="17"/>
              <w:spacing w:after="0"/>
              <w:rPr>
                <w:sz w:val="20"/>
                <w:szCs w:val="20"/>
                <w:color w:val="auto"/>
              </w:rPr>
            </w:pPr>
            <w:r>
              <w:rPr>
                <w:rFonts w:ascii="Arial" w:cs="Arial" w:eastAsia="Arial" w:hAnsi="Arial"/>
                <w:sz w:val="13"/>
                <w:szCs w:val="13"/>
                <w:color w:val="auto"/>
              </w:rPr>
              <w:t>1,528,275</w:t>
            </w:r>
          </w:p>
        </w:tc>
        <w:tc>
          <w:tcPr>
            <w:tcW w:w="1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1940" w:type="dxa"/>
            <w:vAlign w:val="bottom"/>
            <w:gridSpan w:val="2"/>
          </w:tcPr>
          <w:p>
            <w:pPr>
              <w:ind w:left="20"/>
              <w:spacing w:after="0"/>
              <w:rPr>
                <w:sz w:val="20"/>
                <w:szCs w:val="20"/>
                <w:color w:val="auto"/>
              </w:rPr>
            </w:pPr>
            <w:r>
              <w:rPr>
                <w:rFonts w:ascii="Arial" w:cs="Arial" w:eastAsia="Arial" w:hAnsi="Arial"/>
                <w:sz w:val="13"/>
                <w:szCs w:val="13"/>
                <w:b w:val="1"/>
                <w:bCs w:val="1"/>
                <w:color w:val="auto"/>
              </w:rPr>
              <w:t>Sam Johnson</w:t>
            </w:r>
          </w:p>
        </w:tc>
        <w:tc>
          <w:tcPr>
            <w:tcW w:w="20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20" w:type="dxa"/>
            <w:vAlign w:val="bottom"/>
            <w:gridSpan w:val="2"/>
          </w:tcPr>
          <w:p>
            <w:pPr>
              <w:jc w:val="right"/>
              <w:spacing w:after="0"/>
              <w:rPr>
                <w:sz w:val="20"/>
                <w:szCs w:val="20"/>
                <w:color w:val="auto"/>
              </w:rPr>
            </w:pPr>
            <w:r>
              <w:rPr>
                <w:rFonts w:ascii="Arial" w:cs="Arial" w:eastAsia="Arial" w:hAnsi="Arial"/>
                <w:sz w:val="13"/>
                <w:szCs w:val="13"/>
                <w:color w:val="auto"/>
              </w:rPr>
              <w:t>19,955</w:t>
            </w:r>
          </w:p>
        </w:tc>
        <w:tc>
          <w:tcPr>
            <w:tcW w:w="2260" w:type="dxa"/>
            <w:vAlign w:val="bottom"/>
            <w:gridSpan w:val="3"/>
          </w:tcPr>
          <w:p>
            <w:pPr>
              <w:jc w:val="right"/>
              <w:spacing w:after="0"/>
              <w:rPr>
                <w:sz w:val="20"/>
                <w:szCs w:val="20"/>
                <w:color w:val="auto"/>
              </w:rPr>
            </w:pPr>
            <w:r>
              <w:rPr>
                <w:rFonts w:ascii="Arial" w:cs="Arial" w:eastAsia="Arial" w:hAnsi="Arial"/>
                <w:sz w:val="13"/>
                <w:szCs w:val="13"/>
                <w:color w:val="auto"/>
              </w:rPr>
              <w:t>1,101,863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19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Carl Ford</w:t>
            </w:r>
          </w:p>
        </w:tc>
        <w:tc>
          <w:tcPr>
            <w:tcW w:w="204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6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2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4,018</w:t>
            </w:r>
          </w:p>
        </w:tc>
        <w:tc>
          <w:tcPr>
            <w:tcW w:w="2260" w:type="dxa"/>
            <w:vAlign w:val="bottom"/>
            <w:tcBorders>
              <w:bottom w:val="single" w:sz="8" w:color="DBDBDB"/>
            </w:tcBorders>
            <w:gridSpan w:val="3"/>
            <w:shd w:val="clear" w:color="auto" w:fill="DBDBDB"/>
          </w:tcPr>
          <w:p>
            <w:pPr>
              <w:jc w:val="right"/>
              <w:ind w:right="17"/>
              <w:spacing w:after="0"/>
              <w:rPr>
                <w:sz w:val="20"/>
                <w:szCs w:val="20"/>
                <w:color w:val="auto"/>
              </w:rPr>
            </w:pPr>
            <w:r>
              <w:rPr>
                <w:rFonts w:ascii="Arial" w:cs="Arial" w:eastAsia="Arial" w:hAnsi="Arial"/>
                <w:sz w:val="13"/>
                <w:szCs w:val="13"/>
                <w:color w:val="auto"/>
              </w:rPr>
              <w:t>229,029</w:t>
            </w:r>
          </w:p>
        </w:tc>
        <w:tc>
          <w:tcPr>
            <w:tcW w:w="1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1940" w:type="dxa"/>
            <w:vAlign w:val="bottom"/>
            <w:gridSpan w:val="2"/>
          </w:tcPr>
          <w:p>
            <w:pPr>
              <w:ind w:left="20"/>
              <w:spacing w:after="0"/>
              <w:rPr>
                <w:sz w:val="20"/>
                <w:szCs w:val="20"/>
                <w:color w:val="auto"/>
              </w:rPr>
            </w:pPr>
            <w:r>
              <w:rPr>
                <w:rFonts w:ascii="Arial" w:cs="Arial" w:eastAsia="Arial" w:hAnsi="Arial"/>
                <w:sz w:val="13"/>
                <w:szCs w:val="13"/>
                <w:b w:val="1"/>
                <w:bCs w:val="1"/>
                <w:color w:val="auto"/>
              </w:rPr>
              <w:t>Matt McCabe</w:t>
            </w:r>
          </w:p>
        </w:tc>
        <w:tc>
          <w:tcPr>
            <w:tcW w:w="20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20" w:type="dxa"/>
            <w:vAlign w:val="bottom"/>
            <w:gridSpan w:val="2"/>
          </w:tcPr>
          <w:p>
            <w:pPr>
              <w:jc w:val="right"/>
              <w:spacing w:after="0"/>
              <w:rPr>
                <w:sz w:val="20"/>
                <w:szCs w:val="20"/>
                <w:color w:val="auto"/>
              </w:rPr>
            </w:pPr>
            <w:r>
              <w:rPr>
                <w:rFonts w:ascii="Arial" w:cs="Arial" w:eastAsia="Arial" w:hAnsi="Arial"/>
                <w:sz w:val="13"/>
                <w:szCs w:val="13"/>
                <w:color w:val="auto"/>
              </w:rPr>
              <w:t>7,742</w:t>
            </w:r>
          </w:p>
        </w:tc>
        <w:tc>
          <w:tcPr>
            <w:tcW w:w="2260" w:type="dxa"/>
            <w:vAlign w:val="bottom"/>
            <w:gridSpan w:val="3"/>
          </w:tcPr>
          <w:p>
            <w:pPr>
              <w:jc w:val="right"/>
              <w:spacing w:after="0"/>
              <w:rPr>
                <w:sz w:val="20"/>
                <w:szCs w:val="20"/>
                <w:color w:val="auto"/>
              </w:rPr>
            </w:pPr>
            <w:r>
              <w:rPr>
                <w:rFonts w:ascii="Arial" w:cs="Arial" w:eastAsia="Arial" w:hAnsi="Arial"/>
                <w:sz w:val="13"/>
                <w:szCs w:val="13"/>
                <w:color w:val="auto"/>
              </w:rPr>
              <w:t>451,389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shd w:val="clear" w:color="auto" w:fill="DBDBDB"/>
          </w:tcPr>
          <w:p>
            <w:pPr>
              <w:spacing w:after="0"/>
              <w:rPr>
                <w:sz w:val="17"/>
                <w:szCs w:val="17"/>
                <w:color w:val="auto"/>
              </w:rPr>
            </w:pPr>
          </w:p>
        </w:tc>
        <w:tc>
          <w:tcPr>
            <w:tcW w:w="1940" w:type="dxa"/>
            <w:vAlign w:val="bottom"/>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Ken Hicks</w:t>
            </w:r>
          </w:p>
        </w:tc>
        <w:tc>
          <w:tcPr>
            <w:tcW w:w="2040" w:type="dxa"/>
            <w:vAlign w:val="bottom"/>
            <w:shd w:val="clear" w:color="auto" w:fill="DBDBDB"/>
          </w:tcPr>
          <w:p>
            <w:pPr>
              <w:spacing w:after="0"/>
              <w:rPr>
                <w:sz w:val="17"/>
                <w:szCs w:val="17"/>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60" w:type="dxa"/>
            <w:vAlign w:val="bottom"/>
            <w:shd w:val="clear" w:color="auto" w:fill="DBDBDB"/>
          </w:tcPr>
          <w:p>
            <w:pPr>
              <w:spacing w:after="0"/>
              <w:rPr>
                <w:sz w:val="17"/>
                <w:szCs w:val="17"/>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22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39,877</w:t>
            </w:r>
          </w:p>
        </w:tc>
        <w:tc>
          <w:tcPr>
            <w:tcW w:w="226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2,355,565</w:t>
            </w:r>
          </w:p>
        </w:tc>
        <w:tc>
          <w:tcPr>
            <w:tcW w:w="1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c>
          <w:tcPr>
            <w:tcW w:w="204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206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20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301" w:right="200" w:hanging="301"/>
        <w:spacing w:after="0" w:line="281" w:lineRule="auto"/>
        <w:tabs>
          <w:tab w:leader="none" w:pos="298"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value realized equals the Company’s closing stock price on the vesting date, multiplied by the number of shares to which the vesting relates. If the vesting date was on a day which the market was not open, then the closing price for the first preceding day the market was open was used.</w:t>
      </w:r>
    </w:p>
    <w:p>
      <w:pPr>
        <w:spacing w:after="0" w:line="22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Potential Payments Upon Qualifying Termination of Employment or Change of Control</w:t>
      </w:r>
    </w:p>
    <w:p>
      <w:pPr>
        <w:spacing w:after="0" w:line="144" w:lineRule="exact"/>
        <w:rPr>
          <w:sz w:val="20"/>
          <w:szCs w:val="20"/>
          <w:color w:val="auto"/>
        </w:rPr>
      </w:pPr>
    </w:p>
    <w:p>
      <w:pPr>
        <w:ind w:left="1" w:right="40"/>
        <w:spacing w:after="0" w:line="285" w:lineRule="auto"/>
        <w:rPr>
          <w:sz w:val="20"/>
          <w:szCs w:val="20"/>
          <w:color w:val="auto"/>
        </w:rPr>
      </w:pPr>
      <w:r>
        <w:rPr>
          <w:rFonts w:ascii="Arial" w:cs="Arial" w:eastAsia="Arial" w:hAnsi="Arial"/>
          <w:sz w:val="15"/>
          <w:szCs w:val="15"/>
          <w:color w:val="auto"/>
        </w:rPr>
        <w:t>The information below describes and estimates potential payments and benefits to which the NEOs would be entitled under existing arrangements if a qualifying termination of employment occurred on February 1, 2025, the last business day of our 2024 fiscal year, and based on the closing price of our stock of $52.31, as of the last trading day of our 2024 fiscal year. These benefits are in addition to benefits available generally to salaried team members. The amounts actually paid or distributed in connection with a qualifying termination of employment may differ from the estimates below. The qualifying termination events listed below are as defined in the applicable agreements. The Company does not provide for enhanced cash severance in connection with/following a change of control.</w:t>
      </w:r>
    </w:p>
    <w:p>
      <w:pPr>
        <w:spacing w:after="0" w:line="169" w:lineRule="exact"/>
        <w:rPr>
          <w:sz w:val="20"/>
          <w:szCs w:val="20"/>
          <w:color w:val="auto"/>
        </w:rPr>
      </w:pPr>
    </w:p>
    <w:p>
      <w:pPr>
        <w:ind w:left="1" w:right="160"/>
        <w:spacing w:after="0" w:line="288" w:lineRule="auto"/>
        <w:rPr>
          <w:sz w:val="20"/>
          <w:szCs w:val="20"/>
          <w:color w:val="auto"/>
        </w:rPr>
      </w:pPr>
      <w:r>
        <w:rPr>
          <w:rFonts w:ascii="Arial" w:cs="Arial" w:eastAsia="Arial" w:hAnsi="Arial"/>
          <w:sz w:val="15"/>
          <w:szCs w:val="15"/>
          <w:color w:val="auto"/>
        </w:rPr>
        <w:t>Mr. Hicks and the Company mutually agreed his employment agreement would not be extended beyond its initial one-year term and that Mr. Hicks would transition from Executive Chairman of the Board to non-employee Chairman of the Board, effective on June 1, 2024. Mr. Hicks is not eligible for severance benefits, and did not receive severance in connection with his transition to non-employee Chairman of the Board, but does continue to hold equity due to his continuous service as a non-employee Board member as outlined in his equity agreements and described 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1008380</wp:posOffset>
            </wp:positionV>
            <wp:extent cx="7168515" cy="4127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713105</wp:posOffset>
            </wp:positionV>
            <wp:extent cx="789305" cy="18923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color w:val="007EC4"/>
        </w:rPr>
        <w:t xml:space="preserve">70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Borders>
              <w:bottom w:val="single" w:sz="8" w:color="E1D7AC"/>
            </w:tcBorders>
            <w:shd w:val="clear" w:color="auto" w:fill="E1D7AC"/>
          </w:tcPr>
          <w:p>
            <w:pPr>
              <w:spacing w:after="0"/>
              <w:rPr>
                <w:sz w:val="19"/>
                <w:szCs w:val="19"/>
                <w:color w:val="auto"/>
              </w:rPr>
            </w:pPr>
          </w:p>
        </w:tc>
        <w:tc>
          <w:tcPr>
            <w:tcW w:w="4240" w:type="dxa"/>
            <w:vAlign w:val="bottom"/>
            <w:tcBorders>
              <w:bottom w:val="single" w:sz="8" w:color="E1D7AC"/>
            </w:tcBorders>
            <w:shd w:val="clear" w:color="auto" w:fill="E1D7AC"/>
          </w:tcPr>
          <w:p>
            <w:pPr>
              <w:spacing w:after="0"/>
              <w:rPr>
                <w:sz w:val="19"/>
                <w:szCs w:val="19"/>
                <w:color w:val="auto"/>
              </w:rPr>
            </w:pPr>
          </w:p>
        </w:tc>
        <w:tc>
          <w:tcPr>
            <w:tcW w:w="1440" w:type="dxa"/>
            <w:vAlign w:val="bottom"/>
            <w:tcBorders>
              <w:bottom w:val="single" w:sz="8" w:color="E1D7AC"/>
            </w:tcBorders>
            <w:shd w:val="clear" w:color="auto" w:fill="E1D7AC"/>
          </w:tcPr>
          <w:p>
            <w:pPr>
              <w:spacing w:after="0"/>
              <w:rPr>
                <w:sz w:val="19"/>
                <w:szCs w:val="19"/>
                <w:color w:val="auto"/>
              </w:rPr>
            </w:pPr>
          </w:p>
        </w:tc>
        <w:tc>
          <w:tcPr>
            <w:tcW w:w="2880" w:type="dxa"/>
            <w:vAlign w:val="bottom"/>
            <w:tcBorders>
              <w:bottom w:val="single" w:sz="8" w:color="E1D7AC"/>
            </w:tcBorders>
            <w:gridSpan w:val="2"/>
            <w:shd w:val="clear" w:color="auto" w:fill="E1D7AC"/>
          </w:tcPr>
          <w:p>
            <w:pPr>
              <w:jc w:val="right"/>
              <w:ind w:right="454"/>
              <w:spacing w:after="0"/>
              <w:rPr>
                <w:sz w:val="20"/>
                <w:szCs w:val="20"/>
                <w:color w:val="auto"/>
              </w:rPr>
            </w:pPr>
            <w:r>
              <w:rPr>
                <w:rFonts w:ascii="Arial" w:cs="Arial" w:eastAsia="Arial" w:hAnsi="Arial"/>
                <w:sz w:val="13"/>
                <w:szCs w:val="13"/>
                <w:b w:val="1"/>
                <w:bCs w:val="1"/>
                <w:color w:val="auto"/>
              </w:rPr>
              <w:t>Qualifying Termination Event</w:t>
            </w:r>
          </w:p>
        </w:tc>
        <w:tc>
          <w:tcPr>
            <w:tcW w:w="1460" w:type="dxa"/>
            <w:vAlign w:val="bottom"/>
            <w:tcBorders>
              <w:bottom w:val="single" w:sz="8" w:color="E1D7AC"/>
            </w:tcBorders>
            <w:shd w:val="clear" w:color="auto" w:fill="E1D7AC"/>
          </w:tcPr>
          <w:p>
            <w:pPr>
              <w:spacing w:after="0"/>
              <w:rPr>
                <w:sz w:val="19"/>
                <w:szCs w:val="19"/>
                <w:color w:val="auto"/>
              </w:rPr>
            </w:pPr>
          </w:p>
        </w:tc>
        <w:tc>
          <w:tcPr>
            <w:tcW w:w="120" w:type="dxa"/>
            <w:vAlign w:val="bottom"/>
            <w:tcBorders>
              <w:bottom w:val="single" w:sz="8" w:color="E1D7AC"/>
            </w:tcBorders>
            <w:shd w:val="clear" w:color="auto" w:fill="E1D7A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100" w:type="dxa"/>
            <w:vAlign w:val="bottom"/>
            <w:tcBorders>
              <w:top w:val="single" w:sz="8" w:color="E1D7AC"/>
            </w:tcBorders>
            <w:shd w:val="clear" w:color="auto" w:fill="E1D7AC"/>
          </w:tcPr>
          <w:p>
            <w:pPr>
              <w:spacing w:after="0"/>
              <w:rPr>
                <w:sz w:val="20"/>
                <w:szCs w:val="20"/>
                <w:color w:val="auto"/>
              </w:rPr>
            </w:pPr>
          </w:p>
        </w:tc>
        <w:tc>
          <w:tcPr>
            <w:tcW w:w="4240" w:type="dxa"/>
            <w:vAlign w:val="bottom"/>
            <w:tcBorders>
              <w:top w:val="single" w:sz="8" w:color="E1D7AC"/>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6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Without Cause or</w:t>
            </w:r>
          </w:p>
        </w:tc>
        <w:tc>
          <w:tcPr>
            <w:tcW w:w="120" w:type="dxa"/>
            <w:vAlign w:val="bottom"/>
            <w:tcBorders>
              <w:top w:val="single" w:sz="8" w:color="E1D7AC"/>
            </w:tcBorders>
            <w:shd w:val="clear" w:color="auto" w:fill="E1D7A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00" w:type="dxa"/>
            <w:vAlign w:val="bottom"/>
            <w:shd w:val="clear" w:color="auto" w:fill="E1D7AC"/>
          </w:tcPr>
          <w:p>
            <w:pPr>
              <w:spacing w:after="0"/>
              <w:rPr>
                <w:sz w:val="15"/>
                <w:szCs w:val="15"/>
                <w:color w:val="auto"/>
              </w:rPr>
            </w:pPr>
          </w:p>
        </w:tc>
        <w:tc>
          <w:tcPr>
            <w:tcW w:w="4240" w:type="dxa"/>
            <w:vAlign w:val="bottom"/>
            <w:shd w:val="clear" w:color="auto" w:fill="E1D7AC"/>
          </w:tcPr>
          <w:p>
            <w:pPr>
              <w:spacing w:after="0"/>
              <w:rPr>
                <w:sz w:val="15"/>
                <w:szCs w:val="15"/>
                <w:color w:val="auto"/>
              </w:rPr>
            </w:pPr>
          </w:p>
        </w:tc>
        <w:tc>
          <w:tcPr>
            <w:tcW w:w="1440" w:type="dxa"/>
            <w:vAlign w:val="bottom"/>
            <w:shd w:val="clear" w:color="auto" w:fill="E1D7AC"/>
          </w:tcPr>
          <w:p>
            <w:pPr>
              <w:spacing w:after="0"/>
              <w:rPr>
                <w:sz w:val="15"/>
                <w:szCs w:val="15"/>
                <w:color w:val="auto"/>
              </w:rPr>
            </w:pPr>
          </w:p>
        </w:tc>
        <w:tc>
          <w:tcPr>
            <w:tcW w:w="1440" w:type="dxa"/>
            <w:vAlign w:val="bottom"/>
            <w:shd w:val="clear" w:color="auto" w:fill="E1D7AC"/>
          </w:tcPr>
          <w:p>
            <w:pPr>
              <w:spacing w:after="0"/>
              <w:rPr>
                <w:sz w:val="15"/>
                <w:szCs w:val="15"/>
                <w:color w:val="auto"/>
              </w:rPr>
            </w:pP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Without Cause or</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Resignation for Good</w:t>
            </w:r>
          </w:p>
        </w:tc>
        <w:tc>
          <w:tcPr>
            <w:tcW w:w="0" w:type="dxa"/>
            <w:vAlign w:val="bottom"/>
          </w:tcPr>
          <w:p>
            <w:pPr>
              <w:spacing w:after="0"/>
              <w:rPr>
                <w:sz w:val="1"/>
                <w:szCs w:val="1"/>
                <w:color w:val="auto"/>
              </w:rPr>
            </w:pPr>
          </w:p>
        </w:tc>
      </w:tr>
      <w:tr>
        <w:trPr>
          <w:trHeight w:val="174"/>
        </w:trPr>
        <w:tc>
          <w:tcPr>
            <w:tcW w:w="1100" w:type="dxa"/>
            <w:vAlign w:val="bottom"/>
            <w:shd w:val="clear" w:color="auto" w:fill="E1D7AC"/>
          </w:tcPr>
          <w:p>
            <w:pPr>
              <w:spacing w:after="0"/>
              <w:rPr>
                <w:sz w:val="15"/>
                <w:szCs w:val="15"/>
                <w:color w:val="auto"/>
              </w:rPr>
            </w:pPr>
          </w:p>
        </w:tc>
        <w:tc>
          <w:tcPr>
            <w:tcW w:w="4240" w:type="dxa"/>
            <w:vAlign w:val="bottom"/>
            <w:shd w:val="clear" w:color="auto" w:fill="E1D7AC"/>
          </w:tcPr>
          <w:p>
            <w:pPr>
              <w:spacing w:after="0"/>
              <w:rPr>
                <w:sz w:val="15"/>
                <w:szCs w:val="15"/>
                <w:color w:val="auto"/>
              </w:rPr>
            </w:pPr>
          </w:p>
        </w:tc>
        <w:tc>
          <w:tcPr>
            <w:tcW w:w="144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Retirement</w:t>
            </w:r>
          </w:p>
        </w:tc>
        <w:tc>
          <w:tcPr>
            <w:tcW w:w="144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Death or Disability</w:t>
            </w: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Resignation for</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Reason Following</w:t>
            </w:r>
          </w:p>
        </w:tc>
        <w:tc>
          <w:tcPr>
            <w:tcW w:w="0" w:type="dxa"/>
            <w:vAlign w:val="bottom"/>
          </w:tcPr>
          <w:p>
            <w:pPr>
              <w:spacing w:after="0"/>
              <w:rPr>
                <w:sz w:val="1"/>
                <w:szCs w:val="1"/>
                <w:color w:val="auto"/>
              </w:rPr>
            </w:pPr>
          </w:p>
        </w:tc>
      </w:tr>
      <w:tr>
        <w:trPr>
          <w:trHeight w:val="162"/>
        </w:trPr>
        <w:tc>
          <w:tcPr>
            <w:tcW w:w="1100" w:type="dxa"/>
            <w:vAlign w:val="bottom"/>
            <w:shd w:val="clear" w:color="auto" w:fill="E1D7AC"/>
          </w:tcPr>
          <w:p>
            <w:pPr>
              <w:spacing w:after="0"/>
              <w:rPr>
                <w:sz w:val="14"/>
                <w:szCs w:val="14"/>
                <w:color w:val="auto"/>
              </w:rPr>
            </w:pPr>
          </w:p>
        </w:tc>
        <w:tc>
          <w:tcPr>
            <w:tcW w:w="4240" w:type="dxa"/>
            <w:vAlign w:val="bottom"/>
            <w:shd w:val="clear" w:color="auto" w:fill="E1D7AC"/>
          </w:tcPr>
          <w:p>
            <w:pPr>
              <w:spacing w:after="0"/>
              <w:rPr>
                <w:sz w:val="14"/>
                <w:szCs w:val="14"/>
                <w:color w:val="auto"/>
              </w:rPr>
            </w:pPr>
          </w:p>
        </w:tc>
        <w:tc>
          <w:tcPr>
            <w:tcW w:w="1440" w:type="dxa"/>
            <w:vAlign w:val="bottom"/>
            <w:vMerge w:val="continue"/>
            <w:shd w:val="clear" w:color="auto" w:fill="E1D7AC"/>
          </w:tcPr>
          <w:p>
            <w:pPr>
              <w:spacing w:after="0"/>
              <w:rPr>
                <w:sz w:val="14"/>
                <w:szCs w:val="14"/>
                <w:color w:val="auto"/>
              </w:rPr>
            </w:pPr>
          </w:p>
        </w:tc>
        <w:tc>
          <w:tcPr>
            <w:tcW w:w="1440" w:type="dxa"/>
            <w:vAlign w:val="bottom"/>
            <w:vMerge w:val="continue"/>
            <w:shd w:val="clear" w:color="auto" w:fill="E1D7AC"/>
          </w:tcPr>
          <w:p>
            <w:pPr>
              <w:spacing w:after="0"/>
              <w:rPr>
                <w:sz w:val="14"/>
                <w:szCs w:val="14"/>
                <w:color w:val="auto"/>
              </w:rPr>
            </w:pP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Good Reason</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Change of Control</w:t>
            </w:r>
          </w:p>
        </w:tc>
        <w:tc>
          <w:tcPr>
            <w:tcW w:w="0" w:type="dxa"/>
            <w:vAlign w:val="bottom"/>
          </w:tcPr>
          <w:p>
            <w:pPr>
              <w:spacing w:after="0"/>
              <w:rPr>
                <w:sz w:val="1"/>
                <w:szCs w:val="1"/>
                <w:color w:val="auto"/>
              </w:rPr>
            </w:pPr>
          </w:p>
        </w:tc>
      </w:tr>
      <w:tr>
        <w:trPr>
          <w:trHeight w:val="192"/>
        </w:trPr>
        <w:tc>
          <w:tcPr>
            <w:tcW w:w="110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NEO</w:t>
            </w:r>
          </w:p>
        </w:tc>
        <w:tc>
          <w:tcPr>
            <w:tcW w:w="4240" w:type="dxa"/>
            <w:vAlign w:val="bottom"/>
            <w:shd w:val="clear" w:color="auto" w:fill="E1D7AC"/>
          </w:tcPr>
          <w:p>
            <w:pPr>
              <w:ind w:left="80"/>
              <w:spacing w:after="0"/>
              <w:rPr>
                <w:sz w:val="20"/>
                <w:szCs w:val="20"/>
                <w:color w:val="auto"/>
              </w:rPr>
            </w:pPr>
            <w:r>
              <w:rPr>
                <w:rFonts w:ascii="Arial" w:cs="Arial" w:eastAsia="Arial" w:hAnsi="Arial"/>
                <w:sz w:val="13"/>
                <w:szCs w:val="13"/>
                <w:b w:val="1"/>
                <w:bCs w:val="1"/>
                <w:color w:val="auto"/>
              </w:rPr>
              <w:t>Payment Type</w:t>
            </w:r>
          </w:p>
        </w:tc>
        <w:tc>
          <w:tcPr>
            <w:tcW w:w="14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4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w:t>
            </w:r>
          </w:p>
        </w:tc>
        <w:tc>
          <w:tcPr>
            <w:tcW w:w="14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(1)</w:t>
            </w:r>
          </w:p>
        </w:tc>
        <w:tc>
          <w:tcPr>
            <w:tcW w:w="120" w:type="dxa"/>
            <w:vAlign w:val="bottom"/>
            <w:shd w:val="clear" w:color="auto" w:fill="E1D7AC"/>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100" w:type="dxa"/>
            <w:vAlign w:val="bottom"/>
            <w:shd w:val="clear" w:color="auto" w:fill="E1D7AC"/>
          </w:tcPr>
          <w:p>
            <w:pPr>
              <w:spacing w:after="0"/>
              <w:rPr>
                <w:sz w:val="5"/>
                <w:szCs w:val="5"/>
                <w:color w:val="auto"/>
              </w:rPr>
            </w:pPr>
          </w:p>
        </w:tc>
        <w:tc>
          <w:tcPr>
            <w:tcW w:w="4240" w:type="dxa"/>
            <w:vAlign w:val="bottom"/>
            <w:shd w:val="clear" w:color="auto" w:fill="E1D7AC"/>
          </w:tcPr>
          <w:p>
            <w:pPr>
              <w:spacing w:after="0"/>
              <w:rPr>
                <w:sz w:val="5"/>
                <w:szCs w:val="5"/>
                <w:color w:val="auto"/>
              </w:rPr>
            </w:pPr>
          </w:p>
        </w:tc>
        <w:tc>
          <w:tcPr>
            <w:tcW w:w="1440" w:type="dxa"/>
            <w:vAlign w:val="bottom"/>
            <w:shd w:val="clear" w:color="auto" w:fill="E1D7AC"/>
          </w:tcPr>
          <w:p>
            <w:pPr>
              <w:spacing w:after="0"/>
              <w:rPr>
                <w:sz w:val="5"/>
                <w:szCs w:val="5"/>
                <w:color w:val="auto"/>
              </w:rPr>
            </w:pPr>
          </w:p>
        </w:tc>
        <w:tc>
          <w:tcPr>
            <w:tcW w:w="1440" w:type="dxa"/>
            <w:vAlign w:val="bottom"/>
            <w:shd w:val="clear" w:color="auto" w:fill="E1D7AC"/>
          </w:tcPr>
          <w:p>
            <w:pPr>
              <w:spacing w:after="0"/>
              <w:rPr>
                <w:sz w:val="5"/>
                <w:szCs w:val="5"/>
                <w:color w:val="auto"/>
              </w:rPr>
            </w:pPr>
          </w:p>
        </w:tc>
        <w:tc>
          <w:tcPr>
            <w:tcW w:w="1440" w:type="dxa"/>
            <w:vAlign w:val="bottom"/>
            <w:shd w:val="clear" w:color="auto" w:fill="E1D7AC"/>
          </w:tcPr>
          <w:p>
            <w:pPr>
              <w:spacing w:after="0"/>
              <w:rPr>
                <w:sz w:val="5"/>
                <w:szCs w:val="5"/>
                <w:color w:val="auto"/>
              </w:rPr>
            </w:pPr>
          </w:p>
        </w:tc>
        <w:tc>
          <w:tcPr>
            <w:tcW w:w="1460" w:type="dxa"/>
            <w:vAlign w:val="bottom"/>
            <w:shd w:val="clear" w:color="auto" w:fill="E1D7AC"/>
          </w:tcPr>
          <w:p>
            <w:pPr>
              <w:spacing w:after="0"/>
              <w:rPr>
                <w:sz w:val="5"/>
                <w:szCs w:val="5"/>
                <w:color w:val="auto"/>
              </w:rPr>
            </w:pPr>
          </w:p>
        </w:tc>
        <w:tc>
          <w:tcPr>
            <w:tcW w:w="120" w:type="dxa"/>
            <w:vAlign w:val="bottom"/>
            <w:shd w:val="clear" w:color="auto" w:fill="E1D7AC"/>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00" w:type="dxa"/>
            <w:vAlign w:val="bottom"/>
            <w:shd w:val="clear" w:color="auto" w:fill="DBDBDB"/>
          </w:tcPr>
          <w:p>
            <w:pPr>
              <w:spacing w:after="0"/>
              <w:rPr>
                <w:sz w:val="19"/>
                <w:szCs w:val="19"/>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Cash Severance (Salary and Bonus)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3,009,660</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3,009,660</w:t>
            </w:r>
          </w:p>
        </w:tc>
        <w:tc>
          <w:tcPr>
            <w:tcW w:w="1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Pro-Rata Bonus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148,888</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148,888</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COBRA Insurance</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56,609</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56,609</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Steve</w:t>
            </w: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Life Insurance</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540</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100" w:type="dxa"/>
            <w:vAlign w:val="bottom"/>
            <w:vMerge w:val="continue"/>
            <w:shd w:val="clear" w:color="auto" w:fill="DBDBDB"/>
          </w:tcPr>
          <w:p>
            <w:pPr>
              <w:spacing w:after="0"/>
              <w:rPr>
                <w:sz w:val="5"/>
                <w:szCs w:val="5"/>
                <w:color w:val="auto"/>
              </w:rPr>
            </w:pPr>
          </w:p>
        </w:tc>
        <w:tc>
          <w:tcPr>
            <w:tcW w:w="42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6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0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Lawrence</w:t>
            </w:r>
          </w:p>
        </w:tc>
        <w:tc>
          <w:tcPr>
            <w:tcW w:w="4240" w:type="dxa"/>
            <w:vAlign w:val="bottom"/>
            <w:vMerge w:val="restart"/>
            <w:shd w:val="clear" w:color="auto" w:fill="DBDBDB"/>
          </w:tcPr>
          <w:p>
            <w:pPr>
              <w:ind w:left="80"/>
              <w:spacing w:after="0"/>
              <w:rPr>
                <w:sz w:val="20"/>
                <w:szCs w:val="20"/>
                <w:color w:val="auto"/>
              </w:rPr>
            </w:pPr>
            <w:r>
              <w:rPr>
                <w:rFonts w:ascii="Arial" w:cs="Arial" w:eastAsia="Arial" w:hAnsi="Arial"/>
                <w:sz w:val="13"/>
                <w:szCs w:val="13"/>
                <w:color w:val="auto"/>
              </w:rPr>
              <w:t>Accelerated Vesting: Options</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531,430</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703,037</w:t>
            </w:r>
          </w:p>
        </w:tc>
        <w:tc>
          <w:tcPr>
            <w:tcW w:w="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1100" w:type="dxa"/>
            <w:vAlign w:val="bottom"/>
            <w:shd w:val="clear" w:color="auto" w:fill="DBDBDB"/>
          </w:tcPr>
          <w:p>
            <w:pPr>
              <w:spacing w:after="0"/>
              <w:rPr>
                <w:sz w:val="4"/>
                <w:szCs w:val="4"/>
                <w:color w:val="auto"/>
              </w:rPr>
            </w:pPr>
          </w:p>
        </w:tc>
        <w:tc>
          <w:tcPr>
            <w:tcW w:w="4240" w:type="dxa"/>
            <w:vAlign w:val="bottom"/>
            <w:vMerge w:val="continue"/>
            <w:shd w:val="clear" w:color="auto" w:fill="DBDBDB"/>
          </w:tcPr>
          <w:p>
            <w:pPr>
              <w:spacing w:after="0"/>
              <w:rPr>
                <w:sz w:val="4"/>
                <w:szCs w:val="4"/>
                <w:color w:val="auto"/>
              </w:rPr>
            </w:pPr>
          </w:p>
        </w:tc>
        <w:tc>
          <w:tcPr>
            <w:tcW w:w="1440" w:type="dxa"/>
            <w:vAlign w:val="bottom"/>
            <w:vMerge w:val="continue"/>
            <w:shd w:val="clear" w:color="auto" w:fill="DBDBDB"/>
          </w:tcPr>
          <w:p>
            <w:pPr>
              <w:spacing w:after="0"/>
              <w:rPr>
                <w:sz w:val="4"/>
                <w:szCs w:val="4"/>
                <w:color w:val="auto"/>
              </w:rPr>
            </w:pPr>
          </w:p>
        </w:tc>
        <w:tc>
          <w:tcPr>
            <w:tcW w:w="1440" w:type="dxa"/>
            <w:vAlign w:val="bottom"/>
            <w:vMerge w:val="continue"/>
            <w:shd w:val="clear" w:color="auto" w:fill="DBDBDB"/>
          </w:tcPr>
          <w:p>
            <w:pPr>
              <w:spacing w:after="0"/>
              <w:rPr>
                <w:sz w:val="4"/>
                <w:szCs w:val="4"/>
                <w:color w:val="auto"/>
              </w:rPr>
            </w:pPr>
          </w:p>
        </w:tc>
        <w:tc>
          <w:tcPr>
            <w:tcW w:w="1440" w:type="dxa"/>
            <w:vAlign w:val="bottom"/>
            <w:vMerge w:val="continue"/>
            <w:shd w:val="clear" w:color="auto" w:fill="DBDBDB"/>
          </w:tcPr>
          <w:p>
            <w:pPr>
              <w:spacing w:after="0"/>
              <w:rPr>
                <w:sz w:val="4"/>
                <w:szCs w:val="4"/>
                <w:color w:val="auto"/>
              </w:rPr>
            </w:pPr>
          </w:p>
        </w:tc>
        <w:tc>
          <w:tcPr>
            <w:tcW w:w="1460" w:type="dxa"/>
            <w:vAlign w:val="bottom"/>
            <w:vMerge w:val="continue"/>
            <w:shd w:val="clear" w:color="auto" w:fill="DBDBDB"/>
          </w:tcPr>
          <w:p>
            <w:pPr>
              <w:spacing w:after="0"/>
              <w:rPr>
                <w:sz w:val="4"/>
                <w:szCs w:val="4"/>
                <w:color w:val="auto"/>
              </w:rPr>
            </w:pPr>
          </w:p>
        </w:tc>
        <w:tc>
          <w:tcPr>
            <w:tcW w:w="12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Accelerated Vesting: Time Restricted Units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1,485,290</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3,836,049</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Accelerated Vesting: Performance Restricted Units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3,344,823</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6,419,536</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b w:val="1"/>
                <w:bCs w:val="1"/>
                <w:color w:val="auto"/>
              </w:rPr>
              <w:t>Total</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5,361,543</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3,215,697</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14,174,319</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100" w:type="dxa"/>
            <w:vAlign w:val="bottom"/>
            <w:shd w:val="clear" w:color="auto" w:fill="DBDBDB"/>
          </w:tcPr>
          <w:p>
            <w:pPr>
              <w:spacing w:after="0"/>
              <w:rPr>
                <w:sz w:val="5"/>
                <w:szCs w:val="5"/>
                <w:color w:val="auto"/>
              </w:rPr>
            </w:pPr>
          </w:p>
        </w:tc>
        <w:tc>
          <w:tcPr>
            <w:tcW w:w="42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6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Cash Severance (Salary and Bonus)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2,367,201</w:t>
            </w:r>
          </w:p>
        </w:tc>
        <w:tc>
          <w:tcPr>
            <w:tcW w:w="1460" w:type="dxa"/>
            <w:vAlign w:val="bottom"/>
          </w:tcPr>
          <w:p>
            <w:pPr>
              <w:jc w:val="right"/>
              <w:spacing w:after="0"/>
              <w:rPr>
                <w:sz w:val="20"/>
                <w:szCs w:val="20"/>
                <w:color w:val="auto"/>
              </w:rPr>
            </w:pPr>
            <w:r>
              <w:rPr>
                <w:rFonts w:ascii="Arial" w:cs="Arial" w:eastAsia="Arial" w:hAnsi="Arial"/>
                <w:sz w:val="13"/>
                <w:szCs w:val="13"/>
                <w:color w:val="auto"/>
              </w:rPr>
              <w:t>2,367,201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Pro-Rata Bonus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751,672</w:t>
            </w:r>
          </w:p>
        </w:tc>
        <w:tc>
          <w:tcPr>
            <w:tcW w:w="1460" w:type="dxa"/>
            <w:vAlign w:val="bottom"/>
          </w:tcPr>
          <w:p>
            <w:pPr>
              <w:jc w:val="right"/>
              <w:spacing w:after="0"/>
              <w:rPr>
                <w:sz w:val="20"/>
                <w:szCs w:val="20"/>
                <w:color w:val="auto"/>
              </w:rPr>
            </w:pPr>
            <w:r>
              <w:rPr>
                <w:rFonts w:ascii="Arial" w:cs="Arial" w:eastAsia="Arial" w:hAnsi="Arial"/>
                <w:sz w:val="13"/>
                <w:szCs w:val="13"/>
                <w:color w:val="auto"/>
              </w:rPr>
              <w:t>751,672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COBRA Insurance</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56,609</w:t>
            </w:r>
          </w:p>
        </w:tc>
        <w:tc>
          <w:tcPr>
            <w:tcW w:w="1460" w:type="dxa"/>
            <w:vAlign w:val="bottom"/>
          </w:tcPr>
          <w:p>
            <w:pPr>
              <w:jc w:val="right"/>
              <w:spacing w:after="0"/>
              <w:rPr>
                <w:sz w:val="20"/>
                <w:szCs w:val="20"/>
                <w:color w:val="auto"/>
              </w:rPr>
            </w:pPr>
            <w:r>
              <w:rPr>
                <w:rFonts w:ascii="Arial" w:cs="Arial" w:eastAsia="Arial" w:hAnsi="Arial"/>
                <w:sz w:val="13"/>
                <w:szCs w:val="13"/>
                <w:color w:val="auto"/>
              </w:rPr>
              <w:t>56,609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Sam Johnson</w:t>
            </w:r>
          </w:p>
        </w:tc>
        <w:tc>
          <w:tcPr>
            <w:tcW w:w="4240" w:type="dxa"/>
            <w:vAlign w:val="bottom"/>
          </w:tcPr>
          <w:p>
            <w:pPr>
              <w:ind w:left="80"/>
              <w:spacing w:after="0"/>
              <w:rPr>
                <w:sz w:val="20"/>
                <w:szCs w:val="20"/>
                <w:color w:val="auto"/>
              </w:rPr>
            </w:pPr>
            <w:r>
              <w:rPr>
                <w:rFonts w:ascii="Arial" w:cs="Arial" w:eastAsia="Arial" w:hAnsi="Arial"/>
                <w:sz w:val="13"/>
                <w:szCs w:val="13"/>
                <w:color w:val="auto"/>
              </w:rPr>
              <w:t>Life Insurance</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540</w:t>
            </w:r>
          </w:p>
        </w:tc>
        <w:tc>
          <w:tcPr>
            <w:tcW w:w="1460" w:type="dxa"/>
            <w:vAlign w:val="bottom"/>
          </w:tcPr>
          <w:p>
            <w:pPr>
              <w:jc w:val="right"/>
              <w:spacing w:after="0"/>
              <w:rPr>
                <w:sz w:val="20"/>
                <w:szCs w:val="20"/>
                <w:color w:val="auto"/>
              </w:rPr>
            </w:pPr>
            <w:r>
              <w:rPr>
                <w:rFonts w:ascii="Arial" w:cs="Arial" w:eastAsia="Arial" w:hAnsi="Arial"/>
                <w:sz w:val="13"/>
                <w:szCs w:val="13"/>
                <w:color w:val="auto"/>
              </w:rPr>
              <w:t>540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vMerge w:val="continue"/>
          </w:tcPr>
          <w:p>
            <w:pPr>
              <w:spacing w:after="0"/>
              <w:rPr>
                <w:sz w:val="13"/>
                <w:szCs w:val="13"/>
                <w:color w:val="auto"/>
              </w:rPr>
            </w:pPr>
          </w:p>
        </w:tc>
        <w:tc>
          <w:tcPr>
            <w:tcW w:w="4240" w:type="dxa"/>
            <w:vAlign w:val="bottom"/>
            <w:vMerge w:val="restart"/>
          </w:tcPr>
          <w:p>
            <w:pPr>
              <w:ind w:left="80"/>
              <w:spacing w:after="0"/>
              <w:rPr>
                <w:sz w:val="20"/>
                <w:szCs w:val="20"/>
                <w:color w:val="auto"/>
              </w:rPr>
            </w:pPr>
            <w:r>
              <w:rPr>
                <w:rFonts w:ascii="Arial" w:cs="Arial" w:eastAsia="Arial" w:hAnsi="Arial"/>
                <w:sz w:val="13"/>
                <w:szCs w:val="13"/>
                <w:color w:val="auto"/>
              </w:rPr>
              <w:t>Accelerated Vesting: Options</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460,689</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3"/>
                <w:szCs w:val="13"/>
                <w:color w:val="auto"/>
              </w:rPr>
              <w:t>597,536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tcPr>
          <w:p>
            <w:pPr>
              <w:spacing w:after="0"/>
              <w:rPr>
                <w:sz w:val="12"/>
                <w:szCs w:val="12"/>
                <w:color w:val="auto"/>
              </w:rPr>
            </w:pPr>
          </w:p>
        </w:tc>
        <w:tc>
          <w:tcPr>
            <w:tcW w:w="42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Accelerated Vesting: Time Restricted Units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623,535</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1,646,614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Accelerated Vesting: Performance Restricted Units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1,296,015</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2,647,304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b w:val="1"/>
                <w:bCs w:val="1"/>
                <w:color w:val="auto"/>
              </w:rPr>
              <w:t>Total</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2,380,239</w:t>
            </w:r>
          </w:p>
        </w:tc>
        <w:tc>
          <w:tcPr>
            <w:tcW w:w="1440" w:type="dxa"/>
            <w:vAlign w:val="bottom"/>
          </w:tcPr>
          <w:p>
            <w:pPr>
              <w:jc w:val="right"/>
              <w:spacing w:after="0"/>
              <w:rPr>
                <w:sz w:val="20"/>
                <w:szCs w:val="20"/>
                <w:color w:val="auto"/>
              </w:rPr>
            </w:pPr>
            <w:r>
              <w:rPr>
                <w:rFonts w:ascii="Arial" w:cs="Arial" w:eastAsia="Arial" w:hAnsi="Arial"/>
                <w:sz w:val="13"/>
                <w:szCs w:val="13"/>
                <w:color w:val="auto"/>
              </w:rPr>
              <w:t>3,176,022</w:t>
            </w:r>
          </w:p>
        </w:tc>
        <w:tc>
          <w:tcPr>
            <w:tcW w:w="1460" w:type="dxa"/>
            <w:vAlign w:val="bottom"/>
          </w:tcPr>
          <w:p>
            <w:pPr>
              <w:jc w:val="right"/>
              <w:spacing w:after="0"/>
              <w:rPr>
                <w:sz w:val="20"/>
                <w:szCs w:val="20"/>
                <w:color w:val="auto"/>
              </w:rPr>
            </w:pPr>
            <w:r>
              <w:rPr>
                <w:rFonts w:ascii="Arial" w:cs="Arial" w:eastAsia="Arial" w:hAnsi="Arial"/>
                <w:sz w:val="13"/>
                <w:szCs w:val="13"/>
                <w:color w:val="auto"/>
              </w:rPr>
              <w:t>8,067,476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100" w:type="dxa"/>
            <w:vAlign w:val="bottom"/>
            <w:tcBorders>
              <w:bottom w:val="single" w:sz="8" w:color="DBDBDB"/>
            </w:tcBorders>
          </w:tcPr>
          <w:p>
            <w:pPr>
              <w:spacing w:after="0"/>
              <w:rPr>
                <w:sz w:val="5"/>
                <w:szCs w:val="5"/>
                <w:color w:val="auto"/>
              </w:rPr>
            </w:pPr>
          </w:p>
        </w:tc>
        <w:tc>
          <w:tcPr>
            <w:tcW w:w="42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60" w:type="dxa"/>
            <w:vAlign w:val="bottom"/>
            <w:tcBorders>
              <w:bottom w:val="single" w:sz="8" w:color="DBDBDB"/>
            </w:tcBorders>
          </w:tcPr>
          <w:p>
            <w:pPr>
              <w:spacing w:after="0"/>
              <w:rPr>
                <w:sz w:val="5"/>
                <w:szCs w:val="5"/>
                <w:color w:val="auto"/>
              </w:rPr>
            </w:pPr>
          </w:p>
        </w:tc>
        <w:tc>
          <w:tcPr>
            <w:tcW w:w="12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1924"/>
        </w:trPr>
        <w:tc>
          <w:tcPr>
            <w:tcW w:w="11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789305" cy="18923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6" w:name="page77"/>
    <w:bookmarkEnd w:id="76"/>
    <w:p>
      <w:pPr>
        <w:ind w:left="7541"/>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1100" w:type="dxa"/>
            <w:vAlign w:val="bottom"/>
            <w:tcBorders>
              <w:bottom w:val="single" w:sz="8" w:color="E1D7AC"/>
            </w:tcBorders>
            <w:shd w:val="clear" w:color="auto" w:fill="E1D7AC"/>
          </w:tcPr>
          <w:p>
            <w:pPr>
              <w:spacing w:after="0"/>
              <w:rPr>
                <w:sz w:val="19"/>
                <w:szCs w:val="19"/>
                <w:color w:val="auto"/>
              </w:rPr>
            </w:pPr>
          </w:p>
        </w:tc>
        <w:tc>
          <w:tcPr>
            <w:tcW w:w="4240" w:type="dxa"/>
            <w:vAlign w:val="bottom"/>
            <w:tcBorders>
              <w:bottom w:val="single" w:sz="8" w:color="E1D7AC"/>
            </w:tcBorders>
            <w:shd w:val="clear" w:color="auto" w:fill="E1D7AC"/>
          </w:tcPr>
          <w:p>
            <w:pPr>
              <w:spacing w:after="0"/>
              <w:rPr>
                <w:sz w:val="19"/>
                <w:szCs w:val="19"/>
                <w:color w:val="auto"/>
              </w:rPr>
            </w:pPr>
          </w:p>
        </w:tc>
        <w:tc>
          <w:tcPr>
            <w:tcW w:w="1440" w:type="dxa"/>
            <w:vAlign w:val="bottom"/>
            <w:tcBorders>
              <w:bottom w:val="single" w:sz="8" w:color="E1D7AC"/>
            </w:tcBorders>
            <w:shd w:val="clear" w:color="auto" w:fill="E1D7AC"/>
          </w:tcPr>
          <w:p>
            <w:pPr>
              <w:spacing w:after="0"/>
              <w:rPr>
                <w:sz w:val="19"/>
                <w:szCs w:val="19"/>
                <w:color w:val="auto"/>
              </w:rPr>
            </w:pPr>
          </w:p>
        </w:tc>
        <w:tc>
          <w:tcPr>
            <w:tcW w:w="2880" w:type="dxa"/>
            <w:vAlign w:val="bottom"/>
            <w:tcBorders>
              <w:bottom w:val="single" w:sz="8" w:color="E1D7AC"/>
            </w:tcBorders>
            <w:gridSpan w:val="2"/>
            <w:shd w:val="clear" w:color="auto" w:fill="E1D7AC"/>
          </w:tcPr>
          <w:p>
            <w:pPr>
              <w:jc w:val="right"/>
              <w:ind w:right="454"/>
              <w:spacing w:after="0"/>
              <w:rPr>
                <w:sz w:val="20"/>
                <w:szCs w:val="20"/>
                <w:color w:val="auto"/>
              </w:rPr>
            </w:pPr>
            <w:r>
              <w:rPr>
                <w:rFonts w:ascii="Arial" w:cs="Arial" w:eastAsia="Arial" w:hAnsi="Arial"/>
                <w:sz w:val="13"/>
                <w:szCs w:val="13"/>
                <w:b w:val="1"/>
                <w:bCs w:val="1"/>
                <w:color w:val="auto"/>
              </w:rPr>
              <w:t>Qualifying Termination Event</w:t>
            </w:r>
          </w:p>
        </w:tc>
        <w:tc>
          <w:tcPr>
            <w:tcW w:w="1460" w:type="dxa"/>
            <w:vAlign w:val="bottom"/>
            <w:tcBorders>
              <w:bottom w:val="single" w:sz="8" w:color="E1D7AC"/>
            </w:tcBorders>
            <w:shd w:val="clear" w:color="auto" w:fill="E1D7AC"/>
          </w:tcPr>
          <w:p>
            <w:pPr>
              <w:spacing w:after="0"/>
              <w:rPr>
                <w:sz w:val="19"/>
                <w:szCs w:val="19"/>
                <w:color w:val="auto"/>
              </w:rPr>
            </w:pPr>
          </w:p>
        </w:tc>
        <w:tc>
          <w:tcPr>
            <w:tcW w:w="120" w:type="dxa"/>
            <w:vAlign w:val="bottom"/>
            <w:tcBorders>
              <w:bottom w:val="single" w:sz="8" w:color="E1D7AC"/>
            </w:tcBorders>
            <w:shd w:val="clear" w:color="auto" w:fill="E1D7A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100" w:type="dxa"/>
            <w:vAlign w:val="bottom"/>
            <w:tcBorders>
              <w:top w:val="single" w:sz="8" w:color="E1D7AC"/>
            </w:tcBorders>
            <w:shd w:val="clear" w:color="auto" w:fill="E1D7AC"/>
          </w:tcPr>
          <w:p>
            <w:pPr>
              <w:spacing w:after="0"/>
              <w:rPr>
                <w:sz w:val="20"/>
                <w:szCs w:val="20"/>
                <w:color w:val="auto"/>
              </w:rPr>
            </w:pPr>
          </w:p>
        </w:tc>
        <w:tc>
          <w:tcPr>
            <w:tcW w:w="4240" w:type="dxa"/>
            <w:vAlign w:val="bottom"/>
            <w:tcBorders>
              <w:top w:val="single" w:sz="8" w:color="E1D7AC"/>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6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Without Cause or</w:t>
            </w:r>
          </w:p>
        </w:tc>
        <w:tc>
          <w:tcPr>
            <w:tcW w:w="120" w:type="dxa"/>
            <w:vAlign w:val="bottom"/>
            <w:tcBorders>
              <w:top w:val="single" w:sz="8" w:color="E1D7AC"/>
            </w:tcBorders>
            <w:shd w:val="clear" w:color="auto" w:fill="E1D7A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00" w:type="dxa"/>
            <w:vAlign w:val="bottom"/>
            <w:shd w:val="clear" w:color="auto" w:fill="E1D7AC"/>
          </w:tcPr>
          <w:p>
            <w:pPr>
              <w:spacing w:after="0"/>
              <w:rPr>
                <w:sz w:val="15"/>
                <w:szCs w:val="15"/>
                <w:color w:val="auto"/>
              </w:rPr>
            </w:pPr>
          </w:p>
        </w:tc>
        <w:tc>
          <w:tcPr>
            <w:tcW w:w="4240" w:type="dxa"/>
            <w:vAlign w:val="bottom"/>
            <w:shd w:val="clear" w:color="auto" w:fill="E1D7AC"/>
          </w:tcPr>
          <w:p>
            <w:pPr>
              <w:spacing w:after="0"/>
              <w:rPr>
                <w:sz w:val="15"/>
                <w:szCs w:val="15"/>
                <w:color w:val="auto"/>
              </w:rPr>
            </w:pPr>
          </w:p>
        </w:tc>
        <w:tc>
          <w:tcPr>
            <w:tcW w:w="1440" w:type="dxa"/>
            <w:vAlign w:val="bottom"/>
            <w:shd w:val="clear" w:color="auto" w:fill="E1D7AC"/>
          </w:tcPr>
          <w:p>
            <w:pPr>
              <w:spacing w:after="0"/>
              <w:rPr>
                <w:sz w:val="15"/>
                <w:szCs w:val="15"/>
                <w:color w:val="auto"/>
              </w:rPr>
            </w:pPr>
          </w:p>
        </w:tc>
        <w:tc>
          <w:tcPr>
            <w:tcW w:w="1440" w:type="dxa"/>
            <w:vAlign w:val="bottom"/>
            <w:shd w:val="clear" w:color="auto" w:fill="E1D7AC"/>
          </w:tcPr>
          <w:p>
            <w:pPr>
              <w:spacing w:after="0"/>
              <w:rPr>
                <w:sz w:val="15"/>
                <w:szCs w:val="15"/>
                <w:color w:val="auto"/>
              </w:rPr>
            </w:pP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Without Cause or</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Resignation for Good</w:t>
            </w:r>
          </w:p>
        </w:tc>
        <w:tc>
          <w:tcPr>
            <w:tcW w:w="0" w:type="dxa"/>
            <w:vAlign w:val="bottom"/>
          </w:tcPr>
          <w:p>
            <w:pPr>
              <w:spacing w:after="0"/>
              <w:rPr>
                <w:sz w:val="1"/>
                <w:szCs w:val="1"/>
                <w:color w:val="auto"/>
              </w:rPr>
            </w:pPr>
          </w:p>
        </w:tc>
      </w:tr>
      <w:tr>
        <w:trPr>
          <w:trHeight w:val="174"/>
        </w:trPr>
        <w:tc>
          <w:tcPr>
            <w:tcW w:w="1100" w:type="dxa"/>
            <w:vAlign w:val="bottom"/>
            <w:shd w:val="clear" w:color="auto" w:fill="E1D7AC"/>
          </w:tcPr>
          <w:p>
            <w:pPr>
              <w:spacing w:after="0"/>
              <w:rPr>
                <w:sz w:val="15"/>
                <w:szCs w:val="15"/>
                <w:color w:val="auto"/>
              </w:rPr>
            </w:pPr>
          </w:p>
        </w:tc>
        <w:tc>
          <w:tcPr>
            <w:tcW w:w="4240" w:type="dxa"/>
            <w:vAlign w:val="bottom"/>
            <w:shd w:val="clear" w:color="auto" w:fill="E1D7AC"/>
          </w:tcPr>
          <w:p>
            <w:pPr>
              <w:spacing w:after="0"/>
              <w:rPr>
                <w:sz w:val="15"/>
                <w:szCs w:val="15"/>
                <w:color w:val="auto"/>
              </w:rPr>
            </w:pPr>
          </w:p>
        </w:tc>
        <w:tc>
          <w:tcPr>
            <w:tcW w:w="144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Retirement</w:t>
            </w:r>
          </w:p>
        </w:tc>
        <w:tc>
          <w:tcPr>
            <w:tcW w:w="144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Death or Disability</w:t>
            </w: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Resignation for</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Reason Following</w:t>
            </w:r>
          </w:p>
        </w:tc>
        <w:tc>
          <w:tcPr>
            <w:tcW w:w="0" w:type="dxa"/>
            <w:vAlign w:val="bottom"/>
          </w:tcPr>
          <w:p>
            <w:pPr>
              <w:spacing w:after="0"/>
              <w:rPr>
                <w:sz w:val="1"/>
                <w:szCs w:val="1"/>
                <w:color w:val="auto"/>
              </w:rPr>
            </w:pPr>
          </w:p>
        </w:tc>
      </w:tr>
      <w:tr>
        <w:trPr>
          <w:trHeight w:val="162"/>
        </w:trPr>
        <w:tc>
          <w:tcPr>
            <w:tcW w:w="1100" w:type="dxa"/>
            <w:vAlign w:val="bottom"/>
            <w:shd w:val="clear" w:color="auto" w:fill="E1D7AC"/>
          </w:tcPr>
          <w:p>
            <w:pPr>
              <w:spacing w:after="0"/>
              <w:rPr>
                <w:sz w:val="14"/>
                <w:szCs w:val="14"/>
                <w:color w:val="auto"/>
              </w:rPr>
            </w:pPr>
          </w:p>
        </w:tc>
        <w:tc>
          <w:tcPr>
            <w:tcW w:w="4240" w:type="dxa"/>
            <w:vAlign w:val="bottom"/>
            <w:shd w:val="clear" w:color="auto" w:fill="E1D7AC"/>
          </w:tcPr>
          <w:p>
            <w:pPr>
              <w:spacing w:after="0"/>
              <w:rPr>
                <w:sz w:val="14"/>
                <w:szCs w:val="14"/>
                <w:color w:val="auto"/>
              </w:rPr>
            </w:pPr>
          </w:p>
        </w:tc>
        <w:tc>
          <w:tcPr>
            <w:tcW w:w="1440" w:type="dxa"/>
            <w:vAlign w:val="bottom"/>
            <w:vMerge w:val="continue"/>
            <w:shd w:val="clear" w:color="auto" w:fill="E1D7AC"/>
          </w:tcPr>
          <w:p>
            <w:pPr>
              <w:spacing w:after="0"/>
              <w:rPr>
                <w:sz w:val="14"/>
                <w:szCs w:val="14"/>
                <w:color w:val="auto"/>
              </w:rPr>
            </w:pPr>
          </w:p>
        </w:tc>
        <w:tc>
          <w:tcPr>
            <w:tcW w:w="1440" w:type="dxa"/>
            <w:vAlign w:val="bottom"/>
            <w:vMerge w:val="continue"/>
            <w:shd w:val="clear" w:color="auto" w:fill="E1D7AC"/>
          </w:tcPr>
          <w:p>
            <w:pPr>
              <w:spacing w:after="0"/>
              <w:rPr>
                <w:sz w:val="14"/>
                <w:szCs w:val="14"/>
                <w:color w:val="auto"/>
              </w:rPr>
            </w:pP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Good Reason</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Change of Control</w:t>
            </w:r>
          </w:p>
        </w:tc>
        <w:tc>
          <w:tcPr>
            <w:tcW w:w="0" w:type="dxa"/>
            <w:vAlign w:val="bottom"/>
          </w:tcPr>
          <w:p>
            <w:pPr>
              <w:spacing w:after="0"/>
              <w:rPr>
                <w:sz w:val="1"/>
                <w:szCs w:val="1"/>
                <w:color w:val="auto"/>
              </w:rPr>
            </w:pPr>
          </w:p>
        </w:tc>
      </w:tr>
      <w:tr>
        <w:trPr>
          <w:trHeight w:val="236"/>
        </w:trPr>
        <w:tc>
          <w:tcPr>
            <w:tcW w:w="110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NEO</w:t>
            </w:r>
          </w:p>
        </w:tc>
        <w:tc>
          <w:tcPr>
            <w:tcW w:w="4240" w:type="dxa"/>
            <w:vAlign w:val="bottom"/>
            <w:tcBorders>
              <w:bottom w:val="single" w:sz="8" w:color="E1D7AC"/>
            </w:tcBorders>
            <w:shd w:val="clear" w:color="auto" w:fill="E1D7AC"/>
          </w:tcPr>
          <w:p>
            <w:pPr>
              <w:ind w:left="80"/>
              <w:spacing w:after="0"/>
              <w:rPr>
                <w:sz w:val="20"/>
                <w:szCs w:val="20"/>
                <w:color w:val="auto"/>
              </w:rPr>
            </w:pPr>
            <w:r>
              <w:rPr>
                <w:rFonts w:ascii="Arial" w:cs="Arial" w:eastAsia="Arial" w:hAnsi="Arial"/>
                <w:sz w:val="13"/>
                <w:szCs w:val="13"/>
                <w:b w:val="1"/>
                <w:bCs w:val="1"/>
                <w:color w:val="auto"/>
              </w:rPr>
              <w:t>Payment Type</w:t>
            </w:r>
          </w:p>
        </w:tc>
        <w:tc>
          <w:tcPr>
            <w:tcW w:w="14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E1D7AC"/>
            </w:tcBorders>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E1D7AC"/>
            </w:tcBorders>
            <w:shd w:val="clear" w:color="auto" w:fill="E1D7AC"/>
          </w:tcPr>
          <w:p>
            <w:pPr>
              <w:jc w:val="right"/>
              <w:spacing w:after="0" w:line="207"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(1)</w:t>
            </w:r>
          </w:p>
        </w:tc>
        <w:tc>
          <w:tcPr>
            <w:tcW w:w="120" w:type="dxa"/>
            <w:vAlign w:val="bottom"/>
            <w:tcBorders>
              <w:bottom w:val="single" w:sz="8" w:color="E1D7AC"/>
            </w:tcBorders>
            <w:shd w:val="clear" w:color="auto" w:fill="E1D7A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DBDBDB"/>
          </w:tcPr>
          <w:p>
            <w:pPr>
              <w:spacing w:after="0"/>
              <w:rPr>
                <w:sz w:val="18"/>
                <w:szCs w:val="18"/>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Cash Severance (Salary and Bonus)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1,248,820</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1,248,820</w:t>
            </w:r>
          </w:p>
        </w:tc>
        <w:tc>
          <w:tcPr>
            <w:tcW w:w="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Pro-Rata Bonus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402,681</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402,681</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COBRA Insurance</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36,825</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36,825</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Life Insurance</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1100" w:type="dxa"/>
            <w:vAlign w:val="bottom"/>
            <w:vMerge w:val="continue"/>
            <w:shd w:val="clear" w:color="auto" w:fill="DBDBDB"/>
          </w:tcPr>
          <w:p>
            <w:pPr>
              <w:spacing w:after="0"/>
              <w:rPr>
                <w:sz w:val="13"/>
                <w:szCs w:val="13"/>
                <w:color w:val="auto"/>
              </w:rPr>
            </w:pPr>
          </w:p>
        </w:tc>
        <w:tc>
          <w:tcPr>
            <w:tcW w:w="4240" w:type="dxa"/>
            <w:vAlign w:val="bottom"/>
            <w:vMerge w:val="restart"/>
            <w:shd w:val="clear" w:color="auto" w:fill="DBDBDB"/>
          </w:tcPr>
          <w:p>
            <w:pPr>
              <w:ind w:left="80"/>
              <w:spacing w:after="0"/>
              <w:rPr>
                <w:sz w:val="20"/>
                <w:szCs w:val="20"/>
                <w:color w:val="auto"/>
              </w:rPr>
            </w:pPr>
            <w:r>
              <w:rPr>
                <w:rFonts w:ascii="Arial" w:cs="Arial" w:eastAsia="Arial" w:hAnsi="Arial"/>
                <w:sz w:val="13"/>
                <w:szCs w:val="13"/>
                <w:color w:val="auto"/>
              </w:rPr>
              <w:t>Accelerated Vesting: Options</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108,358</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144,771</w:t>
            </w:r>
          </w:p>
        </w:tc>
        <w:tc>
          <w:tcPr>
            <w:tcW w:w="1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00" w:type="dxa"/>
            <w:vAlign w:val="bottom"/>
            <w:shd w:val="clear" w:color="auto" w:fill="DBDBDB"/>
          </w:tcPr>
          <w:p>
            <w:pPr>
              <w:spacing w:after="0"/>
              <w:rPr>
                <w:sz w:val="11"/>
                <w:szCs w:val="11"/>
                <w:color w:val="auto"/>
              </w:rPr>
            </w:pPr>
          </w:p>
        </w:tc>
        <w:tc>
          <w:tcPr>
            <w:tcW w:w="4240" w:type="dxa"/>
            <w:vAlign w:val="bottom"/>
            <w:vMerge w:val="continue"/>
            <w:shd w:val="clear" w:color="auto" w:fill="DBDBDB"/>
          </w:tcPr>
          <w:p>
            <w:pPr>
              <w:spacing w:after="0"/>
              <w:rPr>
                <w:sz w:val="11"/>
                <w:szCs w:val="11"/>
                <w:color w:val="auto"/>
              </w:rPr>
            </w:pPr>
          </w:p>
        </w:tc>
        <w:tc>
          <w:tcPr>
            <w:tcW w:w="1440" w:type="dxa"/>
            <w:vAlign w:val="bottom"/>
            <w:vMerge w:val="continue"/>
            <w:shd w:val="clear" w:color="auto" w:fill="DBDBDB"/>
          </w:tcPr>
          <w:p>
            <w:pPr>
              <w:spacing w:after="0"/>
              <w:rPr>
                <w:sz w:val="11"/>
                <w:szCs w:val="11"/>
                <w:color w:val="auto"/>
              </w:rPr>
            </w:pPr>
          </w:p>
        </w:tc>
        <w:tc>
          <w:tcPr>
            <w:tcW w:w="1440" w:type="dxa"/>
            <w:vAlign w:val="bottom"/>
            <w:vMerge w:val="continue"/>
            <w:shd w:val="clear" w:color="auto" w:fill="DBDBDB"/>
          </w:tcPr>
          <w:p>
            <w:pPr>
              <w:spacing w:after="0"/>
              <w:rPr>
                <w:sz w:val="11"/>
                <w:szCs w:val="11"/>
                <w:color w:val="auto"/>
              </w:rPr>
            </w:pPr>
          </w:p>
        </w:tc>
        <w:tc>
          <w:tcPr>
            <w:tcW w:w="1440" w:type="dxa"/>
            <w:vAlign w:val="bottom"/>
            <w:vMerge w:val="continue"/>
            <w:shd w:val="clear" w:color="auto" w:fill="DBDBDB"/>
          </w:tcPr>
          <w:p>
            <w:pPr>
              <w:spacing w:after="0"/>
              <w:rPr>
                <w:sz w:val="11"/>
                <w:szCs w:val="11"/>
                <w:color w:val="auto"/>
              </w:rPr>
            </w:pPr>
          </w:p>
        </w:tc>
        <w:tc>
          <w:tcPr>
            <w:tcW w:w="1460" w:type="dxa"/>
            <w:vAlign w:val="bottom"/>
            <w:vMerge w:val="continue"/>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Accelerated Vesting: Time Restricted Units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318,568</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803,639</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Accelerated Vesting: Performance Restricted Units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505,628</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1,034,169</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b w:val="1"/>
                <w:bCs w:val="1"/>
                <w:color w:val="auto"/>
              </w:rPr>
              <w:t>Total</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932,554</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1,688,326</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3,670,905</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100" w:type="dxa"/>
            <w:vAlign w:val="bottom"/>
            <w:shd w:val="clear" w:color="auto" w:fill="DBDBDB"/>
          </w:tcPr>
          <w:p>
            <w:pPr>
              <w:spacing w:after="0"/>
              <w:rPr>
                <w:sz w:val="5"/>
                <w:szCs w:val="5"/>
                <w:color w:val="auto"/>
              </w:rPr>
            </w:pPr>
          </w:p>
        </w:tc>
        <w:tc>
          <w:tcPr>
            <w:tcW w:w="42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6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Cash Severance (Salary and Bonus)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1,226,628</w:t>
            </w:r>
          </w:p>
        </w:tc>
        <w:tc>
          <w:tcPr>
            <w:tcW w:w="1460" w:type="dxa"/>
            <w:vAlign w:val="bottom"/>
          </w:tcPr>
          <w:p>
            <w:pPr>
              <w:jc w:val="right"/>
              <w:spacing w:after="0"/>
              <w:rPr>
                <w:sz w:val="20"/>
                <w:szCs w:val="20"/>
                <w:color w:val="auto"/>
              </w:rPr>
            </w:pPr>
            <w:r>
              <w:rPr>
                <w:rFonts w:ascii="Arial" w:cs="Arial" w:eastAsia="Arial" w:hAnsi="Arial"/>
                <w:sz w:val="13"/>
                <w:szCs w:val="13"/>
                <w:color w:val="auto"/>
              </w:rPr>
              <w:t>1,226,628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Pro-Rata Bonus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402,681</w:t>
            </w:r>
          </w:p>
        </w:tc>
        <w:tc>
          <w:tcPr>
            <w:tcW w:w="1460" w:type="dxa"/>
            <w:vAlign w:val="bottom"/>
          </w:tcPr>
          <w:p>
            <w:pPr>
              <w:jc w:val="right"/>
              <w:spacing w:after="0"/>
              <w:rPr>
                <w:sz w:val="20"/>
                <w:szCs w:val="20"/>
                <w:color w:val="auto"/>
              </w:rPr>
            </w:pPr>
            <w:r>
              <w:rPr>
                <w:rFonts w:ascii="Arial" w:cs="Arial" w:eastAsia="Arial" w:hAnsi="Arial"/>
                <w:sz w:val="13"/>
                <w:szCs w:val="13"/>
                <w:color w:val="auto"/>
              </w:rPr>
              <w:t>402,681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COBRA Insurance</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36,825</w:t>
            </w:r>
          </w:p>
        </w:tc>
        <w:tc>
          <w:tcPr>
            <w:tcW w:w="1460" w:type="dxa"/>
            <w:vAlign w:val="bottom"/>
          </w:tcPr>
          <w:p>
            <w:pPr>
              <w:jc w:val="right"/>
              <w:spacing w:after="0"/>
              <w:rPr>
                <w:sz w:val="20"/>
                <w:szCs w:val="20"/>
                <w:color w:val="auto"/>
              </w:rPr>
            </w:pPr>
            <w:r>
              <w:rPr>
                <w:rFonts w:ascii="Arial" w:cs="Arial" w:eastAsia="Arial" w:hAnsi="Arial"/>
                <w:sz w:val="13"/>
                <w:szCs w:val="13"/>
                <w:color w:val="auto"/>
              </w:rPr>
              <w:t>36,825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Matt McCabe</w:t>
            </w:r>
          </w:p>
        </w:tc>
        <w:tc>
          <w:tcPr>
            <w:tcW w:w="4240" w:type="dxa"/>
            <w:vAlign w:val="bottom"/>
          </w:tcPr>
          <w:p>
            <w:pPr>
              <w:ind w:left="80"/>
              <w:spacing w:after="0"/>
              <w:rPr>
                <w:sz w:val="20"/>
                <w:szCs w:val="20"/>
                <w:color w:val="auto"/>
              </w:rPr>
            </w:pPr>
            <w:r>
              <w:rPr>
                <w:rFonts w:ascii="Arial" w:cs="Arial" w:eastAsia="Arial" w:hAnsi="Arial"/>
                <w:sz w:val="13"/>
                <w:szCs w:val="13"/>
                <w:color w:val="auto"/>
              </w:rPr>
              <w:t>Life Insurance</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1100" w:type="dxa"/>
            <w:vAlign w:val="bottom"/>
            <w:vMerge w:val="continue"/>
          </w:tcPr>
          <w:p>
            <w:pPr>
              <w:spacing w:after="0"/>
              <w:rPr>
                <w:sz w:val="13"/>
                <w:szCs w:val="13"/>
                <w:color w:val="auto"/>
              </w:rPr>
            </w:pPr>
          </w:p>
        </w:tc>
        <w:tc>
          <w:tcPr>
            <w:tcW w:w="4240" w:type="dxa"/>
            <w:vAlign w:val="bottom"/>
            <w:vMerge w:val="restart"/>
          </w:tcPr>
          <w:p>
            <w:pPr>
              <w:ind w:left="80"/>
              <w:spacing w:after="0"/>
              <w:rPr>
                <w:sz w:val="20"/>
                <w:szCs w:val="20"/>
                <w:color w:val="auto"/>
              </w:rPr>
            </w:pPr>
            <w:r>
              <w:rPr>
                <w:rFonts w:ascii="Arial" w:cs="Arial" w:eastAsia="Arial" w:hAnsi="Arial"/>
                <w:sz w:val="13"/>
                <w:szCs w:val="13"/>
                <w:color w:val="auto"/>
              </w:rPr>
              <w:t>Accelerated Vesting: Options</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108,358</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3"/>
                <w:szCs w:val="13"/>
                <w:color w:val="auto"/>
              </w:rPr>
              <w:t>144,771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00" w:type="dxa"/>
            <w:vAlign w:val="bottom"/>
          </w:tcPr>
          <w:p>
            <w:pPr>
              <w:spacing w:after="0"/>
              <w:rPr>
                <w:sz w:val="11"/>
                <w:szCs w:val="11"/>
                <w:color w:val="auto"/>
              </w:rPr>
            </w:pPr>
          </w:p>
        </w:tc>
        <w:tc>
          <w:tcPr>
            <w:tcW w:w="42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Accelerated Vesting: Time Restricted Units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513,423</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998,493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Accelerated Vesting: Performance Restricted Units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505,628</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1,034,169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b w:val="1"/>
                <w:bCs w:val="1"/>
                <w:color w:val="auto"/>
              </w:rPr>
              <w:t>Total</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1,127,409</w:t>
            </w:r>
          </w:p>
        </w:tc>
        <w:tc>
          <w:tcPr>
            <w:tcW w:w="1440" w:type="dxa"/>
            <w:vAlign w:val="bottom"/>
          </w:tcPr>
          <w:p>
            <w:pPr>
              <w:jc w:val="right"/>
              <w:spacing w:after="0"/>
              <w:rPr>
                <w:sz w:val="20"/>
                <w:szCs w:val="20"/>
                <w:color w:val="auto"/>
              </w:rPr>
            </w:pPr>
            <w:r>
              <w:rPr>
                <w:rFonts w:ascii="Arial" w:cs="Arial" w:eastAsia="Arial" w:hAnsi="Arial"/>
                <w:sz w:val="13"/>
                <w:szCs w:val="13"/>
                <w:color w:val="auto"/>
              </w:rPr>
              <w:t>1,666,134</w:t>
            </w:r>
          </w:p>
        </w:tc>
        <w:tc>
          <w:tcPr>
            <w:tcW w:w="1460" w:type="dxa"/>
            <w:vAlign w:val="bottom"/>
          </w:tcPr>
          <w:p>
            <w:pPr>
              <w:jc w:val="right"/>
              <w:spacing w:after="0"/>
              <w:rPr>
                <w:sz w:val="20"/>
                <w:szCs w:val="20"/>
                <w:color w:val="auto"/>
              </w:rPr>
            </w:pPr>
            <w:r>
              <w:rPr>
                <w:rFonts w:ascii="Arial" w:cs="Arial" w:eastAsia="Arial" w:hAnsi="Arial"/>
                <w:sz w:val="13"/>
                <w:szCs w:val="13"/>
                <w:color w:val="auto"/>
              </w:rPr>
              <w:t>3,843,567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100" w:type="dxa"/>
            <w:vAlign w:val="bottom"/>
            <w:tcBorders>
              <w:bottom w:val="single" w:sz="8" w:color="DBDBDB"/>
            </w:tcBorders>
          </w:tcPr>
          <w:p>
            <w:pPr>
              <w:spacing w:after="0"/>
              <w:rPr>
                <w:sz w:val="5"/>
                <w:szCs w:val="5"/>
                <w:color w:val="auto"/>
              </w:rPr>
            </w:pPr>
          </w:p>
        </w:tc>
        <w:tc>
          <w:tcPr>
            <w:tcW w:w="42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60" w:type="dxa"/>
            <w:vAlign w:val="bottom"/>
            <w:tcBorders>
              <w:bottom w:val="single" w:sz="8" w:color="DBDBDB"/>
            </w:tcBorders>
          </w:tcPr>
          <w:p>
            <w:pPr>
              <w:spacing w:after="0"/>
              <w:rPr>
                <w:sz w:val="5"/>
                <w:szCs w:val="5"/>
                <w:color w:val="auto"/>
              </w:rPr>
            </w:pPr>
          </w:p>
        </w:tc>
        <w:tc>
          <w:tcPr>
            <w:tcW w:w="12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1" w:hanging="601"/>
        <w:spacing w:after="0"/>
        <w:tabs>
          <w:tab w:leader="none" w:pos="601" w:val="left"/>
        </w:tabs>
        <w:numPr>
          <w:ilvl w:val="0"/>
          <w:numId w:val="80"/>
        </w:numPr>
        <w:rPr>
          <w:rFonts w:ascii="Arial" w:cs="Arial" w:eastAsia="Arial" w:hAnsi="Arial"/>
          <w:sz w:val="12"/>
          <w:szCs w:val="12"/>
          <w:color w:val="auto"/>
        </w:rPr>
      </w:pPr>
      <w:r>
        <w:rPr>
          <w:rFonts w:ascii="Arial" w:cs="Arial" w:eastAsia="Arial" w:hAnsi="Arial"/>
          <w:sz w:val="12"/>
          <w:szCs w:val="12"/>
          <w:color w:val="auto"/>
        </w:rPr>
        <w:t>Qualifying termination event must occur within 24-months of a Change of Control to receive applicable equity award vesting acceleration.</w:t>
      </w:r>
    </w:p>
    <w:p>
      <w:pPr>
        <w:spacing w:after="0" w:line="29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Employment Agreements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Each NEO employment agreement, as in effect at the end of fiscal 2024, provides for the following terms:</w:t>
      </w:r>
    </w:p>
    <w:p>
      <w:pPr>
        <w:spacing w:after="0" w:line="58" w:lineRule="exact"/>
        <w:rPr>
          <w:sz w:val="20"/>
          <w:szCs w:val="20"/>
          <w:color w:val="auto"/>
        </w:rPr>
      </w:pPr>
    </w:p>
    <w:p>
      <w:pPr>
        <w:ind w:left="441" w:right="60" w:hanging="217"/>
        <w:spacing w:after="0" w:line="293" w:lineRule="auto"/>
        <w:tabs>
          <w:tab w:leader="none" w:pos="418" w:val="left"/>
        </w:tabs>
        <w:numPr>
          <w:ilvl w:val="0"/>
          <w:numId w:val="81"/>
        </w:numPr>
        <w:rPr>
          <w:rFonts w:ascii="Arial" w:cs="Arial" w:eastAsia="Arial" w:hAnsi="Arial"/>
          <w:sz w:val="15"/>
          <w:szCs w:val="15"/>
          <w:color w:val="auto"/>
        </w:rPr>
      </w:pPr>
      <w:r>
        <w:rPr>
          <w:rFonts w:ascii="Arial" w:cs="Arial" w:eastAsia="Arial" w:hAnsi="Arial"/>
          <w:sz w:val="15"/>
          <w:szCs w:val="15"/>
          <w:color w:val="auto"/>
        </w:rPr>
        <w:t>NEOs are entitled to a base salary, which may be increased at the discretion of the Board or the Committee, and are eligible to participate in the Company’s annual cash bonus plan pursuant to target bonus opportunities and pre-established performance targets, as determined by the Board or Committee.</w:t>
      </w:r>
    </w:p>
    <w:p>
      <w:pPr>
        <w:spacing w:after="0" w:line="26" w:lineRule="exact"/>
        <w:rPr>
          <w:rFonts w:ascii="Arial" w:cs="Arial" w:eastAsia="Arial" w:hAnsi="Arial"/>
          <w:sz w:val="15"/>
          <w:szCs w:val="15"/>
          <w:color w:val="auto"/>
        </w:rPr>
      </w:pPr>
    </w:p>
    <w:p>
      <w:pPr>
        <w:ind w:left="441" w:right="140" w:hanging="217"/>
        <w:spacing w:after="0" w:line="259" w:lineRule="auto"/>
        <w:tabs>
          <w:tab w:leader="none" w:pos="418" w:val="left"/>
        </w:tabs>
        <w:numPr>
          <w:ilvl w:val="0"/>
          <w:numId w:val="81"/>
        </w:numPr>
        <w:rPr>
          <w:rFonts w:ascii="Arial" w:cs="Arial" w:eastAsia="Arial" w:hAnsi="Arial"/>
          <w:sz w:val="15"/>
          <w:szCs w:val="15"/>
          <w:color w:val="auto"/>
        </w:rPr>
      </w:pPr>
      <w:r>
        <w:rPr>
          <w:rFonts w:ascii="Arial" w:cs="Arial" w:eastAsia="Arial" w:hAnsi="Arial"/>
          <w:sz w:val="15"/>
          <w:szCs w:val="15"/>
          <w:color w:val="auto"/>
        </w:rPr>
        <w:t>NEOs are entitled to reimbursement for all reasonable business expenses incurred in performing services under the NEO’s employment agreement in accordance with the Company’s expense reimbursement policy, including all travel expenses while away from home on business or at the request of and in the service of the Company.</w:t>
      </w:r>
    </w:p>
    <w:p>
      <w:pPr>
        <w:spacing w:after="0" w:line="63" w:lineRule="exact"/>
        <w:rPr>
          <w:rFonts w:ascii="Arial" w:cs="Arial" w:eastAsia="Arial" w:hAnsi="Arial"/>
          <w:sz w:val="15"/>
          <w:szCs w:val="15"/>
          <w:color w:val="auto"/>
        </w:rPr>
      </w:pPr>
    </w:p>
    <w:p>
      <w:pPr>
        <w:ind w:left="421" w:hanging="197"/>
        <w:spacing w:after="0"/>
        <w:tabs>
          <w:tab w:leader="none" w:pos="421"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following restrictive covenants apply to each NEO:</w:t>
      </w:r>
    </w:p>
    <w:p>
      <w:pPr>
        <w:spacing w:after="0" w:line="88" w:lineRule="exact"/>
        <w:rPr>
          <w:rFonts w:ascii="Arial" w:cs="Arial" w:eastAsia="Arial" w:hAnsi="Arial"/>
          <w:sz w:val="15"/>
          <w:szCs w:val="15"/>
          <w:color w:val="auto"/>
        </w:rPr>
      </w:pPr>
    </w:p>
    <w:p>
      <w:pPr>
        <w:ind w:left="681" w:right="820" w:hanging="233"/>
        <w:spacing w:after="0" w:line="276" w:lineRule="auto"/>
        <w:tabs>
          <w:tab w:leader="none" w:pos="681" w:val="left"/>
        </w:tabs>
        <w:numPr>
          <w:ilvl w:val="1"/>
          <w:numId w:val="81"/>
        </w:numPr>
        <w:rPr>
          <w:rFonts w:ascii="Arial" w:cs="Arial" w:eastAsia="Arial" w:hAnsi="Arial"/>
          <w:sz w:val="15"/>
          <w:szCs w:val="15"/>
          <w:color w:val="auto"/>
        </w:rPr>
      </w:pPr>
      <w:r>
        <w:rPr>
          <w:rFonts w:ascii="Arial" w:cs="Arial" w:eastAsia="Arial" w:hAnsi="Arial"/>
          <w:sz w:val="15"/>
          <w:szCs w:val="15"/>
          <w:color w:val="auto"/>
        </w:rPr>
        <w:t>assignment of all rights of any intellectual property created during employment to the Company and, during employment and in perpetuity thereafter, confidentiality and non-disparagement; and</w:t>
      </w:r>
    </w:p>
    <w:p>
      <w:pPr>
        <w:spacing w:after="0" w:line="38" w:lineRule="exact"/>
        <w:rPr>
          <w:rFonts w:ascii="Arial" w:cs="Arial" w:eastAsia="Arial" w:hAnsi="Arial"/>
          <w:sz w:val="15"/>
          <w:szCs w:val="15"/>
          <w:color w:val="auto"/>
        </w:rPr>
      </w:pPr>
    </w:p>
    <w:p>
      <w:pPr>
        <w:ind w:left="681" w:hanging="233"/>
        <w:spacing w:after="0" w:line="276" w:lineRule="auto"/>
        <w:tabs>
          <w:tab w:leader="none" w:pos="676" w:val="left"/>
        </w:tabs>
        <w:numPr>
          <w:ilvl w:val="1"/>
          <w:numId w:val="81"/>
        </w:numPr>
        <w:rPr>
          <w:rFonts w:ascii="Arial" w:cs="Arial" w:eastAsia="Arial" w:hAnsi="Arial"/>
          <w:sz w:val="15"/>
          <w:szCs w:val="15"/>
          <w:color w:val="auto"/>
        </w:rPr>
      </w:pPr>
      <w:r>
        <w:rPr>
          <w:rFonts w:ascii="Arial" w:cs="Arial" w:eastAsia="Arial" w:hAnsi="Arial"/>
          <w:sz w:val="15"/>
          <w:szCs w:val="15"/>
          <w:color w:val="auto"/>
        </w:rPr>
        <w:t>during employment and for up to 24 months following termination, non-compete, non-solicitation and no hire of team members, and non-solicitation of customers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934720</wp:posOffset>
            </wp:positionV>
            <wp:extent cx="7168515" cy="4127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647700</wp:posOffset>
            </wp:positionV>
            <wp:extent cx="789305" cy="18923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color w:val="007EC4"/>
        </w:rPr>
        <w:t xml:space="preserve">72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Severance Arrangements</w:t>
      </w:r>
    </w:p>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Each actively employed NEO is entitled to receive severance benefits under the terms of his employment agreement upon either termination by the Company without Cause (as defined in their applicable agreements) or a resignation by the NEO for Good Reason (as defined in their applicable agreements). We provide these severance benefits in order to provide an overall compensation package that is competitive with that offered by the companies with which we compete for executive talent. Severance benefits help us retain our NEOs and allow our NEOs to focus on our business objectives without concern for their employment security in the event of a termination. Set forth below are the severance provisions that were in effect as of the end of fiscal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Payments and Benefits</w:t>
      </w:r>
    </w:p>
    <w:p>
      <w:pPr>
        <w:spacing w:after="0" w:line="58" w:lineRule="exact"/>
        <w:rPr>
          <w:sz w:val="20"/>
          <w:szCs w:val="20"/>
          <w:color w:val="auto"/>
        </w:rPr>
      </w:pPr>
    </w:p>
    <w:p>
      <w:pPr>
        <w:ind w:left="580" w:hanging="282"/>
        <w:spacing w:after="0"/>
        <w:tabs>
          <w:tab w:leader="none" w:pos="5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Severance payments and benefits are subject to timely execution, without revocation, of an effective release of claims in favor of the Company and its affiliates.</w:t>
      </w:r>
    </w:p>
    <w:p>
      <w:pPr>
        <w:spacing w:after="0" w:line="113" w:lineRule="exact"/>
        <w:rPr>
          <w:rFonts w:ascii="Arial" w:cs="Arial" w:eastAsia="Arial" w:hAnsi="Arial"/>
          <w:sz w:val="15"/>
          <w:szCs w:val="15"/>
          <w:color w:val="auto"/>
        </w:rPr>
      </w:pPr>
    </w:p>
    <w:p>
      <w:pPr>
        <w:ind w:left="580" w:hanging="282"/>
        <w:spacing w:after="0"/>
        <w:tabs>
          <w:tab w:leader="none" w:pos="5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NEOs are not entitled to any severance payments or benefits if terminated for Cause or if they resign without Good Reason.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Death or Disability</w:t>
      </w:r>
    </w:p>
    <w:p>
      <w:pPr>
        <w:spacing w:after="0" w:line="70"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If employment is terminated due to death or disability, then the Company will pay to the executive or the designated beneficiary or legal representative (if applicable) the prior year bonus, if any is due, at the same time in the year of termination as such payment would be made if the executive had otherwise continued to be employed by the Company. Treatment of equity awards in connection with termination due to death and disability is discussed below under “Equity Award Accelerated Vesting — Death and Disability.”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Termination Without Cause or for Good Reason</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If the Company terminates employment without Cause or the NEO resigns for Good Reason, then the Company will pay the NEO the following severance benefits:</w:t>
      </w:r>
    </w:p>
    <w:p>
      <w:pPr>
        <w:spacing w:after="0" w:line="163" w:lineRule="exact"/>
        <w:rPr>
          <w:sz w:val="20"/>
          <w:szCs w:val="20"/>
          <w:color w:val="auto"/>
        </w:rPr>
      </w:pPr>
    </w:p>
    <w:p>
      <w:pPr>
        <w:ind w:left="440" w:right="40" w:hanging="217"/>
        <w:spacing w:after="0" w:line="276" w:lineRule="auto"/>
        <w:tabs>
          <w:tab w:leader="none" w:pos="417"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prior year bonus, if any is due, payable at the same time in the year of termination as such payment would be made if the executive had otherwise continued to be employed by the Company.</w:t>
      </w:r>
    </w:p>
    <w:p>
      <w:pPr>
        <w:spacing w:after="0" w:line="50" w:lineRule="exact"/>
        <w:rPr>
          <w:rFonts w:ascii="Arial" w:cs="Arial" w:eastAsia="Arial" w:hAnsi="Arial"/>
          <w:sz w:val="15"/>
          <w:szCs w:val="15"/>
          <w:color w:val="auto"/>
        </w:rPr>
      </w:pPr>
    </w:p>
    <w:p>
      <w:pPr>
        <w:ind w:left="440" w:right="60" w:hanging="217"/>
        <w:spacing w:after="0" w:line="267" w:lineRule="auto"/>
        <w:tabs>
          <w:tab w:leader="none" w:pos="417" w:val="left"/>
        </w:tabs>
        <w:numPr>
          <w:ilvl w:val="0"/>
          <w:numId w:val="83"/>
        </w:numPr>
        <w:rPr>
          <w:rFonts w:ascii="Arial" w:cs="Arial" w:eastAsia="Arial" w:hAnsi="Arial"/>
          <w:sz w:val="15"/>
          <w:szCs w:val="15"/>
          <w:color w:val="auto"/>
        </w:rPr>
      </w:pPr>
      <w:r>
        <w:rPr>
          <w:rFonts w:ascii="Arial" w:cs="Arial" w:eastAsia="Arial" w:hAnsi="Arial"/>
          <w:sz w:val="15"/>
          <w:szCs w:val="15"/>
          <w:color w:val="auto"/>
        </w:rPr>
        <w:t>A cash severance amount equal to the product of 2.0 multiplied by the sum of their current base salary and the average annual bonus paid (or earned, to the extent not yet paid as of the termination date) for the two fiscal years immediately preceding the fiscal year in which the termination date occurs, payable ratably in 24 equal monthly installments following the termination date in accordance with the Company’s normal payroll cycle and procedures.</w:t>
      </w:r>
    </w:p>
    <w:p>
      <w:pPr>
        <w:spacing w:after="0" w:line="70" w:lineRule="exact"/>
        <w:rPr>
          <w:rFonts w:ascii="Arial" w:cs="Arial" w:eastAsia="Arial" w:hAnsi="Arial"/>
          <w:sz w:val="15"/>
          <w:szCs w:val="15"/>
          <w:color w:val="auto"/>
        </w:rPr>
      </w:pPr>
    </w:p>
    <w:p>
      <w:pPr>
        <w:ind w:left="440" w:hanging="217"/>
        <w:spacing w:after="0" w:line="253" w:lineRule="auto"/>
        <w:tabs>
          <w:tab w:leader="none" w:pos="417" w:val="left"/>
        </w:tabs>
        <w:numPr>
          <w:ilvl w:val="0"/>
          <w:numId w:val="83"/>
        </w:numPr>
        <w:rPr>
          <w:rFonts w:ascii="Arial" w:cs="Arial" w:eastAsia="Arial" w:hAnsi="Arial"/>
          <w:sz w:val="15"/>
          <w:szCs w:val="15"/>
          <w:color w:val="auto"/>
        </w:rPr>
      </w:pPr>
      <w:r>
        <w:rPr>
          <w:rFonts w:ascii="Arial" w:cs="Arial" w:eastAsia="Arial" w:hAnsi="Arial"/>
          <w:sz w:val="15"/>
          <w:szCs w:val="15"/>
          <w:color w:val="auto"/>
        </w:rPr>
        <w:t>For the NEOs, other than Mr. Lawrence, a pro-rata portion of the actual annual bonus that would have been earned (assuming the NEO achieved 100% of target for any individual goals set in the fiscal year) under the Company’s annual cash bonus plan for the fiscal year in which the termination occurs, paid in a lump sum when annual bonuses for the fiscal year in which the date of termination occurs are otherwise paid to other similarly situated employees of the Company. Mr. Lawrence will receive a pro-rata portion of the annual bonus earned under the Company’s annual cash bonus plan for the fiscal year immediately preceding the fiscal year in which termination occurs (in lieu of the annual bonus that would have otherwise been due under the Company’s annual cash bonus plan for the performance period in which the termination date occurs), paid in a lump sum when annual bonuses for the fiscal year in which the date of termination occurs are otherwise paid to other similarly situated employees of the Company.</w:t>
      </w:r>
    </w:p>
    <w:p>
      <w:pPr>
        <w:spacing w:after="0" w:line="69" w:lineRule="exact"/>
        <w:rPr>
          <w:rFonts w:ascii="Arial" w:cs="Arial" w:eastAsia="Arial" w:hAnsi="Arial"/>
          <w:sz w:val="15"/>
          <w:szCs w:val="15"/>
          <w:color w:val="auto"/>
        </w:rPr>
      </w:pPr>
    </w:p>
    <w:p>
      <w:pPr>
        <w:ind w:left="440" w:right="180" w:hanging="217"/>
        <w:spacing w:after="0" w:line="293" w:lineRule="auto"/>
        <w:tabs>
          <w:tab w:leader="none" w:pos="417" w:val="left"/>
        </w:tabs>
        <w:numPr>
          <w:ilvl w:val="0"/>
          <w:numId w:val="83"/>
        </w:numPr>
        <w:rPr>
          <w:rFonts w:ascii="Arial" w:cs="Arial" w:eastAsia="Arial" w:hAnsi="Arial"/>
          <w:sz w:val="15"/>
          <w:szCs w:val="15"/>
          <w:color w:val="auto"/>
        </w:rPr>
      </w:pPr>
      <w:r>
        <w:rPr>
          <w:rFonts w:ascii="Arial" w:cs="Arial" w:eastAsia="Arial" w:hAnsi="Arial"/>
          <w:sz w:val="15"/>
          <w:szCs w:val="15"/>
          <w:color w:val="auto"/>
        </w:rPr>
        <w:t>For the NEOs other than Messrs. Ford and McCabe, an amount equal to 24 months of basic life insurance premiums at the rates in effect immediately prior to the termination date, payable in a lump sum in cash on the first payroll date following the effective date of the release.</w:t>
      </w:r>
    </w:p>
    <w:p>
      <w:pPr>
        <w:spacing w:after="0" w:line="38" w:lineRule="exact"/>
        <w:rPr>
          <w:rFonts w:ascii="Arial" w:cs="Arial" w:eastAsia="Arial" w:hAnsi="Arial"/>
          <w:sz w:val="15"/>
          <w:szCs w:val="15"/>
          <w:color w:val="auto"/>
        </w:rPr>
      </w:pPr>
    </w:p>
    <w:p>
      <w:pPr>
        <w:ind w:left="440" w:right="60" w:hanging="217"/>
        <w:spacing w:after="0" w:line="259" w:lineRule="auto"/>
        <w:tabs>
          <w:tab w:leader="none" w:pos="417" w:val="left"/>
        </w:tabs>
        <w:numPr>
          <w:ilvl w:val="0"/>
          <w:numId w:val="83"/>
        </w:numPr>
        <w:rPr>
          <w:rFonts w:ascii="Arial" w:cs="Arial" w:eastAsia="Arial" w:hAnsi="Arial"/>
          <w:sz w:val="15"/>
          <w:szCs w:val="15"/>
          <w:color w:val="auto"/>
        </w:rPr>
      </w:pPr>
      <w:r>
        <w:rPr>
          <w:rFonts w:ascii="Arial" w:cs="Arial" w:eastAsia="Arial" w:hAnsi="Arial"/>
          <w:sz w:val="15"/>
          <w:szCs w:val="15"/>
          <w:color w:val="auto"/>
        </w:rPr>
        <w:t>Subject to the NEO’s timely election of continuation coverage for the NEO and/or their covered dependents under the Consolidated Omnibus Budget Reconciliation Act of 1985, as amended, or COBRA, an additional cash lump sum on the first payroll date following the effective date of the release in an amount equal to (i) the monthly COBRA insurance premium for participation in the medical insurance benefits of the Company (determined based on the rate in effect on the date of termination) multiplied by (ii)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958850</wp:posOffset>
            </wp:positionV>
            <wp:extent cx="7168515" cy="4127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663575</wp:posOffset>
            </wp:positionV>
            <wp:extent cx="789305" cy="18923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Equity Award Accelerated Vesting</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Change of Control</w:t>
      </w:r>
    </w:p>
    <w:p>
      <w:pPr>
        <w:spacing w:after="0" w:line="70"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We have approved accelerated vesting provisions for Options and RSUs in connection with a termination of employment within the 24 month period following a Change of Control (as defined in the 2020 Equity Plan). Time-based RSUs granted in 2023 and later provide for a full accelerated vesting in connection with a termination without “Cause” or resignation for “Good Reason” (each as defined in the applicable award agreements) that occurs within the 24-month period following a Change of Control. For performance-based RSUs granted in fiscal 2023 and later, the target number of RSUs subject to the award will be deemed earned upon a Change of Control. For performance-based RSUs granted prior to fiscal 2023, only Earned RSUs that have met the applicable performance criteria will remain outstanding following the Change of Control while unearned performance-based RSUs will be forfeited upon the Change of Control. All such outstanding performance-based RSUs will remain eligible to vest subject to the holder’s continued service through the end of the applicable performance period. If the holder is terminated without “Cause” or resigns for “Good Reason” within the 24-month period following the Change of Control, such RSUs will accelerate and vest in full (see “Potential Payments Upon Qualifying Termination of Employment or Change of Control” for additional information regarding accelerated vesting of Options and RSUs in connection with a Change of Control).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Death or Disability</w:t>
      </w:r>
    </w:p>
    <w:p>
      <w:pPr>
        <w:spacing w:after="0" w:line="70"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Each NEO is entitled to limited vesting acceleration with respect to their outstanding Options, performance-based RSUs and time-based RSUs upon a death or disability termination. In connection with a termination due to death or disability: (i) the NEOs will immediately vest in any unvested Options that would have otherwise vested on the next applicable vesting date, or for Mr. Hicks’s 2022 annual Option award, will immediately vest those 2022 Options that would have vested over the 12-month period following his termination date; (ii) for the 2023 grants forward, the NEOs will immediately vest in a pro-rata portion of unvested performance-based RSUs determined as the target number of RSUs granted multiplied by a fraction with a numerator equal to, the higher of, either 12 or the number of full months completed by the NEO during the 36-month performance period and a denominator of 36 (performance-based RSUs granted in 2022 do not have vesting acceleration for death and disability); and (iii) the NEOs will immediately vest in any unvested time-based RSUs that would have otherwise vested on the next applicable vesting date.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Retirement</w:t>
      </w:r>
    </w:p>
    <w:p>
      <w:pPr>
        <w:spacing w:after="0" w:line="83"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The Committee added retirement vesting provisions to all NEOs with equity awards granted in 2023 and later (note: some of Mr. Hicks’s equity awards previously included retirement vesting provisions). For the 2023 grants forward, “Retirement” refers to an NEO’s voluntary termination of continuous service after the NEO has: (i) attained age 55; (ii) completed at least five years of continuous service; and (iii) the NEO’s full years of age and full years of continuous service totals at least 70. As used in Mr. Hicks’s 2022 awards, “Retirement” refers to Mr. Hicks’s voluntary termination of continuous service after he has: (i) attained age 65; and (ii) completed at least five years of continuous service. The only NEO who was “Retirement” eligible in 2024 was Mr. Hicks. In the event of an NEO’s Retirement; the 2023 and 2024 equity awards provide that: (i) any unvested Options and time-based RSUs will remain outstanding and eligible to vest on each applicable vesting date as if the NEO had remained in continuous service to the Company; and (ii) a pro-rata portion of any unvested performance-based RSUs (based on months worked through the Retirement date) will remain outstanding and eligible to become earned and vest based on actual performance as if the NEO had remained in continuous service. For Mr. Hicks’s 2022 equity awards, in the event of his Retirement: (i) any unvested Options and time-based RSUs remain outstanding and eligible to vest as described with respect to the 2023 equity awards above; and (ii) only “Earned RSUs” (i.e., performance-based RSUs that have met applicable performance targets under the terms of the grant) will remain outstanding and eligible to vest as if Mr. Hicks had remained in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1012825</wp:posOffset>
            </wp:positionV>
            <wp:extent cx="7168515" cy="4127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717550</wp:posOffset>
            </wp:positionV>
            <wp:extent cx="789305" cy="18923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color w:val="007EC4"/>
        </w:rPr>
        <w:t xml:space="preserve">74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CEO Pay Ratio</w:t>
      </w:r>
    </w:p>
    <w:p>
      <w:pPr>
        <w:spacing w:after="0" w:line="14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Pursuant to the Dodd-Frank Wall Street Reform and Consumer Protection Act and Item 402(u) of Regulation S-K under the Securities Act, we are required to disclose the ratio of our median team member’s annual total compensation to the annual total compensation of our CEO. The SEC’s rules for identifying the median compensated team member and calculating the pay ratio based on that team member’s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 The following information is a reasonable good faith estimate calculated in a manner consistent with the SEC pay ratio rules and methods for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Methodology to Identify Our Median Team Member</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We identified our median compensated team member as follows:</w:t>
      </w:r>
    </w:p>
    <w:p>
      <w:pPr>
        <w:spacing w:after="0" w:line="213" w:lineRule="exact"/>
        <w:rPr>
          <w:sz w:val="20"/>
          <w:szCs w:val="20"/>
          <w:color w:val="auto"/>
        </w:rPr>
      </w:pPr>
    </w:p>
    <w:p>
      <w:pPr>
        <w:ind w:left="440" w:right="220" w:hanging="217"/>
        <w:spacing w:after="0" w:line="293" w:lineRule="auto"/>
        <w:tabs>
          <w:tab w:leader="none" w:pos="417" w:val="left"/>
        </w:tabs>
        <w:numPr>
          <w:ilvl w:val="0"/>
          <w:numId w:val="84"/>
        </w:numPr>
        <w:rPr>
          <w:rFonts w:ascii="Arial" w:cs="Arial" w:eastAsia="Arial" w:hAnsi="Arial"/>
          <w:sz w:val="15"/>
          <w:szCs w:val="15"/>
          <w:color w:val="auto"/>
        </w:rPr>
      </w:pPr>
      <w:r>
        <w:rPr>
          <w:rFonts w:ascii="Arial" w:cs="Arial" w:eastAsia="Arial" w:hAnsi="Arial"/>
          <w:sz w:val="15"/>
          <w:szCs w:val="15"/>
          <w:color w:val="auto"/>
        </w:rPr>
        <w:t>We considered all of our active team members as of February 1, 2025, including any full-time, part-time, temporary or seasonal team members but excluding our CEO.</w:t>
      </w:r>
    </w:p>
    <w:p>
      <w:pPr>
        <w:spacing w:after="0" w:line="38" w:lineRule="exact"/>
        <w:rPr>
          <w:rFonts w:ascii="Arial" w:cs="Arial" w:eastAsia="Arial" w:hAnsi="Arial"/>
          <w:sz w:val="15"/>
          <w:szCs w:val="15"/>
          <w:color w:val="auto"/>
        </w:rPr>
      </w:pPr>
    </w:p>
    <w:p>
      <w:pPr>
        <w:ind w:left="440" w:right="340" w:hanging="217"/>
        <w:spacing w:after="0" w:line="267" w:lineRule="auto"/>
        <w:tabs>
          <w:tab w:leader="none" w:pos="417" w:val="left"/>
        </w:tabs>
        <w:numPr>
          <w:ilvl w:val="0"/>
          <w:numId w:val="84"/>
        </w:numPr>
        <w:rPr>
          <w:rFonts w:ascii="Arial" w:cs="Arial" w:eastAsia="Arial" w:hAnsi="Arial"/>
          <w:sz w:val="15"/>
          <w:szCs w:val="15"/>
          <w:color w:val="auto"/>
        </w:rPr>
      </w:pPr>
      <w:r>
        <w:rPr>
          <w:rFonts w:ascii="Arial" w:cs="Arial" w:eastAsia="Arial" w:hAnsi="Arial"/>
          <w:sz w:val="15"/>
          <w:szCs w:val="15"/>
          <w:color w:val="auto"/>
        </w:rPr>
        <w:t>We used gross wages from our payroll records as reported for calendar year 2024. We converted any earnings paid in local (non-U.S.) currency to U.S. dollars using the published exchange rate as of February 1, 2025. We annualized gross wages for any team member who did not work for the entire year unless designated as a temporary, seasonal or other non-permanent team member as of February 1, 2025.</w:t>
      </w:r>
    </w:p>
    <w:p>
      <w:pPr>
        <w:spacing w:after="0" w:line="58" w:lineRule="exact"/>
        <w:rPr>
          <w:rFonts w:ascii="Arial" w:cs="Arial" w:eastAsia="Arial" w:hAnsi="Arial"/>
          <w:sz w:val="15"/>
          <w:szCs w:val="15"/>
          <w:color w:val="auto"/>
        </w:rPr>
      </w:pPr>
    </w:p>
    <w:p>
      <w:pPr>
        <w:ind w:left="420" w:hanging="197"/>
        <w:spacing w:after="0"/>
        <w:tabs>
          <w:tab w:leader="none" w:pos="4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Our median team member was a full-time team member working in our stores division and employed the full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Calculating the Ratio</w:t>
      </w:r>
    </w:p>
    <w:p>
      <w:pPr>
        <w:spacing w:after="0" w:line="70" w:lineRule="exact"/>
        <w:rPr>
          <w:sz w:val="20"/>
          <w:szCs w:val="20"/>
          <w:color w:val="auto"/>
        </w:rPr>
      </w:pPr>
    </w:p>
    <w:p>
      <w:pPr>
        <w:ind w:right="300"/>
        <w:spacing w:after="0" w:line="288" w:lineRule="auto"/>
        <w:rPr>
          <w:sz w:val="20"/>
          <w:szCs w:val="20"/>
          <w:color w:val="auto"/>
        </w:rPr>
      </w:pPr>
      <w:r>
        <w:rPr>
          <w:rFonts w:ascii="Arial" w:cs="Arial" w:eastAsia="Arial" w:hAnsi="Arial"/>
          <w:sz w:val="15"/>
          <w:szCs w:val="15"/>
          <w:color w:val="auto"/>
        </w:rPr>
        <w:t>After identifying the median team member, we calculated this team member’s total annual compensation in the same manner as the CEO’s compensation, which is described in the Summary Compensation Table (please see “Summary Compensation Table” for additional information). The annual total compensation of our median team member was $21,341 for 2024 and Mr. Lawrence’s 2024 compensation was $8,661,073. Thus, our CEO pay ratio based on fiscal year 2024 compensation is approximately 406:1.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1008380</wp:posOffset>
            </wp:positionV>
            <wp:extent cx="7168515" cy="4127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721360</wp:posOffset>
            </wp:positionV>
            <wp:extent cx="789305" cy="18923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Pay versus Performance</w:t>
      </w:r>
    </w:p>
    <w:p>
      <w:pPr>
        <w:spacing w:after="0" w:line="119" w:lineRule="exact"/>
        <w:rPr>
          <w:sz w:val="20"/>
          <w:szCs w:val="20"/>
          <w:color w:val="auto"/>
        </w:rPr>
      </w:pPr>
    </w:p>
    <w:p>
      <w:pPr>
        <w:ind w:left="1" w:right="180"/>
        <w:spacing w:after="0" w:line="288" w:lineRule="auto"/>
        <w:rPr>
          <w:sz w:val="20"/>
          <w:szCs w:val="20"/>
          <w:color w:val="auto"/>
        </w:rPr>
      </w:pPr>
      <w:r>
        <w:rPr>
          <w:rFonts w:ascii="Arial" w:cs="Arial" w:eastAsia="Arial" w:hAnsi="Arial"/>
          <w:sz w:val="15"/>
          <w:szCs w:val="15"/>
          <w:color w:val="auto"/>
        </w:rPr>
        <w:t>As required by Section 953(a) of the Dodd-Frank Wall Street Reform and Consumer Protection Act and Item 402(v) of Regulation S-K under the Securities Act, we are providing the following information about the relationship between executive “compensation actually paid” (“CAP”) and certain financial performance measures of the Company. For further information concerning the Company’s pay for performance philosophy and how the Company aligns executive compensation with the Company’s performance, refer to “Compensation Discussion and Analysis.”</w:t>
      </w:r>
    </w:p>
    <w:p>
      <w:pPr>
        <w:spacing w:after="0" w:line="166" w:lineRule="exact"/>
        <w:rPr>
          <w:sz w:val="20"/>
          <w:szCs w:val="20"/>
          <w:color w:val="auto"/>
        </w:rPr>
      </w:pPr>
    </w:p>
    <w:p>
      <w:pPr>
        <w:ind w:left="1" w:right="20"/>
        <w:spacing w:after="0" w:line="288" w:lineRule="auto"/>
        <w:rPr>
          <w:sz w:val="20"/>
          <w:szCs w:val="20"/>
          <w:color w:val="auto"/>
        </w:rPr>
      </w:pPr>
      <w:r>
        <w:rPr>
          <w:rFonts w:ascii="Arial" w:cs="Arial" w:eastAsia="Arial" w:hAnsi="Arial"/>
          <w:sz w:val="15"/>
          <w:szCs w:val="15"/>
          <w:color w:val="auto"/>
        </w:rPr>
        <w:t>The following table presents certain information regarding compensation paid to Academy’s Principal Executive Officer (“PEO”) and other Named Executive Officers (“Non-PEO NEOs”) both as reported in the Summary Compensation Table and with certain adjustments to reflect the CAP to such individuals, as well as certain measures of financial performance, for each of the three fiscal years ended February 1, 2025. The amounts shown below are calculated in accordance with Item 402(v) of Regulation S-K under the Securities Act and do not reflect the actual total compensation realized or received by our PEOs or Non-PEO NEOs.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720" w:type="dxa"/>
            <w:vAlign w:val="bottom"/>
            <w:shd w:val="clear" w:color="auto" w:fill="E1D7AC"/>
          </w:tcPr>
          <w:p>
            <w:pPr>
              <w:spacing w:after="0"/>
              <w:rPr>
                <w:sz w:val="12"/>
                <w:szCs w:val="12"/>
                <w:color w:val="auto"/>
              </w:rPr>
            </w:pPr>
          </w:p>
        </w:tc>
        <w:tc>
          <w:tcPr>
            <w:tcW w:w="1040" w:type="dxa"/>
            <w:vAlign w:val="bottom"/>
            <w:shd w:val="clear" w:color="auto" w:fill="E1D7AC"/>
          </w:tcPr>
          <w:p>
            <w:pPr>
              <w:spacing w:after="0"/>
              <w:rPr>
                <w:sz w:val="12"/>
                <w:szCs w:val="12"/>
                <w:color w:val="auto"/>
              </w:rPr>
            </w:pPr>
          </w:p>
        </w:tc>
        <w:tc>
          <w:tcPr>
            <w:tcW w:w="1180" w:type="dxa"/>
            <w:vAlign w:val="bottom"/>
            <w:shd w:val="clear" w:color="auto" w:fill="E1D7AC"/>
          </w:tcPr>
          <w:p>
            <w:pPr>
              <w:spacing w:after="0"/>
              <w:rPr>
                <w:sz w:val="12"/>
                <w:szCs w:val="12"/>
                <w:color w:val="auto"/>
              </w:rPr>
            </w:pPr>
          </w:p>
        </w:tc>
        <w:tc>
          <w:tcPr>
            <w:tcW w:w="1120" w:type="dxa"/>
            <w:vAlign w:val="bottom"/>
            <w:shd w:val="clear" w:color="auto" w:fill="E1D7AC"/>
          </w:tcPr>
          <w:p>
            <w:pPr>
              <w:spacing w:after="0"/>
              <w:rPr>
                <w:sz w:val="12"/>
                <w:szCs w:val="12"/>
                <w:color w:val="auto"/>
              </w:rPr>
            </w:pPr>
          </w:p>
        </w:tc>
        <w:tc>
          <w:tcPr>
            <w:tcW w:w="1120" w:type="dxa"/>
            <w:vAlign w:val="bottom"/>
            <w:shd w:val="clear" w:color="auto" w:fill="E1D7AC"/>
          </w:tcPr>
          <w:p>
            <w:pPr>
              <w:spacing w:after="0"/>
              <w:rPr>
                <w:sz w:val="12"/>
                <w:szCs w:val="12"/>
                <w:color w:val="auto"/>
              </w:rPr>
            </w:pPr>
          </w:p>
        </w:tc>
        <w:tc>
          <w:tcPr>
            <w:tcW w:w="124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900" w:type="dxa"/>
            <w:vAlign w:val="bottom"/>
            <w:gridSpan w:val="2"/>
            <w:shd w:val="clear" w:color="auto" w:fill="E1D7AC"/>
          </w:tcPr>
          <w:p>
            <w:pPr>
              <w:jc w:val="right"/>
              <w:ind w:right="6"/>
              <w:spacing w:after="0"/>
              <w:rPr>
                <w:sz w:val="20"/>
                <w:szCs w:val="20"/>
                <w:color w:val="auto"/>
              </w:rPr>
            </w:pPr>
            <w:r>
              <w:rPr>
                <w:rFonts w:ascii="Arial" w:cs="Arial" w:eastAsia="Arial" w:hAnsi="Arial"/>
                <w:sz w:val="10"/>
                <w:szCs w:val="10"/>
                <w:b w:val="1"/>
                <w:bCs w:val="1"/>
                <w:color w:val="auto"/>
              </w:rPr>
              <w:t>Value of Initial Fixed $100 Investment</w:t>
            </w:r>
          </w:p>
        </w:tc>
        <w:tc>
          <w:tcPr>
            <w:tcW w:w="1220" w:type="dxa"/>
            <w:vAlign w:val="bottom"/>
            <w:shd w:val="clear" w:color="auto" w:fill="E1D7AC"/>
          </w:tcPr>
          <w:p>
            <w:pPr>
              <w:spacing w:after="0"/>
              <w:rPr>
                <w:sz w:val="12"/>
                <w:szCs w:val="12"/>
                <w:color w:val="auto"/>
              </w:rPr>
            </w:pPr>
          </w:p>
        </w:tc>
        <w:tc>
          <w:tcPr>
            <w:tcW w:w="820" w:type="dxa"/>
            <w:vAlign w:val="bottom"/>
            <w:shd w:val="clear" w:color="auto" w:fill="E1D7A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20" w:type="dxa"/>
            <w:vAlign w:val="bottom"/>
            <w:tcBorders>
              <w:bottom w:val="single" w:sz="8" w:color="E1D7AC"/>
            </w:tcBorders>
            <w:shd w:val="clear" w:color="auto" w:fill="E1D7AC"/>
          </w:tcPr>
          <w:p>
            <w:pPr>
              <w:spacing w:after="0"/>
              <w:rPr>
                <w:sz w:val="14"/>
                <w:szCs w:val="14"/>
                <w:color w:val="auto"/>
              </w:rPr>
            </w:pPr>
          </w:p>
        </w:tc>
        <w:tc>
          <w:tcPr>
            <w:tcW w:w="1040" w:type="dxa"/>
            <w:vAlign w:val="bottom"/>
            <w:tcBorders>
              <w:bottom w:val="single" w:sz="8" w:color="E1D7AC"/>
            </w:tcBorders>
            <w:shd w:val="clear" w:color="auto" w:fill="E1D7AC"/>
          </w:tcPr>
          <w:p>
            <w:pPr>
              <w:spacing w:after="0"/>
              <w:rPr>
                <w:sz w:val="14"/>
                <w:szCs w:val="14"/>
                <w:color w:val="auto"/>
              </w:rPr>
            </w:pPr>
          </w:p>
        </w:tc>
        <w:tc>
          <w:tcPr>
            <w:tcW w:w="1180" w:type="dxa"/>
            <w:vAlign w:val="bottom"/>
            <w:tcBorders>
              <w:bottom w:val="single" w:sz="8" w:color="E1D7AC"/>
            </w:tcBorders>
            <w:shd w:val="clear" w:color="auto" w:fill="E1D7AC"/>
          </w:tcPr>
          <w:p>
            <w:pPr>
              <w:spacing w:after="0"/>
              <w:rPr>
                <w:sz w:val="14"/>
                <w:szCs w:val="14"/>
                <w:color w:val="auto"/>
              </w:rPr>
            </w:pPr>
          </w:p>
        </w:tc>
        <w:tc>
          <w:tcPr>
            <w:tcW w:w="1120" w:type="dxa"/>
            <w:vAlign w:val="bottom"/>
            <w:tcBorders>
              <w:bottom w:val="single" w:sz="8" w:color="E1D7AC"/>
            </w:tcBorders>
            <w:shd w:val="clear" w:color="auto" w:fill="E1D7AC"/>
          </w:tcPr>
          <w:p>
            <w:pPr>
              <w:spacing w:after="0"/>
              <w:rPr>
                <w:sz w:val="14"/>
                <w:szCs w:val="14"/>
                <w:color w:val="auto"/>
              </w:rPr>
            </w:pPr>
          </w:p>
        </w:tc>
        <w:tc>
          <w:tcPr>
            <w:tcW w:w="1120" w:type="dxa"/>
            <w:vAlign w:val="bottom"/>
            <w:tcBorders>
              <w:bottom w:val="single" w:sz="8" w:color="E1D7AC"/>
            </w:tcBorders>
            <w:shd w:val="clear" w:color="auto" w:fill="E1D7AC"/>
          </w:tcPr>
          <w:p>
            <w:pPr>
              <w:spacing w:after="0"/>
              <w:rPr>
                <w:sz w:val="14"/>
                <w:szCs w:val="14"/>
                <w:color w:val="auto"/>
              </w:rPr>
            </w:pPr>
          </w:p>
        </w:tc>
        <w:tc>
          <w:tcPr>
            <w:tcW w:w="1240" w:type="dxa"/>
            <w:vAlign w:val="bottom"/>
            <w:tcBorders>
              <w:bottom w:val="single" w:sz="8" w:color="E1D7AC"/>
            </w:tcBorders>
            <w:shd w:val="clear" w:color="auto" w:fill="E1D7AC"/>
          </w:tcPr>
          <w:p>
            <w:pPr>
              <w:spacing w:after="0"/>
              <w:rPr>
                <w:sz w:val="14"/>
                <w:szCs w:val="14"/>
                <w:color w:val="auto"/>
              </w:rPr>
            </w:pPr>
          </w:p>
        </w:tc>
        <w:tc>
          <w:tcPr>
            <w:tcW w:w="880" w:type="dxa"/>
            <w:vAlign w:val="bottom"/>
            <w:tcBorders>
              <w:bottom w:val="single" w:sz="8" w:color="E1D7AC"/>
            </w:tcBorders>
            <w:shd w:val="clear" w:color="auto" w:fill="E1D7AC"/>
          </w:tcPr>
          <w:p>
            <w:pPr>
              <w:spacing w:after="0"/>
              <w:rPr>
                <w:sz w:val="14"/>
                <w:szCs w:val="14"/>
                <w:color w:val="auto"/>
              </w:rPr>
            </w:pPr>
          </w:p>
        </w:tc>
        <w:tc>
          <w:tcPr>
            <w:tcW w:w="1900" w:type="dxa"/>
            <w:vAlign w:val="bottom"/>
            <w:tcBorders>
              <w:bottom w:val="single" w:sz="8" w:color="E1D7AC"/>
            </w:tcBorders>
            <w:gridSpan w:val="2"/>
            <w:shd w:val="clear" w:color="auto" w:fill="E1D7AC"/>
          </w:tcPr>
          <w:p>
            <w:pPr>
              <w:jc w:val="right"/>
              <w:ind w:right="646"/>
              <w:spacing w:after="0"/>
              <w:rPr>
                <w:sz w:val="20"/>
                <w:szCs w:val="20"/>
                <w:color w:val="auto"/>
              </w:rPr>
            </w:pPr>
            <w:r>
              <w:rPr>
                <w:rFonts w:ascii="Arial" w:cs="Arial" w:eastAsia="Arial" w:hAnsi="Arial"/>
                <w:sz w:val="10"/>
                <w:szCs w:val="10"/>
                <w:b w:val="1"/>
                <w:bCs w:val="1"/>
                <w:color w:val="auto"/>
              </w:rPr>
              <w:t>Based On:</w:t>
            </w:r>
          </w:p>
        </w:tc>
        <w:tc>
          <w:tcPr>
            <w:tcW w:w="1220" w:type="dxa"/>
            <w:vAlign w:val="bottom"/>
            <w:tcBorders>
              <w:bottom w:val="single" w:sz="8" w:color="E1D7AC"/>
            </w:tcBorders>
            <w:shd w:val="clear" w:color="auto" w:fill="E1D7AC"/>
          </w:tcPr>
          <w:p>
            <w:pPr>
              <w:spacing w:after="0"/>
              <w:rPr>
                <w:sz w:val="14"/>
                <w:szCs w:val="14"/>
                <w:color w:val="auto"/>
              </w:rPr>
            </w:pPr>
          </w:p>
        </w:tc>
        <w:tc>
          <w:tcPr>
            <w:tcW w:w="820" w:type="dxa"/>
            <w:vAlign w:val="bottom"/>
            <w:tcBorders>
              <w:bottom w:val="single" w:sz="8" w:color="E1D7AC"/>
            </w:tcBorders>
            <w:shd w:val="clear" w:color="auto" w:fill="E1D7AC"/>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tcBorders>
              <w:top w:val="single" w:sz="8" w:color="E1D7AC"/>
            </w:tcBorders>
            <w:shd w:val="clear" w:color="auto" w:fill="E1D7AC"/>
          </w:tcPr>
          <w:p>
            <w:pPr>
              <w:spacing w:after="0"/>
              <w:rPr>
                <w:sz w:val="11"/>
                <w:szCs w:val="11"/>
                <w:color w:val="auto"/>
              </w:rPr>
            </w:pPr>
          </w:p>
        </w:tc>
        <w:tc>
          <w:tcPr>
            <w:tcW w:w="1040" w:type="dxa"/>
            <w:vAlign w:val="bottom"/>
            <w:tcBorders>
              <w:top w:val="single" w:sz="8" w:color="E1D7AC"/>
            </w:tcBorders>
            <w:vMerge w:val="restart"/>
            <w:shd w:val="clear" w:color="auto" w:fill="E1D7AC"/>
          </w:tcPr>
          <w:p>
            <w:pPr>
              <w:jc w:val="right"/>
              <w:spacing w:after="0"/>
              <w:rPr>
                <w:sz w:val="20"/>
                <w:szCs w:val="20"/>
                <w:color w:val="auto"/>
              </w:rPr>
            </w:pPr>
            <w:r>
              <w:rPr>
                <w:rFonts w:ascii="Arial" w:cs="Arial" w:eastAsia="Arial" w:hAnsi="Arial"/>
                <w:sz w:val="10"/>
                <w:szCs w:val="10"/>
                <w:b w:val="1"/>
                <w:bCs w:val="1"/>
                <w:color w:val="auto"/>
              </w:rPr>
              <w:t>Summary</w:t>
            </w:r>
          </w:p>
        </w:tc>
        <w:tc>
          <w:tcPr>
            <w:tcW w:w="1180" w:type="dxa"/>
            <w:vAlign w:val="bottom"/>
            <w:tcBorders>
              <w:top w:val="single" w:sz="8" w:color="E1D7AC"/>
            </w:tcBorders>
            <w:vMerge w:val="restart"/>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Compensation</w:t>
            </w:r>
          </w:p>
        </w:tc>
        <w:tc>
          <w:tcPr>
            <w:tcW w:w="1120" w:type="dxa"/>
            <w:vAlign w:val="bottom"/>
            <w:tcBorders>
              <w:top w:val="single" w:sz="8" w:color="E1D7AC"/>
            </w:tcBorders>
            <w:vMerge w:val="restart"/>
            <w:shd w:val="clear" w:color="auto" w:fill="E1D7AC"/>
          </w:tcPr>
          <w:p>
            <w:pPr>
              <w:jc w:val="right"/>
              <w:ind w:right="26"/>
              <w:spacing w:after="0"/>
              <w:rPr>
                <w:sz w:val="20"/>
                <w:szCs w:val="20"/>
                <w:color w:val="auto"/>
              </w:rPr>
            </w:pPr>
            <w:r>
              <w:rPr>
                <w:rFonts w:ascii="Arial" w:cs="Arial" w:eastAsia="Arial" w:hAnsi="Arial"/>
                <w:sz w:val="10"/>
                <w:szCs w:val="10"/>
                <w:b w:val="1"/>
                <w:bCs w:val="1"/>
                <w:color w:val="auto"/>
              </w:rPr>
              <w:t>Summary</w:t>
            </w:r>
          </w:p>
        </w:tc>
        <w:tc>
          <w:tcPr>
            <w:tcW w:w="1120" w:type="dxa"/>
            <w:vAlign w:val="bottom"/>
            <w:tcBorders>
              <w:top w:val="single" w:sz="8" w:color="E1D7AC"/>
            </w:tcBorders>
            <w:vMerge w:val="restart"/>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Compensation</w:t>
            </w:r>
          </w:p>
        </w:tc>
        <w:tc>
          <w:tcPr>
            <w:tcW w:w="1240" w:type="dxa"/>
            <w:vAlign w:val="bottom"/>
            <w:tcBorders>
              <w:top w:val="single" w:sz="8" w:color="E1D7AC"/>
            </w:tcBorders>
            <w:shd w:val="clear" w:color="auto" w:fill="E1D7AC"/>
          </w:tcPr>
          <w:p>
            <w:pPr>
              <w:jc w:val="right"/>
              <w:ind w:right="126"/>
              <w:spacing w:after="0"/>
              <w:rPr>
                <w:sz w:val="20"/>
                <w:szCs w:val="20"/>
                <w:color w:val="auto"/>
              </w:rPr>
            </w:pPr>
            <w:r>
              <w:rPr>
                <w:rFonts w:ascii="Arial" w:cs="Arial" w:eastAsia="Arial" w:hAnsi="Arial"/>
                <w:sz w:val="10"/>
                <w:szCs w:val="10"/>
                <w:b w:val="1"/>
                <w:bCs w:val="1"/>
                <w:color w:val="auto"/>
              </w:rPr>
              <w:t>Average Summary</w:t>
            </w:r>
          </w:p>
        </w:tc>
        <w:tc>
          <w:tcPr>
            <w:tcW w:w="880" w:type="dxa"/>
            <w:vAlign w:val="bottom"/>
            <w:tcBorders>
              <w:top w:val="single" w:sz="8" w:color="E1D7AC"/>
            </w:tcBorders>
            <w:shd w:val="clear" w:color="auto" w:fill="E1D7AC"/>
          </w:tcPr>
          <w:p>
            <w:pPr>
              <w:jc w:val="right"/>
              <w:spacing w:after="0"/>
              <w:rPr>
                <w:sz w:val="20"/>
                <w:szCs w:val="20"/>
                <w:color w:val="auto"/>
              </w:rPr>
            </w:pPr>
            <w:r>
              <w:rPr>
                <w:rFonts w:ascii="Arial" w:cs="Arial" w:eastAsia="Arial" w:hAnsi="Arial"/>
                <w:sz w:val="10"/>
                <w:szCs w:val="10"/>
                <w:b w:val="1"/>
                <w:bCs w:val="1"/>
                <w:color w:val="auto"/>
              </w:rPr>
              <w:t>Average</w:t>
            </w:r>
          </w:p>
        </w:tc>
        <w:tc>
          <w:tcPr>
            <w:tcW w:w="1000" w:type="dxa"/>
            <w:vAlign w:val="bottom"/>
            <w:tcBorders>
              <w:top w:val="single" w:sz="8" w:color="auto"/>
            </w:tcBorders>
            <w:shd w:val="clear" w:color="auto" w:fill="E1D7AC"/>
          </w:tcPr>
          <w:p>
            <w:pPr>
              <w:spacing w:after="0"/>
              <w:rPr>
                <w:sz w:val="11"/>
                <w:szCs w:val="11"/>
                <w:color w:val="auto"/>
              </w:rPr>
            </w:pPr>
          </w:p>
        </w:tc>
        <w:tc>
          <w:tcPr>
            <w:tcW w:w="900" w:type="dxa"/>
            <w:vAlign w:val="bottom"/>
            <w:tcBorders>
              <w:top w:val="single" w:sz="8" w:color="auto"/>
            </w:tcBorders>
            <w:vMerge w:val="restart"/>
            <w:shd w:val="clear" w:color="auto" w:fill="E1D7AC"/>
          </w:tcPr>
          <w:p>
            <w:pPr>
              <w:jc w:val="right"/>
              <w:spacing w:after="0"/>
              <w:rPr>
                <w:sz w:val="20"/>
                <w:szCs w:val="20"/>
                <w:color w:val="auto"/>
              </w:rPr>
            </w:pPr>
            <w:r>
              <w:rPr>
                <w:rFonts w:ascii="Arial" w:cs="Arial" w:eastAsia="Arial" w:hAnsi="Arial"/>
                <w:sz w:val="10"/>
                <w:szCs w:val="10"/>
                <w:b w:val="1"/>
                <w:bCs w:val="1"/>
                <w:color w:val="auto"/>
              </w:rPr>
              <w:t>Peer Group Total</w:t>
            </w:r>
          </w:p>
        </w:tc>
        <w:tc>
          <w:tcPr>
            <w:tcW w:w="1220" w:type="dxa"/>
            <w:vAlign w:val="bottom"/>
            <w:tcBorders>
              <w:top w:val="single" w:sz="8" w:color="E1D7AC"/>
            </w:tcBorders>
            <w:shd w:val="clear" w:color="auto" w:fill="E1D7AC"/>
          </w:tcPr>
          <w:p>
            <w:pPr>
              <w:spacing w:after="0"/>
              <w:rPr>
                <w:sz w:val="11"/>
                <w:szCs w:val="11"/>
                <w:color w:val="auto"/>
              </w:rPr>
            </w:pPr>
          </w:p>
        </w:tc>
        <w:tc>
          <w:tcPr>
            <w:tcW w:w="820" w:type="dxa"/>
            <w:vAlign w:val="bottom"/>
            <w:tcBorders>
              <w:top w:val="single" w:sz="8" w:color="E1D7AC"/>
            </w:tcBorders>
            <w:shd w:val="clear" w:color="auto" w:fill="E1D7A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20" w:type="dxa"/>
            <w:vAlign w:val="bottom"/>
            <w:shd w:val="clear" w:color="auto" w:fill="E1D7AC"/>
          </w:tcPr>
          <w:p>
            <w:pPr>
              <w:spacing w:after="0"/>
              <w:rPr>
                <w:sz w:val="10"/>
                <w:szCs w:val="10"/>
                <w:color w:val="auto"/>
              </w:rPr>
            </w:pPr>
          </w:p>
        </w:tc>
        <w:tc>
          <w:tcPr>
            <w:tcW w:w="1040" w:type="dxa"/>
            <w:vAlign w:val="bottom"/>
            <w:vMerge w:val="continue"/>
            <w:shd w:val="clear" w:color="auto" w:fill="E1D7AC"/>
          </w:tcPr>
          <w:p>
            <w:pPr>
              <w:spacing w:after="0"/>
              <w:rPr>
                <w:sz w:val="10"/>
                <w:szCs w:val="10"/>
                <w:color w:val="auto"/>
              </w:rPr>
            </w:pPr>
          </w:p>
        </w:tc>
        <w:tc>
          <w:tcPr>
            <w:tcW w:w="1180" w:type="dxa"/>
            <w:vAlign w:val="bottom"/>
            <w:vMerge w:val="continue"/>
            <w:shd w:val="clear" w:color="auto" w:fill="E1D7AC"/>
          </w:tcPr>
          <w:p>
            <w:pPr>
              <w:spacing w:after="0"/>
              <w:rPr>
                <w:sz w:val="10"/>
                <w:szCs w:val="10"/>
                <w:color w:val="auto"/>
              </w:rPr>
            </w:pPr>
          </w:p>
        </w:tc>
        <w:tc>
          <w:tcPr>
            <w:tcW w:w="1120" w:type="dxa"/>
            <w:vAlign w:val="bottom"/>
            <w:vMerge w:val="continue"/>
            <w:shd w:val="clear" w:color="auto" w:fill="E1D7AC"/>
          </w:tcPr>
          <w:p>
            <w:pPr>
              <w:spacing w:after="0"/>
              <w:rPr>
                <w:sz w:val="10"/>
                <w:szCs w:val="10"/>
                <w:color w:val="auto"/>
              </w:rPr>
            </w:pPr>
          </w:p>
        </w:tc>
        <w:tc>
          <w:tcPr>
            <w:tcW w:w="1120" w:type="dxa"/>
            <w:vAlign w:val="bottom"/>
            <w:vMerge w:val="continue"/>
            <w:shd w:val="clear" w:color="auto" w:fill="E1D7AC"/>
          </w:tcPr>
          <w:p>
            <w:pPr>
              <w:spacing w:after="0"/>
              <w:rPr>
                <w:sz w:val="10"/>
                <w:szCs w:val="10"/>
                <w:color w:val="auto"/>
              </w:rPr>
            </w:pPr>
          </w:p>
        </w:tc>
        <w:tc>
          <w:tcPr>
            <w:tcW w:w="1240" w:type="dxa"/>
            <w:vAlign w:val="bottom"/>
            <w:shd w:val="clear" w:color="auto" w:fill="E1D7AC"/>
          </w:tcPr>
          <w:p>
            <w:pPr>
              <w:jc w:val="right"/>
              <w:ind w:right="126"/>
              <w:spacing w:after="0"/>
              <w:rPr>
                <w:sz w:val="20"/>
                <w:szCs w:val="20"/>
                <w:color w:val="auto"/>
              </w:rPr>
            </w:pPr>
            <w:r>
              <w:rPr>
                <w:rFonts w:ascii="Arial" w:cs="Arial" w:eastAsia="Arial" w:hAnsi="Arial"/>
                <w:sz w:val="10"/>
                <w:szCs w:val="10"/>
                <w:b w:val="1"/>
                <w:bCs w:val="1"/>
                <w:color w:val="auto"/>
              </w:rPr>
              <w:t>Compensation Table</w:t>
            </w:r>
          </w:p>
        </w:tc>
        <w:tc>
          <w:tcPr>
            <w:tcW w:w="88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Compensation</w:t>
            </w:r>
          </w:p>
        </w:tc>
        <w:tc>
          <w:tcPr>
            <w:tcW w:w="1000" w:type="dxa"/>
            <w:vAlign w:val="bottom"/>
            <w:shd w:val="clear" w:color="auto" w:fill="E1D7AC"/>
          </w:tcPr>
          <w:p>
            <w:pPr>
              <w:spacing w:after="0"/>
              <w:rPr>
                <w:sz w:val="10"/>
                <w:szCs w:val="10"/>
                <w:color w:val="auto"/>
              </w:rPr>
            </w:pPr>
          </w:p>
        </w:tc>
        <w:tc>
          <w:tcPr>
            <w:tcW w:w="900" w:type="dxa"/>
            <w:vAlign w:val="bottom"/>
            <w:vMerge w:val="continue"/>
            <w:shd w:val="clear" w:color="auto" w:fill="E1D7AC"/>
          </w:tcPr>
          <w:p>
            <w:pPr>
              <w:spacing w:after="0"/>
              <w:rPr>
                <w:sz w:val="10"/>
                <w:szCs w:val="10"/>
                <w:color w:val="auto"/>
              </w:rPr>
            </w:pPr>
          </w:p>
        </w:tc>
        <w:tc>
          <w:tcPr>
            <w:tcW w:w="1220" w:type="dxa"/>
            <w:vAlign w:val="bottom"/>
            <w:shd w:val="clear" w:color="auto" w:fill="E1D7AC"/>
          </w:tcPr>
          <w:p>
            <w:pPr>
              <w:spacing w:after="0"/>
              <w:rPr>
                <w:sz w:val="10"/>
                <w:szCs w:val="10"/>
                <w:color w:val="auto"/>
              </w:rPr>
            </w:pPr>
          </w:p>
        </w:tc>
        <w:tc>
          <w:tcPr>
            <w:tcW w:w="820" w:type="dxa"/>
            <w:vAlign w:val="bottom"/>
            <w:shd w:val="clear" w:color="auto" w:fill="E1D7AC"/>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20" w:type="dxa"/>
            <w:vAlign w:val="bottom"/>
            <w:shd w:val="clear" w:color="auto" w:fill="E1D7AC"/>
          </w:tcPr>
          <w:p>
            <w:pPr>
              <w:spacing w:after="0"/>
              <w:rPr>
                <w:sz w:val="10"/>
                <w:szCs w:val="10"/>
                <w:color w:val="auto"/>
              </w:rPr>
            </w:pPr>
          </w:p>
        </w:tc>
        <w:tc>
          <w:tcPr>
            <w:tcW w:w="104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Compensation Table</w:t>
            </w:r>
          </w:p>
        </w:tc>
        <w:tc>
          <w:tcPr>
            <w:tcW w:w="1180" w:type="dxa"/>
            <w:vAlign w:val="bottom"/>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Actually Paid to PEO</w:t>
            </w:r>
          </w:p>
        </w:tc>
        <w:tc>
          <w:tcPr>
            <w:tcW w:w="1120" w:type="dxa"/>
            <w:vAlign w:val="bottom"/>
            <w:shd w:val="clear" w:color="auto" w:fill="E1D7AC"/>
          </w:tcPr>
          <w:p>
            <w:pPr>
              <w:jc w:val="right"/>
              <w:ind w:right="26"/>
              <w:spacing w:after="0"/>
              <w:rPr>
                <w:sz w:val="20"/>
                <w:szCs w:val="20"/>
                <w:color w:val="auto"/>
              </w:rPr>
            </w:pPr>
            <w:r>
              <w:rPr>
                <w:rFonts w:ascii="Arial" w:cs="Arial" w:eastAsia="Arial" w:hAnsi="Arial"/>
                <w:sz w:val="10"/>
                <w:szCs w:val="10"/>
                <w:b w:val="1"/>
                <w:bCs w:val="1"/>
                <w:color w:val="auto"/>
              </w:rPr>
              <w:t>Compensation Table</w:t>
            </w:r>
          </w:p>
        </w:tc>
        <w:tc>
          <w:tcPr>
            <w:tcW w:w="1120" w:type="dxa"/>
            <w:vAlign w:val="bottom"/>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Actually Paid to PEO</w:t>
            </w:r>
          </w:p>
        </w:tc>
        <w:tc>
          <w:tcPr>
            <w:tcW w:w="2120" w:type="dxa"/>
            <w:vAlign w:val="bottom"/>
            <w:gridSpan w:val="2"/>
            <w:shd w:val="clear" w:color="auto" w:fill="E1D7AC"/>
          </w:tcPr>
          <w:p>
            <w:pPr>
              <w:jc w:val="right"/>
              <w:spacing w:after="0"/>
              <w:rPr>
                <w:sz w:val="20"/>
                <w:szCs w:val="20"/>
                <w:color w:val="auto"/>
              </w:rPr>
            </w:pPr>
            <w:r>
              <w:rPr>
                <w:rFonts w:ascii="Arial" w:cs="Arial" w:eastAsia="Arial" w:hAnsi="Arial"/>
                <w:sz w:val="10"/>
                <w:szCs w:val="10"/>
                <w:b w:val="1"/>
                <w:bCs w:val="1"/>
                <w:color w:val="auto"/>
              </w:rPr>
              <w:t>Total for Non-PEO Actually Paid to Non-</w:t>
            </w:r>
          </w:p>
        </w:tc>
        <w:tc>
          <w:tcPr>
            <w:tcW w:w="1000" w:type="dxa"/>
            <w:vAlign w:val="bottom"/>
            <w:shd w:val="clear" w:color="auto" w:fill="E1D7AC"/>
          </w:tcPr>
          <w:p>
            <w:pPr>
              <w:jc w:val="right"/>
              <w:ind w:right="6"/>
              <w:spacing w:after="0"/>
              <w:rPr>
                <w:sz w:val="20"/>
                <w:szCs w:val="20"/>
                <w:color w:val="auto"/>
              </w:rPr>
            </w:pPr>
            <w:r>
              <w:rPr>
                <w:rFonts w:ascii="Arial" w:cs="Arial" w:eastAsia="Arial" w:hAnsi="Arial"/>
                <w:sz w:val="10"/>
                <w:szCs w:val="10"/>
                <w:b w:val="1"/>
                <w:bCs w:val="1"/>
                <w:color w:val="auto"/>
              </w:rPr>
              <w:t>Total Stockholder</w:t>
            </w:r>
          </w:p>
        </w:tc>
        <w:tc>
          <w:tcPr>
            <w:tcW w:w="90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Stockholder</w:t>
            </w:r>
          </w:p>
        </w:tc>
        <w:tc>
          <w:tcPr>
            <w:tcW w:w="1220" w:type="dxa"/>
            <w:vAlign w:val="bottom"/>
            <w:shd w:val="clear" w:color="auto" w:fill="E1D7AC"/>
          </w:tcPr>
          <w:p>
            <w:pPr>
              <w:jc w:val="right"/>
              <w:ind w:right="125"/>
              <w:spacing w:after="0"/>
              <w:rPr>
                <w:sz w:val="20"/>
                <w:szCs w:val="20"/>
                <w:color w:val="auto"/>
              </w:rPr>
            </w:pPr>
            <w:r>
              <w:rPr>
                <w:rFonts w:ascii="Arial" w:cs="Arial" w:eastAsia="Arial" w:hAnsi="Arial"/>
                <w:sz w:val="10"/>
                <w:szCs w:val="10"/>
                <w:b w:val="1"/>
                <w:bCs w:val="1"/>
                <w:color w:val="auto"/>
              </w:rPr>
              <w:t>Net Income (in</w:t>
            </w:r>
          </w:p>
        </w:tc>
        <w:tc>
          <w:tcPr>
            <w:tcW w:w="82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Net Sales</w:t>
            </w:r>
          </w:p>
        </w:tc>
        <w:tc>
          <w:tcPr>
            <w:tcW w:w="0" w:type="dxa"/>
            <w:vAlign w:val="bottom"/>
          </w:tcPr>
          <w:p>
            <w:pPr>
              <w:spacing w:after="0"/>
              <w:rPr>
                <w:sz w:val="1"/>
                <w:szCs w:val="1"/>
                <w:color w:val="auto"/>
              </w:rPr>
            </w:pPr>
          </w:p>
        </w:tc>
      </w:tr>
      <w:tr>
        <w:trPr>
          <w:trHeight w:val="126"/>
        </w:trPr>
        <w:tc>
          <w:tcPr>
            <w:tcW w:w="720" w:type="dxa"/>
            <w:vAlign w:val="bottom"/>
            <w:shd w:val="clear" w:color="auto" w:fill="E1D7AC"/>
          </w:tcPr>
          <w:p>
            <w:pPr>
              <w:spacing w:after="0"/>
              <w:rPr>
                <w:sz w:val="10"/>
                <w:szCs w:val="10"/>
                <w:color w:val="auto"/>
              </w:rPr>
            </w:pPr>
          </w:p>
        </w:tc>
        <w:tc>
          <w:tcPr>
            <w:tcW w:w="104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Total for PEO 1</w:t>
            </w:r>
          </w:p>
        </w:tc>
        <w:tc>
          <w:tcPr>
            <w:tcW w:w="1180" w:type="dxa"/>
            <w:vAlign w:val="bottom"/>
            <w:shd w:val="clear" w:color="auto" w:fill="E1D7AC"/>
          </w:tcPr>
          <w:p>
            <w:pPr>
              <w:jc w:val="right"/>
              <w:ind w:right="28"/>
              <w:spacing w:after="0" w:line="126" w:lineRule="exact"/>
              <w:rPr>
                <w:sz w:val="20"/>
                <w:szCs w:val="20"/>
                <w:color w:val="auto"/>
              </w:rPr>
            </w:pPr>
            <w:r>
              <w:rPr>
                <w:rFonts w:ascii="Arial" w:cs="Arial" w:eastAsia="Arial" w:hAnsi="Arial"/>
                <w:sz w:val="14"/>
                <w:szCs w:val="14"/>
                <w:b w:val="1"/>
                <w:bCs w:val="1"/>
                <w:color w:val="auto"/>
                <w:vertAlign w:val="subscript"/>
              </w:rPr>
              <w:t>1</w:t>
            </w:r>
            <w:r>
              <w:rPr>
                <w:rFonts w:ascii="Arial" w:cs="Arial" w:eastAsia="Arial" w:hAnsi="Arial"/>
                <w:sz w:val="6"/>
                <w:szCs w:val="6"/>
                <w:b w:val="1"/>
                <w:bCs w:val="1"/>
                <w:color w:val="auto"/>
              </w:rPr>
              <w:t>(2)</w:t>
            </w:r>
          </w:p>
        </w:tc>
        <w:tc>
          <w:tcPr>
            <w:tcW w:w="1120" w:type="dxa"/>
            <w:vAlign w:val="bottom"/>
            <w:shd w:val="clear" w:color="auto" w:fill="E1D7AC"/>
          </w:tcPr>
          <w:p>
            <w:pPr>
              <w:jc w:val="right"/>
              <w:ind w:right="26"/>
              <w:spacing w:after="0"/>
              <w:rPr>
                <w:sz w:val="20"/>
                <w:szCs w:val="20"/>
                <w:color w:val="auto"/>
              </w:rPr>
            </w:pPr>
            <w:r>
              <w:rPr>
                <w:rFonts w:ascii="Arial" w:cs="Arial" w:eastAsia="Arial" w:hAnsi="Arial"/>
                <w:sz w:val="10"/>
                <w:szCs w:val="10"/>
                <w:b w:val="1"/>
                <w:bCs w:val="1"/>
                <w:color w:val="auto"/>
              </w:rPr>
              <w:t>Total for PEO 2</w:t>
            </w:r>
          </w:p>
        </w:tc>
        <w:tc>
          <w:tcPr>
            <w:tcW w:w="1120" w:type="dxa"/>
            <w:vAlign w:val="bottom"/>
            <w:shd w:val="clear" w:color="auto" w:fill="E1D7AC"/>
          </w:tcPr>
          <w:p>
            <w:pPr>
              <w:jc w:val="right"/>
              <w:ind w:right="28"/>
              <w:spacing w:after="0" w:line="126" w:lineRule="exact"/>
              <w:rPr>
                <w:sz w:val="20"/>
                <w:szCs w:val="20"/>
                <w:color w:val="auto"/>
              </w:rPr>
            </w:pPr>
            <w:r>
              <w:rPr>
                <w:rFonts w:ascii="Arial" w:cs="Arial" w:eastAsia="Arial" w:hAnsi="Arial"/>
                <w:sz w:val="14"/>
                <w:szCs w:val="14"/>
                <w:b w:val="1"/>
                <w:bCs w:val="1"/>
                <w:color w:val="auto"/>
                <w:vertAlign w:val="subscript"/>
              </w:rPr>
              <w:t>2</w:t>
            </w:r>
            <w:r>
              <w:rPr>
                <w:rFonts w:ascii="Arial" w:cs="Arial" w:eastAsia="Arial" w:hAnsi="Arial"/>
                <w:sz w:val="6"/>
                <w:szCs w:val="6"/>
                <w:b w:val="1"/>
                <w:bCs w:val="1"/>
                <w:color w:val="auto"/>
              </w:rPr>
              <w:t>(2)</w:t>
            </w:r>
          </w:p>
        </w:tc>
        <w:tc>
          <w:tcPr>
            <w:tcW w:w="1240" w:type="dxa"/>
            <w:vAlign w:val="bottom"/>
            <w:shd w:val="clear" w:color="auto" w:fill="E1D7AC"/>
          </w:tcPr>
          <w:p>
            <w:pPr>
              <w:jc w:val="right"/>
              <w:ind w:right="126"/>
              <w:spacing w:after="0"/>
              <w:rPr>
                <w:sz w:val="20"/>
                <w:szCs w:val="20"/>
                <w:color w:val="auto"/>
              </w:rPr>
            </w:pPr>
            <w:r>
              <w:rPr>
                <w:rFonts w:ascii="Arial" w:cs="Arial" w:eastAsia="Arial" w:hAnsi="Arial"/>
                <w:sz w:val="10"/>
                <w:szCs w:val="10"/>
                <w:b w:val="1"/>
                <w:bCs w:val="1"/>
                <w:color w:val="auto"/>
              </w:rPr>
              <w:t>NEOs</w:t>
            </w:r>
          </w:p>
        </w:tc>
        <w:tc>
          <w:tcPr>
            <w:tcW w:w="88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PEO NEOs</w:t>
            </w:r>
            <w:r>
              <w:rPr>
                <w:rFonts w:ascii="Arial" w:cs="Arial" w:eastAsia="Arial" w:hAnsi="Arial"/>
                <w:sz w:val="6"/>
                <w:szCs w:val="6"/>
                <w:b w:val="1"/>
                <w:bCs w:val="1"/>
                <w:color w:val="auto"/>
              </w:rPr>
              <w:t>(2)</w:t>
            </w:r>
          </w:p>
        </w:tc>
        <w:tc>
          <w:tcPr>
            <w:tcW w:w="1000" w:type="dxa"/>
            <w:vAlign w:val="bottom"/>
            <w:shd w:val="clear" w:color="auto" w:fill="E1D7AC"/>
          </w:tcPr>
          <w:p>
            <w:pPr>
              <w:jc w:val="right"/>
              <w:ind w:right="6"/>
              <w:spacing w:after="0" w:line="126" w:lineRule="exact"/>
              <w:rPr>
                <w:sz w:val="20"/>
                <w:szCs w:val="20"/>
                <w:color w:val="auto"/>
              </w:rPr>
            </w:pPr>
            <w:r>
              <w:rPr>
                <w:rFonts w:ascii="Arial" w:cs="Arial" w:eastAsia="Arial" w:hAnsi="Arial"/>
                <w:sz w:val="10"/>
                <w:szCs w:val="10"/>
                <w:b w:val="1"/>
                <w:bCs w:val="1"/>
                <w:color w:val="auto"/>
              </w:rPr>
              <w:t>Return</w:t>
            </w:r>
            <w:r>
              <w:rPr>
                <w:rFonts w:ascii="Arial" w:cs="Arial" w:eastAsia="Arial" w:hAnsi="Arial"/>
                <w:sz w:val="12"/>
                <w:szCs w:val="12"/>
                <w:b w:val="1"/>
                <w:bCs w:val="1"/>
                <w:color w:val="auto"/>
                <w:vertAlign w:val="superscript"/>
              </w:rPr>
              <w:t>(3)</w:t>
            </w:r>
          </w:p>
        </w:tc>
        <w:tc>
          <w:tcPr>
            <w:tcW w:w="900" w:type="dxa"/>
            <w:vAlign w:val="bottom"/>
            <w:shd w:val="clear" w:color="auto" w:fill="E1D7AC"/>
          </w:tcPr>
          <w:p>
            <w:pPr>
              <w:jc w:val="right"/>
              <w:spacing w:after="0" w:line="126" w:lineRule="exact"/>
              <w:rPr>
                <w:sz w:val="20"/>
                <w:szCs w:val="20"/>
                <w:color w:val="auto"/>
              </w:rPr>
            </w:pPr>
            <w:r>
              <w:rPr>
                <w:rFonts w:ascii="Arial" w:cs="Arial" w:eastAsia="Arial" w:hAnsi="Arial"/>
                <w:sz w:val="10"/>
                <w:szCs w:val="10"/>
                <w:b w:val="1"/>
                <w:bCs w:val="1"/>
                <w:color w:val="auto"/>
              </w:rPr>
              <w:t>Return</w:t>
            </w:r>
            <w:r>
              <w:rPr>
                <w:rFonts w:ascii="Arial" w:cs="Arial" w:eastAsia="Arial" w:hAnsi="Arial"/>
                <w:sz w:val="12"/>
                <w:szCs w:val="12"/>
                <w:b w:val="1"/>
                <w:bCs w:val="1"/>
                <w:color w:val="auto"/>
                <w:vertAlign w:val="superscript"/>
              </w:rPr>
              <w:t>(4)</w:t>
            </w:r>
          </w:p>
        </w:tc>
        <w:tc>
          <w:tcPr>
            <w:tcW w:w="1220" w:type="dxa"/>
            <w:vAlign w:val="bottom"/>
            <w:shd w:val="clear" w:color="auto" w:fill="E1D7AC"/>
          </w:tcPr>
          <w:p>
            <w:pPr>
              <w:jc w:val="right"/>
              <w:ind w:right="125"/>
              <w:spacing w:after="0" w:line="126" w:lineRule="exact"/>
              <w:rPr>
                <w:sz w:val="20"/>
                <w:szCs w:val="20"/>
                <w:color w:val="auto"/>
              </w:rPr>
            </w:pPr>
            <w:r>
              <w:rPr>
                <w:rFonts w:ascii="Arial" w:cs="Arial" w:eastAsia="Arial" w:hAnsi="Arial"/>
                <w:sz w:val="10"/>
                <w:szCs w:val="10"/>
                <w:b w:val="1"/>
                <w:bCs w:val="1"/>
                <w:color w:val="auto"/>
              </w:rPr>
              <w:t>Thousands)</w:t>
            </w:r>
            <w:r>
              <w:rPr>
                <w:rFonts w:ascii="Arial" w:cs="Arial" w:eastAsia="Arial" w:hAnsi="Arial"/>
                <w:sz w:val="12"/>
                <w:szCs w:val="12"/>
                <w:b w:val="1"/>
                <w:bCs w:val="1"/>
                <w:color w:val="auto"/>
                <w:vertAlign w:val="superscript"/>
              </w:rPr>
              <w:t>(5)</w:t>
            </w:r>
          </w:p>
        </w:tc>
        <w:tc>
          <w:tcPr>
            <w:tcW w:w="820" w:type="dxa"/>
            <w:vAlign w:val="bottom"/>
            <w:shd w:val="clear" w:color="auto" w:fill="E1D7AC"/>
          </w:tcPr>
          <w:p>
            <w:pPr>
              <w:jc w:val="right"/>
              <w:spacing w:after="0" w:line="126" w:lineRule="exact"/>
              <w:rPr>
                <w:sz w:val="20"/>
                <w:szCs w:val="20"/>
                <w:color w:val="auto"/>
              </w:rPr>
            </w:pPr>
            <w:r>
              <w:rPr>
                <w:rFonts w:ascii="Arial" w:cs="Arial" w:eastAsia="Arial" w:hAnsi="Arial"/>
                <w:sz w:val="10"/>
                <w:szCs w:val="10"/>
                <w:b w:val="1"/>
                <w:bCs w:val="1"/>
                <w:color w:val="auto"/>
              </w:rPr>
              <w:t>(in Billions)</w:t>
            </w:r>
            <w:r>
              <w:rPr>
                <w:rFonts w:ascii="Arial" w:cs="Arial" w:eastAsia="Arial" w:hAnsi="Arial"/>
                <w:sz w:val="12"/>
                <w:szCs w:val="12"/>
                <w:b w:val="1"/>
                <w:bCs w:val="1"/>
                <w:color w:val="auto"/>
                <w:vertAlign w:val="superscript"/>
              </w:rPr>
              <w:t>(5)</w:t>
            </w:r>
          </w:p>
        </w:tc>
        <w:tc>
          <w:tcPr>
            <w:tcW w:w="0" w:type="dxa"/>
            <w:vAlign w:val="bottom"/>
          </w:tcPr>
          <w:p>
            <w:pPr>
              <w:spacing w:after="0"/>
              <w:rPr>
                <w:sz w:val="1"/>
                <w:szCs w:val="1"/>
                <w:color w:val="auto"/>
              </w:rPr>
            </w:pPr>
          </w:p>
        </w:tc>
      </w:tr>
      <w:tr>
        <w:trPr>
          <w:trHeight w:val="204"/>
        </w:trPr>
        <w:tc>
          <w:tcPr>
            <w:tcW w:w="72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0"/>
                <w:szCs w:val="10"/>
                <w:b w:val="1"/>
                <w:bCs w:val="1"/>
                <w:color w:val="auto"/>
              </w:rPr>
              <w:t>Year</w:t>
            </w:r>
            <w:r>
              <w:rPr>
                <w:rFonts w:ascii="Arial" w:cs="Arial" w:eastAsia="Arial" w:hAnsi="Arial"/>
                <w:sz w:val="12"/>
                <w:szCs w:val="12"/>
                <w:b w:val="1"/>
                <w:bCs w:val="1"/>
                <w:color w:val="auto"/>
                <w:vertAlign w:val="superscript"/>
              </w:rPr>
              <w:t>(1)</w:t>
            </w:r>
          </w:p>
        </w:tc>
        <w:tc>
          <w:tcPr>
            <w:tcW w:w="10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0"/>
                <w:szCs w:val="10"/>
                <w:b w:val="1"/>
                <w:bCs w:val="1"/>
                <w:color w:val="auto"/>
              </w:rPr>
              <w:t>($)</w:t>
            </w:r>
          </w:p>
        </w:tc>
        <w:tc>
          <w:tcPr>
            <w:tcW w:w="1180" w:type="dxa"/>
            <w:vAlign w:val="bottom"/>
            <w:tcBorders>
              <w:bottom w:val="single" w:sz="8" w:color="E1D7AC"/>
            </w:tcBorders>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w:t>
            </w:r>
          </w:p>
        </w:tc>
        <w:tc>
          <w:tcPr>
            <w:tcW w:w="1120" w:type="dxa"/>
            <w:vAlign w:val="bottom"/>
            <w:tcBorders>
              <w:bottom w:val="single" w:sz="8" w:color="E1D7AC"/>
            </w:tcBorders>
            <w:shd w:val="clear" w:color="auto" w:fill="E1D7AC"/>
          </w:tcPr>
          <w:p>
            <w:pPr>
              <w:jc w:val="right"/>
              <w:ind w:right="26"/>
              <w:spacing w:after="0"/>
              <w:rPr>
                <w:sz w:val="20"/>
                <w:szCs w:val="20"/>
                <w:color w:val="auto"/>
              </w:rPr>
            </w:pPr>
            <w:r>
              <w:rPr>
                <w:rFonts w:ascii="Arial" w:cs="Arial" w:eastAsia="Arial" w:hAnsi="Arial"/>
                <w:sz w:val="10"/>
                <w:szCs w:val="10"/>
                <w:b w:val="1"/>
                <w:bCs w:val="1"/>
                <w:color w:val="auto"/>
              </w:rPr>
              <w:t>($)</w:t>
            </w:r>
          </w:p>
        </w:tc>
        <w:tc>
          <w:tcPr>
            <w:tcW w:w="1120" w:type="dxa"/>
            <w:vAlign w:val="bottom"/>
            <w:tcBorders>
              <w:bottom w:val="single" w:sz="8" w:color="E1D7AC"/>
            </w:tcBorders>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w:t>
            </w:r>
          </w:p>
        </w:tc>
        <w:tc>
          <w:tcPr>
            <w:tcW w:w="1240" w:type="dxa"/>
            <w:vAlign w:val="bottom"/>
            <w:tcBorders>
              <w:bottom w:val="single" w:sz="8" w:color="E1D7AC"/>
            </w:tcBorders>
            <w:shd w:val="clear" w:color="auto" w:fill="E1D7AC"/>
          </w:tcPr>
          <w:p>
            <w:pPr>
              <w:jc w:val="right"/>
              <w:ind w:right="126"/>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E1D7AC"/>
            </w:tcBorders>
            <w:shd w:val="clear" w:color="auto" w:fill="E1D7AC"/>
          </w:tcPr>
          <w:p>
            <w:pPr>
              <w:jc w:val="right"/>
              <w:ind w:right="6"/>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0"/>
                <w:szCs w:val="10"/>
                <w:b w:val="1"/>
                <w:bCs w:val="1"/>
                <w:color w:val="auto"/>
              </w:rPr>
              <w:t>($)</w:t>
            </w:r>
          </w:p>
        </w:tc>
        <w:tc>
          <w:tcPr>
            <w:tcW w:w="1220" w:type="dxa"/>
            <w:vAlign w:val="bottom"/>
            <w:tcBorders>
              <w:bottom w:val="single" w:sz="8" w:color="E1D7AC"/>
            </w:tcBorders>
            <w:shd w:val="clear" w:color="auto" w:fill="E1D7AC"/>
          </w:tcPr>
          <w:p>
            <w:pPr>
              <w:jc w:val="right"/>
              <w:ind w:right="125"/>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79"/>
        </w:trPr>
        <w:tc>
          <w:tcPr>
            <w:tcW w:w="7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2"/>
                <w:szCs w:val="12"/>
                <w:color w:val="auto"/>
              </w:rPr>
              <w:t>2024</w:t>
            </w:r>
          </w:p>
        </w:tc>
        <w:tc>
          <w:tcPr>
            <w:tcW w:w="104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2"/>
                <w:szCs w:val="12"/>
                <w:color w:val="auto"/>
              </w:rPr>
              <w:t>8,661,073</w:t>
            </w:r>
          </w:p>
        </w:tc>
        <w:tc>
          <w:tcPr>
            <w:tcW w:w="11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2"/>
                <w:szCs w:val="12"/>
                <w:color w:val="auto"/>
              </w:rPr>
              <w:t>1,504,404</w:t>
            </w:r>
          </w:p>
        </w:tc>
        <w:tc>
          <w:tcPr>
            <w:tcW w:w="11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DBDBDB"/>
            </w:tcBorders>
            <w:shd w:val="clear" w:color="auto" w:fill="DBDBDB"/>
          </w:tcPr>
          <w:p>
            <w:pPr>
              <w:jc w:val="right"/>
              <w:ind w:right="206"/>
              <w:spacing w:after="0"/>
              <w:rPr>
                <w:sz w:val="20"/>
                <w:szCs w:val="20"/>
                <w:color w:val="auto"/>
              </w:rPr>
            </w:pPr>
            <w:r>
              <w:rPr>
                <w:rFonts w:ascii="Arial" w:cs="Arial" w:eastAsia="Arial" w:hAnsi="Arial"/>
                <w:sz w:val="12"/>
                <w:szCs w:val="12"/>
                <w:color w:val="auto"/>
              </w:rPr>
              <w:t>2,413,830</w:t>
            </w:r>
          </w:p>
        </w:tc>
        <w:tc>
          <w:tcPr>
            <w:tcW w:w="88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2"/>
                <w:szCs w:val="12"/>
                <w:color w:val="auto"/>
              </w:rPr>
              <w:t>237,350</w:t>
            </w:r>
          </w:p>
        </w:tc>
        <w:tc>
          <w:tcPr>
            <w:tcW w:w="10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2"/>
                <w:szCs w:val="12"/>
                <w:color w:val="auto"/>
              </w:rPr>
              <w:t>411.35</w:t>
            </w:r>
          </w:p>
        </w:tc>
        <w:tc>
          <w:tcPr>
            <w:tcW w:w="900" w:type="dxa"/>
            <w:vAlign w:val="bottom"/>
            <w:tcBorders>
              <w:bottom w:val="single" w:sz="8" w:color="DBDBDB"/>
            </w:tcBorders>
            <w:shd w:val="clear" w:color="auto" w:fill="DBDBDB"/>
          </w:tcPr>
          <w:p>
            <w:pPr>
              <w:jc w:val="right"/>
              <w:ind w:right="46"/>
              <w:spacing w:after="0"/>
              <w:rPr>
                <w:sz w:val="20"/>
                <w:szCs w:val="20"/>
                <w:color w:val="auto"/>
              </w:rPr>
            </w:pPr>
            <w:r>
              <w:rPr>
                <w:rFonts w:ascii="Arial" w:cs="Arial" w:eastAsia="Arial" w:hAnsi="Arial"/>
                <w:sz w:val="12"/>
                <w:szCs w:val="12"/>
                <w:color w:val="auto"/>
              </w:rPr>
              <w:t>169.31</w:t>
            </w:r>
          </w:p>
        </w:tc>
        <w:tc>
          <w:tcPr>
            <w:tcW w:w="1220" w:type="dxa"/>
            <w:vAlign w:val="bottom"/>
            <w:tcBorders>
              <w:bottom w:val="single" w:sz="8" w:color="DBDBDB"/>
            </w:tcBorders>
            <w:shd w:val="clear" w:color="auto" w:fill="DBDBDB"/>
          </w:tcPr>
          <w:p>
            <w:pPr>
              <w:jc w:val="right"/>
              <w:ind w:right="205"/>
              <w:spacing w:after="0"/>
              <w:rPr>
                <w:sz w:val="20"/>
                <w:szCs w:val="20"/>
                <w:color w:val="auto"/>
              </w:rPr>
            </w:pPr>
            <w:r>
              <w:rPr>
                <w:rFonts w:ascii="Arial" w:cs="Arial" w:eastAsia="Arial" w:hAnsi="Arial"/>
                <w:sz w:val="12"/>
                <w:szCs w:val="12"/>
                <w:color w:val="auto"/>
              </w:rPr>
              <w:t>418,447</w:t>
            </w:r>
          </w:p>
        </w:tc>
        <w:tc>
          <w:tcPr>
            <w:tcW w:w="82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12"/>
                <w:szCs w:val="12"/>
                <w:color w:val="auto"/>
              </w:rPr>
              <w:t>5.93</w:t>
            </w:r>
          </w:p>
        </w:tc>
        <w:tc>
          <w:tcPr>
            <w:tcW w:w="0" w:type="dxa"/>
            <w:vAlign w:val="bottom"/>
          </w:tcPr>
          <w:p>
            <w:pPr>
              <w:spacing w:after="0"/>
              <w:rPr>
                <w:sz w:val="1"/>
                <w:szCs w:val="1"/>
                <w:color w:val="auto"/>
              </w:rPr>
            </w:pPr>
          </w:p>
        </w:tc>
      </w:tr>
      <w:tr>
        <w:trPr>
          <w:trHeight w:val="173"/>
        </w:trPr>
        <w:tc>
          <w:tcPr>
            <w:tcW w:w="720" w:type="dxa"/>
            <w:vAlign w:val="bottom"/>
          </w:tcPr>
          <w:p>
            <w:pPr>
              <w:ind w:left="100"/>
              <w:spacing w:after="0"/>
              <w:rPr>
                <w:sz w:val="20"/>
                <w:szCs w:val="20"/>
                <w:color w:val="auto"/>
              </w:rPr>
            </w:pPr>
            <w:r>
              <w:rPr>
                <w:rFonts w:ascii="Arial" w:cs="Arial" w:eastAsia="Arial" w:hAnsi="Arial"/>
                <w:sz w:val="12"/>
                <w:szCs w:val="12"/>
                <w:color w:val="auto"/>
              </w:rPr>
              <w:t>2023</w:t>
            </w:r>
          </w:p>
        </w:tc>
        <w:tc>
          <w:tcPr>
            <w:tcW w:w="1040" w:type="dxa"/>
            <w:vAlign w:val="bottom"/>
          </w:tcPr>
          <w:p>
            <w:pPr>
              <w:jc w:val="right"/>
              <w:ind w:right="26"/>
              <w:spacing w:after="0"/>
              <w:rPr>
                <w:sz w:val="20"/>
                <w:szCs w:val="20"/>
                <w:color w:val="auto"/>
              </w:rPr>
            </w:pPr>
            <w:r>
              <w:rPr>
                <w:rFonts w:ascii="Arial" w:cs="Arial" w:eastAsia="Arial" w:hAnsi="Arial"/>
                <w:sz w:val="12"/>
                <w:szCs w:val="12"/>
                <w:color w:val="auto"/>
              </w:rPr>
              <w:t>8,627,400</w:t>
            </w:r>
          </w:p>
        </w:tc>
        <w:tc>
          <w:tcPr>
            <w:tcW w:w="1180" w:type="dxa"/>
            <w:vAlign w:val="bottom"/>
          </w:tcPr>
          <w:p>
            <w:pPr>
              <w:jc w:val="right"/>
              <w:ind w:right="88"/>
              <w:spacing w:after="0"/>
              <w:rPr>
                <w:sz w:val="20"/>
                <w:szCs w:val="20"/>
                <w:color w:val="auto"/>
              </w:rPr>
            </w:pPr>
            <w:r>
              <w:rPr>
                <w:rFonts w:ascii="Arial" w:cs="Arial" w:eastAsia="Arial" w:hAnsi="Arial"/>
                <w:sz w:val="12"/>
                <w:szCs w:val="12"/>
                <w:color w:val="auto"/>
              </w:rPr>
              <w:t>11,774,408</w:t>
            </w:r>
          </w:p>
        </w:tc>
        <w:tc>
          <w:tcPr>
            <w:tcW w:w="1120" w:type="dxa"/>
            <w:vAlign w:val="bottom"/>
          </w:tcPr>
          <w:p>
            <w:pPr>
              <w:jc w:val="right"/>
              <w:ind w:right="86"/>
              <w:spacing w:after="0"/>
              <w:rPr>
                <w:sz w:val="20"/>
                <w:szCs w:val="20"/>
                <w:color w:val="auto"/>
              </w:rPr>
            </w:pPr>
            <w:r>
              <w:rPr>
                <w:rFonts w:ascii="Arial" w:cs="Arial" w:eastAsia="Arial" w:hAnsi="Arial"/>
                <w:sz w:val="12"/>
                <w:szCs w:val="12"/>
                <w:color w:val="auto"/>
              </w:rPr>
              <w:t>9,117,082</w:t>
            </w:r>
          </w:p>
        </w:tc>
        <w:tc>
          <w:tcPr>
            <w:tcW w:w="1120" w:type="dxa"/>
            <w:vAlign w:val="bottom"/>
          </w:tcPr>
          <w:p>
            <w:pPr>
              <w:jc w:val="right"/>
              <w:ind w:right="108"/>
              <w:spacing w:after="0"/>
              <w:rPr>
                <w:sz w:val="20"/>
                <w:szCs w:val="20"/>
                <w:color w:val="auto"/>
              </w:rPr>
            </w:pPr>
            <w:r>
              <w:rPr>
                <w:rFonts w:ascii="Arial" w:cs="Arial" w:eastAsia="Arial" w:hAnsi="Arial"/>
                <w:sz w:val="12"/>
                <w:szCs w:val="12"/>
                <w:color w:val="auto"/>
              </w:rPr>
              <w:t>11,619,208</w:t>
            </w:r>
          </w:p>
        </w:tc>
        <w:tc>
          <w:tcPr>
            <w:tcW w:w="1240" w:type="dxa"/>
            <w:vAlign w:val="bottom"/>
          </w:tcPr>
          <w:p>
            <w:pPr>
              <w:jc w:val="right"/>
              <w:ind w:right="206"/>
              <w:spacing w:after="0"/>
              <w:rPr>
                <w:sz w:val="20"/>
                <w:szCs w:val="20"/>
                <w:color w:val="auto"/>
              </w:rPr>
            </w:pPr>
            <w:r>
              <w:rPr>
                <w:rFonts w:ascii="Arial" w:cs="Arial" w:eastAsia="Arial" w:hAnsi="Arial"/>
                <w:sz w:val="12"/>
                <w:szCs w:val="12"/>
                <w:color w:val="auto"/>
              </w:rPr>
              <w:t>2,904,320</w:t>
            </w:r>
          </w:p>
        </w:tc>
        <w:tc>
          <w:tcPr>
            <w:tcW w:w="880" w:type="dxa"/>
            <w:vAlign w:val="bottom"/>
          </w:tcPr>
          <w:p>
            <w:pPr>
              <w:jc w:val="right"/>
              <w:ind w:right="26"/>
              <w:spacing w:after="0"/>
              <w:rPr>
                <w:sz w:val="20"/>
                <w:szCs w:val="20"/>
                <w:color w:val="auto"/>
              </w:rPr>
            </w:pPr>
            <w:r>
              <w:rPr>
                <w:rFonts w:ascii="Arial" w:cs="Arial" w:eastAsia="Arial" w:hAnsi="Arial"/>
                <w:sz w:val="12"/>
                <w:szCs w:val="12"/>
                <w:color w:val="auto"/>
              </w:rPr>
              <w:t>3,887,928</w:t>
            </w:r>
          </w:p>
        </w:tc>
        <w:tc>
          <w:tcPr>
            <w:tcW w:w="1000" w:type="dxa"/>
            <w:vAlign w:val="bottom"/>
          </w:tcPr>
          <w:p>
            <w:pPr>
              <w:jc w:val="right"/>
              <w:ind w:right="86"/>
              <w:spacing w:after="0"/>
              <w:rPr>
                <w:sz w:val="20"/>
                <w:szCs w:val="20"/>
                <w:color w:val="auto"/>
              </w:rPr>
            </w:pPr>
            <w:r>
              <w:rPr>
                <w:rFonts w:ascii="Arial" w:cs="Arial" w:eastAsia="Arial" w:hAnsi="Arial"/>
                <w:sz w:val="12"/>
                <w:szCs w:val="12"/>
                <w:color w:val="auto"/>
              </w:rPr>
              <w:t>503.29</w:t>
            </w:r>
          </w:p>
        </w:tc>
        <w:tc>
          <w:tcPr>
            <w:tcW w:w="900" w:type="dxa"/>
            <w:vAlign w:val="bottom"/>
          </w:tcPr>
          <w:p>
            <w:pPr>
              <w:jc w:val="right"/>
              <w:ind w:right="46"/>
              <w:spacing w:after="0"/>
              <w:rPr>
                <w:sz w:val="20"/>
                <w:szCs w:val="20"/>
                <w:color w:val="auto"/>
              </w:rPr>
            </w:pPr>
            <w:r>
              <w:rPr>
                <w:rFonts w:ascii="Arial" w:cs="Arial" w:eastAsia="Arial" w:hAnsi="Arial"/>
                <w:sz w:val="12"/>
                <w:szCs w:val="12"/>
                <w:color w:val="auto"/>
              </w:rPr>
              <w:t>126.27</w:t>
            </w:r>
          </w:p>
        </w:tc>
        <w:tc>
          <w:tcPr>
            <w:tcW w:w="1220" w:type="dxa"/>
            <w:vAlign w:val="bottom"/>
          </w:tcPr>
          <w:p>
            <w:pPr>
              <w:jc w:val="right"/>
              <w:ind w:right="205"/>
              <w:spacing w:after="0"/>
              <w:rPr>
                <w:sz w:val="20"/>
                <w:szCs w:val="20"/>
                <w:color w:val="auto"/>
              </w:rPr>
            </w:pPr>
            <w:r>
              <w:rPr>
                <w:rFonts w:ascii="Arial" w:cs="Arial" w:eastAsia="Arial" w:hAnsi="Arial"/>
                <w:sz w:val="12"/>
                <w:szCs w:val="12"/>
                <w:color w:val="auto"/>
              </w:rPr>
              <w:t>519,190</w:t>
            </w:r>
          </w:p>
        </w:tc>
        <w:tc>
          <w:tcPr>
            <w:tcW w:w="820" w:type="dxa"/>
            <w:vAlign w:val="bottom"/>
          </w:tcPr>
          <w:p>
            <w:pPr>
              <w:jc w:val="right"/>
              <w:ind w:right="25"/>
              <w:spacing w:after="0"/>
              <w:rPr>
                <w:sz w:val="20"/>
                <w:szCs w:val="20"/>
                <w:color w:val="auto"/>
              </w:rPr>
            </w:pPr>
            <w:r>
              <w:rPr>
                <w:rFonts w:ascii="Arial" w:cs="Arial" w:eastAsia="Arial" w:hAnsi="Arial"/>
                <w:sz w:val="12"/>
                <w:szCs w:val="12"/>
                <w:color w:val="auto"/>
              </w:rPr>
              <w:t>6.16</w:t>
            </w: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2"/>
                <w:szCs w:val="12"/>
                <w:color w:val="auto"/>
              </w:rPr>
              <w:t>2022</w:t>
            </w:r>
          </w:p>
        </w:tc>
        <w:tc>
          <w:tcPr>
            <w:tcW w:w="104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2"/>
                <w:szCs w:val="12"/>
                <w:color w:val="auto"/>
              </w:rPr>
              <w:t>11,357,804</w:t>
            </w:r>
          </w:p>
        </w:tc>
        <w:tc>
          <w:tcPr>
            <w:tcW w:w="11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2"/>
                <w:szCs w:val="12"/>
                <w:color w:val="auto"/>
              </w:rPr>
              <w:t>23,085,858</w:t>
            </w:r>
          </w:p>
        </w:tc>
        <w:tc>
          <w:tcPr>
            <w:tcW w:w="1240" w:type="dxa"/>
            <w:vAlign w:val="bottom"/>
            <w:tcBorders>
              <w:bottom w:val="single" w:sz="8" w:color="DBDBDB"/>
            </w:tcBorders>
            <w:shd w:val="clear" w:color="auto" w:fill="DBDBDB"/>
          </w:tcPr>
          <w:p>
            <w:pPr>
              <w:jc w:val="right"/>
              <w:ind w:right="206"/>
              <w:spacing w:after="0"/>
              <w:rPr>
                <w:sz w:val="20"/>
                <w:szCs w:val="20"/>
                <w:color w:val="auto"/>
              </w:rPr>
            </w:pPr>
            <w:r>
              <w:rPr>
                <w:rFonts w:ascii="Arial" w:cs="Arial" w:eastAsia="Arial" w:hAnsi="Arial"/>
                <w:sz w:val="12"/>
                <w:szCs w:val="12"/>
                <w:color w:val="auto"/>
              </w:rPr>
              <w:t>2,174,177</w:t>
            </w:r>
          </w:p>
        </w:tc>
        <w:tc>
          <w:tcPr>
            <w:tcW w:w="88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2"/>
                <w:szCs w:val="12"/>
                <w:color w:val="auto"/>
              </w:rPr>
              <w:t>4,364,899</w:t>
            </w:r>
          </w:p>
        </w:tc>
        <w:tc>
          <w:tcPr>
            <w:tcW w:w="10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2"/>
                <w:szCs w:val="12"/>
                <w:color w:val="auto"/>
              </w:rPr>
              <w:t>431.53</w:t>
            </w:r>
          </w:p>
        </w:tc>
        <w:tc>
          <w:tcPr>
            <w:tcW w:w="900" w:type="dxa"/>
            <w:vAlign w:val="bottom"/>
            <w:tcBorders>
              <w:bottom w:val="single" w:sz="8" w:color="DBDBDB"/>
            </w:tcBorders>
            <w:shd w:val="clear" w:color="auto" w:fill="DBDBDB"/>
          </w:tcPr>
          <w:p>
            <w:pPr>
              <w:jc w:val="right"/>
              <w:ind w:right="46"/>
              <w:spacing w:after="0"/>
              <w:rPr>
                <w:sz w:val="20"/>
                <w:szCs w:val="20"/>
                <w:color w:val="auto"/>
              </w:rPr>
            </w:pPr>
            <w:r>
              <w:rPr>
                <w:rFonts w:ascii="Arial" w:cs="Arial" w:eastAsia="Arial" w:hAnsi="Arial"/>
                <w:sz w:val="12"/>
                <w:szCs w:val="12"/>
                <w:color w:val="auto"/>
              </w:rPr>
              <w:t>93.25</w:t>
            </w:r>
          </w:p>
        </w:tc>
        <w:tc>
          <w:tcPr>
            <w:tcW w:w="1220" w:type="dxa"/>
            <w:vAlign w:val="bottom"/>
            <w:tcBorders>
              <w:bottom w:val="single" w:sz="8" w:color="DBDBDB"/>
            </w:tcBorders>
            <w:shd w:val="clear" w:color="auto" w:fill="DBDBDB"/>
          </w:tcPr>
          <w:p>
            <w:pPr>
              <w:jc w:val="right"/>
              <w:ind w:right="205"/>
              <w:spacing w:after="0"/>
              <w:rPr>
                <w:sz w:val="20"/>
                <w:szCs w:val="20"/>
                <w:color w:val="auto"/>
              </w:rPr>
            </w:pPr>
            <w:r>
              <w:rPr>
                <w:rFonts w:ascii="Arial" w:cs="Arial" w:eastAsia="Arial" w:hAnsi="Arial"/>
                <w:sz w:val="12"/>
                <w:szCs w:val="12"/>
                <w:color w:val="auto"/>
              </w:rPr>
              <w:t>628,001</w:t>
            </w:r>
          </w:p>
        </w:tc>
        <w:tc>
          <w:tcPr>
            <w:tcW w:w="82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12"/>
                <w:szCs w:val="12"/>
                <w:color w:val="auto"/>
              </w:rPr>
              <w:t>6.40</w:t>
            </w:r>
          </w:p>
        </w:tc>
        <w:tc>
          <w:tcPr>
            <w:tcW w:w="0" w:type="dxa"/>
            <w:vAlign w:val="bottom"/>
          </w:tcPr>
          <w:p>
            <w:pPr>
              <w:spacing w:after="0"/>
              <w:rPr>
                <w:sz w:val="1"/>
                <w:szCs w:val="1"/>
                <w:color w:val="auto"/>
              </w:rPr>
            </w:pPr>
          </w:p>
        </w:tc>
      </w:tr>
      <w:tr>
        <w:trPr>
          <w:trHeight w:val="173"/>
        </w:trPr>
        <w:tc>
          <w:tcPr>
            <w:tcW w:w="720" w:type="dxa"/>
            <w:vAlign w:val="bottom"/>
          </w:tcPr>
          <w:p>
            <w:pPr>
              <w:ind w:left="100"/>
              <w:spacing w:after="0"/>
              <w:rPr>
                <w:sz w:val="20"/>
                <w:szCs w:val="20"/>
                <w:color w:val="auto"/>
              </w:rPr>
            </w:pPr>
            <w:r>
              <w:rPr>
                <w:rFonts w:ascii="Arial" w:cs="Arial" w:eastAsia="Arial" w:hAnsi="Arial"/>
                <w:sz w:val="12"/>
                <w:szCs w:val="12"/>
                <w:color w:val="auto"/>
              </w:rPr>
              <w:t>2021</w:t>
            </w:r>
          </w:p>
        </w:tc>
        <w:tc>
          <w:tcPr>
            <w:tcW w:w="1040" w:type="dxa"/>
            <w:vAlign w:val="bottom"/>
          </w:tcPr>
          <w:p>
            <w:pPr>
              <w:jc w:val="right"/>
              <w:ind w:right="26"/>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8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86"/>
              <w:spacing w:after="0"/>
              <w:rPr>
                <w:sz w:val="20"/>
                <w:szCs w:val="20"/>
                <w:color w:val="auto"/>
              </w:rPr>
            </w:pPr>
            <w:r>
              <w:rPr>
                <w:rFonts w:ascii="Arial" w:cs="Arial" w:eastAsia="Arial" w:hAnsi="Arial"/>
                <w:sz w:val="12"/>
                <w:szCs w:val="12"/>
                <w:color w:val="auto"/>
              </w:rPr>
              <w:t>11,484,293</w:t>
            </w:r>
          </w:p>
        </w:tc>
        <w:tc>
          <w:tcPr>
            <w:tcW w:w="1120" w:type="dxa"/>
            <w:vAlign w:val="bottom"/>
          </w:tcPr>
          <w:p>
            <w:pPr>
              <w:jc w:val="right"/>
              <w:ind w:right="108"/>
              <w:spacing w:after="0"/>
              <w:rPr>
                <w:sz w:val="20"/>
                <w:szCs w:val="20"/>
                <w:color w:val="auto"/>
              </w:rPr>
            </w:pPr>
            <w:r>
              <w:rPr>
                <w:rFonts w:ascii="Arial" w:cs="Arial" w:eastAsia="Arial" w:hAnsi="Arial"/>
                <w:sz w:val="12"/>
                <w:szCs w:val="12"/>
                <w:color w:val="auto"/>
              </w:rPr>
              <w:t>24,288,147</w:t>
            </w:r>
          </w:p>
        </w:tc>
        <w:tc>
          <w:tcPr>
            <w:tcW w:w="1240" w:type="dxa"/>
            <w:vAlign w:val="bottom"/>
          </w:tcPr>
          <w:p>
            <w:pPr>
              <w:jc w:val="right"/>
              <w:ind w:right="206"/>
              <w:spacing w:after="0"/>
              <w:rPr>
                <w:sz w:val="20"/>
                <w:szCs w:val="20"/>
                <w:color w:val="auto"/>
              </w:rPr>
            </w:pPr>
            <w:r>
              <w:rPr>
                <w:rFonts w:ascii="Arial" w:cs="Arial" w:eastAsia="Arial" w:hAnsi="Arial"/>
                <w:sz w:val="12"/>
                <w:szCs w:val="12"/>
                <w:color w:val="auto"/>
              </w:rPr>
              <w:t>3,843,333</w:t>
            </w:r>
          </w:p>
        </w:tc>
        <w:tc>
          <w:tcPr>
            <w:tcW w:w="880" w:type="dxa"/>
            <w:vAlign w:val="bottom"/>
          </w:tcPr>
          <w:p>
            <w:pPr>
              <w:jc w:val="right"/>
              <w:ind w:right="26"/>
              <w:spacing w:after="0"/>
              <w:rPr>
                <w:sz w:val="20"/>
                <w:szCs w:val="20"/>
                <w:color w:val="auto"/>
              </w:rPr>
            </w:pPr>
            <w:r>
              <w:rPr>
                <w:rFonts w:ascii="Arial" w:cs="Arial" w:eastAsia="Arial" w:hAnsi="Arial"/>
                <w:sz w:val="12"/>
                <w:szCs w:val="12"/>
                <w:color w:val="auto"/>
              </w:rPr>
              <w:t>7,366,023</w:t>
            </w:r>
          </w:p>
        </w:tc>
        <w:tc>
          <w:tcPr>
            <w:tcW w:w="1000" w:type="dxa"/>
            <w:vAlign w:val="bottom"/>
          </w:tcPr>
          <w:p>
            <w:pPr>
              <w:jc w:val="right"/>
              <w:ind w:right="86"/>
              <w:spacing w:after="0"/>
              <w:rPr>
                <w:sz w:val="20"/>
                <w:szCs w:val="20"/>
                <w:color w:val="auto"/>
              </w:rPr>
            </w:pPr>
            <w:r>
              <w:rPr>
                <w:rFonts w:ascii="Arial" w:cs="Arial" w:eastAsia="Arial" w:hAnsi="Arial"/>
                <w:sz w:val="12"/>
                <w:szCs w:val="12"/>
                <w:color w:val="auto"/>
              </w:rPr>
              <w:t>289.92</w:t>
            </w:r>
          </w:p>
        </w:tc>
        <w:tc>
          <w:tcPr>
            <w:tcW w:w="900" w:type="dxa"/>
            <w:vAlign w:val="bottom"/>
          </w:tcPr>
          <w:p>
            <w:pPr>
              <w:jc w:val="right"/>
              <w:ind w:right="46"/>
              <w:spacing w:after="0"/>
              <w:rPr>
                <w:sz w:val="20"/>
                <w:szCs w:val="20"/>
                <w:color w:val="auto"/>
              </w:rPr>
            </w:pPr>
            <w:r>
              <w:rPr>
                <w:rFonts w:ascii="Arial" w:cs="Arial" w:eastAsia="Arial" w:hAnsi="Arial"/>
                <w:sz w:val="12"/>
                <w:szCs w:val="12"/>
                <w:color w:val="auto"/>
              </w:rPr>
              <w:t>109.42</w:t>
            </w:r>
          </w:p>
        </w:tc>
        <w:tc>
          <w:tcPr>
            <w:tcW w:w="1220" w:type="dxa"/>
            <w:vAlign w:val="bottom"/>
          </w:tcPr>
          <w:p>
            <w:pPr>
              <w:jc w:val="right"/>
              <w:ind w:right="205"/>
              <w:spacing w:after="0"/>
              <w:rPr>
                <w:sz w:val="20"/>
                <w:szCs w:val="20"/>
                <w:color w:val="auto"/>
              </w:rPr>
            </w:pPr>
            <w:r>
              <w:rPr>
                <w:rFonts w:ascii="Arial" w:cs="Arial" w:eastAsia="Arial" w:hAnsi="Arial"/>
                <w:sz w:val="12"/>
                <w:szCs w:val="12"/>
                <w:color w:val="auto"/>
              </w:rPr>
              <w:t>671,381</w:t>
            </w:r>
          </w:p>
        </w:tc>
        <w:tc>
          <w:tcPr>
            <w:tcW w:w="820" w:type="dxa"/>
            <w:vAlign w:val="bottom"/>
          </w:tcPr>
          <w:p>
            <w:pPr>
              <w:jc w:val="right"/>
              <w:ind w:right="25"/>
              <w:spacing w:after="0"/>
              <w:rPr>
                <w:sz w:val="20"/>
                <w:szCs w:val="20"/>
                <w:color w:val="auto"/>
              </w:rPr>
            </w:pPr>
            <w:r>
              <w:rPr>
                <w:rFonts w:ascii="Arial" w:cs="Arial" w:eastAsia="Arial" w:hAnsi="Arial"/>
                <w:sz w:val="12"/>
                <w:szCs w:val="12"/>
                <w:color w:val="auto"/>
              </w:rPr>
              <w:t>6.77</w:t>
            </w: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20" w:type="dxa"/>
            <w:vAlign w:val="bottom"/>
            <w:shd w:val="clear" w:color="auto" w:fill="DBDBDB"/>
          </w:tcPr>
          <w:p>
            <w:pPr>
              <w:ind w:left="100"/>
              <w:spacing w:after="0"/>
              <w:rPr>
                <w:sz w:val="20"/>
                <w:szCs w:val="20"/>
                <w:color w:val="auto"/>
              </w:rPr>
            </w:pPr>
            <w:r>
              <w:rPr>
                <w:rFonts w:ascii="Arial" w:cs="Arial" w:eastAsia="Arial" w:hAnsi="Arial"/>
                <w:sz w:val="12"/>
                <w:szCs w:val="12"/>
                <w:color w:val="auto"/>
              </w:rPr>
              <w:t>2020</w:t>
            </w:r>
          </w:p>
        </w:tc>
        <w:tc>
          <w:tcPr>
            <w:tcW w:w="1040" w:type="dxa"/>
            <w:vAlign w:val="bottom"/>
            <w:shd w:val="clear" w:color="auto" w:fill="DBDBDB"/>
          </w:tcPr>
          <w:p>
            <w:pPr>
              <w:jc w:val="right"/>
              <w:ind w:right="26"/>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ind w:right="88"/>
              <w:spacing w:after="0"/>
              <w:rPr>
                <w:sz w:val="20"/>
                <w:szCs w:val="20"/>
                <w:color w:val="auto"/>
              </w:rPr>
            </w:pPr>
            <w:r>
              <w:rPr>
                <w:rFonts w:ascii="Arial" w:cs="Arial" w:eastAsia="Arial" w:hAnsi="Arial"/>
                <w:sz w:val="12"/>
                <w:szCs w:val="12"/>
                <w:color w:val="auto"/>
              </w:rPr>
              <w:t>—</w:t>
            </w:r>
          </w:p>
        </w:tc>
        <w:tc>
          <w:tcPr>
            <w:tcW w:w="1120" w:type="dxa"/>
            <w:vAlign w:val="bottom"/>
            <w:shd w:val="clear" w:color="auto" w:fill="DBDBDB"/>
          </w:tcPr>
          <w:p>
            <w:pPr>
              <w:jc w:val="right"/>
              <w:ind w:right="86"/>
              <w:spacing w:after="0"/>
              <w:rPr>
                <w:sz w:val="20"/>
                <w:szCs w:val="20"/>
                <w:color w:val="auto"/>
              </w:rPr>
            </w:pPr>
            <w:r>
              <w:rPr>
                <w:rFonts w:ascii="Arial" w:cs="Arial" w:eastAsia="Arial" w:hAnsi="Arial"/>
                <w:sz w:val="12"/>
                <w:szCs w:val="12"/>
                <w:color w:val="auto"/>
              </w:rPr>
              <w:t>15,441,951</w:t>
            </w:r>
          </w:p>
        </w:tc>
        <w:tc>
          <w:tcPr>
            <w:tcW w:w="1120" w:type="dxa"/>
            <w:vAlign w:val="bottom"/>
            <w:shd w:val="clear" w:color="auto" w:fill="DBDBDB"/>
          </w:tcPr>
          <w:p>
            <w:pPr>
              <w:jc w:val="right"/>
              <w:ind w:right="108"/>
              <w:spacing w:after="0"/>
              <w:rPr>
                <w:sz w:val="20"/>
                <w:szCs w:val="20"/>
                <w:color w:val="auto"/>
              </w:rPr>
            </w:pPr>
            <w:r>
              <w:rPr>
                <w:rFonts w:ascii="Arial" w:cs="Arial" w:eastAsia="Arial" w:hAnsi="Arial"/>
                <w:sz w:val="12"/>
                <w:szCs w:val="12"/>
                <w:color w:val="auto"/>
              </w:rPr>
              <w:t>19,771,028</w:t>
            </w:r>
          </w:p>
        </w:tc>
        <w:tc>
          <w:tcPr>
            <w:tcW w:w="1240" w:type="dxa"/>
            <w:vAlign w:val="bottom"/>
            <w:shd w:val="clear" w:color="auto" w:fill="DBDBDB"/>
          </w:tcPr>
          <w:p>
            <w:pPr>
              <w:jc w:val="right"/>
              <w:ind w:right="206"/>
              <w:spacing w:after="0"/>
              <w:rPr>
                <w:sz w:val="20"/>
                <w:szCs w:val="20"/>
                <w:color w:val="auto"/>
              </w:rPr>
            </w:pPr>
            <w:r>
              <w:rPr>
                <w:rFonts w:ascii="Arial" w:cs="Arial" w:eastAsia="Arial" w:hAnsi="Arial"/>
                <w:sz w:val="12"/>
                <w:szCs w:val="12"/>
                <w:color w:val="auto"/>
              </w:rPr>
              <w:t>4,152,979</w:t>
            </w: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2"/>
                <w:szCs w:val="12"/>
                <w:color w:val="auto"/>
              </w:rPr>
              <w:t>5,102,115</w:t>
            </w:r>
          </w:p>
        </w:tc>
        <w:tc>
          <w:tcPr>
            <w:tcW w:w="1000" w:type="dxa"/>
            <w:vAlign w:val="bottom"/>
            <w:shd w:val="clear" w:color="auto" w:fill="DBDBDB"/>
          </w:tcPr>
          <w:p>
            <w:pPr>
              <w:jc w:val="right"/>
              <w:ind w:right="86"/>
              <w:spacing w:after="0"/>
              <w:rPr>
                <w:sz w:val="20"/>
                <w:szCs w:val="20"/>
                <w:color w:val="auto"/>
              </w:rPr>
            </w:pPr>
            <w:r>
              <w:rPr>
                <w:rFonts w:ascii="Arial" w:cs="Arial" w:eastAsia="Arial" w:hAnsi="Arial"/>
                <w:sz w:val="12"/>
                <w:szCs w:val="12"/>
                <w:color w:val="auto"/>
              </w:rPr>
              <w:t>165.51</w:t>
            </w:r>
          </w:p>
        </w:tc>
        <w:tc>
          <w:tcPr>
            <w:tcW w:w="900" w:type="dxa"/>
            <w:vAlign w:val="bottom"/>
            <w:shd w:val="clear" w:color="auto" w:fill="DBDBDB"/>
          </w:tcPr>
          <w:p>
            <w:pPr>
              <w:jc w:val="right"/>
              <w:ind w:right="46"/>
              <w:spacing w:after="0"/>
              <w:rPr>
                <w:sz w:val="20"/>
                <w:szCs w:val="20"/>
                <w:color w:val="auto"/>
              </w:rPr>
            </w:pPr>
            <w:r>
              <w:rPr>
                <w:rFonts w:ascii="Arial" w:cs="Arial" w:eastAsia="Arial" w:hAnsi="Arial"/>
                <w:sz w:val="12"/>
                <w:szCs w:val="12"/>
                <w:color w:val="auto"/>
              </w:rPr>
              <w:t>104.61</w:t>
            </w:r>
          </w:p>
        </w:tc>
        <w:tc>
          <w:tcPr>
            <w:tcW w:w="1220" w:type="dxa"/>
            <w:vAlign w:val="bottom"/>
            <w:shd w:val="clear" w:color="auto" w:fill="DBDBDB"/>
          </w:tcPr>
          <w:p>
            <w:pPr>
              <w:jc w:val="right"/>
              <w:ind w:right="205"/>
              <w:spacing w:after="0"/>
              <w:rPr>
                <w:sz w:val="20"/>
                <w:szCs w:val="20"/>
                <w:color w:val="auto"/>
              </w:rPr>
            </w:pPr>
            <w:r>
              <w:rPr>
                <w:rFonts w:ascii="Arial" w:cs="Arial" w:eastAsia="Arial" w:hAnsi="Arial"/>
                <w:sz w:val="12"/>
                <w:szCs w:val="12"/>
                <w:color w:val="auto"/>
              </w:rPr>
              <w:t>308,764</w:t>
            </w:r>
          </w:p>
        </w:tc>
        <w:tc>
          <w:tcPr>
            <w:tcW w:w="820" w:type="dxa"/>
            <w:vAlign w:val="bottom"/>
            <w:shd w:val="clear" w:color="auto" w:fill="DBDBDB"/>
          </w:tcPr>
          <w:p>
            <w:pPr>
              <w:jc w:val="right"/>
              <w:ind w:right="25"/>
              <w:spacing w:after="0"/>
              <w:rPr>
                <w:sz w:val="20"/>
                <w:szCs w:val="20"/>
                <w:color w:val="auto"/>
              </w:rPr>
            </w:pPr>
            <w:r>
              <w:rPr>
                <w:rFonts w:ascii="Arial" w:cs="Arial" w:eastAsia="Arial" w:hAnsi="Arial"/>
                <w:sz w:val="12"/>
                <w:szCs w:val="12"/>
                <w:color w:val="auto"/>
              </w:rPr>
              <w:t>5.69</w:t>
            </w:r>
          </w:p>
        </w:tc>
        <w:tc>
          <w:tcPr>
            <w:tcW w:w="0" w:type="dxa"/>
            <w:vAlign w:val="bottom"/>
          </w:tcPr>
          <w:p>
            <w:pPr>
              <w:spacing w:after="0"/>
              <w:rPr>
                <w:sz w:val="1"/>
                <w:szCs w:val="1"/>
                <w:color w:val="auto"/>
              </w:rPr>
            </w:pPr>
          </w:p>
        </w:tc>
      </w:tr>
      <w:tr>
        <w:trPr>
          <w:trHeight w:val="26"/>
        </w:trPr>
        <w:tc>
          <w:tcPr>
            <w:tcW w:w="720" w:type="dxa"/>
            <w:vAlign w:val="bottom"/>
            <w:shd w:val="clear" w:color="auto" w:fill="DBDBDB"/>
          </w:tcPr>
          <w:p>
            <w:pPr>
              <w:spacing w:after="0"/>
              <w:rPr>
                <w:sz w:val="2"/>
                <w:szCs w:val="2"/>
                <w:color w:val="auto"/>
              </w:rPr>
            </w:pPr>
          </w:p>
        </w:tc>
        <w:tc>
          <w:tcPr>
            <w:tcW w:w="104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01" w:hanging="301"/>
        <w:spacing w:after="0"/>
        <w:tabs>
          <w:tab w:leader="none" w:pos="301"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PEO and Non-PEO NEOs for the applicable fiscal years were as follows:</w:t>
      </w:r>
    </w:p>
    <w:p>
      <w:pPr>
        <w:spacing w:after="0" w:line="89"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300" w:type="dxa"/>
            <w:vAlign w:val="bottom"/>
          </w:tcPr>
          <w:p>
            <w:pPr>
              <w:spacing w:after="0"/>
              <w:rPr>
                <w:sz w:val="14"/>
                <w:szCs w:val="14"/>
                <w:color w:val="auto"/>
              </w:rPr>
            </w:pPr>
          </w:p>
        </w:tc>
        <w:tc>
          <w:tcPr>
            <w:tcW w:w="560" w:type="dxa"/>
            <w:vAlign w:val="bottom"/>
            <w:shd w:val="clear" w:color="auto" w:fill="E1D7AC"/>
          </w:tcPr>
          <w:p>
            <w:pPr>
              <w:ind w:left="80"/>
              <w:spacing w:after="0"/>
              <w:rPr>
                <w:sz w:val="20"/>
                <w:szCs w:val="20"/>
                <w:color w:val="auto"/>
              </w:rPr>
            </w:pPr>
            <w:r>
              <w:rPr>
                <w:rFonts w:ascii="Arial" w:cs="Arial" w:eastAsia="Arial" w:hAnsi="Arial"/>
                <w:sz w:val="12"/>
                <w:szCs w:val="12"/>
                <w:b w:val="1"/>
                <w:bCs w:val="1"/>
                <w:color w:val="auto"/>
              </w:rPr>
              <w:t>Fiscal</w:t>
            </w:r>
          </w:p>
        </w:tc>
        <w:tc>
          <w:tcPr>
            <w:tcW w:w="2920" w:type="dxa"/>
            <w:vAlign w:val="bottom"/>
            <w:shd w:val="clear" w:color="auto" w:fill="E1D7AC"/>
          </w:tcPr>
          <w:p>
            <w:pPr>
              <w:spacing w:after="0"/>
              <w:rPr>
                <w:sz w:val="14"/>
                <w:szCs w:val="14"/>
                <w:color w:val="auto"/>
              </w:rPr>
            </w:pPr>
          </w:p>
        </w:tc>
        <w:tc>
          <w:tcPr>
            <w:tcW w:w="7080" w:type="dxa"/>
            <w:vAlign w:val="bottom"/>
            <w:shd w:val="clear" w:color="auto" w:fill="E1D7AC"/>
          </w:tcPr>
          <w:p>
            <w:pPr>
              <w:spacing w:after="0"/>
              <w:rPr>
                <w:sz w:val="14"/>
                <w:szCs w:val="14"/>
                <w:color w:val="auto"/>
              </w:rPr>
            </w:pPr>
          </w:p>
        </w:tc>
        <w:tc>
          <w:tcPr>
            <w:tcW w:w="380" w:type="dxa"/>
            <w:vAlign w:val="bottom"/>
          </w:tcPr>
          <w:p>
            <w:pPr>
              <w:spacing w:after="0"/>
              <w:rPr>
                <w:sz w:val="14"/>
                <w:szCs w:val="14"/>
                <w:color w:val="auto"/>
              </w:rPr>
            </w:pPr>
          </w:p>
        </w:tc>
      </w:tr>
      <w:tr>
        <w:trPr>
          <w:trHeight w:val="159"/>
        </w:trPr>
        <w:tc>
          <w:tcPr>
            <w:tcW w:w="300" w:type="dxa"/>
            <w:vAlign w:val="bottom"/>
          </w:tcPr>
          <w:p>
            <w:pPr>
              <w:spacing w:after="0"/>
              <w:rPr>
                <w:sz w:val="13"/>
                <w:szCs w:val="13"/>
                <w:color w:val="auto"/>
              </w:rPr>
            </w:pPr>
          </w:p>
        </w:tc>
        <w:tc>
          <w:tcPr>
            <w:tcW w:w="560" w:type="dxa"/>
            <w:vAlign w:val="bottom"/>
            <w:tcBorders>
              <w:bottom w:val="single" w:sz="8" w:color="E1D7AC"/>
            </w:tcBorders>
            <w:shd w:val="clear" w:color="auto" w:fill="E1D7AC"/>
          </w:tcPr>
          <w:p>
            <w:pPr>
              <w:ind w:left="80"/>
              <w:spacing w:after="0"/>
              <w:rPr>
                <w:sz w:val="20"/>
                <w:szCs w:val="20"/>
                <w:color w:val="auto"/>
              </w:rPr>
            </w:pPr>
            <w:r>
              <w:rPr>
                <w:rFonts w:ascii="Arial" w:cs="Arial" w:eastAsia="Arial" w:hAnsi="Arial"/>
                <w:sz w:val="12"/>
                <w:szCs w:val="12"/>
                <w:b w:val="1"/>
                <w:bCs w:val="1"/>
                <w:color w:val="auto"/>
              </w:rPr>
              <w:t>Year</w:t>
            </w:r>
          </w:p>
        </w:tc>
        <w:tc>
          <w:tcPr>
            <w:tcW w:w="2920" w:type="dxa"/>
            <w:vAlign w:val="bottom"/>
            <w:tcBorders>
              <w:bottom w:val="single" w:sz="8" w:color="E1D7AC"/>
            </w:tcBorders>
            <w:shd w:val="clear" w:color="auto" w:fill="E1D7AC"/>
          </w:tcPr>
          <w:p>
            <w:pPr>
              <w:ind w:left="120"/>
              <w:spacing w:after="0"/>
              <w:rPr>
                <w:sz w:val="20"/>
                <w:szCs w:val="20"/>
                <w:color w:val="auto"/>
              </w:rPr>
            </w:pPr>
            <w:r>
              <w:rPr>
                <w:rFonts w:ascii="Arial" w:cs="Arial" w:eastAsia="Arial" w:hAnsi="Arial"/>
                <w:sz w:val="12"/>
                <w:szCs w:val="12"/>
                <w:b w:val="1"/>
                <w:bCs w:val="1"/>
                <w:color w:val="auto"/>
              </w:rPr>
              <w:t>PEO</w:t>
            </w:r>
          </w:p>
        </w:tc>
        <w:tc>
          <w:tcPr>
            <w:tcW w:w="7080" w:type="dxa"/>
            <w:vAlign w:val="bottom"/>
            <w:tcBorders>
              <w:bottom w:val="single" w:sz="8" w:color="E1D7AC"/>
            </w:tcBorders>
            <w:shd w:val="clear" w:color="auto" w:fill="E1D7AC"/>
          </w:tcPr>
          <w:p>
            <w:pPr>
              <w:ind w:left="760"/>
              <w:spacing w:after="0"/>
              <w:rPr>
                <w:sz w:val="20"/>
                <w:szCs w:val="20"/>
                <w:color w:val="auto"/>
              </w:rPr>
            </w:pPr>
            <w:r>
              <w:rPr>
                <w:rFonts w:ascii="Arial" w:cs="Arial" w:eastAsia="Arial" w:hAnsi="Arial"/>
                <w:sz w:val="12"/>
                <w:szCs w:val="12"/>
                <w:b w:val="1"/>
                <w:bCs w:val="1"/>
                <w:color w:val="auto"/>
              </w:rPr>
              <w:t>Non-PEO NEOs</w:t>
            </w:r>
          </w:p>
        </w:tc>
        <w:tc>
          <w:tcPr>
            <w:tcW w:w="380" w:type="dxa"/>
            <w:vAlign w:val="bottom"/>
          </w:tcPr>
          <w:p>
            <w:pPr>
              <w:spacing w:after="0"/>
              <w:rPr>
                <w:sz w:val="13"/>
                <w:szCs w:val="13"/>
                <w:color w:val="auto"/>
              </w:rPr>
            </w:pPr>
          </w:p>
        </w:tc>
      </w:tr>
      <w:tr>
        <w:trPr>
          <w:trHeight w:val="179"/>
        </w:trPr>
        <w:tc>
          <w:tcPr>
            <w:tcW w:w="300" w:type="dxa"/>
            <w:vAlign w:val="bottom"/>
          </w:tcPr>
          <w:p>
            <w:pPr>
              <w:spacing w:after="0"/>
              <w:rPr>
                <w:sz w:val="15"/>
                <w:szCs w:val="15"/>
                <w:color w:val="auto"/>
              </w:rPr>
            </w:pPr>
          </w:p>
        </w:tc>
        <w:tc>
          <w:tcPr>
            <w:tcW w:w="560" w:type="dxa"/>
            <w:vAlign w:val="bottom"/>
            <w:tcBorders>
              <w:bottom w:val="single" w:sz="8" w:color="DBDBDB"/>
            </w:tcBorders>
            <w:shd w:val="clear" w:color="auto" w:fill="DBDBDB"/>
          </w:tcPr>
          <w:p>
            <w:pPr>
              <w:jc w:val="right"/>
              <w:ind w:right="42"/>
              <w:spacing w:after="0"/>
              <w:rPr>
                <w:sz w:val="20"/>
                <w:szCs w:val="20"/>
                <w:color w:val="auto"/>
              </w:rPr>
            </w:pPr>
            <w:r>
              <w:rPr>
                <w:rFonts w:ascii="Arial" w:cs="Arial" w:eastAsia="Arial" w:hAnsi="Arial"/>
                <w:sz w:val="12"/>
                <w:szCs w:val="12"/>
                <w:color w:val="auto"/>
              </w:rPr>
              <w:t>2024</w:t>
            </w:r>
          </w:p>
        </w:tc>
        <w:tc>
          <w:tcPr>
            <w:tcW w:w="29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2"/>
                <w:szCs w:val="12"/>
                <w:color w:val="auto"/>
              </w:rPr>
              <w:t>Steve Lawrence (PEO 1)</w:t>
            </w:r>
          </w:p>
        </w:tc>
        <w:tc>
          <w:tcPr>
            <w:tcW w:w="7080" w:type="dxa"/>
            <w:vAlign w:val="bottom"/>
            <w:tcBorders>
              <w:bottom w:val="single" w:sz="8" w:color="DBDBDB"/>
            </w:tcBorders>
            <w:shd w:val="clear" w:color="auto" w:fill="DBDBDB"/>
          </w:tcPr>
          <w:p>
            <w:pPr>
              <w:ind w:left="760"/>
              <w:spacing w:after="0"/>
              <w:rPr>
                <w:sz w:val="20"/>
                <w:szCs w:val="20"/>
                <w:color w:val="auto"/>
              </w:rPr>
            </w:pPr>
            <w:r>
              <w:rPr>
                <w:rFonts w:ascii="Arial" w:cs="Arial" w:eastAsia="Arial" w:hAnsi="Arial"/>
                <w:sz w:val="12"/>
                <w:szCs w:val="12"/>
                <w:color w:val="auto"/>
              </w:rPr>
              <w:t>Ken Hicks, Sam Johnson, Carl Ford, and Matt McCabe</w:t>
            </w:r>
          </w:p>
        </w:tc>
        <w:tc>
          <w:tcPr>
            <w:tcW w:w="380" w:type="dxa"/>
            <w:vAlign w:val="bottom"/>
          </w:tcPr>
          <w:p>
            <w:pPr>
              <w:spacing w:after="0"/>
              <w:rPr>
                <w:sz w:val="15"/>
                <w:szCs w:val="15"/>
                <w:color w:val="auto"/>
              </w:rPr>
            </w:pPr>
          </w:p>
        </w:tc>
      </w:tr>
      <w:tr>
        <w:trPr>
          <w:trHeight w:val="156"/>
        </w:trPr>
        <w:tc>
          <w:tcPr>
            <w:tcW w:w="300" w:type="dxa"/>
            <w:vAlign w:val="bottom"/>
          </w:tcPr>
          <w:p>
            <w:pPr>
              <w:spacing w:after="0"/>
              <w:rPr>
                <w:sz w:val="13"/>
                <w:szCs w:val="1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2023</w:t>
            </w:r>
          </w:p>
        </w:tc>
        <w:tc>
          <w:tcPr>
            <w:tcW w:w="2920" w:type="dxa"/>
            <w:vAlign w:val="bottom"/>
          </w:tcPr>
          <w:p>
            <w:pPr>
              <w:ind w:left="120"/>
              <w:spacing w:after="0"/>
              <w:rPr>
                <w:sz w:val="20"/>
                <w:szCs w:val="20"/>
                <w:color w:val="auto"/>
              </w:rPr>
            </w:pPr>
            <w:r>
              <w:rPr>
                <w:rFonts w:ascii="Arial" w:cs="Arial" w:eastAsia="Arial" w:hAnsi="Arial"/>
                <w:sz w:val="12"/>
                <w:szCs w:val="12"/>
                <w:color w:val="auto"/>
              </w:rPr>
              <w:t>Steve Lawrence and Ken Hicks (PEO 2)</w:t>
            </w:r>
          </w:p>
        </w:tc>
        <w:tc>
          <w:tcPr>
            <w:tcW w:w="7080" w:type="dxa"/>
            <w:vAlign w:val="bottom"/>
          </w:tcPr>
          <w:p>
            <w:pPr>
              <w:ind w:left="760"/>
              <w:spacing w:after="0"/>
              <w:rPr>
                <w:sz w:val="20"/>
                <w:szCs w:val="20"/>
                <w:color w:val="auto"/>
              </w:rPr>
            </w:pPr>
            <w:r>
              <w:rPr>
                <w:rFonts w:ascii="Arial" w:cs="Arial" w:eastAsia="Arial" w:hAnsi="Arial"/>
                <w:sz w:val="12"/>
                <w:szCs w:val="12"/>
                <w:color w:val="auto"/>
              </w:rPr>
              <w:t>Michael Mullican, Sam Johnson, Carl Ford, Matt McCabe, and Bill Ennis</w:t>
            </w:r>
          </w:p>
        </w:tc>
        <w:tc>
          <w:tcPr>
            <w:tcW w:w="380" w:type="dxa"/>
            <w:vAlign w:val="bottom"/>
          </w:tcPr>
          <w:p>
            <w:pPr>
              <w:spacing w:after="0"/>
              <w:rPr>
                <w:sz w:val="13"/>
                <w:szCs w:val="13"/>
                <w:color w:val="auto"/>
              </w:rPr>
            </w:pPr>
          </w:p>
        </w:tc>
      </w:tr>
      <w:tr>
        <w:trPr>
          <w:trHeight w:val="184"/>
        </w:trPr>
        <w:tc>
          <w:tcPr>
            <w:tcW w:w="300" w:type="dxa"/>
            <w:vAlign w:val="bottom"/>
          </w:tcPr>
          <w:p>
            <w:pPr>
              <w:spacing w:after="0"/>
              <w:rPr>
                <w:sz w:val="16"/>
                <w:szCs w:val="16"/>
                <w:color w:val="auto"/>
              </w:rPr>
            </w:pPr>
          </w:p>
        </w:tc>
        <w:tc>
          <w:tcPr>
            <w:tcW w:w="560" w:type="dxa"/>
            <w:vAlign w:val="bottom"/>
            <w:tcBorders>
              <w:bottom w:val="single" w:sz="8" w:color="DBDBDB"/>
            </w:tcBorders>
            <w:shd w:val="clear" w:color="auto" w:fill="DBDBDB"/>
          </w:tcPr>
          <w:p>
            <w:pPr>
              <w:jc w:val="right"/>
              <w:ind w:right="42"/>
              <w:spacing w:after="0"/>
              <w:rPr>
                <w:sz w:val="20"/>
                <w:szCs w:val="20"/>
                <w:color w:val="auto"/>
              </w:rPr>
            </w:pPr>
            <w:r>
              <w:rPr>
                <w:rFonts w:ascii="Arial" w:cs="Arial" w:eastAsia="Arial" w:hAnsi="Arial"/>
                <w:sz w:val="12"/>
                <w:szCs w:val="12"/>
                <w:color w:val="auto"/>
              </w:rPr>
              <w:t>2022</w:t>
            </w:r>
          </w:p>
        </w:tc>
        <w:tc>
          <w:tcPr>
            <w:tcW w:w="29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2"/>
                <w:szCs w:val="12"/>
                <w:color w:val="auto"/>
              </w:rPr>
              <w:t>Ken Hicks</w:t>
            </w:r>
          </w:p>
        </w:tc>
        <w:tc>
          <w:tcPr>
            <w:tcW w:w="7080" w:type="dxa"/>
            <w:vAlign w:val="bottom"/>
            <w:tcBorders>
              <w:bottom w:val="single" w:sz="8" w:color="DBDBDB"/>
            </w:tcBorders>
            <w:shd w:val="clear" w:color="auto" w:fill="DBDBDB"/>
          </w:tcPr>
          <w:p>
            <w:pPr>
              <w:ind w:left="760"/>
              <w:spacing w:after="0"/>
              <w:rPr>
                <w:sz w:val="20"/>
                <w:szCs w:val="20"/>
                <w:color w:val="auto"/>
              </w:rPr>
            </w:pPr>
            <w:r>
              <w:rPr>
                <w:rFonts w:ascii="Arial" w:cs="Arial" w:eastAsia="Arial" w:hAnsi="Arial"/>
                <w:sz w:val="12"/>
                <w:szCs w:val="12"/>
                <w:color w:val="auto"/>
              </w:rPr>
              <w:t>Steve Lawrence, Michael Mullican, Sam Johnson, and Manish Maini</w:t>
            </w:r>
          </w:p>
        </w:tc>
        <w:tc>
          <w:tcPr>
            <w:tcW w:w="380" w:type="dxa"/>
            <w:vAlign w:val="bottom"/>
          </w:tcPr>
          <w:p>
            <w:pPr>
              <w:spacing w:after="0"/>
              <w:rPr>
                <w:sz w:val="16"/>
                <w:szCs w:val="16"/>
                <w:color w:val="auto"/>
              </w:rPr>
            </w:pPr>
          </w:p>
        </w:tc>
      </w:tr>
      <w:tr>
        <w:trPr>
          <w:trHeight w:val="156"/>
        </w:trPr>
        <w:tc>
          <w:tcPr>
            <w:tcW w:w="300" w:type="dxa"/>
            <w:vAlign w:val="bottom"/>
          </w:tcPr>
          <w:p>
            <w:pPr>
              <w:spacing w:after="0"/>
              <w:rPr>
                <w:sz w:val="13"/>
                <w:szCs w:val="1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2021</w:t>
            </w:r>
          </w:p>
        </w:tc>
        <w:tc>
          <w:tcPr>
            <w:tcW w:w="2920" w:type="dxa"/>
            <w:vAlign w:val="bottom"/>
          </w:tcPr>
          <w:p>
            <w:pPr>
              <w:ind w:left="120"/>
              <w:spacing w:after="0"/>
              <w:rPr>
                <w:sz w:val="20"/>
                <w:szCs w:val="20"/>
                <w:color w:val="auto"/>
              </w:rPr>
            </w:pPr>
            <w:r>
              <w:rPr>
                <w:rFonts w:ascii="Arial" w:cs="Arial" w:eastAsia="Arial" w:hAnsi="Arial"/>
                <w:sz w:val="12"/>
                <w:szCs w:val="12"/>
                <w:color w:val="auto"/>
              </w:rPr>
              <w:t>Ken Hicks</w:t>
            </w:r>
          </w:p>
        </w:tc>
        <w:tc>
          <w:tcPr>
            <w:tcW w:w="7080" w:type="dxa"/>
            <w:vAlign w:val="bottom"/>
          </w:tcPr>
          <w:p>
            <w:pPr>
              <w:ind w:left="760"/>
              <w:spacing w:after="0"/>
              <w:rPr>
                <w:sz w:val="20"/>
                <w:szCs w:val="20"/>
                <w:color w:val="auto"/>
              </w:rPr>
            </w:pPr>
            <w:r>
              <w:rPr>
                <w:rFonts w:ascii="Arial" w:cs="Arial" w:eastAsia="Arial" w:hAnsi="Arial"/>
                <w:sz w:val="12"/>
                <w:szCs w:val="12"/>
                <w:color w:val="auto"/>
              </w:rPr>
              <w:t>Steve Lawrence, Michael Mullican, Sam Johnson, and Manish Maini</w:t>
            </w:r>
          </w:p>
        </w:tc>
        <w:tc>
          <w:tcPr>
            <w:tcW w:w="380" w:type="dxa"/>
            <w:vAlign w:val="bottom"/>
          </w:tcPr>
          <w:p>
            <w:pPr>
              <w:spacing w:after="0"/>
              <w:rPr>
                <w:sz w:val="13"/>
                <w:szCs w:val="13"/>
                <w:color w:val="auto"/>
              </w:rPr>
            </w:pPr>
          </w:p>
        </w:tc>
      </w:tr>
      <w:tr>
        <w:trPr>
          <w:trHeight w:val="184"/>
        </w:trPr>
        <w:tc>
          <w:tcPr>
            <w:tcW w:w="300" w:type="dxa"/>
            <w:vAlign w:val="bottom"/>
          </w:tcPr>
          <w:p>
            <w:pPr>
              <w:spacing w:after="0"/>
              <w:rPr>
                <w:sz w:val="16"/>
                <w:szCs w:val="16"/>
                <w:color w:val="auto"/>
              </w:rPr>
            </w:pPr>
          </w:p>
        </w:tc>
        <w:tc>
          <w:tcPr>
            <w:tcW w:w="560" w:type="dxa"/>
            <w:vAlign w:val="bottom"/>
            <w:tcBorders>
              <w:bottom w:val="single" w:sz="8" w:color="DBDBDB"/>
            </w:tcBorders>
            <w:shd w:val="clear" w:color="auto" w:fill="DBDBDB"/>
          </w:tcPr>
          <w:p>
            <w:pPr>
              <w:jc w:val="right"/>
              <w:ind w:right="42"/>
              <w:spacing w:after="0"/>
              <w:rPr>
                <w:sz w:val="20"/>
                <w:szCs w:val="20"/>
                <w:color w:val="auto"/>
              </w:rPr>
            </w:pPr>
            <w:r>
              <w:rPr>
                <w:rFonts w:ascii="Arial" w:cs="Arial" w:eastAsia="Arial" w:hAnsi="Arial"/>
                <w:sz w:val="12"/>
                <w:szCs w:val="12"/>
                <w:color w:val="auto"/>
              </w:rPr>
              <w:t>2020</w:t>
            </w:r>
          </w:p>
        </w:tc>
        <w:tc>
          <w:tcPr>
            <w:tcW w:w="29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2"/>
                <w:szCs w:val="12"/>
                <w:color w:val="auto"/>
              </w:rPr>
              <w:t>Ken Hicks</w:t>
            </w:r>
          </w:p>
        </w:tc>
        <w:tc>
          <w:tcPr>
            <w:tcW w:w="7080" w:type="dxa"/>
            <w:vAlign w:val="bottom"/>
            <w:tcBorders>
              <w:bottom w:val="single" w:sz="8" w:color="DBDBDB"/>
            </w:tcBorders>
            <w:shd w:val="clear" w:color="auto" w:fill="DBDBDB"/>
          </w:tcPr>
          <w:p>
            <w:pPr>
              <w:ind w:left="760"/>
              <w:spacing w:after="0"/>
              <w:rPr>
                <w:sz w:val="20"/>
                <w:szCs w:val="20"/>
                <w:color w:val="auto"/>
              </w:rPr>
            </w:pPr>
            <w:r>
              <w:rPr>
                <w:rFonts w:ascii="Arial" w:cs="Arial" w:eastAsia="Arial" w:hAnsi="Arial"/>
                <w:sz w:val="12"/>
                <w:szCs w:val="12"/>
                <w:color w:val="auto"/>
              </w:rPr>
              <w:t>Steve Lawrence, Michael Mullican, Sam Johnson, and Jamey Rutherford</w:t>
            </w:r>
          </w:p>
        </w:tc>
        <w:tc>
          <w:tcPr>
            <w:tcW w:w="380" w:type="dxa"/>
            <w:vAlign w:val="bottom"/>
          </w:tcPr>
          <w:p>
            <w:pPr>
              <w:spacing w:after="0"/>
              <w:rPr>
                <w:sz w:val="16"/>
                <w:szCs w:val="16"/>
                <w:color w:val="auto"/>
              </w:rPr>
            </w:pPr>
          </w:p>
        </w:tc>
      </w:tr>
      <w:tr>
        <w:trPr>
          <w:trHeight w:val="1521"/>
        </w:trPr>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-314960</wp:posOffset>
            </wp:positionV>
            <wp:extent cx="789305" cy="18923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81" w:name="page82"/>
    <w:bookmarkEnd w:id="81"/>
    <w:p>
      <w:pPr>
        <w:ind w:left="1"/>
        <w:spacing w:after="0"/>
        <w:rPr>
          <w:sz w:val="20"/>
          <w:szCs w:val="20"/>
          <w:color w:val="auto"/>
        </w:rPr>
      </w:pPr>
      <w:r>
        <w:rPr>
          <w:rFonts w:ascii="Arial" w:cs="Arial" w:eastAsia="Arial" w:hAnsi="Arial"/>
          <w:sz w:val="13"/>
          <w:szCs w:val="13"/>
          <w:b w:val="1"/>
          <w:bCs w:val="1"/>
          <w:color w:val="007EC4"/>
        </w:rPr>
        <w:t xml:space="preserve">76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1" w:hanging="301"/>
        <w:spacing w:after="0" w:line="270" w:lineRule="auto"/>
        <w:tabs>
          <w:tab w:leader="none" w:pos="298"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CAP to our PEO and the average CAP to our Non-PEO NEOs, calculated in accordance with SEC rules. These amounts reflect “Total” compensation as set forth in the Summary Compensation Table for each year, adjusted as shown below with respect to fiscal 2024. Equity values are calculated consistent with the methodology used for originally valuing the grants under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69215</wp:posOffset>
            </wp:positionV>
            <wp:extent cx="6693535" cy="38671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6693535" cy="386715"/>
                    </a:xfrm>
                    <a:prstGeom prst="rect">
                      <a:avLst/>
                    </a:prstGeom>
                    <a:noFill/>
                  </pic:spPr>
                </pic:pic>
              </a:graphicData>
            </a:graphic>
          </wp:anchor>
        </w:drawing>
      </w:r>
    </w:p>
    <w:p>
      <w:pPr>
        <w:sectPr>
          <w:pgSz w:w="11900" w:h="16838" w:orient="portrait"/>
          <w:cols w:equalWidth="0" w:num="1">
            <w:col w:w="11021"/>
          </w:cols>
          <w:pgMar w:left="319" w:top="15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81"/>
        <w:spacing w:after="0"/>
        <w:rPr>
          <w:sz w:val="20"/>
          <w:szCs w:val="20"/>
          <w:color w:val="auto"/>
        </w:rPr>
      </w:pPr>
      <w:r>
        <w:rPr>
          <w:rFonts w:ascii="Arial" w:cs="Arial" w:eastAsia="Arial" w:hAnsi="Arial"/>
          <w:sz w:val="12"/>
          <w:szCs w:val="12"/>
          <w:color w:val="auto"/>
        </w:rPr>
        <w:t>Summary Compensation Table -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-100965</wp:posOffset>
            </wp:positionV>
            <wp:extent cx="6693535" cy="12636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6693535" cy="126365"/>
                    </a:xfrm>
                    <a:prstGeom prst="rect">
                      <a:avLst/>
                    </a:prstGeom>
                    <a:noFill/>
                  </pic:spPr>
                </pic:pic>
              </a:graphicData>
            </a:graphic>
          </wp:anchor>
        </w:drawing>
      </w:r>
    </w:p>
    <w:p>
      <w:pPr>
        <w:spacing w:after="0" w:line="41" w:lineRule="exact"/>
        <w:rPr>
          <w:sz w:val="20"/>
          <w:szCs w:val="20"/>
          <w:color w:val="auto"/>
        </w:rPr>
      </w:pPr>
    </w:p>
    <w:p>
      <w:pPr>
        <w:ind w:left="381"/>
        <w:spacing w:after="0"/>
        <w:rPr>
          <w:sz w:val="20"/>
          <w:szCs w:val="20"/>
          <w:color w:val="auto"/>
        </w:rPr>
      </w:pPr>
      <w:r>
        <w:rPr>
          <w:rFonts w:ascii="Arial" w:cs="Arial" w:eastAsia="Arial" w:hAnsi="Arial"/>
          <w:sz w:val="12"/>
          <w:szCs w:val="12"/>
          <w:color w:val="auto"/>
        </w:rPr>
        <w:t>Less, value of “Stock Awards” reported in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24765</wp:posOffset>
            </wp:positionV>
            <wp:extent cx="6693535" cy="12636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6693535" cy="126365"/>
                    </a:xfrm>
                    <a:prstGeom prst="rect">
                      <a:avLst/>
                    </a:prstGeom>
                    <a:noFill/>
                  </pic:spPr>
                </pic:pic>
              </a:graphicData>
            </a:graphic>
          </wp:anchor>
        </w:drawing>
      </w:r>
    </w:p>
    <w:p>
      <w:pPr>
        <w:spacing w:after="0" w:line="41" w:lineRule="exact"/>
        <w:rPr>
          <w:sz w:val="20"/>
          <w:szCs w:val="20"/>
          <w:color w:val="auto"/>
        </w:rPr>
      </w:pPr>
    </w:p>
    <w:p>
      <w:pPr>
        <w:ind w:left="381"/>
        <w:spacing w:after="0"/>
        <w:rPr>
          <w:sz w:val="20"/>
          <w:szCs w:val="20"/>
          <w:color w:val="auto"/>
        </w:rPr>
      </w:pPr>
      <w:r>
        <w:rPr>
          <w:rFonts w:ascii="Arial" w:cs="Arial" w:eastAsia="Arial" w:hAnsi="Arial"/>
          <w:sz w:val="12"/>
          <w:szCs w:val="12"/>
          <w:color w:val="auto"/>
        </w:rPr>
        <w:t>Plus, the year-end fair value of outstanding and unvested equity awards granted in the year</w:t>
      </w:r>
    </w:p>
    <w:p>
      <w:pPr>
        <w:spacing w:after="0" w:line="61" w:lineRule="exact"/>
        <w:rPr>
          <w:sz w:val="20"/>
          <w:szCs w:val="20"/>
          <w:color w:val="auto"/>
        </w:rPr>
      </w:pPr>
    </w:p>
    <w:p>
      <w:pPr>
        <w:ind w:left="381"/>
        <w:spacing w:after="0"/>
        <w:rPr>
          <w:sz w:val="20"/>
          <w:szCs w:val="20"/>
          <w:color w:val="auto"/>
        </w:rPr>
      </w:pPr>
      <w:r>
        <w:rPr>
          <w:rFonts w:ascii="Arial" w:cs="Arial" w:eastAsia="Arial" w:hAnsi="Arial"/>
          <w:sz w:val="12"/>
          <w:szCs w:val="12"/>
          <w:color w:val="auto"/>
        </w:rPr>
        <w:t>Plus, the fair value as of vesting date of equity awards granted and vested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24765</wp:posOffset>
            </wp:positionV>
            <wp:extent cx="6693535" cy="22098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6693535" cy="220980"/>
                    </a:xfrm>
                    <a:prstGeom prst="rect">
                      <a:avLst/>
                    </a:prstGeom>
                    <a:noFill/>
                  </pic:spPr>
                </pic:pic>
              </a:graphicData>
            </a:graphic>
          </wp:anchor>
        </w:drawing>
      </w:r>
    </w:p>
    <w:p>
      <w:pPr>
        <w:spacing w:after="0" w:line="41" w:lineRule="exact"/>
        <w:rPr>
          <w:sz w:val="20"/>
          <w:szCs w:val="20"/>
          <w:color w:val="auto"/>
        </w:rPr>
      </w:pPr>
    </w:p>
    <w:p>
      <w:pPr>
        <w:ind w:left="381"/>
        <w:spacing w:after="0" w:line="302" w:lineRule="auto"/>
        <w:rPr>
          <w:sz w:val="20"/>
          <w:szCs w:val="20"/>
          <w:color w:val="auto"/>
        </w:rPr>
      </w:pPr>
      <w:r>
        <w:rPr>
          <w:rFonts w:ascii="Arial" w:cs="Arial" w:eastAsia="Arial" w:hAnsi="Arial"/>
          <w:sz w:val="12"/>
          <w:szCs w:val="12"/>
          <w:color w:val="auto"/>
        </w:rPr>
        <w:t>Less, the change as of the end of the fiscal year (from the end of the prior fiscal year) in fair value of outstanding and unvested equity awards granted in prior years</w:t>
      </w:r>
    </w:p>
    <w:p>
      <w:pPr>
        <w:spacing w:after="0" w:line="1" w:lineRule="exact"/>
        <w:rPr>
          <w:sz w:val="20"/>
          <w:szCs w:val="20"/>
          <w:color w:val="auto"/>
        </w:rPr>
      </w:pPr>
    </w:p>
    <w:p>
      <w:pPr>
        <w:ind w:left="381" w:right="200"/>
        <w:spacing w:after="0" w:line="302" w:lineRule="auto"/>
        <w:rPr>
          <w:sz w:val="20"/>
          <w:szCs w:val="20"/>
          <w:color w:val="auto"/>
        </w:rPr>
      </w:pPr>
      <w:r>
        <w:rPr>
          <w:rFonts w:ascii="Arial" w:cs="Arial" w:eastAsia="Arial" w:hAnsi="Arial"/>
          <w:sz w:val="12"/>
          <w:szCs w:val="12"/>
          <w:color w:val="auto"/>
        </w:rPr>
        <w:t>Less, the change in fair value from prior year-end to vesting date of equity awards granted in prior years that vested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-12700</wp:posOffset>
            </wp:positionV>
            <wp:extent cx="6693535" cy="12636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6693535" cy="126365"/>
                    </a:xfrm>
                    <a:prstGeom prst="rect">
                      <a:avLst/>
                    </a:prstGeom>
                    <a:noFill/>
                  </pic:spPr>
                </pic:pic>
              </a:graphicData>
            </a:graphic>
          </wp:anchor>
        </w:drawing>
      </w:r>
    </w:p>
    <w:p>
      <w:pPr>
        <w:ind w:left="381" w:right="20"/>
        <w:spacing w:after="0" w:line="378" w:lineRule="auto"/>
        <w:rPr>
          <w:sz w:val="20"/>
          <w:szCs w:val="20"/>
          <w:color w:val="auto"/>
        </w:rPr>
      </w:pPr>
      <w:r>
        <w:rPr>
          <w:rFonts w:ascii="Arial" w:cs="Arial" w:eastAsia="Arial" w:hAnsi="Arial"/>
          <w:sz w:val="12"/>
          <w:szCs w:val="12"/>
          <w:color w:val="auto"/>
        </w:rPr>
        <w:t xml:space="preserve">Less, the fair value at the end of the prior year of equity awards that failed to meet vesting conditions in the year </w:t>
      </w:r>
      <w:r>
        <w:rPr>
          <w:rFonts w:ascii="Arial" w:cs="Arial" w:eastAsia="Arial" w:hAnsi="Arial"/>
          <w:sz w:val="12"/>
          <w:szCs w:val="12"/>
          <w:b w:val="1"/>
          <w:bCs w:val="1"/>
          <w:color w:val="auto"/>
        </w:rPr>
        <w:t>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-36830</wp:posOffset>
            </wp:positionV>
            <wp:extent cx="6693535" cy="762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66935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280"/>
        <w:spacing w:after="0"/>
        <w:rPr>
          <w:sz w:val="20"/>
          <w:szCs w:val="20"/>
          <w:color w:val="auto"/>
        </w:rPr>
      </w:pPr>
      <w:r>
        <w:rPr>
          <w:rFonts w:ascii="Arial" w:cs="Arial" w:eastAsia="Arial" w:hAnsi="Arial"/>
          <w:sz w:val="12"/>
          <w:szCs w:val="12"/>
          <w:b w:val="1"/>
          <w:bCs w:val="1"/>
          <w:color w:val="auto"/>
        </w:rPr>
        <w:t>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0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PEO 1</w:t>
            </w:r>
          </w:p>
        </w:tc>
        <w:tc>
          <w:tcPr>
            <w:tcW w:w="230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Non-PEO NEOs Average</w:t>
            </w:r>
          </w:p>
        </w:tc>
        <w:tc>
          <w:tcPr>
            <w:tcW w:w="80" w:type="dxa"/>
            <w:vAlign w:val="bottom"/>
            <w:tcBorders>
              <w:top w:val="single" w:sz="8" w:color="E1D7AC"/>
            </w:tcBorders>
            <w:shd w:val="clear" w:color="auto" w:fill="E1D7AC"/>
          </w:tcPr>
          <w:p>
            <w:pPr>
              <w:spacing w:after="0"/>
              <w:rPr>
                <w:sz w:val="16"/>
                <w:szCs w:val="16"/>
                <w:color w:val="auto"/>
              </w:rPr>
            </w:pPr>
          </w:p>
        </w:tc>
      </w:tr>
      <w:tr>
        <w:trPr>
          <w:trHeight w:val="199"/>
        </w:trPr>
        <w:tc>
          <w:tcPr>
            <w:tcW w:w="220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230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Borders>
              <w:bottom w:val="single" w:sz="8" w:color="E1D7AC"/>
            </w:tcBorders>
            <w:shd w:val="clear" w:color="auto" w:fill="E1D7AC"/>
          </w:tcPr>
          <w:p>
            <w:pPr>
              <w:spacing w:after="0"/>
              <w:rPr>
                <w:sz w:val="17"/>
                <w:szCs w:val="17"/>
                <w:color w:val="auto"/>
              </w:rPr>
            </w:pPr>
          </w:p>
        </w:tc>
      </w:tr>
      <w:tr>
        <w:trPr>
          <w:trHeight w:val="173"/>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8,661,073</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2,413,830</w:t>
            </w:r>
          </w:p>
        </w:tc>
        <w:tc>
          <w:tcPr>
            <w:tcW w:w="80" w:type="dxa"/>
            <w:vAlign w:val="bottom"/>
          </w:tcPr>
          <w:p>
            <w:pPr>
              <w:spacing w:after="0"/>
              <w:rPr>
                <w:sz w:val="15"/>
                <w:szCs w:val="15"/>
                <w:color w:val="auto"/>
              </w:rPr>
            </w:pPr>
          </w:p>
        </w:tc>
      </w:tr>
      <w:tr>
        <w:trPr>
          <w:trHeight w:val="199"/>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-6,499,938</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-1,442,476</w:t>
            </w:r>
          </w:p>
        </w:tc>
        <w:tc>
          <w:tcPr>
            <w:tcW w:w="80" w:type="dxa"/>
            <w:vAlign w:val="bottom"/>
          </w:tcPr>
          <w:p>
            <w:pPr>
              <w:spacing w:after="0"/>
              <w:rPr>
                <w:sz w:val="17"/>
                <w:szCs w:val="17"/>
                <w:color w:val="auto"/>
              </w:rPr>
            </w:pPr>
          </w:p>
        </w:tc>
      </w:tr>
      <w:tr>
        <w:trPr>
          <w:trHeight w:val="199"/>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4,777,954</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1,078,259</w:t>
            </w:r>
          </w:p>
        </w:tc>
        <w:tc>
          <w:tcPr>
            <w:tcW w:w="80" w:type="dxa"/>
            <w:vAlign w:val="bottom"/>
          </w:tcPr>
          <w:p>
            <w:pPr>
              <w:spacing w:after="0"/>
              <w:rPr>
                <w:sz w:val="17"/>
                <w:szCs w:val="17"/>
                <w:color w:val="auto"/>
              </w:rPr>
            </w:pPr>
          </w:p>
        </w:tc>
      </w:tr>
      <w:tr>
        <w:trPr>
          <w:trHeight w:val="199"/>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0</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7"/>
                <w:szCs w:val="17"/>
                <w:color w:val="auto"/>
              </w:rPr>
            </w:pPr>
          </w:p>
        </w:tc>
      </w:tr>
      <w:tr>
        <w:trPr>
          <w:trHeight w:val="273"/>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-5,123,993</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-1,439,877</w:t>
            </w:r>
          </w:p>
        </w:tc>
        <w:tc>
          <w:tcPr>
            <w:tcW w:w="80" w:type="dxa"/>
            <w:vAlign w:val="bottom"/>
          </w:tcPr>
          <w:p>
            <w:pPr>
              <w:spacing w:after="0"/>
              <w:rPr>
                <w:sz w:val="23"/>
                <w:szCs w:val="23"/>
                <w:color w:val="auto"/>
              </w:rPr>
            </w:pPr>
          </w:p>
        </w:tc>
      </w:tr>
      <w:tr>
        <w:trPr>
          <w:trHeight w:val="348"/>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-310,692</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-372,386</w:t>
            </w:r>
          </w:p>
        </w:tc>
        <w:tc>
          <w:tcPr>
            <w:tcW w:w="80" w:type="dxa"/>
            <w:vAlign w:val="bottom"/>
          </w:tcPr>
          <w:p>
            <w:pPr>
              <w:spacing w:after="0"/>
              <w:rPr>
                <w:sz w:val="24"/>
                <w:szCs w:val="24"/>
                <w:color w:val="auto"/>
              </w:rPr>
            </w:pPr>
          </w:p>
        </w:tc>
      </w:tr>
      <w:tr>
        <w:trPr>
          <w:trHeight w:val="273"/>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0</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23"/>
                <w:szCs w:val="23"/>
                <w:color w:val="auto"/>
              </w:rPr>
            </w:pPr>
          </w:p>
        </w:tc>
      </w:tr>
      <w:tr>
        <w:trPr>
          <w:trHeight w:val="205"/>
        </w:trPr>
        <w:tc>
          <w:tcPr>
            <w:tcW w:w="2200" w:type="dxa"/>
            <w:vAlign w:val="bottom"/>
          </w:tcPr>
          <w:p>
            <w:pPr>
              <w:jc w:val="right"/>
              <w:ind w:right="22"/>
              <w:spacing w:after="0"/>
              <w:rPr>
                <w:sz w:val="20"/>
                <w:szCs w:val="20"/>
                <w:color w:val="auto"/>
              </w:rPr>
            </w:pPr>
            <w:r>
              <w:rPr>
                <w:rFonts w:ascii="Arial" w:cs="Arial" w:eastAsia="Arial" w:hAnsi="Arial"/>
                <w:sz w:val="12"/>
                <w:szCs w:val="12"/>
                <w:b w:val="1"/>
                <w:bCs w:val="1"/>
                <w:color w:val="auto"/>
              </w:rPr>
              <w:t>1,504,404</w:t>
            </w:r>
          </w:p>
        </w:tc>
        <w:tc>
          <w:tcPr>
            <w:tcW w:w="2300" w:type="dxa"/>
            <w:vAlign w:val="bottom"/>
          </w:tcPr>
          <w:p>
            <w:pPr>
              <w:jc w:val="right"/>
              <w:ind w:right="42"/>
              <w:spacing w:after="0"/>
              <w:rPr>
                <w:sz w:val="20"/>
                <w:szCs w:val="20"/>
                <w:color w:val="auto"/>
              </w:rPr>
            </w:pPr>
            <w:r>
              <w:rPr>
                <w:rFonts w:ascii="Arial" w:cs="Arial" w:eastAsia="Arial" w:hAnsi="Arial"/>
                <w:sz w:val="12"/>
                <w:szCs w:val="12"/>
                <w:b w:val="1"/>
                <w:bCs w:val="1"/>
                <w:color w:val="auto"/>
              </w:rPr>
              <w:t>237,350</w:t>
            </w:r>
          </w:p>
        </w:tc>
        <w:tc>
          <w:tcPr>
            <w:tcW w:w="80" w:type="dxa"/>
            <w:vAlign w:val="bottom"/>
          </w:tcPr>
          <w:p>
            <w:pPr>
              <w:spacing w:after="0"/>
              <w:rPr>
                <w:sz w:val="17"/>
                <w:szCs w:val="17"/>
                <w:color w:val="auto"/>
              </w:rPr>
            </w:pPr>
          </w:p>
        </w:tc>
      </w:tr>
    </w:tbl>
    <w:p>
      <w:pPr>
        <w:spacing w:after="0" w:line="215" w:lineRule="exact"/>
        <w:rPr>
          <w:sz w:val="20"/>
          <w:szCs w:val="20"/>
          <w:color w:val="auto"/>
        </w:rPr>
      </w:pPr>
    </w:p>
    <w:p>
      <w:pPr>
        <w:sectPr>
          <w:pgSz w:w="11900" w:h="16838" w:orient="portrait"/>
          <w:cols w:equalWidth="0" w:num="2">
            <w:col w:w="6141" w:space="120"/>
            <w:col w:w="4760"/>
          </w:cols>
          <w:pgMar w:left="319" w:top="157" w:right="559" w:bottom="1440" w:gutter="0" w:footer="0" w:header="0"/>
          <w:type w:val="continuous"/>
        </w:sectPr>
      </w:pPr>
    </w:p>
    <w:p>
      <w:pPr>
        <w:ind w:left="301" w:right="40" w:hanging="301"/>
        <w:spacing w:after="0" w:line="259" w:lineRule="auto"/>
        <w:tabs>
          <w:tab w:leader="none" w:pos="298" w:val="left"/>
        </w:tabs>
        <w:numPr>
          <w:ilvl w:val="0"/>
          <w:numId w:val="87"/>
        </w:numPr>
        <w:rPr>
          <w:rFonts w:ascii="Arial" w:cs="Arial" w:eastAsia="Arial" w:hAnsi="Arial"/>
          <w:sz w:val="12"/>
          <w:szCs w:val="12"/>
          <w:color w:val="auto"/>
        </w:rPr>
      </w:pPr>
      <w:r>
        <w:rPr>
          <w:rFonts w:ascii="Arial" w:cs="Arial" w:eastAsia="Arial" w:hAnsi="Arial"/>
          <w:sz w:val="12"/>
          <w:szCs w:val="12"/>
          <w:color w:val="auto"/>
        </w:rPr>
        <w:t>Total Shareholder Return (“TSR”) is calculated by dividing (a) the sum of (i) the cumulative amount of dividends for the measurement period, assuming dividend reinvestment, and (ii) the difference between the Company’s share price at the end of each fiscal year shown and the beginning of the measurement period, by (b) the Company’s share price at the beginning of the measurement period. The beginning of the measurement period for each year in the table is October 2, 2020, which is the date of the Company’s initial public offering.</w:t>
      </w:r>
    </w:p>
    <w:p>
      <w:pPr>
        <w:spacing w:after="0" w:line="75" w:lineRule="exact"/>
        <w:rPr>
          <w:rFonts w:ascii="Arial" w:cs="Arial" w:eastAsia="Arial" w:hAnsi="Arial"/>
          <w:sz w:val="12"/>
          <w:szCs w:val="12"/>
          <w:color w:val="auto"/>
        </w:rPr>
      </w:pPr>
    </w:p>
    <w:p>
      <w:pPr>
        <w:ind w:left="301" w:hanging="301"/>
        <w:spacing w:after="0"/>
        <w:tabs>
          <w:tab w:leader="none" w:pos="301"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peer group used for this purpose is the Nasdaq US Benchmark Retail Total Return Index.</w:t>
      </w:r>
    </w:p>
    <w:p>
      <w:pPr>
        <w:spacing w:after="0" w:line="110" w:lineRule="exact"/>
        <w:rPr>
          <w:rFonts w:ascii="Arial" w:cs="Arial" w:eastAsia="Arial" w:hAnsi="Arial"/>
          <w:sz w:val="12"/>
          <w:szCs w:val="12"/>
          <w:color w:val="auto"/>
        </w:rPr>
      </w:pPr>
    </w:p>
    <w:p>
      <w:pPr>
        <w:ind w:left="301" w:hanging="301"/>
        <w:spacing w:after="0"/>
        <w:tabs>
          <w:tab w:leader="none" w:pos="301"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Net Income and Net Sales, respectively, as reflected in the Company’s audited financial statements for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1290955</wp:posOffset>
            </wp:positionV>
            <wp:extent cx="7168515" cy="4127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1003300</wp:posOffset>
            </wp:positionV>
            <wp:extent cx="789305" cy="18923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021"/>
          </w:cols>
          <w:pgMar w:left="319" w:top="157" w:right="55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Relationship between Compensation Actually Paid and Performance Measures</w:t>
      </w:r>
    </w:p>
    <w:p>
      <w:pPr>
        <w:spacing w:after="0" w:line="70"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As described in more detail in the section “Compensation Discussion and Analysis,” the Company’s executive compensation program reflects a variable pay-for-performance philosophy. While the Company utilizes several performance measures to align executive compensation with Company performance, all of those Company measures are not presented in these Pay versus Performance tables.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graphical depictions of the relationships among various information presented in these Pay versus Performance tables.</w:t>
      </w:r>
    </w:p>
    <w:p>
      <w:pPr>
        <w:spacing w:after="0" w:line="172" w:lineRule="exact"/>
        <w:rPr>
          <w:sz w:val="20"/>
          <w:szCs w:val="20"/>
          <w:color w:val="auto"/>
        </w:rPr>
      </w:pPr>
    </w:p>
    <w:p>
      <w:pPr>
        <w:ind w:right="520"/>
        <w:spacing w:after="0" w:line="310" w:lineRule="auto"/>
        <w:rPr>
          <w:sz w:val="20"/>
          <w:szCs w:val="20"/>
          <w:color w:val="auto"/>
        </w:rPr>
      </w:pPr>
      <w:r>
        <w:rPr>
          <w:rFonts w:ascii="Arial" w:cs="Arial" w:eastAsia="Arial" w:hAnsi="Arial"/>
          <w:sz w:val="15"/>
          <w:szCs w:val="15"/>
          <w:b w:val="1"/>
          <w:bCs w:val="1"/>
          <w:color w:val="auto"/>
        </w:rPr>
        <w:t xml:space="preserve">Compensation Actually Paid (CAP), Company’s TSR, and Peer Group TSR: </w:t>
      </w:r>
      <w:r>
        <w:rPr>
          <w:rFonts w:ascii="Arial" w:cs="Arial" w:eastAsia="Arial" w:hAnsi="Arial"/>
          <w:sz w:val="15"/>
          <w:szCs w:val="15"/>
          <w:color w:val="auto"/>
        </w:rPr>
        <w:t>The relationship between the PEO CAP and the Non-PEO NEOs’ average CAP in</w:t>
      </w:r>
      <w:r>
        <w:rPr>
          <w:rFonts w:ascii="Arial" w:cs="Arial" w:eastAsia="Arial" w:hAnsi="Arial"/>
          <w:sz w:val="15"/>
          <w:szCs w:val="15"/>
          <w:b w:val="1"/>
          <w:bCs w:val="1"/>
          <w:color w:val="auto"/>
        </w:rPr>
        <w:t xml:space="preserve"> </w:t>
      </w:r>
      <w:r>
        <w:rPr>
          <w:rFonts w:ascii="Arial" w:cs="Arial" w:eastAsia="Arial" w:hAnsi="Arial"/>
          <w:sz w:val="15"/>
          <w:szCs w:val="15"/>
          <w:color w:val="auto"/>
        </w:rPr>
        <w:t>comparison to the Company’s TSR and the TSR of the Nasdaq US Benchmark Retail Total Return Index,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95885</wp:posOffset>
            </wp:positionV>
            <wp:extent cx="5304155" cy="198882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530415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b w:val="1"/>
          <w:bCs w:val="1"/>
          <w:color w:val="auto"/>
        </w:rPr>
        <w:t xml:space="preserve">Compensation Actually Paid (CAP) and Net Income: </w:t>
      </w:r>
      <w:r>
        <w:rPr>
          <w:rFonts w:ascii="Arial" w:cs="Arial" w:eastAsia="Arial" w:hAnsi="Arial"/>
          <w:sz w:val="15"/>
          <w:szCs w:val="15"/>
          <w:color w:val="auto"/>
        </w:rPr>
        <w:t>The relationship between PEO CAP and the Non-PEO NEOs’ average CAP in comparison to the Company’s Net</w:t>
      </w:r>
      <w:r>
        <w:rPr>
          <w:rFonts w:ascii="Arial" w:cs="Arial" w:eastAsia="Arial" w:hAnsi="Arial"/>
          <w:sz w:val="15"/>
          <w:szCs w:val="15"/>
          <w:b w:val="1"/>
          <w:bCs w:val="1"/>
          <w:color w:val="auto"/>
        </w:rPr>
        <w:t xml:space="preserve"> </w:t>
      </w:r>
      <w:r>
        <w:rPr>
          <w:rFonts w:ascii="Arial" w:cs="Arial" w:eastAsia="Arial" w:hAnsi="Arial"/>
          <w:sz w:val="15"/>
          <w:szCs w:val="15"/>
          <w:color w:val="auto"/>
        </w:rPr>
        <w:t>Income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3295650</wp:posOffset>
            </wp:positionV>
            <wp:extent cx="7168515" cy="4127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95885</wp:posOffset>
            </wp:positionV>
            <wp:extent cx="5304155" cy="198882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5304155" cy="198882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3000375</wp:posOffset>
            </wp:positionV>
            <wp:extent cx="789305" cy="18923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 w:name="page84"/>
    <w:bookmarkEnd w:id="83"/>
    <w:p>
      <w:pPr>
        <w:ind w:left="1"/>
        <w:spacing w:after="0"/>
        <w:rPr>
          <w:sz w:val="20"/>
          <w:szCs w:val="20"/>
          <w:color w:val="auto"/>
        </w:rPr>
      </w:pPr>
      <w:r>
        <w:rPr>
          <w:rFonts w:ascii="Arial" w:cs="Arial" w:eastAsia="Arial" w:hAnsi="Arial"/>
          <w:sz w:val="13"/>
          <w:szCs w:val="13"/>
          <w:b w:val="1"/>
          <w:bCs w:val="1"/>
          <w:color w:val="007EC4"/>
        </w:rPr>
        <w:t xml:space="preserve">78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 w:right="340"/>
        <w:spacing w:after="0" w:line="310" w:lineRule="auto"/>
        <w:rPr>
          <w:sz w:val="20"/>
          <w:szCs w:val="20"/>
          <w:color w:val="auto"/>
        </w:rPr>
      </w:pPr>
      <w:r>
        <w:rPr>
          <w:rFonts w:ascii="Arial" w:cs="Arial" w:eastAsia="Arial" w:hAnsi="Arial"/>
          <w:sz w:val="15"/>
          <w:szCs w:val="15"/>
          <w:b w:val="1"/>
          <w:bCs w:val="1"/>
          <w:color w:val="auto"/>
        </w:rPr>
        <w:t>Compensation Actually Paid (CAP) and Net Sales</w:t>
      </w:r>
      <w:r>
        <w:rPr>
          <w:rFonts w:ascii="Arial" w:cs="Arial" w:eastAsia="Arial" w:hAnsi="Arial"/>
          <w:sz w:val="15"/>
          <w:szCs w:val="15"/>
          <w:color w:val="auto"/>
        </w:rPr>
        <w:t>: The relationship between the PEO CAP and the Non-PEO NEO’s average CAP in comparison to Net Sales is</w:t>
      </w:r>
      <w:r>
        <w:rPr>
          <w:rFonts w:ascii="Arial" w:cs="Arial" w:eastAsia="Arial" w:hAnsi="Arial"/>
          <w:sz w:val="15"/>
          <w:szCs w:val="15"/>
          <w:b w:val="1"/>
          <w:bCs w:val="1"/>
          <w:color w:val="auto"/>
        </w:rPr>
        <w:t xml:space="preserve"> </w:t>
      </w:r>
      <w:r>
        <w:rPr>
          <w:rFonts w:ascii="Arial" w:cs="Arial" w:eastAsia="Arial" w:hAnsi="Arial"/>
          <w:sz w:val="15"/>
          <w:szCs w:val="15"/>
          <w:color w:val="auto"/>
        </w:rPr>
        <w:t>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95885</wp:posOffset>
            </wp:positionV>
            <wp:extent cx="5304155" cy="198882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530415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Financial Performance Measures</w:t>
      </w:r>
    </w:p>
    <w:p>
      <w:pPr>
        <w:spacing w:after="0" w:line="70" w:lineRule="exact"/>
        <w:rPr>
          <w:sz w:val="20"/>
          <w:szCs w:val="20"/>
          <w:color w:val="auto"/>
        </w:rPr>
      </w:pPr>
    </w:p>
    <w:p>
      <w:pPr>
        <w:ind w:left="1" w:right="80"/>
        <w:spacing w:after="0" w:line="288" w:lineRule="auto"/>
        <w:rPr>
          <w:sz w:val="20"/>
          <w:szCs w:val="20"/>
          <w:color w:val="auto"/>
        </w:rPr>
      </w:pPr>
      <w:r>
        <w:rPr>
          <w:rFonts w:ascii="Arial" w:cs="Arial" w:eastAsia="Arial" w:hAnsi="Arial"/>
          <w:sz w:val="15"/>
          <w:szCs w:val="15"/>
          <w:color w:val="auto"/>
        </w:rPr>
        <w:t>As described in greater detail under “Compensation Discussion and Analysis,” the Company’s executive compensation program reflects a variable pay-for-performance philosophy. The metrics that the Company uses for both our long-term and short-term incentive awards are selected based on the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w:t>
      </w:r>
    </w:p>
    <w:p>
      <w:pPr>
        <w:spacing w:after="0" w:line="166" w:lineRule="exact"/>
        <w:rPr>
          <w:sz w:val="20"/>
          <w:szCs w:val="20"/>
          <w:color w:val="auto"/>
        </w:rPr>
      </w:pPr>
    </w:p>
    <w:p>
      <w:pPr>
        <w:ind w:left="281" w:hanging="281"/>
        <w:spacing w:after="0"/>
        <w:tabs>
          <w:tab w:leader="none" w:pos="281" w:val="left"/>
        </w:tabs>
        <w:numPr>
          <w:ilvl w:val="0"/>
          <w:numId w:val="88"/>
        </w:numPr>
        <w:rPr>
          <w:rFonts w:ascii="Arial" w:cs="Arial" w:eastAsia="Arial" w:hAnsi="Arial"/>
          <w:sz w:val="15"/>
          <w:szCs w:val="15"/>
          <w:color w:val="auto"/>
        </w:rPr>
      </w:pPr>
      <w:r>
        <w:rPr>
          <w:rFonts w:ascii="Arial" w:cs="Arial" w:eastAsia="Arial" w:hAnsi="Arial"/>
          <w:sz w:val="15"/>
          <w:szCs w:val="15"/>
          <w:color w:val="auto"/>
        </w:rPr>
        <w:t>Net Sales</w:t>
      </w:r>
    </w:p>
    <w:p>
      <w:pPr>
        <w:spacing w:after="0" w:line="76" w:lineRule="exact"/>
        <w:rPr>
          <w:rFonts w:ascii="Arial" w:cs="Arial" w:eastAsia="Arial" w:hAnsi="Arial"/>
          <w:sz w:val="15"/>
          <w:szCs w:val="15"/>
          <w:color w:val="auto"/>
        </w:rPr>
      </w:pPr>
    </w:p>
    <w:p>
      <w:pPr>
        <w:ind w:left="281" w:hanging="281"/>
        <w:spacing w:after="0"/>
        <w:tabs>
          <w:tab w:leader="none" w:pos="281" w:val="left"/>
        </w:tabs>
        <w:numPr>
          <w:ilvl w:val="0"/>
          <w:numId w:val="88"/>
        </w:numPr>
        <w:rPr>
          <w:rFonts w:ascii="Arial" w:cs="Arial" w:eastAsia="Arial" w:hAnsi="Arial"/>
          <w:sz w:val="15"/>
          <w:szCs w:val="15"/>
          <w:color w:val="auto"/>
        </w:rPr>
      </w:pPr>
      <w:r>
        <w:rPr>
          <w:rFonts w:ascii="Arial" w:cs="Arial" w:eastAsia="Arial" w:hAnsi="Arial"/>
          <w:sz w:val="15"/>
          <w:szCs w:val="15"/>
          <w:color w:val="auto"/>
        </w:rPr>
        <w:t>Adj. EBIT*</w:t>
      </w:r>
    </w:p>
    <w:p>
      <w:pPr>
        <w:spacing w:after="0" w:line="76" w:lineRule="exact"/>
        <w:rPr>
          <w:rFonts w:ascii="Arial" w:cs="Arial" w:eastAsia="Arial" w:hAnsi="Arial"/>
          <w:sz w:val="15"/>
          <w:szCs w:val="15"/>
          <w:color w:val="auto"/>
        </w:rPr>
      </w:pPr>
    </w:p>
    <w:p>
      <w:pPr>
        <w:ind w:left="281" w:hanging="281"/>
        <w:spacing w:after="0"/>
        <w:tabs>
          <w:tab w:leader="none" w:pos="281" w:val="left"/>
        </w:tabs>
        <w:numPr>
          <w:ilvl w:val="0"/>
          <w:numId w:val="88"/>
        </w:numPr>
        <w:rPr>
          <w:rFonts w:ascii="Arial" w:cs="Arial" w:eastAsia="Arial" w:hAnsi="Arial"/>
          <w:sz w:val="15"/>
          <w:szCs w:val="15"/>
          <w:color w:val="auto"/>
        </w:rPr>
      </w:pPr>
      <w:r>
        <w:rPr>
          <w:rFonts w:ascii="Arial" w:cs="Arial" w:eastAsia="Arial" w:hAnsi="Arial"/>
          <w:sz w:val="15"/>
          <w:szCs w:val="15"/>
          <w:color w:val="auto"/>
        </w:rPr>
        <w:t>Adjusted Pre-Tax Net Income*</w:t>
      </w:r>
    </w:p>
    <w:p>
      <w:pPr>
        <w:spacing w:after="0" w:line="76" w:lineRule="exact"/>
        <w:rPr>
          <w:rFonts w:ascii="Arial" w:cs="Arial" w:eastAsia="Arial" w:hAnsi="Arial"/>
          <w:sz w:val="15"/>
          <w:szCs w:val="15"/>
          <w:color w:val="auto"/>
        </w:rPr>
      </w:pPr>
    </w:p>
    <w:p>
      <w:pPr>
        <w:ind w:left="281" w:hanging="281"/>
        <w:spacing w:after="0"/>
        <w:tabs>
          <w:tab w:leader="none" w:pos="281" w:val="left"/>
        </w:tabs>
        <w:numPr>
          <w:ilvl w:val="0"/>
          <w:numId w:val="88"/>
        </w:numPr>
        <w:rPr>
          <w:rFonts w:ascii="Arial" w:cs="Arial" w:eastAsia="Arial" w:hAnsi="Arial"/>
          <w:sz w:val="15"/>
          <w:szCs w:val="15"/>
          <w:color w:val="auto"/>
        </w:rPr>
      </w:pPr>
      <w:r>
        <w:rPr>
          <w:rFonts w:ascii="Arial" w:cs="Arial" w:eastAsia="Arial" w:hAnsi="Arial"/>
          <w:sz w:val="15"/>
          <w:szCs w:val="15"/>
          <w:color w:val="auto"/>
        </w:rPr>
        <w:t>ROIC*</w:t>
      </w:r>
    </w:p>
    <w:p>
      <w:pPr>
        <w:spacing w:after="0" w:line="143" w:lineRule="exact"/>
        <w:rPr>
          <w:sz w:val="20"/>
          <w:szCs w:val="20"/>
          <w:color w:val="auto"/>
        </w:rPr>
      </w:pPr>
    </w:p>
    <w:p>
      <w:pPr>
        <w:ind w:left="1" w:hanging="1"/>
        <w:spacing w:after="0" w:line="358" w:lineRule="auto"/>
        <w:tabs>
          <w:tab w:leader="none" w:pos="89" w:val="left"/>
        </w:tabs>
        <w:numPr>
          <w:ilvl w:val="0"/>
          <w:numId w:val="89"/>
        </w:numPr>
        <w:rPr>
          <w:rFonts w:ascii="Arial" w:cs="Arial" w:eastAsia="Arial" w:hAnsi="Arial"/>
          <w:sz w:val="13"/>
          <w:szCs w:val="13"/>
          <w:i w:val="1"/>
          <w:iCs w:val="1"/>
          <w:color w:val="auto"/>
        </w:rPr>
      </w:pPr>
      <w:r>
        <w:rPr>
          <w:rFonts w:ascii="Arial" w:cs="Arial" w:eastAsia="Arial" w:hAnsi="Arial"/>
          <w:sz w:val="13"/>
          <w:szCs w:val="13"/>
          <w:i w:val="1"/>
          <w:iCs w:val="1"/>
          <w:color w:val="auto"/>
        </w:rPr>
        <w:t>Adj. EBIT, Adjusted Pre-Tax Net Income, and ROIC are non-GAAP financial measures. See “Annex D - Reconciliations of GAAP to Non-GAAP Financial Measures” below for reconciliations of non-GAAP financial measures used in this Proxy Statement, including this Compensation Discussion &amp; Analysis,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1050925</wp:posOffset>
            </wp:positionV>
            <wp:extent cx="7168515" cy="4127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755650</wp:posOffset>
            </wp:positionV>
            <wp:extent cx="789305" cy="18923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21"/>
          </w:cols>
          <w:pgMar w:left="319" w:top="157" w:right="459" w:bottom="1440" w:gutter="0" w:footer="0" w:header="0"/>
        </w:sectPr>
      </w:pPr>
    </w:p>
    <w:bookmarkStart w:id="84" w:name="page85"/>
    <w:bookmarkEnd w:id="84"/>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Four</w:t>
      </w:r>
    </w:p>
    <w:p>
      <w:pPr>
        <w:spacing w:after="0" w:line="99" w:lineRule="exact"/>
        <w:rPr>
          <w:sz w:val="20"/>
          <w:szCs w:val="20"/>
          <w:color w:val="auto"/>
        </w:rPr>
      </w:pPr>
    </w:p>
    <w:p>
      <w:pPr>
        <w:ind w:right="280"/>
        <w:spacing w:after="0" w:line="275" w:lineRule="auto"/>
        <w:rPr>
          <w:sz w:val="20"/>
          <w:szCs w:val="20"/>
          <w:color w:val="auto"/>
        </w:rPr>
      </w:pPr>
      <w:r>
        <w:rPr>
          <w:rFonts w:ascii="Arial" w:cs="Arial" w:eastAsia="Arial" w:hAnsi="Arial"/>
          <w:sz w:val="45"/>
          <w:szCs w:val="45"/>
          <w:b w:val="1"/>
          <w:bCs w:val="1"/>
          <w:color w:val="1B4093"/>
        </w:rPr>
        <w:t>Amendment of the Company’s Amended and Restated Certificate of Incorporation to Remove the Supermajority Voting Requirements for Stockholders to Amend the Company’s Amended and Restated Bylaws and Certain Provisions of the Company’s Amended and Restated Certificate of Incorporation</w:t>
      </w:r>
    </w:p>
    <w:p>
      <w:pPr>
        <w:spacing w:after="0" w:line="200" w:lineRule="exact"/>
        <w:rPr>
          <w:sz w:val="20"/>
          <w:szCs w:val="20"/>
          <w:color w:val="auto"/>
        </w:rPr>
      </w:pPr>
    </w:p>
    <w:p>
      <w:pPr>
        <w:spacing w:after="0" w:line="294"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The Board has unanimously approved and declared advisable, and resolved to recommend to the Company's stockholders that they approve and adopt, amendments to Articles V and VI of the Company's Amended and Restated Certificate of Incorporation (which we refer to as the “Certificate of Incorporation”) to remove certain supermajority voting requirements contained in those articles requiring the approval of the holders of at least 66⅔% in voting power of all then outstanding shares of the Company’s stock and entitled to vote thereon, voting together as a single class, for the stockholders to alter, amend, repeal, or rescind, or adopt any provision inconsistent with, certain provisions of the Certificate of Incorporation, and for the stockholders to alter, amend, repeal, or rescind, or adopt any provision inconsistent with, any provisions of the Company's Amended and Restated Bylaws (the “Bylaws”), respectively (together with certain clarifying and related clean-up changes, the "Majority Voting Amendment"). The following description is a summary only and is qualified in its entirety by reference to Annex A to this Proxy Statement, which sets forth the amendments to the Certificate of Incorporation to remove the supermajority voting requirements and marks those changes specifically (additions to the Certificate of Incorporation are indicated by underlining in blue and deletions to the Certificate of Incorporation are indicated by strikeouts in 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1015365</wp:posOffset>
            </wp:positionV>
            <wp:extent cx="7168515" cy="4127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728345</wp:posOffset>
            </wp:positionV>
            <wp:extent cx="789305" cy="18923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color w:val="007EC4"/>
        </w:rPr>
        <w:t xml:space="preserve">80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Purpose and Effect of the Majority Voting Amendment</w:t>
      </w:r>
    </w:p>
    <w:p>
      <w:pPr>
        <w:spacing w:after="0" w:line="144" w:lineRule="exact"/>
        <w:rPr>
          <w:sz w:val="20"/>
          <w:szCs w:val="20"/>
          <w:color w:val="auto"/>
        </w:rPr>
      </w:pPr>
    </w:p>
    <w:p>
      <w:pPr>
        <w:ind w:right="260"/>
        <w:spacing w:after="0" w:line="288" w:lineRule="auto"/>
        <w:rPr>
          <w:sz w:val="20"/>
          <w:szCs w:val="20"/>
          <w:color w:val="auto"/>
        </w:rPr>
      </w:pPr>
      <w:r>
        <w:rPr>
          <w:rFonts w:ascii="Arial" w:cs="Arial" w:eastAsia="Arial" w:hAnsi="Arial"/>
          <w:sz w:val="15"/>
          <w:szCs w:val="15"/>
          <w:color w:val="auto"/>
        </w:rPr>
        <w:t>The Certificate of Incorporation currently requires amendments to certain provisions of the Certificate of Incorporation and to any provision of the Bylaws (other than amendments implemented by the Board) to be approved by the holders of 66⅔% in voting power of all then outstanding shares of the Company’s stock entitled to vote thereon, voting together as a single class, which is greater than the voting standard that would be required by default under the Delaware General Corporation Law (“DGCL”).</w:t>
      </w:r>
    </w:p>
    <w:p>
      <w:pPr>
        <w:spacing w:after="0" w:line="166"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Specifically, under Article V, Section A of the Certificate, an amendment to the following provisions of the Certificate of Incorporation requires the approval of holders of at least 66⅔% in voting power of all then outstanding shares of the Company’s stock entitled to vote thereon, voting together as a single class:</w:t>
      </w:r>
    </w:p>
    <w:p>
      <w:pPr>
        <w:spacing w:after="0" w:line="151" w:lineRule="exact"/>
        <w:rPr>
          <w:sz w:val="20"/>
          <w:szCs w:val="20"/>
          <w:color w:val="auto"/>
        </w:rPr>
      </w:pPr>
    </w:p>
    <w:p>
      <w:pPr>
        <w:ind w:left="580" w:hanging="282"/>
        <w:spacing w:after="0"/>
        <w:tabs>
          <w:tab w:leader="none" w:pos="5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Article V - Amendment of the Certificate of Incorporation and Bylaws;</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Article VI - Board of Directors;</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Article VII - Limitation of Director Liability;</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Article VIII - Consent of Stockholders in Lieu of Meeting, Annual and Special Meetings of Stockholders;</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Article IX - Competition and Corporate Opportunities; and</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Article X - DGCL Section 203 and Business Combinations.</w:t>
      </w:r>
    </w:p>
    <w:p>
      <w:pPr>
        <w:spacing w:after="0" w:line="126"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In addition, under Article V, Section B of the Certificate of Incorporation, any amendment to the Company's Bylaws by the stockholders requires the approval of holders of at least 66⅔% in voting power of all then outstanding shares of the Company’s stock entitled to vote thereon, voting together as a single class.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If adopted, the Majority Voting Amendment will amend the Certificate of Incorporation to:</w:t>
      </w:r>
    </w:p>
    <w:p>
      <w:pPr>
        <w:spacing w:after="0" w:line="126" w:lineRule="exact"/>
        <w:rPr>
          <w:sz w:val="20"/>
          <w:szCs w:val="20"/>
          <w:color w:val="auto"/>
        </w:rPr>
      </w:pPr>
    </w:p>
    <w:p>
      <w:pPr>
        <w:ind w:left="600" w:right="360" w:hanging="302"/>
        <w:spacing w:after="0" w:line="288" w:lineRule="auto"/>
        <w:tabs>
          <w:tab w:leader="none" w:pos="578" w:val="left"/>
        </w:tabs>
        <w:numPr>
          <w:ilvl w:val="0"/>
          <w:numId w:val="91"/>
        </w:numPr>
        <w:rPr>
          <w:rFonts w:ascii="Arial" w:cs="Arial" w:eastAsia="Arial" w:hAnsi="Arial"/>
          <w:sz w:val="15"/>
          <w:szCs w:val="15"/>
          <w:color w:val="auto"/>
        </w:rPr>
      </w:pPr>
      <w:r>
        <w:rPr>
          <w:rFonts w:ascii="Arial" w:cs="Arial" w:eastAsia="Arial" w:hAnsi="Arial"/>
          <w:sz w:val="15"/>
          <w:szCs w:val="15"/>
          <w:color w:val="auto"/>
        </w:rPr>
        <w:t>eliminate the provision setting forth the supermajority voting requirement with respect to the above-specified provisions of the Certificate of Incorporation and thereby relying on the default voting standard under the DGCL for all amendments to the Certificate of Incorporation which is, subject to certain exceptions (where no vote or a lesser voting standard is applicable), the affirmative vote of the holders of a majority in voting power of all then outstanding shares of the Company’s stock entitled to vote thereon, voting together as a class; and</w:t>
      </w:r>
    </w:p>
    <w:p>
      <w:pPr>
        <w:spacing w:after="0" w:line="67" w:lineRule="exact"/>
        <w:rPr>
          <w:rFonts w:ascii="Arial" w:cs="Arial" w:eastAsia="Arial" w:hAnsi="Arial"/>
          <w:sz w:val="15"/>
          <w:szCs w:val="15"/>
          <w:color w:val="auto"/>
        </w:rPr>
      </w:pPr>
    </w:p>
    <w:p>
      <w:pPr>
        <w:ind w:left="600" w:right="640" w:hanging="302"/>
        <w:spacing w:after="0" w:line="310" w:lineRule="auto"/>
        <w:tabs>
          <w:tab w:leader="none" w:pos="578" w:val="left"/>
        </w:tabs>
        <w:numPr>
          <w:ilvl w:val="0"/>
          <w:numId w:val="91"/>
        </w:numPr>
        <w:rPr>
          <w:rFonts w:ascii="Arial" w:cs="Arial" w:eastAsia="Arial" w:hAnsi="Arial"/>
          <w:sz w:val="15"/>
          <w:szCs w:val="15"/>
          <w:color w:val="auto"/>
        </w:rPr>
      </w:pPr>
      <w:r>
        <w:rPr>
          <w:rFonts w:ascii="Arial" w:cs="Arial" w:eastAsia="Arial" w:hAnsi="Arial"/>
          <w:sz w:val="15"/>
          <w:szCs w:val="15"/>
          <w:color w:val="auto"/>
        </w:rPr>
        <w:t>reduce the vote required for stockholders to alter, amend, repeal or rescind the Bylaws from the holders of 66⅔% to a majority in voting power of all then outstanding shares of the Company’s stock entitled to vote thereon.</w:t>
      </w:r>
    </w:p>
    <w:p>
      <w:pPr>
        <w:spacing w:after="0" w:line="52"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Majority Voting Amendment would also make other technical, clarifying, and clean-up amendments to the Certificate of Incorporation, including removing the Certificate of Incorporation’s specific reference to the voting standard required under Section 242(b)(2) of the DGCL to approve an amendment to the Certificate of Incorporation that increases or decreases the authorized number of shares of the Company’s preferred stock or common stock (collectively, “authorized share capital”), as such voting standard would not apply to increases or decreases to the authorized share capital that are approved under Section 242(d) of the DGCL (“Section 242(d)”). Section 242(d) was recently added to the DGCL to (i) permit a corporation to amend its certificate to effect a forward stock split of a class of stock (and, in connection therewith, increase the number of authorized shares of such class of stock up to an amount proportionate with the stock split) without a vote of stockholders, if the corporation has only one class of stock outstanding and such class is not divided into series, or (ii) permit a corporation to increase or decrease the authorized number of shares of a class of stock, or to reclassify by combining the issued shares of a class of stock into a lesser number of issued shares (referred to as a “reverse stock split”) if, among other things, (a) the class of stock is listed on a national securities exchange and will meet the listing requirements of that exchange relating to the minimum number of holders immediately after the amendment becomes effective, and (b) the votes cast “for” the amendment exceed the votes cast “against” the amendment at a meeting at which a quorum of the stockholders is present in person or by proxy. To avoid any confusion given recent amendments to the DGCL, the Certificate of Incorporation will also be amended to expressly provide that, any amendment to the Certificate of Incorporation effecting changes set forth in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1016635</wp:posOffset>
            </wp:positionV>
            <wp:extent cx="7168515" cy="4127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721360</wp:posOffset>
            </wp:positionV>
            <wp:extent cx="789305" cy="18923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40"/>
        <w:spacing w:after="0" w:line="310" w:lineRule="auto"/>
        <w:rPr>
          <w:sz w:val="20"/>
          <w:szCs w:val="20"/>
          <w:color w:val="auto"/>
        </w:rPr>
      </w:pPr>
      <w:r>
        <w:rPr>
          <w:rFonts w:ascii="Arial" w:cs="Arial" w:eastAsia="Arial" w:hAnsi="Arial"/>
          <w:sz w:val="15"/>
          <w:szCs w:val="15"/>
          <w:color w:val="auto"/>
        </w:rPr>
        <w:t>Section 242(d)(1) can be effected without a stockholder vote and (ii) Section 242(d)(2) shall only require the vote of stockholders set forth in Section 242(d)(2) of the DGCL. These changes are clarifying changes only, to avoid potential interpretative questions relating to the application of Section 242(d).</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Reasons for the Majority Voting Amendment</w:t>
      </w:r>
    </w:p>
    <w:p>
      <w:pPr>
        <w:spacing w:after="0" w:line="144"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The Board regularly reviews the implementation of appropriate corporate governance measures. As we have transitioned further from a newly public company to a more established public company, the Board has conducted a review of corporate governance matters, including our voting requirements for amending the Company’s governing documents.</w:t>
      </w:r>
    </w:p>
    <w:p>
      <w:pPr>
        <w:spacing w:after="0" w:line="164"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Supermajority vote requirements to amend specified Certificate of Incorporation provisions or for the stockholders to amend the Bylaws, like the those contained in the Certificate of Incorporation, are intended to facilitate corporate governance stability and provide protection against self-interested action by large stockholders by requiring broad stockholder consensus to make changes to the Company’s governing documents. While such protections are designed to benefit stockholders, as corporate governance standards have evolved, some stockholders and commentators now view these provisions as unnecessary limitations on the ability of stockholders to effectively participate in corporate governance.</w:t>
      </w:r>
    </w:p>
    <w:p>
      <w:pPr>
        <w:spacing w:after="0" w:line="169"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In approving the Majority Voting Amendment, the Board considered that, if the Majority Voting Amendment is adopted, there is the potential that a relatively small number of stockholders holding a large number of shares could enact significant corporate changes that benefit only a narrow group of stockholders.</w:t>
      </w:r>
    </w:p>
    <w:p>
      <w:pPr>
        <w:spacing w:after="0" w:line="151"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color w:val="auto"/>
        </w:rPr>
        <w:t>However, the Board also considered that eliminating the supermajority voting requirements to amend certain provisions of the Certificate of Incorporation and Bylaws provisions better aligns our governance with governance practices supported by the investor community, who generally view a majority vote as sufficient for stockholder approval of amendments to governing documents.</w:t>
      </w:r>
    </w:p>
    <w:p>
      <w:pPr>
        <w:spacing w:after="0" w:line="164"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The Board evaluated the Majority Voting Amendment in light of the considerations described above. Based on these considerations, the Board adopted resolutions setting forth the Majority Voting Amendment, declared the Majority Voting Amendment advisable and in the best interests of the Company and our stockholders, approved and adopted the Majority Voting Amendment, unanimously resolved to submit the Majority Voting Amendment to our stockholders for approval, and recommended that our stockholders adopt the Majority Voting Amendment.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Effectiveness and Vote Required</w:t>
      </w:r>
    </w:p>
    <w:p>
      <w:pPr>
        <w:spacing w:after="0" w:line="144"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If our stockholders approve the Majority Voting Amendment, it will become effective upon the filing of a Certificate of Amendment to our Certificate of Incorporation setting forth the Majority Voting Amendment with the Delaware Secretary of State, which we anticipate doing as soon as practicable following stockholder approval of the Majority Voting Amendment. In addition, we intend to file a restated Certificate of Incorporation to integrate the Majority Voting Amendment (if approved), the Declassification Amendment discussed below (if approved), and the Exculpation Amendment discussed below (if approved) into a single document following the filing and effectiveness of the Certificate of Amendment setting forth any of those amendments that are approved by our stockholders. The Board reserves the right to elect to abandon the Majority Voting Amendment, without further action by the stockholders, at any time prior to the effectiveness of the Certificate of Amendment setting forth the Majority Voting Amendment. If the Board were to exercise such discretion, we will publicly disclose that fact, and the current voting standards relating to these proposed amendments will remain in place.</w:t>
      </w:r>
    </w:p>
    <w:p>
      <w:pPr>
        <w:spacing w:after="0" w:line="174" w:lineRule="exact"/>
        <w:rPr>
          <w:sz w:val="20"/>
          <w:szCs w:val="20"/>
          <w:color w:val="auto"/>
        </w:rPr>
      </w:pPr>
    </w:p>
    <w:p>
      <w:pPr>
        <w:ind w:right="380"/>
        <w:spacing w:after="0" w:line="350" w:lineRule="auto"/>
        <w:rPr>
          <w:sz w:val="20"/>
          <w:szCs w:val="20"/>
          <w:color w:val="auto"/>
        </w:rPr>
      </w:pPr>
      <w:r>
        <w:rPr>
          <w:rFonts w:ascii="Arial" w:cs="Arial" w:eastAsia="Arial" w:hAnsi="Arial"/>
          <w:sz w:val="14"/>
          <w:szCs w:val="14"/>
          <w:color w:val="auto"/>
        </w:rPr>
        <w:t>If our stockholders do not approve the Majority Voting Amendment, the Company’s current voting standards relating to certain Certificate of Incorporation and Bylaws amendments will remain in place, and a Certificate of Amendment setting forth the Majority Voting Amendment will not be filed with the Delaware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983615</wp:posOffset>
            </wp:positionV>
            <wp:extent cx="7168515" cy="4127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688340</wp:posOffset>
            </wp:positionV>
            <wp:extent cx="789305" cy="18923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color w:val="007EC4"/>
        </w:rPr>
        <w:t xml:space="preserve">82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approval of the Majority Voting Amendment requires the affirmative vote of the holders of at least 66⅔% in voting power of all the then-outstanding shares of stock entitled to vote on the matter, voting together as a single class. Abstentions and broker non-votes will have the same effect as votes against the Majority Voting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048500" cy="1587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7048500" cy="15875"/>
                    </a:xfrm>
                    <a:prstGeom prst="rect">
                      <a:avLst/>
                    </a:prstGeom>
                    <a:noFill/>
                  </pic:spPr>
                </pic:pic>
              </a:graphicData>
            </a:graphic>
          </wp:anchor>
        </w:drawing>
      </w:r>
    </w:p>
    <w:p>
      <w:pPr>
        <w:spacing w:after="0" w:line="360" w:lineRule="exact"/>
        <w:rPr>
          <w:sz w:val="20"/>
          <w:szCs w:val="20"/>
          <w:color w:val="auto"/>
        </w:rPr>
      </w:pPr>
    </w:p>
    <w:p>
      <w:pPr>
        <w:ind w:left="2060"/>
        <w:spacing w:after="0"/>
        <w:rPr>
          <w:sz w:val="20"/>
          <w:szCs w:val="20"/>
          <w:color w:val="auto"/>
        </w:rPr>
      </w:pPr>
      <w:r>
        <w:rPr>
          <w:rFonts w:ascii="Arial" w:cs="Arial" w:eastAsia="Arial" w:hAnsi="Arial"/>
          <w:sz w:val="13"/>
          <w:szCs w:val="13"/>
          <w:b w:val="1"/>
          <w:bCs w:val="1"/>
          <w:color w:val="EF3B35"/>
        </w:rPr>
        <w:t>BOARD RECOMMENDATION</w:t>
      </w:r>
    </w:p>
    <w:p>
      <w:pPr>
        <w:spacing w:after="0" w:line="68" w:lineRule="exact"/>
        <w:rPr>
          <w:sz w:val="20"/>
          <w:szCs w:val="20"/>
          <w:color w:val="auto"/>
        </w:rPr>
      </w:pPr>
    </w:p>
    <w:p>
      <w:pPr>
        <w:ind w:left="2060" w:right="440"/>
        <w:spacing w:after="0" w:line="280" w:lineRule="auto"/>
        <w:rPr>
          <w:sz w:val="20"/>
          <w:szCs w:val="20"/>
          <w:color w:val="auto"/>
        </w:rPr>
      </w:pPr>
      <w:r>
        <w:rPr>
          <w:rFonts w:ascii="Arial" w:cs="Arial" w:eastAsia="Arial" w:hAnsi="Arial"/>
          <w:sz w:val="20"/>
          <w:szCs w:val="20"/>
          <w:b w:val="1"/>
          <w:bCs w:val="1"/>
          <w:color w:val="093165"/>
        </w:rPr>
        <w:t>The Board recommends that you vote “FOR” the Amendment of the Company's Amended and Restated Certificate of Incorporation to Remove the Supermajority Voting Requirements for Stockholders to Amend the Company’s Amended and Restated Bylaws and Certain Provisions of the Company’s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68515" cy="4127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7032625" cy="1587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7032625" cy="15875"/>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-661035</wp:posOffset>
            </wp:positionV>
            <wp:extent cx="260350" cy="26035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260350" cy="260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703580</wp:posOffset>
            </wp:positionV>
            <wp:extent cx="789305" cy="18923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0980"/>
          </w:cols>
          <w:pgMar w:left="320" w:top="157" w:right="599" w:bottom="1440" w:gutter="0" w:footer="0" w:header="0"/>
        </w:sectPr>
      </w:pPr>
    </w:p>
    <w:bookmarkStart w:id="88" w:name="page89"/>
    <w:bookmarkEnd w:id="8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Five</w:t>
      </w:r>
    </w:p>
    <w:p>
      <w:pPr>
        <w:spacing w:after="0" w:line="99" w:lineRule="exact"/>
        <w:rPr>
          <w:sz w:val="20"/>
          <w:szCs w:val="20"/>
          <w:color w:val="auto"/>
        </w:rPr>
      </w:pPr>
    </w:p>
    <w:p>
      <w:pPr>
        <w:spacing w:after="0" w:line="279" w:lineRule="auto"/>
        <w:rPr>
          <w:sz w:val="20"/>
          <w:szCs w:val="20"/>
          <w:color w:val="auto"/>
        </w:rPr>
      </w:pPr>
      <w:r>
        <w:rPr>
          <w:rFonts w:ascii="Arial" w:cs="Arial" w:eastAsia="Arial" w:hAnsi="Arial"/>
          <w:sz w:val="45"/>
          <w:szCs w:val="45"/>
          <w:b w:val="1"/>
          <w:bCs w:val="1"/>
          <w:color w:val="1B4093"/>
        </w:rPr>
        <w:t>Amendment of the Company’s Amended and Restated Certificate of Incorporation to Declassify the Board and Phase-In Annual Director Elections by 2028</w:t>
      </w:r>
    </w:p>
    <w:p>
      <w:pPr>
        <w:spacing w:after="0" w:line="287"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The Board has unanimously approved and declared advisable, and resolved to recommend to the Company's stockholders that they approve and adopt, amendments to Article V of the Certificate of Incorporation to phase out the classification of the Board over a three-year period (the “Declassification Amendment”), starting with the next Annual Meeting of Stockholders in 2026, so that all directors are elected on annual basis starting with the 2028 Annual Meeting of Stockholders (the “2028 Annual Meeting”). The following description is a summary only and is qualified in its entirety by reference to Annex B to this Proxy Statement, which sets forth the amendments to declassify the Board and phase-in annual director elections by 2028 and marks those changes specifically (additions to the Certificate of Incorporation are indicated by underlining in blue and deletions to the Certificate of Incorporation are indicated by red strikeouts).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Purpose and Effect of the Declassification Amendment</w:t>
      </w:r>
    </w:p>
    <w:p>
      <w:pPr>
        <w:spacing w:after="0" w:line="70"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Currently, members of the Board are elected for staggered terms of three years. The Declassification Amendment would not affect the election of the class of directors at this Annual Meeting. If the Declassification Amendment is adopted, (i) the class of directors elected at this Annual Meeting, and any other directors elected or appointed prior to the 2026 Annual Meeting of Stockholders, will serve out their three-year terms, (ii) the class of directors standing for election at our 2026 Annual Meeting of Stockholders will stand for election for two-year terms, and (iii) the class of directors standing for election at our 2027 Annual Meeting of Stockholders will stand for election for one-year terms, in each case expiring at the 2028 Annual Meeting. Commencing with the 2028 Annual Meeting, the Board shall cease to be classified and all the directors elected at the 2028 Annual Meeting and each annual meeting of stockholders thereafter shall be elected for a term expiring at the next annual meeting of stockholders. In all cases, each director will hold office until his or her successor has been elected and qualified or until such director’s earlier death, retirement, resignation or removal.</w:t>
      </w:r>
    </w:p>
    <w:p>
      <w:pPr>
        <w:spacing w:after="0" w:line="157"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Consistent with the DGCL, the Declassification Amendment also provides that any director may be removed (i) until the election of directors at the 2028 Annual Meeting, only for cause, and (ii) from and after the 2028 Annual Meeting, with or without cause. The Declassification Amendment would not otherwise impact the vote requirement for removal of directors, as is currently provided in the Certificate of Incorporation. The Declassification Amendment also provides that while the declassification of the Board is being phased in (i.e., until the 2028 Annual Meeting), any director elected to a newly created seat on the Board or to a vacancy on the Board will serve for the same term as the remainder of the class to which the director is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1008380</wp:posOffset>
            </wp:positionV>
            <wp:extent cx="7168515" cy="4127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713105</wp:posOffset>
            </wp:positionV>
            <wp:extent cx="789305" cy="18923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color w:val="007EC4"/>
        </w:rPr>
        <w:t xml:space="preserve">84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Reasons for the Declassification Amendment</w:t>
      </w:r>
    </w:p>
    <w:p>
      <w:pPr>
        <w:spacing w:after="0" w:line="82"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As mentioned above, the Board regularly reviews the implementation of appropriate corporate governance measures. In response to stockholder feedback, and as we have transitioned further from a newly public company to a more established public company, the Board has conducted a review of corporate governance matters, including the Company’s classified board structure.</w:t>
      </w:r>
    </w:p>
    <w:p>
      <w:pPr>
        <w:spacing w:after="0" w:line="151"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In connection with this review, the Board considered the advantages of maintaining the classified board structure as well as the advantages of declassifying the Board. The advantages of the classified board structure include that a classified board may promote board continuity, encourage a long-term perspective by management and the Board, and provide protection against certain abusive takeover tactics, including by making it more difficult for one or more stockholders holding a large number of shares to replace the entire Board at once. The Board understands that many investors believe that annually elected boards can increase directors’ accountability to a company’s stockholders. The Board also recognizes that stockholders of public companies generally support shifting from classified boards to the annual election of directors. The Board believes this amendment better aligns our governance with governance practices supported by the investor community. A declassified board will enable the Company's stockholders to express a view on each director's performance by means of an annual vote and will support the Company's ongoing efforts to maintain “best practices” in corporate governance. Because the Board is classified, currently directors can be removed only for cause, whereas, under the DGCL, directors elected to a Board that is not classified can be removed with or without cause.</w:t>
      </w:r>
    </w:p>
    <w:p>
      <w:pPr>
        <w:spacing w:after="0" w:line="140" w:lineRule="exact"/>
        <w:rPr>
          <w:sz w:val="20"/>
          <w:szCs w:val="20"/>
          <w:color w:val="auto"/>
        </w:rPr>
      </w:pPr>
    </w:p>
    <w:p>
      <w:pPr>
        <w:ind w:right="440"/>
        <w:spacing w:after="0" w:line="288" w:lineRule="auto"/>
        <w:rPr>
          <w:sz w:val="20"/>
          <w:szCs w:val="20"/>
          <w:color w:val="auto"/>
        </w:rPr>
      </w:pPr>
      <w:r>
        <w:rPr>
          <w:rFonts w:ascii="Arial" w:cs="Arial" w:eastAsia="Arial" w:hAnsi="Arial"/>
          <w:sz w:val="15"/>
          <w:szCs w:val="15"/>
          <w:color w:val="auto"/>
        </w:rPr>
        <w:t>The Board evaluated the Declassification Amendment in light of the considerations described above. Based on these considerations, the Board adopted resolutions setting forth the Declassification Amendment, declared the Declassification Amendment advisable and in the best interests of the Company and our stockholders, approved and adopted the Declassification Amendment, and unanimously resolved to submit the Declassification Amendment to our stockholders for approval and recommended that our stockholders adopt the Declassification Amendment.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Effectiveness and Vote Required</w:t>
      </w:r>
    </w:p>
    <w:p>
      <w:pPr>
        <w:spacing w:after="0" w:line="11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If our stockholders approve the Declassification Amendment, it will become effective upon the filing of a Certificate of Amendment to our Certificate setting forth the Declassification Amendment with the Delaware Secretary of State, which we anticipate doing as soon as practicable following stockholder approval of the Declassification Amendment. In addition, we intend to file a restated Certificate of Incorporation to integrate the Declassification Amendment (if approved), the Majority Voting Amendment described above (if approved), and the Exculpation Amendment discussed below (if approved) into a single document following the filing and effectiveness of the certificate of amendment setting forth any of those amendments that are approved by our stockholders. The Board reserves the right to elect to abandon the Declassification Amendment, without further action by the stockholders, at any time prior to the effectiveness of the Certificate of Amendment setting forth the Declassification Amendment. If the Board were to exercise such discretion, we will publicly disclose that fact, and the Company’s Board will remain classified.</w:t>
      </w:r>
    </w:p>
    <w:p>
      <w:pPr>
        <w:spacing w:after="0" w:line="148" w:lineRule="exact"/>
        <w:rPr>
          <w:sz w:val="20"/>
          <w:szCs w:val="20"/>
          <w:color w:val="auto"/>
        </w:rPr>
      </w:pPr>
    </w:p>
    <w:p>
      <w:pPr>
        <w:ind w:right="320"/>
        <w:spacing w:after="0" w:line="310" w:lineRule="auto"/>
        <w:rPr>
          <w:sz w:val="20"/>
          <w:szCs w:val="20"/>
          <w:color w:val="auto"/>
        </w:rPr>
      </w:pPr>
      <w:r>
        <w:rPr>
          <w:rFonts w:ascii="Arial" w:cs="Arial" w:eastAsia="Arial" w:hAnsi="Arial"/>
          <w:sz w:val="15"/>
          <w:szCs w:val="15"/>
          <w:color w:val="auto"/>
        </w:rPr>
        <w:t>If our stockholders do not approve the Declassification Amendment, our Board will remain classified, and a Certificate of Amendment setting forth the Declassification Amendment will not be filed with the Delaware Secretary of State.</w:t>
      </w:r>
    </w:p>
    <w:p>
      <w:pPr>
        <w:spacing w:after="0" w:line="114" w:lineRule="exact"/>
        <w:rPr>
          <w:sz w:val="20"/>
          <w:szCs w:val="20"/>
          <w:color w:val="auto"/>
        </w:rPr>
      </w:pPr>
    </w:p>
    <w:p>
      <w:pPr>
        <w:ind w:right="180"/>
        <w:spacing w:after="0" w:line="293" w:lineRule="auto"/>
        <w:rPr>
          <w:sz w:val="20"/>
          <w:szCs w:val="20"/>
          <w:color w:val="auto"/>
        </w:rPr>
      </w:pPr>
      <w:r>
        <w:rPr>
          <w:rFonts w:ascii="Arial" w:cs="Arial" w:eastAsia="Arial" w:hAnsi="Arial"/>
          <w:sz w:val="15"/>
          <w:szCs w:val="15"/>
          <w:color w:val="auto"/>
        </w:rPr>
        <w:t>The approval of the Declassification Amendment requires the affirmative vote of the holders of at least 66⅔% in voting power of all the then-outstanding shares of stock entitled to vote on the matter, voting together as a single class. Abstentions and broker non-votes will have the same effect as votes against the Declassification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43115" cy="1587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11" w:lineRule="exact"/>
        <w:rPr>
          <w:sz w:val="20"/>
          <w:szCs w:val="20"/>
          <w:color w:val="auto"/>
        </w:rPr>
      </w:pPr>
    </w:p>
    <w:p>
      <w:pPr>
        <w:ind w:left="2060"/>
        <w:spacing w:after="0"/>
        <w:rPr>
          <w:sz w:val="20"/>
          <w:szCs w:val="20"/>
          <w:color w:val="auto"/>
        </w:rPr>
      </w:pPr>
      <w:r>
        <w:rPr>
          <w:rFonts w:ascii="Arial" w:cs="Arial" w:eastAsia="Arial" w:hAnsi="Arial"/>
          <w:sz w:val="13"/>
          <w:szCs w:val="13"/>
          <w:b w:val="1"/>
          <w:bCs w:val="1"/>
          <w:color w:val="EF3B35"/>
        </w:rPr>
        <w:t>BOARD RECOMMENDATION</w:t>
      </w:r>
    </w:p>
    <w:p>
      <w:pPr>
        <w:spacing w:after="0" w:line="68" w:lineRule="exact"/>
        <w:rPr>
          <w:sz w:val="20"/>
          <w:szCs w:val="20"/>
          <w:color w:val="auto"/>
        </w:rPr>
      </w:pPr>
    </w:p>
    <w:p>
      <w:pPr>
        <w:ind w:left="2060" w:right="260"/>
        <w:spacing w:after="0" w:line="288" w:lineRule="auto"/>
        <w:rPr>
          <w:sz w:val="20"/>
          <w:szCs w:val="20"/>
          <w:color w:val="auto"/>
        </w:rPr>
      </w:pPr>
      <w:r>
        <w:rPr>
          <w:rFonts w:ascii="Arial" w:cs="Arial" w:eastAsia="Arial" w:hAnsi="Arial"/>
          <w:sz w:val="20"/>
          <w:szCs w:val="20"/>
          <w:b w:val="1"/>
          <w:bCs w:val="1"/>
          <w:color w:val="093165"/>
        </w:rPr>
        <w:t>The Board recommends that you vote “FOR” the Amendment of the Company's Amended and Restated Certificate of Incorporation to Declassify the Board and Phase-In Annual Director Elections by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993775</wp:posOffset>
            </wp:positionV>
            <wp:extent cx="7168515" cy="4127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7143115" cy="1587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-500380</wp:posOffset>
            </wp:positionV>
            <wp:extent cx="260350" cy="26035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260350" cy="260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698500</wp:posOffset>
            </wp:positionV>
            <wp:extent cx="789305" cy="18923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90" w:name="page91"/>
    <w:bookmarkEnd w:id="9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Six</w:t>
      </w:r>
    </w:p>
    <w:p>
      <w:pPr>
        <w:spacing w:after="0" w:line="99" w:lineRule="exact"/>
        <w:rPr>
          <w:sz w:val="20"/>
          <w:szCs w:val="20"/>
          <w:color w:val="auto"/>
        </w:rPr>
      </w:pPr>
    </w:p>
    <w:p>
      <w:pPr>
        <w:ind w:right="940"/>
        <w:spacing w:after="0" w:line="279" w:lineRule="auto"/>
        <w:rPr>
          <w:sz w:val="20"/>
          <w:szCs w:val="20"/>
          <w:color w:val="auto"/>
        </w:rPr>
      </w:pPr>
      <w:r>
        <w:rPr>
          <w:rFonts w:ascii="Arial" w:cs="Arial" w:eastAsia="Arial" w:hAnsi="Arial"/>
          <w:sz w:val="45"/>
          <w:szCs w:val="45"/>
          <w:b w:val="1"/>
          <w:bCs w:val="1"/>
          <w:color w:val="1B4093"/>
        </w:rPr>
        <w:t>Amendment of the Company’s Amended and Restated Certificate of Incorporation to Limit the Liability of Certain Officers of the Company as Permitted by Law</w:t>
      </w:r>
    </w:p>
    <w:p>
      <w:pPr>
        <w:spacing w:after="0" w:line="299"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The Board has unanimously approved and declared advisable, and resolved to recommend to the Company's stockholders that they approve and adopt, amendments to the Certificate of Incorporation to include a new Article XII to provide for the elimination of monetary liability of certain officers of the Company in certain limited circumstances (the “Exculpation Amendment”). The following description is a summary only and is qualified in its entirety by reference to Annex C to this Proxy Statement, which sets forth the Exculpation Amendment and marks those changes specifically (additions to the Certificate of Incorporation are indicated by underlining in blue and deletions to the Certificate of Incorporation are indicated by strikeouts in red).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Purpose and Effect of the Exculpation Amendment</w:t>
      </w:r>
    </w:p>
    <w:p>
      <w:pPr>
        <w:spacing w:after="0" w:line="144"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Effective August 1, 2022, Section 102(b)(7) of the DGCL (“Section 102(b)(7)”) was amended to permit Delaware corporations to include, in their certificates of incorporation, limitations of monetary liability for certain of their officers. Under Section 102(b)(7) as currently in effect, those officers consist of: (i) the president, chief executive officer, chief operating officer, chief financial officer, chief legal officer, controller, treasurer or chief accounting officer; (ii) individuals who are or were identified in the corporation’s public filings as its most highly compensated officers; and (iii) individuals who, by written agreement with the corporation, consented to be identified as officers for purposes of accepting service of process (such officers from time to time specified in Section 102(b)(7), the “covered officers”).</w:t>
      </w:r>
    </w:p>
    <w:p>
      <w:pPr>
        <w:spacing w:after="0" w:line="169" w:lineRule="exact"/>
        <w:rPr>
          <w:sz w:val="20"/>
          <w:szCs w:val="20"/>
          <w:color w:val="auto"/>
        </w:rPr>
      </w:pPr>
    </w:p>
    <w:p>
      <w:pPr>
        <w:jc w:val="both"/>
        <w:ind w:right="60"/>
        <w:spacing w:after="0" w:line="293" w:lineRule="auto"/>
        <w:rPr>
          <w:sz w:val="20"/>
          <w:szCs w:val="20"/>
          <w:color w:val="auto"/>
        </w:rPr>
      </w:pPr>
      <w:r>
        <w:rPr>
          <w:rFonts w:ascii="Arial" w:cs="Arial" w:eastAsia="Arial" w:hAnsi="Arial"/>
          <w:sz w:val="15"/>
          <w:szCs w:val="15"/>
          <w:color w:val="auto"/>
        </w:rPr>
        <w:t>The Exculpation Amendment would exculpate the covered officers only in connection with direct claims for breaches of the fiduciary duty of care brought by shareholders, including class actions, by adding a new Article XII to the Certificate of Incorporation. Consistent with Section 102(b)(7) as currently in effect, the Exculpation Amendment would not eliminate or limit liability with respect to any:</w:t>
      </w:r>
    </w:p>
    <w:p>
      <w:pPr>
        <w:spacing w:after="0" w:line="64" w:lineRule="exact"/>
        <w:rPr>
          <w:sz w:val="20"/>
          <w:szCs w:val="20"/>
          <w:color w:val="auto"/>
        </w:rPr>
      </w:pPr>
    </w:p>
    <w:p>
      <w:pPr>
        <w:ind w:left="580" w:hanging="282"/>
        <w:spacing w:after="0"/>
        <w:tabs>
          <w:tab w:leader="none" w:pos="5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claims brought by the Company itself;</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claims brought by stockholders in the name of the Company, such as derivative claims;</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claims involving breach of duty of loyalty to the Company or its stockholders;</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claims involving acts or omissions not made in good faith or which involve intentional misconduct or knowing violations of the law; or</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claims involving transactions from which the covered officer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982980</wp:posOffset>
            </wp:positionV>
            <wp:extent cx="7168515" cy="4127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687705</wp:posOffset>
            </wp:positionV>
            <wp:extent cx="789305" cy="18923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color w:val="007EC4"/>
        </w:rPr>
        <w:t xml:space="preserve">86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For the avoidance of doubt, the current exculpation protections available to the Company’s directors would remain unchanged as a result of the Exculpation Amendment. Notwithstanding the foregoing, consistent with the language for exculpation of directors currently included in the Certificate of Incorporation, the Exculpation Amendment also provides that if, at any time following the effectiveness of the Exculpation Amendment, the DGCL is amended to authorize any further elimination or limitation of the personal liability of a corporation’s covered officers (including any change in the roles deemed to be covered officers for purposes of Section 102(b)(7)), then such liability shall be automatically eliminated or limited to the fullest extent permitted by the DGCL, as so amended, with respect to the Company’s covered officers (including with respect to any role newly deemed to be a covered officer for purposes of Section 102(b)(7)).</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Reasons for the Exculpation Amendment</w:t>
      </w:r>
    </w:p>
    <w:p>
      <w:pPr>
        <w:spacing w:after="0" w:line="144" w:lineRule="exact"/>
        <w:rPr>
          <w:sz w:val="20"/>
          <w:szCs w:val="20"/>
          <w:color w:val="auto"/>
        </w:rPr>
      </w:pPr>
    </w:p>
    <w:p>
      <w:pPr>
        <w:ind w:right="280"/>
        <w:spacing w:after="0" w:line="293" w:lineRule="auto"/>
        <w:rPr>
          <w:sz w:val="20"/>
          <w:szCs w:val="20"/>
          <w:color w:val="auto"/>
        </w:rPr>
      </w:pPr>
      <w:r>
        <w:rPr>
          <w:rFonts w:ascii="Arial" w:cs="Arial" w:eastAsia="Arial" w:hAnsi="Arial"/>
          <w:sz w:val="15"/>
          <w:szCs w:val="15"/>
          <w:color w:val="auto"/>
        </w:rPr>
        <w:t>The Board believes that it is important to extend exculpation protection to our covered officers, to the fullest extent permitted by DGCL, in order to better position the Company to attract and retain qualified and experienced officers. In the absence of such protection, such individuals might be deterred from serving as officers due to exposure to personal liability and the risk of incurring substantial expense in defending lawsuits, regardless of merit.</w:t>
      </w:r>
    </w:p>
    <w:p>
      <w:pPr>
        <w:spacing w:after="0" w:line="164" w:lineRule="exact"/>
        <w:rPr>
          <w:sz w:val="20"/>
          <w:szCs w:val="20"/>
          <w:color w:val="auto"/>
        </w:rPr>
      </w:pPr>
    </w:p>
    <w:p>
      <w:pPr>
        <w:ind w:right="220"/>
        <w:spacing w:after="0" w:line="288" w:lineRule="auto"/>
        <w:rPr>
          <w:sz w:val="20"/>
          <w:szCs w:val="20"/>
          <w:color w:val="auto"/>
        </w:rPr>
      </w:pPr>
      <w:r>
        <w:rPr>
          <w:rFonts w:ascii="Arial" w:cs="Arial" w:eastAsia="Arial" w:hAnsi="Arial"/>
          <w:sz w:val="15"/>
          <w:szCs w:val="15"/>
          <w:color w:val="auto"/>
        </w:rPr>
        <w:t>The nature of officers’ roles often requires them to make decisions on crucial matters, frequently in response to time-sensitive opportunities and challenges, which can create substantial risk of lawsuits that seek to impose liability with the benefit of hindsight. Aligning, in part, the protections available to the Company’s covered officers with those currently available to its directors would empower officers to exercise their business judgment in furtherance of shareholder interests, without the potential distractions posed by the risk of personal monetary liability.</w:t>
      </w:r>
    </w:p>
    <w:p>
      <w:pPr>
        <w:spacing w:after="0" w:line="166" w:lineRule="exact"/>
        <w:rPr>
          <w:sz w:val="20"/>
          <w:szCs w:val="20"/>
          <w:color w:val="auto"/>
        </w:rPr>
      </w:pPr>
    </w:p>
    <w:p>
      <w:pPr>
        <w:jc w:val="both"/>
        <w:ind w:right="120"/>
        <w:spacing w:after="0" w:line="288" w:lineRule="auto"/>
        <w:rPr>
          <w:sz w:val="20"/>
          <w:szCs w:val="20"/>
          <w:color w:val="auto"/>
        </w:rPr>
      </w:pPr>
      <w:r>
        <w:rPr>
          <w:rFonts w:ascii="Arial" w:cs="Arial" w:eastAsia="Arial" w:hAnsi="Arial"/>
          <w:sz w:val="15"/>
          <w:szCs w:val="15"/>
          <w:color w:val="auto"/>
        </w:rPr>
        <w:t>Because the Exculpation Amendment would apply only to a narrow class of covered officers, and would still permit, among others, derivative shareholder or Company claims against covered officers, claims involving breaches of the duty of loyalty, acts taken in bad faith, intentional misconduct, knowing violations of the law and/or the receipt of improper personal benefits, the Board believes that the Exculpation Amendment would strike an appropriate balance between the Company’s goals of, on the one hand, promoting management’s accountability to shareholders, and, on the other, attracting and retaining qualified officers.</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Board evaluated the Exculpation Amendment in light of the considerations described above. Based on these considerations, the Board adopted resolutions setting forth the Exculpation Amendment, declared the Exculpation Amendment advisable and in the best interests of the Company and our stockholders, approved and adopted the Exculpation Amendment, and unanimously resolved to submit the Exculpation Amendment to our stockholders for approval and recommended that our stockholders adopt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1008380</wp:posOffset>
            </wp:positionV>
            <wp:extent cx="7168515" cy="4127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713105</wp:posOffset>
            </wp:positionV>
            <wp:extent cx="789305" cy="18923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60"/>
          </w:cols>
          <w:pgMar w:left="320" w:top="157" w:right="41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Effectiveness and Vote Required</w:t>
      </w:r>
    </w:p>
    <w:p>
      <w:pPr>
        <w:spacing w:after="0" w:line="144"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If our stockholders approve the Exculpation Amendment, it will become effective upon the filing of a Certificate of Amendment to our Certificate of Incorporation setting forth the Exculpation Amendment with the Delaware Secretary of State, which we anticipate doing as soon as practicable following stockholder approval of the Exculpation Amendment. In addition, we intend to file a restated Certificate of Incorporation to integrate the Exculpation Amendment (if approved), the Majority Voting Amendment discussed above (if approved), and the Declassification discussed above (if approved) into a single document following the filing and effectiveness of the certificate of amendment setting forth any of those amendments that are approved by our stockholders. The Board reserves the right to elect to abandon the Exculpation Amendment, without further action by the stockholders, at any time prior to the effectiveness of the Certificate of Amendment setting forth the Exculpation Amendment. If the Board were to exercise such discretion, we will publicly disclose that fact, and the Company’s covered officers will not be subject to the foregoing exculpation protections.</w:t>
      </w:r>
    </w:p>
    <w:p>
      <w:pPr>
        <w:spacing w:after="0" w:line="159"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If our stockholders do not approve the Exculpation Amendment, our covered officers will not become subject to the foregoing exculpation protections, and a Certificate of Amendment setting forth the Exculpation Amendment will not be filed with the Delaware Secretary of State.</w:t>
      </w:r>
    </w:p>
    <w:p>
      <w:pPr>
        <w:spacing w:after="0" w:line="151" w:lineRule="exact"/>
        <w:rPr>
          <w:sz w:val="20"/>
          <w:szCs w:val="20"/>
          <w:color w:val="auto"/>
        </w:rPr>
      </w:pPr>
    </w:p>
    <w:p>
      <w:pPr>
        <w:ind w:right="100"/>
        <w:spacing w:after="0" w:line="350" w:lineRule="auto"/>
        <w:rPr>
          <w:sz w:val="20"/>
          <w:szCs w:val="20"/>
          <w:color w:val="auto"/>
        </w:rPr>
      </w:pPr>
      <w:r>
        <w:rPr>
          <w:rFonts w:ascii="Arial" w:cs="Arial" w:eastAsia="Arial" w:hAnsi="Arial"/>
          <w:sz w:val="14"/>
          <w:szCs w:val="14"/>
          <w:color w:val="auto"/>
        </w:rPr>
        <w:t>The approval of the Exculpation Amendment requires the affirmative vote of the holders of at least a majority in voting power of all the then-outstanding shares of stock entitled to vote on the matter, voting together as a single class. Abstentions and broker non-votes will have the same effect as votes against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048500" cy="1587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7048500" cy="15875"/>
                    </a:xfrm>
                    <a:prstGeom prst="rect">
                      <a:avLst/>
                    </a:prstGeom>
                    <a:noFill/>
                  </pic:spPr>
                </pic:pic>
              </a:graphicData>
            </a:graphic>
          </wp:anchor>
        </w:drawing>
      </w:r>
    </w:p>
    <w:p>
      <w:pPr>
        <w:spacing w:after="0" w:line="224" w:lineRule="exact"/>
        <w:rPr>
          <w:sz w:val="20"/>
          <w:szCs w:val="20"/>
          <w:color w:val="auto"/>
        </w:rPr>
      </w:pPr>
    </w:p>
    <w:p>
      <w:pPr>
        <w:ind w:left="2060"/>
        <w:spacing w:after="0"/>
        <w:rPr>
          <w:sz w:val="20"/>
          <w:szCs w:val="20"/>
          <w:color w:val="auto"/>
        </w:rPr>
      </w:pPr>
      <w:r>
        <w:rPr>
          <w:rFonts w:ascii="Arial" w:cs="Arial" w:eastAsia="Arial" w:hAnsi="Arial"/>
          <w:sz w:val="13"/>
          <w:szCs w:val="13"/>
          <w:b w:val="1"/>
          <w:bCs w:val="1"/>
          <w:color w:val="EF3B35"/>
        </w:rPr>
        <w:t>BOARD RECOMMENDATION</w:t>
      </w:r>
    </w:p>
    <w:p>
      <w:pPr>
        <w:spacing w:after="0" w:line="68" w:lineRule="exact"/>
        <w:rPr>
          <w:sz w:val="20"/>
          <w:szCs w:val="20"/>
          <w:color w:val="auto"/>
        </w:rPr>
      </w:pPr>
    </w:p>
    <w:p>
      <w:pPr>
        <w:ind w:left="2060" w:right="700"/>
        <w:spacing w:after="0" w:line="288" w:lineRule="auto"/>
        <w:rPr>
          <w:sz w:val="20"/>
          <w:szCs w:val="20"/>
          <w:color w:val="auto"/>
        </w:rPr>
      </w:pPr>
      <w:r>
        <w:rPr>
          <w:rFonts w:ascii="Arial" w:cs="Arial" w:eastAsia="Arial" w:hAnsi="Arial"/>
          <w:sz w:val="20"/>
          <w:szCs w:val="20"/>
          <w:b w:val="1"/>
          <w:bCs w:val="1"/>
          <w:color w:val="093165"/>
        </w:rPr>
        <w:t>The Board recommends that you vote “FOR” the Amendment of the Company's Amended and Restated Certificate of Incorporation to Limit the Liability of Certain Officers of the Company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1111885</wp:posOffset>
            </wp:positionV>
            <wp:extent cx="7168515" cy="4127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7032625" cy="1587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7032625" cy="15875"/>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-500380</wp:posOffset>
            </wp:positionV>
            <wp:extent cx="260350" cy="26035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260350" cy="26035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824865</wp:posOffset>
            </wp:positionV>
            <wp:extent cx="789305" cy="18923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color w:val="007EC4"/>
        </w:rPr>
        <w:t xml:space="preserve">88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Ownership of Securities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Beneficial Ownership of Company Common Stock</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following table and accompanying footnotes set forth information with respect to the beneficial ownership of our common stock, par value $0.01 per share, as of April 10, 2025, the Record Date (unless otherwise noted in the footnotes below) by (1) each individual or entity known by us to beneficially own more than 5% of our outstanding common stock, (2) each of our named executive officers, (3) each of our directors and director nominees, and (4) all of our directors and our executive officers as a group. As of April 10, 2025, there were 66,526,588 shares of our common stock outstanding.</w:t>
      </w:r>
    </w:p>
    <w:p>
      <w:pPr>
        <w:spacing w:after="0" w:line="166"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The number of shares beneficially owned by each entity or individual is determined in accordance with the SEC rules, and the information is not necessarily indicative of beneficial ownership for any other purpose. Under such rules, beneficial ownership includes any shares as to which the entity or individual has sole or shared voting or investment power and any shares that the entity or individual has the right to acquire on or before June 9, 2025 (60 days after April 10, 2025) through the exercise of any stock options, through the vesting/settlement of restricted stock units payable in shares, or upon the exercise of other rights.</w:t>
      </w:r>
    </w:p>
    <w:p>
      <w:pPr>
        <w:spacing w:after="0" w:line="166" w:lineRule="exact"/>
        <w:rPr>
          <w:sz w:val="20"/>
          <w:szCs w:val="20"/>
          <w:color w:val="auto"/>
        </w:rPr>
      </w:pPr>
    </w:p>
    <w:p>
      <w:pPr>
        <w:ind w:right="220"/>
        <w:spacing w:after="0" w:line="293" w:lineRule="auto"/>
        <w:rPr>
          <w:sz w:val="20"/>
          <w:szCs w:val="20"/>
          <w:color w:val="auto"/>
        </w:rPr>
      </w:pPr>
      <w:r>
        <w:rPr>
          <w:rFonts w:ascii="Arial" w:cs="Arial" w:eastAsia="Arial" w:hAnsi="Arial"/>
          <w:sz w:val="15"/>
          <w:szCs w:val="15"/>
          <w:color w:val="auto"/>
        </w:rPr>
        <w:t>To our knowledge, except as indicated in the footnotes to this table and pursuant to applicable community property laws, the persons named in the following table have sole voting and investment power with respect to all shares of common stock, and unless otherwise indicated, the address of each beneficial owner listed below is c/o Academy Sports and Outdoors, Inc., 1800 North Mason Road, Katy, Texas 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975360</wp:posOffset>
            </wp:positionV>
            <wp:extent cx="7168515" cy="4127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680085</wp:posOffset>
            </wp:positionV>
            <wp:extent cx="789305" cy="18923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94" w:name="page95"/>
    <w:bookmarkEnd w:id="94"/>
    <w:p>
      <w:pPr>
        <w:ind w:left="7541"/>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 w:type="dxa"/>
        <w:tblCellMar>
          <w:top w:w="0" w:type="dxa"/>
          <w:left w:w="0" w:type="dxa"/>
          <w:bottom w:w="0" w:type="dxa"/>
          <w:right w:w="0" w:type="dxa"/>
        </w:tblCellMar>
      </w:tblPr>
      <w:tr>
        <w:trPr>
          <w:trHeight w:val="247"/>
        </w:trPr>
        <w:tc>
          <w:tcPr>
            <w:tcW w:w="4840" w:type="dxa"/>
            <w:vAlign w:val="bottom"/>
            <w:shd w:val="clear" w:color="auto" w:fill="E1D7AC"/>
          </w:tcPr>
          <w:p>
            <w:pPr>
              <w:spacing w:after="0"/>
              <w:rPr>
                <w:sz w:val="21"/>
                <w:szCs w:val="21"/>
                <w:color w:val="auto"/>
              </w:rPr>
            </w:pPr>
          </w:p>
        </w:tc>
        <w:tc>
          <w:tcPr>
            <w:tcW w:w="6400" w:type="dxa"/>
            <w:vAlign w:val="bottom"/>
            <w:gridSpan w:val="3"/>
            <w:shd w:val="clear" w:color="auto" w:fill="E1D7AC"/>
          </w:tcPr>
          <w:p>
            <w:pPr>
              <w:ind w:left="1760"/>
              <w:spacing w:after="0"/>
              <w:rPr>
                <w:sz w:val="20"/>
                <w:szCs w:val="20"/>
                <w:color w:val="auto"/>
              </w:rPr>
            </w:pPr>
            <w:r>
              <w:rPr>
                <w:rFonts w:ascii="Arial" w:cs="Arial" w:eastAsia="Arial" w:hAnsi="Arial"/>
                <w:sz w:val="13"/>
                <w:szCs w:val="13"/>
                <w:b w:val="1"/>
                <w:bCs w:val="1"/>
                <w:color w:val="auto"/>
              </w:rPr>
              <w:t>Beneficial Ownership of Our Common Stock</w:t>
            </w:r>
          </w:p>
        </w:tc>
      </w:tr>
      <w:tr>
        <w:trPr>
          <w:trHeight w:val="76"/>
        </w:trPr>
        <w:tc>
          <w:tcPr>
            <w:tcW w:w="4840" w:type="dxa"/>
            <w:vAlign w:val="bottom"/>
            <w:tcBorders>
              <w:bottom w:val="single" w:sz="8" w:color="E1D7AC"/>
            </w:tcBorders>
            <w:shd w:val="clear" w:color="auto" w:fill="E1D7AC"/>
          </w:tcPr>
          <w:p>
            <w:pPr>
              <w:spacing w:after="0"/>
              <w:rPr>
                <w:sz w:val="6"/>
                <w:szCs w:val="6"/>
                <w:color w:val="auto"/>
              </w:rPr>
            </w:pPr>
          </w:p>
        </w:tc>
        <w:tc>
          <w:tcPr>
            <w:tcW w:w="2800" w:type="dxa"/>
            <w:vAlign w:val="bottom"/>
            <w:tcBorders>
              <w:bottom w:val="single" w:sz="8" w:color="auto"/>
            </w:tcBorders>
            <w:shd w:val="clear" w:color="auto" w:fill="E1D7AC"/>
          </w:tcPr>
          <w:p>
            <w:pPr>
              <w:spacing w:after="0"/>
              <w:rPr>
                <w:sz w:val="6"/>
                <w:szCs w:val="6"/>
                <w:color w:val="auto"/>
              </w:rPr>
            </w:pPr>
          </w:p>
        </w:tc>
        <w:tc>
          <w:tcPr>
            <w:tcW w:w="3500" w:type="dxa"/>
            <w:vAlign w:val="bottom"/>
            <w:tcBorders>
              <w:bottom w:val="single" w:sz="8" w:color="auto"/>
            </w:tcBorders>
            <w:shd w:val="clear" w:color="auto" w:fill="E1D7AC"/>
          </w:tcPr>
          <w:p>
            <w:pPr>
              <w:spacing w:after="0"/>
              <w:rPr>
                <w:sz w:val="6"/>
                <w:szCs w:val="6"/>
                <w:color w:val="auto"/>
              </w:rPr>
            </w:pPr>
          </w:p>
        </w:tc>
        <w:tc>
          <w:tcPr>
            <w:tcW w:w="100" w:type="dxa"/>
            <w:vAlign w:val="bottom"/>
            <w:tcBorders>
              <w:bottom w:val="single" w:sz="8" w:color="E1D7AC"/>
            </w:tcBorders>
            <w:shd w:val="clear" w:color="auto" w:fill="E1D7AC"/>
          </w:tcPr>
          <w:p>
            <w:pPr>
              <w:spacing w:after="0"/>
              <w:rPr>
                <w:sz w:val="6"/>
                <w:szCs w:val="6"/>
                <w:color w:val="auto"/>
              </w:rPr>
            </w:pPr>
          </w:p>
        </w:tc>
      </w:tr>
      <w:tr>
        <w:trPr>
          <w:trHeight w:val="221"/>
        </w:trPr>
        <w:tc>
          <w:tcPr>
            <w:tcW w:w="4840" w:type="dxa"/>
            <w:vAlign w:val="bottom"/>
            <w:shd w:val="clear" w:color="auto" w:fill="E1D7AC"/>
          </w:tcPr>
          <w:p>
            <w:pPr>
              <w:spacing w:after="0"/>
              <w:rPr>
                <w:sz w:val="19"/>
                <w:szCs w:val="19"/>
                <w:color w:val="auto"/>
              </w:rPr>
            </w:pPr>
          </w:p>
        </w:tc>
        <w:tc>
          <w:tcPr>
            <w:tcW w:w="2800" w:type="dxa"/>
            <w:vAlign w:val="bottom"/>
            <w:shd w:val="clear" w:color="auto" w:fill="E1D7AC"/>
          </w:tcPr>
          <w:p>
            <w:pPr>
              <w:jc w:val="right"/>
              <w:ind w:right="74"/>
              <w:spacing w:after="0"/>
              <w:rPr>
                <w:sz w:val="20"/>
                <w:szCs w:val="20"/>
                <w:color w:val="auto"/>
              </w:rPr>
            </w:pPr>
            <w:r>
              <w:rPr>
                <w:rFonts w:ascii="Arial" w:cs="Arial" w:eastAsia="Arial" w:hAnsi="Arial"/>
                <w:sz w:val="13"/>
                <w:szCs w:val="13"/>
                <w:b w:val="1"/>
                <w:bCs w:val="1"/>
                <w:color w:val="auto"/>
              </w:rPr>
              <w:t>Number of Common Shares Beneficially</w:t>
            </w:r>
          </w:p>
        </w:tc>
        <w:tc>
          <w:tcPr>
            <w:tcW w:w="3500" w:type="dxa"/>
            <w:vAlign w:val="bottom"/>
            <w:shd w:val="clear" w:color="auto" w:fill="E1D7AC"/>
          </w:tcPr>
          <w:p>
            <w:pPr>
              <w:spacing w:after="0"/>
              <w:rPr>
                <w:sz w:val="19"/>
                <w:szCs w:val="19"/>
                <w:color w:val="auto"/>
              </w:rPr>
            </w:pPr>
          </w:p>
        </w:tc>
        <w:tc>
          <w:tcPr>
            <w:tcW w:w="100" w:type="dxa"/>
            <w:vAlign w:val="bottom"/>
            <w:shd w:val="clear" w:color="auto" w:fill="E1D7AC"/>
          </w:tcPr>
          <w:p>
            <w:pPr>
              <w:spacing w:after="0"/>
              <w:rPr>
                <w:sz w:val="19"/>
                <w:szCs w:val="19"/>
                <w:color w:val="auto"/>
              </w:rPr>
            </w:pPr>
          </w:p>
        </w:tc>
      </w:tr>
      <w:tr>
        <w:trPr>
          <w:trHeight w:val="180"/>
        </w:trPr>
        <w:tc>
          <w:tcPr>
            <w:tcW w:w="484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Name of Beneficial Owner</w:t>
            </w:r>
          </w:p>
        </w:tc>
        <w:tc>
          <w:tcPr>
            <w:tcW w:w="2800" w:type="dxa"/>
            <w:vAlign w:val="bottom"/>
            <w:shd w:val="clear" w:color="auto" w:fill="E1D7AC"/>
          </w:tcPr>
          <w:p>
            <w:pPr>
              <w:jc w:val="right"/>
              <w:ind w:right="1114"/>
              <w:spacing w:after="0"/>
              <w:rPr>
                <w:sz w:val="20"/>
                <w:szCs w:val="20"/>
                <w:color w:val="auto"/>
              </w:rPr>
            </w:pPr>
            <w:r>
              <w:rPr>
                <w:rFonts w:ascii="Arial" w:cs="Arial" w:eastAsia="Arial" w:hAnsi="Arial"/>
                <w:sz w:val="13"/>
                <w:szCs w:val="13"/>
                <w:b w:val="1"/>
                <w:bCs w:val="1"/>
                <w:color w:val="auto"/>
              </w:rPr>
              <w:t>Owned</w:t>
            </w:r>
          </w:p>
        </w:tc>
        <w:tc>
          <w:tcPr>
            <w:tcW w:w="3500" w:type="dxa"/>
            <w:vAlign w:val="bottom"/>
            <w:shd w:val="clear" w:color="auto" w:fill="E1D7AC"/>
          </w:tcPr>
          <w:p>
            <w:pPr>
              <w:jc w:val="right"/>
              <w:ind w:right="114"/>
              <w:spacing w:after="0"/>
              <w:rPr>
                <w:sz w:val="20"/>
                <w:szCs w:val="20"/>
                <w:color w:val="auto"/>
              </w:rPr>
            </w:pPr>
            <w:r>
              <w:rPr>
                <w:rFonts w:ascii="Arial" w:cs="Arial" w:eastAsia="Arial" w:hAnsi="Arial"/>
                <w:sz w:val="13"/>
                <w:szCs w:val="13"/>
                <w:b w:val="1"/>
                <w:bCs w:val="1"/>
                <w:color w:val="auto"/>
              </w:rPr>
              <w:t>Percentage of Total Common Shares Outstanding</w:t>
            </w:r>
          </w:p>
        </w:tc>
        <w:tc>
          <w:tcPr>
            <w:tcW w:w="100" w:type="dxa"/>
            <w:vAlign w:val="bottom"/>
            <w:shd w:val="clear" w:color="auto" w:fill="E1D7AC"/>
          </w:tcPr>
          <w:p>
            <w:pPr>
              <w:spacing w:after="0"/>
              <w:rPr>
                <w:sz w:val="15"/>
                <w:szCs w:val="15"/>
                <w:color w:val="auto"/>
              </w:rPr>
            </w:pPr>
          </w:p>
        </w:tc>
      </w:tr>
      <w:tr>
        <w:trPr>
          <w:trHeight w:val="76"/>
        </w:trPr>
        <w:tc>
          <w:tcPr>
            <w:tcW w:w="4840" w:type="dxa"/>
            <w:vAlign w:val="bottom"/>
            <w:shd w:val="clear" w:color="auto" w:fill="E1D7AC"/>
          </w:tcPr>
          <w:p>
            <w:pPr>
              <w:spacing w:after="0"/>
              <w:rPr>
                <w:sz w:val="6"/>
                <w:szCs w:val="6"/>
                <w:color w:val="auto"/>
              </w:rPr>
            </w:pPr>
          </w:p>
        </w:tc>
        <w:tc>
          <w:tcPr>
            <w:tcW w:w="2800" w:type="dxa"/>
            <w:vAlign w:val="bottom"/>
            <w:shd w:val="clear" w:color="auto" w:fill="E1D7AC"/>
          </w:tcPr>
          <w:p>
            <w:pPr>
              <w:spacing w:after="0"/>
              <w:rPr>
                <w:sz w:val="6"/>
                <w:szCs w:val="6"/>
                <w:color w:val="auto"/>
              </w:rPr>
            </w:pPr>
          </w:p>
        </w:tc>
        <w:tc>
          <w:tcPr>
            <w:tcW w:w="3500" w:type="dxa"/>
            <w:vAlign w:val="bottom"/>
            <w:shd w:val="clear" w:color="auto" w:fill="E1D7AC"/>
          </w:tcPr>
          <w:p>
            <w:pPr>
              <w:spacing w:after="0"/>
              <w:rPr>
                <w:sz w:val="6"/>
                <w:szCs w:val="6"/>
                <w:color w:val="auto"/>
              </w:rPr>
            </w:pPr>
          </w:p>
        </w:tc>
        <w:tc>
          <w:tcPr>
            <w:tcW w:w="100" w:type="dxa"/>
            <w:vAlign w:val="bottom"/>
            <w:shd w:val="clear" w:color="auto" w:fill="E1D7AC"/>
          </w:tcPr>
          <w:p>
            <w:pPr>
              <w:spacing w:after="0"/>
              <w:rPr>
                <w:sz w:val="6"/>
                <w:szCs w:val="6"/>
                <w:color w:val="auto"/>
              </w:rPr>
            </w:pPr>
          </w:p>
        </w:tc>
      </w:tr>
      <w:tr>
        <w:trPr>
          <w:trHeight w:val="247"/>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5% Owners:</w:t>
            </w:r>
          </w:p>
        </w:tc>
        <w:tc>
          <w:tcPr>
            <w:tcW w:w="2800" w:type="dxa"/>
            <w:vAlign w:val="bottom"/>
            <w:shd w:val="clear" w:color="auto" w:fill="DBDBDB"/>
          </w:tcPr>
          <w:p>
            <w:pPr>
              <w:spacing w:after="0"/>
              <w:rPr>
                <w:sz w:val="21"/>
                <w:szCs w:val="21"/>
                <w:color w:val="auto"/>
              </w:rPr>
            </w:pPr>
          </w:p>
        </w:tc>
        <w:tc>
          <w:tcPr>
            <w:tcW w:w="35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r>
      <w:tr>
        <w:trPr>
          <w:trHeight w:val="250"/>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BlackRock, Inc.</w:t>
            </w:r>
            <w:r>
              <w:rPr>
                <w:rFonts w:ascii="Arial" w:cs="Arial" w:eastAsia="Arial" w:hAnsi="Arial"/>
                <w:sz w:val="17"/>
                <w:szCs w:val="17"/>
                <w:color w:val="auto"/>
                <w:vertAlign w:val="superscript"/>
              </w:rPr>
              <w:t>(1)</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11,803,159</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17.74%</w:t>
            </w:r>
          </w:p>
        </w:tc>
        <w:tc>
          <w:tcPr>
            <w:tcW w:w="100" w:type="dxa"/>
            <w:vAlign w:val="bottom"/>
            <w:shd w:val="clear" w:color="auto" w:fill="DBDBDB"/>
          </w:tcPr>
          <w:p>
            <w:pPr>
              <w:spacing w:after="0"/>
              <w:rPr>
                <w:sz w:val="21"/>
                <w:szCs w:val="21"/>
                <w:color w:val="auto"/>
              </w:rPr>
            </w:pPr>
          </w:p>
        </w:tc>
      </w:tr>
      <w:tr>
        <w:trPr>
          <w:trHeight w:val="237"/>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FMR LLC</w:t>
            </w:r>
            <w:r>
              <w:rPr>
                <w:rFonts w:ascii="Arial" w:cs="Arial" w:eastAsia="Arial" w:hAnsi="Arial"/>
                <w:sz w:val="17"/>
                <w:szCs w:val="17"/>
                <w:color w:val="auto"/>
                <w:vertAlign w:val="superscript"/>
              </w:rPr>
              <w:t>(2)</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11,122,705</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16.72%</w:t>
            </w:r>
          </w:p>
        </w:tc>
        <w:tc>
          <w:tcPr>
            <w:tcW w:w="100" w:type="dxa"/>
            <w:vAlign w:val="bottom"/>
            <w:shd w:val="clear" w:color="auto" w:fill="DBDBDB"/>
          </w:tcPr>
          <w:p>
            <w:pPr>
              <w:spacing w:after="0"/>
              <w:rPr>
                <w:sz w:val="20"/>
                <w:szCs w:val="20"/>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The Vanguard Group</w:t>
            </w:r>
            <w:r>
              <w:rPr>
                <w:rFonts w:ascii="Arial" w:cs="Arial" w:eastAsia="Arial" w:hAnsi="Arial"/>
                <w:sz w:val="17"/>
                <w:szCs w:val="17"/>
                <w:color w:val="auto"/>
                <w:vertAlign w:val="superscript"/>
              </w:rPr>
              <w:t>(3)</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8,643,613</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12.99%</w:t>
            </w:r>
          </w:p>
        </w:tc>
        <w:tc>
          <w:tcPr>
            <w:tcW w:w="100" w:type="dxa"/>
            <w:vAlign w:val="bottom"/>
            <w:shd w:val="clear" w:color="auto" w:fill="DBDBDB"/>
          </w:tcPr>
          <w:p>
            <w:pPr>
              <w:spacing w:after="0"/>
              <w:rPr>
                <w:sz w:val="19"/>
                <w:szCs w:val="19"/>
                <w:color w:val="auto"/>
              </w:rPr>
            </w:pPr>
          </w:p>
        </w:tc>
      </w:tr>
      <w:tr>
        <w:trPr>
          <w:trHeight w:val="240"/>
        </w:trPr>
        <w:tc>
          <w:tcPr>
            <w:tcW w:w="48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Dimensional Fund Advisors LP</w:t>
            </w:r>
            <w:r>
              <w:rPr>
                <w:rFonts w:ascii="Arial" w:cs="Arial" w:eastAsia="Arial" w:hAnsi="Arial"/>
                <w:sz w:val="17"/>
                <w:szCs w:val="17"/>
                <w:color w:val="auto"/>
                <w:vertAlign w:val="superscript"/>
              </w:rPr>
              <w:t>(4)</w:t>
            </w:r>
          </w:p>
        </w:tc>
        <w:tc>
          <w:tcPr>
            <w:tcW w:w="2800" w:type="dxa"/>
            <w:vAlign w:val="bottom"/>
            <w:tcBorders>
              <w:bottom w:val="single" w:sz="8" w:color="DBDBDB"/>
            </w:tcBorders>
            <w:shd w:val="clear" w:color="auto" w:fill="DBDBDB"/>
          </w:tcPr>
          <w:p>
            <w:pPr>
              <w:jc w:val="right"/>
              <w:ind w:right="634"/>
              <w:spacing w:after="0"/>
              <w:rPr>
                <w:sz w:val="20"/>
                <w:szCs w:val="20"/>
                <w:color w:val="auto"/>
              </w:rPr>
            </w:pPr>
            <w:r>
              <w:rPr>
                <w:rFonts w:ascii="Arial" w:cs="Arial" w:eastAsia="Arial" w:hAnsi="Arial"/>
                <w:sz w:val="13"/>
                <w:szCs w:val="13"/>
                <w:color w:val="auto"/>
              </w:rPr>
              <w:t>3,699,015</w:t>
            </w:r>
          </w:p>
        </w:tc>
        <w:tc>
          <w:tcPr>
            <w:tcW w:w="3500" w:type="dxa"/>
            <w:vAlign w:val="bottom"/>
            <w:tcBorders>
              <w:bottom w:val="single" w:sz="8" w:color="DBDBDB"/>
            </w:tcBorders>
            <w:shd w:val="clear" w:color="auto" w:fill="DBDBDB"/>
          </w:tcPr>
          <w:p>
            <w:pPr>
              <w:jc w:val="right"/>
              <w:ind w:right="734"/>
              <w:spacing w:after="0"/>
              <w:rPr>
                <w:sz w:val="20"/>
                <w:szCs w:val="20"/>
                <w:color w:val="auto"/>
              </w:rPr>
            </w:pPr>
            <w:r>
              <w:rPr>
                <w:rFonts w:ascii="Arial" w:cs="Arial" w:eastAsia="Arial" w:hAnsi="Arial"/>
                <w:sz w:val="13"/>
                <w:szCs w:val="13"/>
                <w:color w:val="auto"/>
              </w:rPr>
              <w:t>5.56%</w:t>
            </w:r>
          </w:p>
        </w:tc>
        <w:tc>
          <w:tcPr>
            <w:tcW w:w="100" w:type="dxa"/>
            <w:vAlign w:val="bottom"/>
            <w:tcBorders>
              <w:bottom w:val="single" w:sz="8" w:color="DBDBDB"/>
            </w:tcBorders>
            <w:shd w:val="clear" w:color="auto" w:fill="DBDBDB"/>
          </w:tcPr>
          <w:p>
            <w:pPr>
              <w:spacing w:after="0"/>
              <w:rPr>
                <w:sz w:val="20"/>
                <w:szCs w:val="20"/>
                <w:color w:val="auto"/>
              </w:rPr>
            </w:pPr>
          </w:p>
        </w:tc>
      </w:tr>
      <w:tr>
        <w:trPr>
          <w:trHeight w:val="247"/>
        </w:trPr>
        <w:tc>
          <w:tcPr>
            <w:tcW w:w="4840" w:type="dxa"/>
            <w:vAlign w:val="bottom"/>
          </w:tcPr>
          <w:p>
            <w:pPr>
              <w:ind w:left="100"/>
              <w:spacing w:after="0"/>
              <w:rPr>
                <w:sz w:val="20"/>
                <w:szCs w:val="20"/>
                <w:color w:val="auto"/>
              </w:rPr>
            </w:pPr>
            <w:r>
              <w:rPr>
                <w:rFonts w:ascii="Arial" w:cs="Arial" w:eastAsia="Arial" w:hAnsi="Arial"/>
                <w:sz w:val="13"/>
                <w:szCs w:val="13"/>
                <w:b w:val="1"/>
                <w:bCs w:val="1"/>
                <w:color w:val="auto"/>
              </w:rPr>
              <w:t>Named Executive Officers:</w:t>
            </w:r>
          </w:p>
        </w:tc>
        <w:tc>
          <w:tcPr>
            <w:tcW w:w="28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4"/>
        </w:trPr>
        <w:tc>
          <w:tcPr>
            <w:tcW w:w="4840" w:type="dxa"/>
            <w:vAlign w:val="bottom"/>
          </w:tcPr>
          <w:p>
            <w:pPr>
              <w:ind w:left="100"/>
              <w:spacing w:after="0"/>
              <w:rPr>
                <w:sz w:val="20"/>
                <w:szCs w:val="20"/>
                <w:color w:val="auto"/>
              </w:rPr>
            </w:pPr>
            <w:r>
              <w:rPr>
                <w:rFonts w:ascii="Arial" w:cs="Arial" w:eastAsia="Arial" w:hAnsi="Arial"/>
                <w:sz w:val="13"/>
                <w:szCs w:val="13"/>
                <w:color w:val="auto"/>
              </w:rPr>
              <w:t>Steve Lawrence</w:t>
            </w:r>
            <w:r>
              <w:rPr>
                <w:rFonts w:ascii="Arial" w:cs="Arial" w:eastAsia="Arial" w:hAnsi="Arial"/>
                <w:sz w:val="17"/>
                <w:szCs w:val="17"/>
                <w:color w:val="auto"/>
                <w:vertAlign w:val="superscript"/>
              </w:rPr>
              <w:t>(5)</w:t>
            </w:r>
          </w:p>
        </w:tc>
        <w:tc>
          <w:tcPr>
            <w:tcW w:w="2800" w:type="dxa"/>
            <w:vAlign w:val="bottom"/>
          </w:tcPr>
          <w:p>
            <w:pPr>
              <w:jc w:val="right"/>
              <w:ind w:right="634"/>
              <w:spacing w:after="0"/>
              <w:rPr>
                <w:sz w:val="20"/>
                <w:szCs w:val="20"/>
                <w:color w:val="auto"/>
              </w:rPr>
            </w:pPr>
            <w:r>
              <w:rPr>
                <w:rFonts w:ascii="Arial" w:cs="Arial" w:eastAsia="Arial" w:hAnsi="Arial"/>
                <w:sz w:val="13"/>
                <w:szCs w:val="13"/>
                <w:color w:val="auto"/>
              </w:rPr>
              <w:t>305,378</w:t>
            </w:r>
          </w:p>
        </w:tc>
        <w:tc>
          <w:tcPr>
            <w:tcW w:w="3500" w:type="dxa"/>
            <w:vAlign w:val="bottom"/>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r>
      <w:tr>
        <w:trPr>
          <w:trHeight w:val="224"/>
        </w:trPr>
        <w:tc>
          <w:tcPr>
            <w:tcW w:w="4840" w:type="dxa"/>
            <w:vAlign w:val="bottom"/>
          </w:tcPr>
          <w:p>
            <w:pPr>
              <w:ind w:left="100"/>
              <w:spacing w:after="0"/>
              <w:rPr>
                <w:sz w:val="20"/>
                <w:szCs w:val="20"/>
                <w:color w:val="auto"/>
              </w:rPr>
            </w:pPr>
            <w:r>
              <w:rPr>
                <w:rFonts w:ascii="Arial" w:cs="Arial" w:eastAsia="Arial" w:hAnsi="Arial"/>
                <w:sz w:val="13"/>
                <w:szCs w:val="13"/>
                <w:color w:val="auto"/>
              </w:rPr>
              <w:t>Sam Johnson</w:t>
            </w:r>
            <w:r>
              <w:rPr>
                <w:rFonts w:ascii="Arial" w:cs="Arial" w:eastAsia="Arial" w:hAnsi="Arial"/>
                <w:sz w:val="17"/>
                <w:szCs w:val="17"/>
                <w:color w:val="auto"/>
                <w:vertAlign w:val="superscript"/>
              </w:rPr>
              <w:t>(6)</w:t>
            </w:r>
          </w:p>
        </w:tc>
        <w:tc>
          <w:tcPr>
            <w:tcW w:w="2800" w:type="dxa"/>
            <w:vAlign w:val="bottom"/>
          </w:tcPr>
          <w:p>
            <w:pPr>
              <w:jc w:val="right"/>
              <w:ind w:right="634"/>
              <w:spacing w:after="0"/>
              <w:rPr>
                <w:sz w:val="20"/>
                <w:szCs w:val="20"/>
                <w:color w:val="auto"/>
              </w:rPr>
            </w:pPr>
            <w:r>
              <w:rPr>
                <w:rFonts w:ascii="Arial" w:cs="Arial" w:eastAsia="Arial" w:hAnsi="Arial"/>
                <w:sz w:val="13"/>
                <w:szCs w:val="13"/>
                <w:color w:val="auto"/>
              </w:rPr>
              <w:t>166,106</w:t>
            </w:r>
          </w:p>
        </w:tc>
        <w:tc>
          <w:tcPr>
            <w:tcW w:w="3500" w:type="dxa"/>
            <w:vAlign w:val="bottom"/>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r>
      <w:tr>
        <w:trPr>
          <w:trHeight w:val="224"/>
        </w:trPr>
        <w:tc>
          <w:tcPr>
            <w:tcW w:w="4840" w:type="dxa"/>
            <w:vAlign w:val="bottom"/>
          </w:tcPr>
          <w:p>
            <w:pPr>
              <w:ind w:left="100"/>
              <w:spacing w:after="0"/>
              <w:rPr>
                <w:sz w:val="20"/>
                <w:szCs w:val="20"/>
                <w:color w:val="auto"/>
              </w:rPr>
            </w:pPr>
            <w:r>
              <w:rPr>
                <w:rFonts w:ascii="Arial" w:cs="Arial" w:eastAsia="Arial" w:hAnsi="Arial"/>
                <w:sz w:val="13"/>
                <w:szCs w:val="13"/>
                <w:color w:val="auto"/>
              </w:rPr>
              <w:t>Carl Ford</w:t>
            </w:r>
            <w:r>
              <w:rPr>
                <w:rFonts w:ascii="Arial" w:cs="Arial" w:eastAsia="Arial" w:hAnsi="Arial"/>
                <w:sz w:val="17"/>
                <w:szCs w:val="17"/>
                <w:color w:val="auto"/>
                <w:vertAlign w:val="superscript"/>
              </w:rPr>
              <w:t>(7)</w:t>
            </w:r>
          </w:p>
        </w:tc>
        <w:tc>
          <w:tcPr>
            <w:tcW w:w="2800" w:type="dxa"/>
            <w:vAlign w:val="bottom"/>
          </w:tcPr>
          <w:p>
            <w:pPr>
              <w:jc w:val="right"/>
              <w:ind w:right="634"/>
              <w:spacing w:after="0"/>
              <w:rPr>
                <w:sz w:val="20"/>
                <w:szCs w:val="20"/>
                <w:color w:val="auto"/>
              </w:rPr>
            </w:pPr>
            <w:r>
              <w:rPr>
                <w:rFonts w:ascii="Arial" w:cs="Arial" w:eastAsia="Arial" w:hAnsi="Arial"/>
                <w:sz w:val="13"/>
                <w:szCs w:val="13"/>
                <w:color w:val="auto"/>
              </w:rPr>
              <w:t>35,402</w:t>
            </w:r>
          </w:p>
        </w:tc>
        <w:tc>
          <w:tcPr>
            <w:tcW w:w="3500" w:type="dxa"/>
            <w:vAlign w:val="bottom"/>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r>
      <w:tr>
        <w:trPr>
          <w:trHeight w:val="229"/>
        </w:trPr>
        <w:tc>
          <w:tcPr>
            <w:tcW w:w="4840" w:type="dxa"/>
            <w:vAlign w:val="bottom"/>
          </w:tcPr>
          <w:p>
            <w:pPr>
              <w:ind w:left="100"/>
              <w:spacing w:after="0"/>
              <w:rPr>
                <w:sz w:val="20"/>
                <w:szCs w:val="20"/>
                <w:color w:val="auto"/>
              </w:rPr>
            </w:pPr>
            <w:r>
              <w:rPr>
                <w:rFonts w:ascii="Arial" w:cs="Arial" w:eastAsia="Arial" w:hAnsi="Arial"/>
                <w:sz w:val="13"/>
                <w:szCs w:val="13"/>
                <w:color w:val="auto"/>
              </w:rPr>
              <w:t>Matt McCabe</w:t>
            </w:r>
            <w:r>
              <w:rPr>
                <w:rFonts w:ascii="Arial" w:cs="Arial" w:eastAsia="Arial" w:hAnsi="Arial"/>
                <w:sz w:val="17"/>
                <w:szCs w:val="17"/>
                <w:color w:val="auto"/>
                <w:vertAlign w:val="superscript"/>
              </w:rPr>
              <w:t>(8)</w:t>
            </w:r>
          </w:p>
        </w:tc>
        <w:tc>
          <w:tcPr>
            <w:tcW w:w="2800" w:type="dxa"/>
            <w:vAlign w:val="bottom"/>
          </w:tcPr>
          <w:p>
            <w:pPr>
              <w:jc w:val="right"/>
              <w:ind w:right="634"/>
              <w:spacing w:after="0"/>
              <w:rPr>
                <w:sz w:val="20"/>
                <w:szCs w:val="20"/>
                <w:color w:val="auto"/>
              </w:rPr>
            </w:pPr>
            <w:r>
              <w:rPr>
                <w:rFonts w:ascii="Arial" w:cs="Arial" w:eastAsia="Arial" w:hAnsi="Arial"/>
                <w:sz w:val="13"/>
                <w:szCs w:val="13"/>
                <w:color w:val="auto"/>
              </w:rPr>
              <w:t>41,626</w:t>
            </w:r>
          </w:p>
        </w:tc>
        <w:tc>
          <w:tcPr>
            <w:tcW w:w="3500" w:type="dxa"/>
            <w:vAlign w:val="bottom"/>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r>
      <w:tr>
        <w:trPr>
          <w:trHeight w:val="31"/>
        </w:trPr>
        <w:tc>
          <w:tcPr>
            <w:tcW w:w="4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7"/>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Directors:</w:t>
            </w:r>
          </w:p>
        </w:tc>
        <w:tc>
          <w:tcPr>
            <w:tcW w:w="2800" w:type="dxa"/>
            <w:vAlign w:val="bottom"/>
            <w:shd w:val="clear" w:color="auto" w:fill="DBDBDB"/>
          </w:tcPr>
          <w:p>
            <w:pPr>
              <w:spacing w:after="0"/>
              <w:rPr>
                <w:sz w:val="21"/>
                <w:szCs w:val="21"/>
                <w:color w:val="auto"/>
              </w:rPr>
            </w:pPr>
          </w:p>
        </w:tc>
        <w:tc>
          <w:tcPr>
            <w:tcW w:w="35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r>
      <w:tr>
        <w:trPr>
          <w:trHeight w:val="250"/>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Ken Hicks</w:t>
            </w:r>
            <w:r>
              <w:rPr>
                <w:rFonts w:ascii="Arial" w:cs="Arial" w:eastAsia="Arial" w:hAnsi="Arial"/>
                <w:sz w:val="17"/>
                <w:szCs w:val="17"/>
                <w:color w:val="auto"/>
                <w:vertAlign w:val="superscript"/>
              </w:rPr>
              <w:t>(9)</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1,769,228</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DBDBDB"/>
          </w:tcPr>
          <w:p>
            <w:pPr>
              <w:spacing w:after="0"/>
              <w:rPr>
                <w:sz w:val="21"/>
                <w:szCs w:val="21"/>
                <w:color w:val="auto"/>
              </w:rPr>
            </w:pPr>
          </w:p>
        </w:tc>
      </w:tr>
      <w:tr>
        <w:trPr>
          <w:trHeight w:val="237"/>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Scott Boatwright</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2,929</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20"/>
                <w:szCs w:val="20"/>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Wendy Beck</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17,618</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Brian Marley</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59,678</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Tom Nealon</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15,217</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Theresa Palermo</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9,232</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Monique Picou</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3,421</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Beryl Raff</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15,350</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Chris Turner</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11,484</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Jeff Tweedy</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11,835</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9"/>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Directors and executive officers as a group</w:t>
            </w:r>
            <w:r>
              <w:rPr>
                <w:rFonts w:ascii="Arial" w:cs="Arial" w:eastAsia="Arial" w:hAnsi="Arial"/>
                <w:sz w:val="17"/>
                <w:szCs w:val="17"/>
                <w:color w:val="auto"/>
                <w:vertAlign w:val="superscript"/>
              </w:rPr>
              <w:t>(11)</w:t>
            </w:r>
            <w:r>
              <w:rPr>
                <w:rFonts w:ascii="Arial" w:cs="Arial" w:eastAsia="Arial" w:hAnsi="Arial"/>
                <w:sz w:val="13"/>
                <w:szCs w:val="13"/>
                <w:color w:val="auto"/>
              </w:rPr>
              <w:t xml:space="preserve"> (14 persons)</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2,464,504</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3.62%</w:t>
            </w:r>
          </w:p>
        </w:tc>
        <w:tc>
          <w:tcPr>
            <w:tcW w:w="100" w:type="dxa"/>
            <w:vAlign w:val="bottom"/>
            <w:shd w:val="clear" w:color="auto" w:fill="DBDBDB"/>
          </w:tcPr>
          <w:p>
            <w:pPr>
              <w:spacing w:after="0"/>
              <w:rPr>
                <w:sz w:val="19"/>
                <w:szCs w:val="19"/>
                <w:color w:val="auto"/>
              </w:rPr>
            </w:pPr>
          </w:p>
        </w:tc>
      </w:tr>
      <w:tr>
        <w:trPr>
          <w:trHeight w:val="31"/>
        </w:trPr>
        <w:tc>
          <w:tcPr>
            <w:tcW w:w="4840" w:type="dxa"/>
            <w:vAlign w:val="bottom"/>
            <w:shd w:val="clear" w:color="auto" w:fill="DBDBDB"/>
          </w:tcPr>
          <w:p>
            <w:pPr>
              <w:spacing w:after="0"/>
              <w:rPr>
                <w:sz w:val="2"/>
                <w:szCs w:val="2"/>
                <w:color w:val="auto"/>
              </w:rPr>
            </w:pPr>
          </w:p>
        </w:tc>
        <w:tc>
          <w:tcPr>
            <w:tcW w:w="2800" w:type="dxa"/>
            <w:vAlign w:val="bottom"/>
            <w:shd w:val="clear" w:color="auto" w:fill="DBDBDB"/>
          </w:tcPr>
          <w:p>
            <w:pPr>
              <w:spacing w:after="0"/>
              <w:rPr>
                <w:sz w:val="2"/>
                <w:szCs w:val="2"/>
                <w:color w:val="auto"/>
              </w:rPr>
            </w:pPr>
          </w:p>
        </w:tc>
        <w:tc>
          <w:tcPr>
            <w:tcW w:w="35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r>
    </w:tbl>
    <w:p>
      <w:pPr>
        <w:spacing w:after="0" w:line="171" w:lineRule="exact"/>
        <w:rPr>
          <w:sz w:val="20"/>
          <w:szCs w:val="20"/>
          <w:color w:val="auto"/>
        </w:rPr>
      </w:pPr>
    </w:p>
    <w:p>
      <w:pPr>
        <w:ind w:left="1"/>
        <w:spacing w:after="0"/>
        <w:rPr>
          <w:sz w:val="20"/>
          <w:szCs w:val="20"/>
          <w:color w:val="auto"/>
        </w:rPr>
      </w:pPr>
      <w:r>
        <w:rPr>
          <w:rFonts w:ascii="Arial" w:cs="Arial" w:eastAsia="Arial" w:hAnsi="Arial"/>
          <w:sz w:val="12"/>
          <w:szCs w:val="12"/>
          <w:color w:val="auto"/>
        </w:rPr>
        <w:t>(*) Less than one percent.</w:t>
      </w:r>
    </w:p>
    <w:p>
      <w:pPr>
        <w:spacing w:after="0" w:line="61" w:lineRule="exact"/>
        <w:rPr>
          <w:sz w:val="20"/>
          <w:szCs w:val="20"/>
          <w:color w:val="auto"/>
        </w:rPr>
      </w:pPr>
    </w:p>
    <w:p>
      <w:pPr>
        <w:ind w:left="301" w:right="20" w:hanging="301"/>
        <w:spacing w:after="0" w:line="270" w:lineRule="auto"/>
        <w:tabs>
          <w:tab w:leader="none" w:pos="298" w:val="left"/>
        </w:tabs>
        <w:numPr>
          <w:ilvl w:val="0"/>
          <w:numId w:val="93"/>
        </w:numPr>
        <w:rPr>
          <w:rFonts w:ascii="Arial" w:cs="Arial" w:eastAsia="Arial" w:hAnsi="Arial"/>
          <w:sz w:val="12"/>
          <w:szCs w:val="12"/>
          <w:color w:val="auto"/>
        </w:rPr>
      </w:pPr>
      <w:r>
        <w:rPr>
          <w:rFonts w:ascii="Arial" w:cs="Arial" w:eastAsia="Arial" w:hAnsi="Arial"/>
          <w:sz w:val="12"/>
          <w:szCs w:val="12"/>
          <w:color w:val="auto"/>
        </w:rPr>
        <w:t>Based solely on the information disclosed in a Schedule 13G/A filed by BlackRock, Inc. and certain related entities on January 22, 2024. The number of shares reported is as of December 31, 2023. BlackRock, Inc. reported sole power to vote or direct the vote over 11,625,158 shares of our common stock and sole power to dispose or direct the disposition over 11,803,159 shares of our common stock. The principal business address for BlackRock, Inc. is 50 Hudson Yards, New York, NY 10001.</w:t>
      </w:r>
    </w:p>
    <w:p>
      <w:pPr>
        <w:spacing w:after="0" w:line="81" w:lineRule="exact"/>
        <w:rPr>
          <w:rFonts w:ascii="Arial" w:cs="Arial" w:eastAsia="Arial" w:hAnsi="Arial"/>
          <w:sz w:val="12"/>
          <w:szCs w:val="12"/>
          <w:color w:val="auto"/>
        </w:rPr>
      </w:pPr>
    </w:p>
    <w:p>
      <w:pPr>
        <w:ind w:left="301" w:hanging="301"/>
        <w:spacing w:after="0" w:line="336" w:lineRule="auto"/>
        <w:tabs>
          <w:tab w:leader="none" w:pos="298" w:val="left"/>
        </w:tabs>
        <w:numPr>
          <w:ilvl w:val="0"/>
          <w:numId w:val="93"/>
        </w:numPr>
        <w:rPr>
          <w:rFonts w:ascii="Arial" w:cs="Arial" w:eastAsia="Arial" w:hAnsi="Arial"/>
          <w:sz w:val="10"/>
          <w:szCs w:val="10"/>
          <w:color w:val="auto"/>
        </w:rPr>
      </w:pPr>
      <w:r>
        <w:rPr>
          <w:rFonts w:ascii="Arial" w:cs="Arial" w:eastAsia="Arial" w:hAnsi="Arial"/>
          <w:sz w:val="10"/>
          <w:szCs w:val="10"/>
          <w:color w:val="auto"/>
        </w:rPr>
        <w:t>Based solely on the information disclosed in a Schedule 13G/A filed by FMR LLC, certain related entities and Abigail P. Johnson (the Chairman and Chief Executive Officer of FMR LLC) on February 8, 2024. The number of shares reported is as of December 29, 2023. Members of the Johnson family, including Abigail P. Johnson, are the predominant owners, directly or through trusts, of Series B voting common shares of FMR LLC, representing 49% of the voting power of FMR LLC. FMR LLC reported sole power to vote or direct the vote over 11,117,580 shares of our common stock and sole power to dispose or direct the disposition over 11,122,705 shares of our common stock. Abigail P. Johnson reported sole power to vote or direct the vote over 0 shares of our common stock and sole power to dispose or direct the disposition over 11,122,705 shares of our common stock. The principal business address for FMR LLC, its related entities and Abigail P. Johnson is 245 Summer Street, Boston, Massachusetts 02210.</w:t>
      </w:r>
    </w:p>
    <w:p>
      <w:pPr>
        <w:spacing w:after="0" w:line="52" w:lineRule="exact"/>
        <w:rPr>
          <w:rFonts w:ascii="Arial" w:cs="Arial" w:eastAsia="Arial" w:hAnsi="Arial"/>
          <w:sz w:val="10"/>
          <w:szCs w:val="10"/>
          <w:color w:val="auto"/>
        </w:rPr>
      </w:pPr>
    </w:p>
    <w:p>
      <w:pPr>
        <w:ind w:left="301" w:hanging="301"/>
        <w:spacing w:after="0" w:line="270" w:lineRule="auto"/>
        <w:tabs>
          <w:tab w:leader="none" w:pos="298" w:val="left"/>
        </w:tabs>
        <w:numPr>
          <w:ilvl w:val="0"/>
          <w:numId w:val="93"/>
        </w:numPr>
        <w:rPr>
          <w:rFonts w:ascii="Arial" w:cs="Arial" w:eastAsia="Arial" w:hAnsi="Arial"/>
          <w:sz w:val="12"/>
          <w:szCs w:val="12"/>
          <w:color w:val="auto"/>
        </w:rPr>
      </w:pPr>
      <w:r>
        <w:rPr>
          <w:rFonts w:ascii="Arial" w:cs="Arial" w:eastAsia="Arial" w:hAnsi="Arial"/>
          <w:sz w:val="12"/>
          <w:szCs w:val="12"/>
          <w:color w:val="auto"/>
        </w:rPr>
        <w:t>Based solely on the information disclosed in a Schedule 13G/A filed by The Vanguard Group on February 13, 2024. The number of shares reported is as of December 29, 2023. The Vanguard Group reported shared power to vote or direct the vote over 144,164 shares of our common stock, shared power to dispose or direct the disposition over 213,798 shares of our common stock and sole power to dispose or direct the disposition over 8,429,815 shares of our common stock. The principal business address for The Vanguard Group is 100 Vanguard Blvd., Malvern, PA 19355.</w:t>
      </w:r>
    </w:p>
    <w:p>
      <w:pPr>
        <w:spacing w:after="0" w:line="81" w:lineRule="exact"/>
        <w:rPr>
          <w:rFonts w:ascii="Arial" w:cs="Arial" w:eastAsia="Arial" w:hAnsi="Arial"/>
          <w:sz w:val="12"/>
          <w:szCs w:val="12"/>
          <w:color w:val="auto"/>
        </w:rPr>
      </w:pPr>
    </w:p>
    <w:p>
      <w:pPr>
        <w:ind w:left="301" w:right="140" w:hanging="301"/>
        <w:spacing w:after="0" w:line="270" w:lineRule="auto"/>
        <w:tabs>
          <w:tab w:leader="none" w:pos="298" w:val="left"/>
        </w:tabs>
        <w:numPr>
          <w:ilvl w:val="0"/>
          <w:numId w:val="93"/>
        </w:numPr>
        <w:rPr>
          <w:rFonts w:ascii="Arial" w:cs="Arial" w:eastAsia="Arial" w:hAnsi="Arial"/>
          <w:sz w:val="12"/>
          <w:szCs w:val="12"/>
          <w:color w:val="auto"/>
        </w:rPr>
      </w:pPr>
      <w:r>
        <w:rPr>
          <w:rFonts w:ascii="Arial" w:cs="Arial" w:eastAsia="Arial" w:hAnsi="Arial"/>
          <w:sz w:val="12"/>
          <w:szCs w:val="12"/>
          <w:color w:val="auto"/>
        </w:rPr>
        <w:t>Based solely on the information disclosed in a Schedule 13G filed by Dimensional Fund Advisors LP, an investment adviser, on January 23, 2025. The number of shares reported is as of December 31, 2025. Dimensional Fund Advisors LP reported sole power to vote or direct the vote over 3,588,947 shares of our common stock and sole power to dispose or direct the disposition over 3,699,015 shares of our common stock. The principal business address for Dimensional Fund Advisors LP is 6300 Bee Cave Road, Building One, Austin, TX 78746.</w:t>
      </w:r>
    </w:p>
    <w:p>
      <w:pPr>
        <w:spacing w:after="0" w:line="93" w:lineRule="exact"/>
        <w:rPr>
          <w:rFonts w:ascii="Arial" w:cs="Arial" w:eastAsia="Arial" w:hAnsi="Arial"/>
          <w:sz w:val="12"/>
          <w:szCs w:val="12"/>
          <w:color w:val="auto"/>
        </w:rPr>
      </w:pPr>
    </w:p>
    <w:p>
      <w:pPr>
        <w:ind w:left="301" w:right="340" w:hanging="301"/>
        <w:spacing w:after="0" w:line="281" w:lineRule="auto"/>
        <w:tabs>
          <w:tab w:leader="none" w:pos="298"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Includes 115,780 shares subject to exercisable stock options, 20,064 shares subject to stock options that are scheduled to become exercisable within 60 days after April 10, 2025 and 9,917 shares underlying restricted stock units that are scheduled to settle within 60 days after April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952500</wp:posOffset>
            </wp:positionV>
            <wp:extent cx="7168515" cy="4127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657225</wp:posOffset>
            </wp:positionV>
            <wp:extent cx="789305" cy="18923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95" w:name="page96"/>
    <w:bookmarkEnd w:id="95"/>
    <w:p>
      <w:pPr>
        <w:ind w:left="1"/>
        <w:spacing w:after="0"/>
        <w:rPr>
          <w:sz w:val="20"/>
          <w:szCs w:val="20"/>
          <w:color w:val="auto"/>
        </w:rPr>
      </w:pPr>
      <w:r>
        <w:rPr>
          <w:rFonts w:ascii="Arial" w:cs="Arial" w:eastAsia="Arial" w:hAnsi="Arial"/>
          <w:sz w:val="13"/>
          <w:szCs w:val="13"/>
          <w:b w:val="1"/>
          <w:bCs w:val="1"/>
          <w:color w:val="007EC4"/>
        </w:rPr>
        <w:t xml:space="preserve">90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1" w:hanging="301"/>
        <w:spacing w:after="0" w:line="281" w:lineRule="auto"/>
        <w:tabs>
          <w:tab w:leader="none" w:pos="298"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Includes 69,405 shares subject to exercisable stock options, 1,672 shares subject to stock options that are scheduled to become exercisable within 60 days after April 10, 2025 and 826 shares underlying restricted stock units that are scheduled to settle within 60 days after April 10, 2025.</w:t>
      </w:r>
    </w:p>
    <w:p>
      <w:pPr>
        <w:spacing w:after="0" w:line="74" w:lineRule="exact"/>
        <w:rPr>
          <w:rFonts w:ascii="Arial" w:cs="Arial" w:eastAsia="Arial" w:hAnsi="Arial"/>
          <w:sz w:val="12"/>
          <w:szCs w:val="12"/>
          <w:color w:val="auto"/>
        </w:rPr>
      </w:pPr>
    </w:p>
    <w:p>
      <w:pPr>
        <w:ind w:left="301" w:hanging="301"/>
        <w:spacing w:after="0"/>
        <w:tabs>
          <w:tab w:leader="none" w:pos="301"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Includes 22,276 shares subject to exercisable stock options.</w:t>
      </w:r>
    </w:p>
    <w:p>
      <w:pPr>
        <w:spacing w:after="0" w:line="110" w:lineRule="exact"/>
        <w:rPr>
          <w:rFonts w:ascii="Arial" w:cs="Arial" w:eastAsia="Arial" w:hAnsi="Arial"/>
          <w:sz w:val="12"/>
          <w:szCs w:val="12"/>
          <w:color w:val="auto"/>
        </w:rPr>
      </w:pPr>
    </w:p>
    <w:p>
      <w:pPr>
        <w:ind w:left="301" w:hanging="301"/>
        <w:spacing w:after="0"/>
        <w:tabs>
          <w:tab w:leader="none" w:pos="301"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Includes 22,276 shares subject to exercisable stock options and 3,725 shares underlying restricted stock units that are scheduled to settle within 60 days after April 10, 2025.</w:t>
      </w:r>
    </w:p>
    <w:p>
      <w:pPr>
        <w:spacing w:after="0" w:line="123" w:lineRule="exact"/>
        <w:rPr>
          <w:rFonts w:ascii="Arial" w:cs="Arial" w:eastAsia="Arial" w:hAnsi="Arial"/>
          <w:sz w:val="12"/>
          <w:szCs w:val="12"/>
          <w:color w:val="auto"/>
        </w:rPr>
      </w:pPr>
    </w:p>
    <w:p>
      <w:pPr>
        <w:ind w:left="301" w:right="180" w:hanging="301"/>
        <w:spacing w:after="0" w:line="281" w:lineRule="auto"/>
        <w:tabs>
          <w:tab w:leader="none" w:pos="298"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Includes 1,309,548 shares subject to exercisable stock options, 12,852 shares subject to stock options that are scheduled to become exercisable within 60 days after April 10, 2025 and 7,708 shares underlying restricted stock units that are scheduled to settle within 60 days after April 10, 2025.</w:t>
      </w:r>
    </w:p>
    <w:p>
      <w:pPr>
        <w:spacing w:after="0" w:line="74" w:lineRule="exact"/>
        <w:rPr>
          <w:rFonts w:ascii="Arial" w:cs="Arial" w:eastAsia="Arial" w:hAnsi="Arial"/>
          <w:sz w:val="12"/>
          <w:szCs w:val="12"/>
          <w:color w:val="auto"/>
        </w:rPr>
      </w:pPr>
    </w:p>
    <w:p>
      <w:pPr>
        <w:ind w:left="301" w:hanging="301"/>
        <w:spacing w:after="0"/>
        <w:tabs>
          <w:tab w:leader="none" w:pos="301"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Includes 2,929 shares underlying restricted stock units for each director that are scheduled to settle within 60 days after April 10, 2025.</w:t>
      </w:r>
    </w:p>
    <w:p>
      <w:pPr>
        <w:spacing w:after="0" w:line="110" w:lineRule="exact"/>
        <w:rPr>
          <w:rFonts w:ascii="Arial" w:cs="Arial" w:eastAsia="Arial" w:hAnsi="Arial"/>
          <w:sz w:val="12"/>
          <w:szCs w:val="12"/>
          <w:color w:val="auto"/>
        </w:rPr>
      </w:pPr>
    </w:p>
    <w:p>
      <w:pPr>
        <w:ind w:left="301" w:right="360" w:hanging="301"/>
        <w:spacing w:after="0" w:line="281" w:lineRule="auto"/>
        <w:tabs>
          <w:tab w:leader="none" w:pos="291"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number of shares reported includes shares subject to exercisable stock options, shares that may be acquired through stock options exercisable within 60 days after April 10, 2025 and shares underlying restricted stock units that are scheduled to settle within 60 days after April 10, 2025 as disclosed in footnotes 5 through 10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1157605</wp:posOffset>
            </wp:positionV>
            <wp:extent cx="7168515" cy="4127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862330</wp:posOffset>
            </wp:positionV>
            <wp:extent cx="789305" cy="18923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81"/>
          </w:cols>
          <w:pgMar w:left="319" w:top="157" w:right="399" w:bottom="1440" w:gutter="0" w:footer="0" w:header="0"/>
        </w:sectPr>
      </w:pPr>
    </w:p>
    <w:bookmarkStart w:id="96" w:name="page97"/>
    <w:bookmarkEnd w:id="9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Transactions with Related Persons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Related Party Transaction Policy</w:t>
      </w:r>
    </w:p>
    <w:p>
      <w:pPr>
        <w:spacing w:after="0" w:line="144"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The Board recognizes the fact that transactions with related persons (as defined in paragraph (a) of Item 404 of Regulation S-K under the Securities Act) present a heightened risk of conflicts of interests (or the perception thereof). If such transactions are entered into, they may require disclosure in the Company’s financial statements and filings with the SEC. The Board adopted a written policy regarding transactions with related persons (our “Related Party Transaction Policy”) that is administered by the Audit Committee.</w:t>
      </w:r>
    </w:p>
    <w:p>
      <w:pPr>
        <w:spacing w:after="0" w:line="166"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Our Related Party Transaction Policy requires that the Board or the Audit Committee approve each Related Party Transaction (defined under our policy as any transaction that we anticipate would be reportable by us under Item 404(a) of Regulation S-K under the Securities Act in which we were or are to be a participant and the amount involved exceeds $120,000 and in which any related person had or will have a direct or indirect material interest) and all material facts with respect thereto. It is our policy that directors interested in a Related Party Transaction will recuse themselves from any discussion or vote on a Related Party Transaction in which they have an interest. The Board or the Audit Committee will not approve or ratify a Related Party Transaction unless it determines in good faith that, upon consideration of all relevant information, the Related Party Transaction is in, or not inconsistent with, the best interests of the Company. A Related Party Transaction entered into without pre-approval of the Board or the Audit Committee does not violate our Related Party Transaction Policy, so long as the transaction is subsequently timely approved or ratified by the Board or the Audit Committee. Transactions that are determined to be Related Party Transactions are disclosed in the Company’s proxy statement for the relevant year.</w:t>
      </w:r>
    </w:p>
    <w:p>
      <w:pPr>
        <w:spacing w:after="0" w:line="159" w:lineRule="exact"/>
        <w:rPr>
          <w:sz w:val="20"/>
          <w:szCs w:val="20"/>
          <w:color w:val="auto"/>
        </w:rPr>
      </w:pPr>
    </w:p>
    <w:p>
      <w:pPr>
        <w:jc w:val="both"/>
        <w:ind w:right="100"/>
        <w:spacing w:after="0" w:line="293" w:lineRule="auto"/>
        <w:rPr>
          <w:sz w:val="20"/>
          <w:szCs w:val="20"/>
          <w:color w:val="auto"/>
        </w:rPr>
      </w:pPr>
      <w:r>
        <w:rPr>
          <w:rFonts w:ascii="Arial" w:cs="Arial" w:eastAsia="Arial" w:hAnsi="Arial"/>
          <w:sz w:val="15"/>
          <w:szCs w:val="15"/>
          <w:color w:val="auto"/>
        </w:rPr>
        <w:t>To help identify Related Party Transactions, each director and executive officer completes a questionnaire that requires the disclosure of any transaction that the person, or any member of his or her immediate family, has or will have with the Company. Our Chief Legal Officer also conducts a review that includes a review of the Company’s accounts payable and receivable to determine if a Related Party engaged in transactions during the fiscal year.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Related Party Transactions</w:t>
      </w:r>
    </w:p>
    <w:p>
      <w:pPr>
        <w:spacing w:after="0" w:line="132" w:lineRule="exact"/>
        <w:rPr>
          <w:sz w:val="20"/>
          <w:szCs w:val="20"/>
          <w:color w:val="auto"/>
        </w:rPr>
      </w:pPr>
    </w:p>
    <w:p>
      <w:pPr>
        <w:ind w:right="540"/>
        <w:spacing w:after="0" w:line="310" w:lineRule="auto"/>
        <w:rPr>
          <w:sz w:val="20"/>
          <w:szCs w:val="20"/>
          <w:color w:val="auto"/>
        </w:rPr>
      </w:pPr>
      <w:r>
        <w:rPr>
          <w:rFonts w:ascii="Arial" w:cs="Arial" w:eastAsia="Arial" w:hAnsi="Arial"/>
          <w:sz w:val="15"/>
          <w:szCs w:val="15"/>
          <w:color w:val="auto"/>
        </w:rPr>
        <w:t>Since the beginning of 2024, there were no related person transactions that require disclosure in this Proxy Statement under Item 404 of Regulation S-K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68515" cy="4127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711200</wp:posOffset>
            </wp:positionV>
            <wp:extent cx="789305" cy="18923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color w:val="007EC4"/>
        </w:rPr>
        <w:t xml:space="preserve">92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Stockholder Proposals</w:t>
      </w:r>
    </w:p>
    <w:p>
      <w:pPr>
        <w:spacing w:after="0" w:line="99"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for the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If any stockholder wishes to propose a matter for inclusion in our proxy materials for our 2026 Annual Meeting of Stockholders (the “2026 Annual Meeting”) under Rule 14a-8 under the Exchange Act (“Rule 14a-8”), the proposal should be mailed to our Corporate Secretary at Academy Sports and Outdoors, Inc., 1800 North Mason Road, Katy, Texas 77449. To be eligible for inclusion in our proxy statement for the 2026 Annual Meeting under Rule 14a-8, a proposal must be received by our Corporate Secretary on or before the close of business on December 22, 2025 and must comply with the remaining Rule 14a-8 requirements.</w:t>
      </w:r>
    </w:p>
    <w:p>
      <w:pPr>
        <w:spacing w:after="0" w:line="166"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In addition, the Bylaws permit stockholders to nominate candidates for director and present other business for consideration at our annual meeting of stockholders. To make a director nomination or present other business for consideration at the 2026 Annual Meeting, you must submit a timely notice in accordance with the procedures described in the Bylaws. To be timely, a stockholder’s notice must be delivered to our Corporate Secretary at the principal executive offices of our Company no later than the close of business on the 90th day, and not earlier than the close of business on the 120th day, prior to the first anniversary of the preceding year’s annual meeting. Therefore, to be presented at our 2026 Annual Meeting, such a nomination or other proposal of business must be delivered on or after February 5, 2026, but not later than March 7, 2026. In the event that the date of the 2026 Annual Meeting is advanced by more than 30 days, or delayed by more than 70 days, from the anniversary date of this year’s Annual Meeting of Stockholders, to be timely, notice by the stockholder must be so delivered not earlier than the close of business on the 120th day prior to the first anniversary of the 2025 Annual Meeting and not later than the close of business on the later of the 90th day prior to the first anniversary of the 2025 Annual Meeting or the tenth day following the day on which public announcement of the date of the 2026 Annual Meeting is first made. Any such nomination or other proposal of business will be considered timely only if it is otherwise in compliance with the requirements set forth in the Bylaws (including the information required by Rule 14a-19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1154430</wp:posOffset>
            </wp:positionV>
            <wp:extent cx="7168515" cy="4127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859790</wp:posOffset>
            </wp:positionV>
            <wp:extent cx="789305" cy="18923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Householding of Proxy Materials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SEC rules permit companies and intermediaries such as brokers to satisfy delivery requirements for proxy materials with respect to two or more stockholders sharing the same address by delivering a single set of proxy materials addressed to those stockholders. This process, which is commonly referred to as “householding,” provides cost savings for companies and helps the environment by conserving natural resources. Some brokers household proxy statements materials, by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separate proxy materials, or if your household is receiving multiple copies of these documents and you wish to request that future deliveries be limited to a single copy, please notify your broker, or the Company’s transfer agent, Broadridge Financial Solutions at (866) 540-7095 or in writing at Broadridge, Householding Department, 51 Mercedes Way, Edgewood, New York 11717.</w:t>
      </w:r>
    </w:p>
    <w:p>
      <w:pPr>
        <w:spacing w:after="0" w:line="174"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b w:val="1"/>
          <w:bCs w:val="1"/>
          <w:color w:val="auto"/>
        </w:rPr>
        <w:t>You can also request prompt delivery free of charge of a copy of this Proxy Statement and the Annual Report, including the financial statements and financial statement schedules, by contacting our Investor Relations Department by mail at Academy Sports and Outdoors, Inc., 1800 North Mason Road, Katy, Texas 77449, by email at investors@academy.com, or by telephone at (832) 739-4102.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1096010</wp:posOffset>
            </wp:positionV>
            <wp:extent cx="7168515" cy="4127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800735</wp:posOffset>
            </wp:positionV>
            <wp:extent cx="789305" cy="18923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9" w:name="page100"/>
    <w:bookmarkEnd w:id="99"/>
    <w:p>
      <w:pPr>
        <w:ind w:left="1"/>
        <w:spacing w:after="0"/>
        <w:rPr>
          <w:sz w:val="20"/>
          <w:szCs w:val="20"/>
          <w:color w:val="auto"/>
        </w:rPr>
      </w:pPr>
      <w:r>
        <w:rPr>
          <w:rFonts w:ascii="Arial" w:cs="Arial" w:eastAsia="Arial" w:hAnsi="Arial"/>
          <w:sz w:val="13"/>
          <w:szCs w:val="13"/>
          <w:b w:val="1"/>
          <w:bCs w:val="1"/>
          <w:color w:val="007EC4"/>
        </w:rPr>
        <w:t xml:space="preserve">94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
        <w:spacing w:after="0"/>
        <w:rPr>
          <w:sz w:val="20"/>
          <w:szCs w:val="20"/>
          <w:color w:val="auto"/>
        </w:rPr>
      </w:pPr>
      <w:r>
        <w:rPr>
          <w:rFonts w:ascii="Arial" w:cs="Arial" w:eastAsia="Arial" w:hAnsi="Arial"/>
          <w:sz w:val="45"/>
          <w:szCs w:val="45"/>
          <w:b w:val="1"/>
          <w:bCs w:val="1"/>
          <w:color w:val="1B4093"/>
        </w:rPr>
        <w:t>Other Business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
        <w:spacing w:after="0" w:line="310" w:lineRule="auto"/>
        <w:rPr>
          <w:sz w:val="20"/>
          <w:szCs w:val="20"/>
          <w:color w:val="auto"/>
        </w:rPr>
      </w:pPr>
      <w:r>
        <w:rPr>
          <w:rFonts w:ascii="Arial" w:cs="Arial" w:eastAsia="Arial" w:hAnsi="Arial"/>
          <w:sz w:val="15"/>
          <w:szCs w:val="15"/>
          <w:color w:val="auto"/>
        </w:rPr>
        <w:t>The Board does not know of any other matters to be brought before the Annual Meeting. If other matters are presented, the proxy holders have discretionary authority to vote all proxies in accordance with their best judgment.</w:t>
      </w:r>
    </w:p>
    <w:p>
      <w:pPr>
        <w:sectPr>
          <w:pgSz w:w="11900" w:h="16838" w:orient="portrait"/>
          <w:cols w:equalWidth="0" w:num="1">
            <w:col w:w="11081"/>
          </w:cols>
          <w:pgMar w:left="319" w:top="157" w:right="499" w:bottom="1440" w:gutter="0" w:footer="0" w:header="0"/>
        </w:sectPr>
      </w:pPr>
    </w:p>
    <w:p>
      <w:pPr>
        <w:spacing w:after="0" w:line="13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Voluntary Electronic Delivery of Proxy Materials</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HELP US REDUCE OUR ENVIRONMENTAL IMPACT</w:t>
      </w:r>
    </w:p>
    <w:p>
      <w:pPr>
        <w:spacing w:after="0" w:line="120" w:lineRule="exact"/>
        <w:rPr>
          <w:sz w:val="20"/>
          <w:szCs w:val="20"/>
          <w:color w:val="auto"/>
        </w:rPr>
      </w:pPr>
    </w:p>
    <w:p>
      <w:pPr>
        <w:ind w:left="1"/>
        <w:spacing w:after="0" w:line="293" w:lineRule="auto"/>
        <w:rPr>
          <w:sz w:val="20"/>
          <w:szCs w:val="20"/>
          <w:color w:val="auto"/>
        </w:rPr>
      </w:pPr>
      <w:r>
        <w:rPr>
          <w:rFonts w:ascii="Arial" w:cs="Arial" w:eastAsia="Arial" w:hAnsi="Arial"/>
          <w:sz w:val="15"/>
          <w:szCs w:val="15"/>
          <w:color w:val="auto"/>
        </w:rPr>
        <w:t>We encourage our stockholders to voluntarily elect to receive future proxy and annual report materials electronically to help contribute to our sustainability efforts.</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benefits include:</w:t>
      </w:r>
    </w:p>
    <w:p>
      <w:pPr>
        <w:spacing w:after="0" w:line="225" w:lineRule="exact"/>
        <w:rPr>
          <w:sz w:val="20"/>
          <w:szCs w:val="20"/>
          <w:color w:val="auto"/>
        </w:rPr>
      </w:pPr>
    </w:p>
    <w:p>
      <w:pPr>
        <w:ind w:left="201" w:hanging="201"/>
        <w:spacing w:after="0"/>
        <w:tabs>
          <w:tab w:leader="none" w:pos="201" w:val="left"/>
        </w:tabs>
        <w:numPr>
          <w:ilvl w:val="0"/>
          <w:numId w:val="95"/>
        </w:numPr>
        <w:rPr>
          <w:rFonts w:ascii="Arial" w:cs="Arial" w:eastAsia="Arial" w:hAnsi="Arial"/>
          <w:sz w:val="15"/>
          <w:szCs w:val="15"/>
          <w:color w:val="auto"/>
        </w:rPr>
      </w:pPr>
      <w:r>
        <w:rPr>
          <w:rFonts w:ascii="Arial" w:cs="Arial" w:eastAsia="Arial" w:hAnsi="Arial"/>
          <w:sz w:val="15"/>
          <w:szCs w:val="15"/>
          <w:color w:val="auto"/>
        </w:rPr>
        <w:t>you receive immediate and convenient access to the materials</w:t>
      </w:r>
    </w:p>
    <w:p>
      <w:pPr>
        <w:spacing w:after="0" w:line="125" w:lineRule="exact"/>
        <w:rPr>
          <w:rFonts w:ascii="Arial" w:cs="Arial" w:eastAsia="Arial" w:hAnsi="Arial"/>
          <w:sz w:val="15"/>
          <w:szCs w:val="15"/>
          <w:color w:val="auto"/>
        </w:rPr>
      </w:pPr>
    </w:p>
    <w:p>
      <w:pPr>
        <w:ind w:left="201" w:hanging="201"/>
        <w:spacing w:after="0"/>
        <w:tabs>
          <w:tab w:leader="none" w:pos="201" w:val="left"/>
        </w:tabs>
        <w:numPr>
          <w:ilvl w:val="0"/>
          <w:numId w:val="95"/>
        </w:numPr>
        <w:rPr>
          <w:rFonts w:ascii="Arial" w:cs="Arial" w:eastAsia="Arial" w:hAnsi="Arial"/>
          <w:sz w:val="15"/>
          <w:szCs w:val="15"/>
          <w:color w:val="auto"/>
        </w:rPr>
      </w:pPr>
      <w:r>
        <w:rPr>
          <w:rFonts w:ascii="Arial" w:cs="Arial" w:eastAsia="Arial" w:hAnsi="Arial"/>
          <w:sz w:val="15"/>
          <w:szCs w:val="15"/>
          <w:color w:val="auto"/>
        </w:rPr>
        <w:t>you can help reduce our impact on the environment</w:t>
      </w:r>
    </w:p>
    <w:p>
      <w:pPr>
        <w:spacing w:after="0" w:line="125" w:lineRule="exact"/>
        <w:rPr>
          <w:rFonts w:ascii="Arial" w:cs="Arial" w:eastAsia="Arial" w:hAnsi="Arial"/>
          <w:sz w:val="15"/>
          <w:szCs w:val="15"/>
          <w:color w:val="auto"/>
        </w:rPr>
      </w:pPr>
    </w:p>
    <w:p>
      <w:pPr>
        <w:ind w:left="201" w:hanging="201"/>
        <w:spacing w:after="0"/>
        <w:tabs>
          <w:tab w:leader="none" w:pos="201" w:val="left"/>
        </w:tabs>
        <w:numPr>
          <w:ilvl w:val="0"/>
          <w:numId w:val="95"/>
        </w:numPr>
        <w:rPr>
          <w:rFonts w:ascii="Arial" w:cs="Arial" w:eastAsia="Arial" w:hAnsi="Arial"/>
          <w:sz w:val="15"/>
          <w:szCs w:val="15"/>
          <w:color w:val="auto"/>
        </w:rPr>
      </w:pPr>
      <w:r>
        <w:rPr>
          <w:rFonts w:ascii="Arial" w:cs="Arial" w:eastAsia="Arial" w:hAnsi="Arial"/>
          <w:sz w:val="15"/>
          <w:szCs w:val="15"/>
          <w:color w:val="auto"/>
        </w:rPr>
        <w:t>you can help reduce our printing and mailing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2045335</wp:posOffset>
            </wp:positionV>
            <wp:extent cx="789305" cy="18923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How to enroll: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-191770</wp:posOffset>
            </wp:positionV>
            <wp:extent cx="3417570" cy="260477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3417570" cy="260477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Registered Stockholders</w:t>
      </w:r>
    </w:p>
    <w:p>
      <w:pPr>
        <w:spacing w:after="0" w:line="31" w:lineRule="exact"/>
        <w:rPr>
          <w:sz w:val="20"/>
          <w:szCs w:val="20"/>
          <w:color w:val="auto"/>
        </w:rPr>
      </w:pPr>
    </w:p>
    <w:p>
      <w:pPr>
        <w:ind w:right="440"/>
        <w:spacing w:after="0" w:line="305" w:lineRule="auto"/>
        <w:rPr>
          <w:sz w:val="20"/>
          <w:szCs w:val="20"/>
          <w:color w:val="auto"/>
        </w:rPr>
      </w:pPr>
      <w:r>
        <w:rPr>
          <w:rFonts w:ascii="Arial" w:cs="Arial" w:eastAsia="Arial" w:hAnsi="Arial"/>
          <w:sz w:val="15"/>
          <w:szCs w:val="15"/>
          <w:color w:val="auto"/>
        </w:rPr>
        <w:t>(You will need the 16-digit control number included on your proxy card to enroll.)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1120" w:type="dxa"/>
            <w:vAlign w:val="bottom"/>
            <w:tcBorders>
              <w:bottom w:val="single" w:sz="8" w:color="B6B6B6"/>
            </w:tcBorders>
            <w:shd w:val="clear" w:color="auto" w:fill="DBDBDB"/>
          </w:tcPr>
          <w:p>
            <w:pPr>
              <w:spacing w:after="0"/>
              <w:rPr>
                <w:sz w:val="7"/>
                <w:szCs w:val="7"/>
                <w:color w:val="auto"/>
              </w:rPr>
            </w:pPr>
          </w:p>
        </w:tc>
        <w:tc>
          <w:tcPr>
            <w:tcW w:w="220" w:type="dxa"/>
            <w:vAlign w:val="bottom"/>
            <w:tcBorders>
              <w:bottom w:val="single" w:sz="8" w:color="B6B6B6"/>
            </w:tcBorders>
          </w:tcPr>
          <w:p>
            <w:pPr>
              <w:spacing w:after="0"/>
              <w:rPr>
                <w:sz w:val="7"/>
                <w:szCs w:val="7"/>
                <w:color w:val="auto"/>
              </w:rPr>
            </w:pPr>
          </w:p>
        </w:tc>
        <w:tc>
          <w:tcPr>
            <w:tcW w:w="3760" w:type="dxa"/>
            <w:vAlign w:val="bottom"/>
            <w:tcBorders>
              <w:bottom w:val="single" w:sz="8" w:color="DBDBDB"/>
            </w:tcBorders>
          </w:tcPr>
          <w:p>
            <w:pPr>
              <w:spacing w:after="0"/>
              <w:rPr>
                <w:sz w:val="7"/>
                <w:szCs w:val="7"/>
                <w:color w:val="auto"/>
              </w:rPr>
            </w:pPr>
          </w:p>
        </w:tc>
      </w:tr>
      <w:tr>
        <w:trPr>
          <w:trHeight w:val="333"/>
        </w:trPr>
        <w:tc>
          <w:tcPr>
            <w:tcW w:w="112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5"/>
                <w:szCs w:val="15"/>
                <w:b w:val="1"/>
                <w:bCs w:val="1"/>
                <w:color w:val="EF3B35"/>
              </w:rPr>
              <w:t>Internet</w:t>
            </w:r>
          </w:p>
        </w:tc>
      </w:tr>
      <w:tr>
        <w:trPr>
          <w:trHeight w:val="174"/>
        </w:trPr>
        <w:tc>
          <w:tcPr>
            <w:tcW w:w="1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3"/>
                <w:szCs w:val="13"/>
                <w:color w:val="auto"/>
              </w:rPr>
              <w:t>www.proxyvote.com or QR code provided</w:t>
            </w:r>
          </w:p>
        </w:tc>
      </w:tr>
      <w:tr>
        <w:trPr>
          <w:trHeight w:val="207"/>
        </w:trPr>
        <w:tc>
          <w:tcPr>
            <w:tcW w:w="1120" w:type="dxa"/>
            <w:vAlign w:val="bottom"/>
            <w:tcBorders>
              <w:bottom w:val="single" w:sz="8" w:color="B6B6B6"/>
            </w:tcBorders>
            <w:shd w:val="clear" w:color="auto" w:fill="DBDBDB"/>
          </w:tcPr>
          <w:p>
            <w:pPr>
              <w:spacing w:after="0"/>
              <w:rPr>
                <w:sz w:val="17"/>
                <w:szCs w:val="17"/>
                <w:color w:val="auto"/>
              </w:rPr>
            </w:pPr>
          </w:p>
        </w:tc>
        <w:tc>
          <w:tcPr>
            <w:tcW w:w="220" w:type="dxa"/>
            <w:vAlign w:val="bottom"/>
            <w:tcBorders>
              <w:bottom w:val="single" w:sz="8" w:color="B6B6B6"/>
            </w:tcBorders>
            <w:shd w:val="clear" w:color="auto" w:fill="DBDBDB"/>
          </w:tcPr>
          <w:p>
            <w:pPr>
              <w:spacing w:after="0"/>
              <w:rPr>
                <w:sz w:val="17"/>
                <w:szCs w:val="17"/>
                <w:color w:val="auto"/>
              </w:rPr>
            </w:pPr>
          </w:p>
        </w:tc>
        <w:tc>
          <w:tcPr>
            <w:tcW w:w="3760" w:type="dxa"/>
            <w:vAlign w:val="bottom"/>
            <w:tcBorders>
              <w:bottom w:val="single" w:sz="8" w:color="B6B6B6"/>
            </w:tcBorders>
            <w:shd w:val="clear" w:color="auto" w:fill="DBDBDB"/>
          </w:tcPr>
          <w:p>
            <w:pPr>
              <w:spacing w:after="0"/>
              <w:rPr>
                <w:sz w:val="17"/>
                <w:szCs w:val="17"/>
                <w:color w:val="auto"/>
              </w:rPr>
            </w:pPr>
          </w:p>
        </w:tc>
      </w:tr>
      <w:tr>
        <w:trPr>
          <w:trHeight w:val="258"/>
        </w:trPr>
        <w:tc>
          <w:tcPr>
            <w:tcW w:w="112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5"/>
                <w:szCs w:val="15"/>
                <w:b w:val="1"/>
                <w:bCs w:val="1"/>
                <w:color w:val="EF3B35"/>
              </w:rPr>
              <w:t>Email</w:t>
            </w:r>
          </w:p>
        </w:tc>
      </w:tr>
      <w:tr>
        <w:trPr>
          <w:trHeight w:val="174"/>
        </w:trPr>
        <w:tc>
          <w:tcPr>
            <w:tcW w:w="1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3"/>
                <w:szCs w:val="13"/>
                <w:color w:val="auto"/>
              </w:rPr>
              <w:t>Send a blank email with your control number in the subject line</w:t>
            </w:r>
          </w:p>
        </w:tc>
      </w:tr>
      <w:tr>
        <w:trPr>
          <w:trHeight w:val="174"/>
        </w:trPr>
        <w:tc>
          <w:tcPr>
            <w:tcW w:w="1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3"/>
                <w:szCs w:val="13"/>
                <w:color w:val="auto"/>
              </w:rPr>
              <w:t>to: sendmaterial@proxyvote.com</w:t>
            </w:r>
          </w:p>
        </w:tc>
      </w:tr>
      <w:tr>
        <w:trPr>
          <w:trHeight w:val="120"/>
        </w:trPr>
        <w:tc>
          <w:tcPr>
            <w:tcW w:w="1120" w:type="dxa"/>
            <w:vAlign w:val="bottom"/>
            <w:tcBorders>
              <w:bottom w:val="single" w:sz="8" w:color="B6B6B6"/>
            </w:tcBorders>
            <w:shd w:val="clear" w:color="auto" w:fill="DBDBDB"/>
          </w:tcPr>
          <w:p>
            <w:pPr>
              <w:spacing w:after="0"/>
              <w:rPr>
                <w:sz w:val="10"/>
                <w:szCs w:val="10"/>
                <w:color w:val="auto"/>
              </w:rPr>
            </w:pPr>
          </w:p>
        </w:tc>
        <w:tc>
          <w:tcPr>
            <w:tcW w:w="220" w:type="dxa"/>
            <w:vAlign w:val="bottom"/>
            <w:tcBorders>
              <w:bottom w:val="single" w:sz="8" w:color="B6B6B6"/>
            </w:tcBorders>
            <w:shd w:val="clear" w:color="auto" w:fill="DBDBDB"/>
          </w:tcPr>
          <w:p>
            <w:pPr>
              <w:spacing w:after="0"/>
              <w:rPr>
                <w:sz w:val="10"/>
                <w:szCs w:val="10"/>
                <w:color w:val="auto"/>
              </w:rPr>
            </w:pPr>
          </w:p>
        </w:tc>
        <w:tc>
          <w:tcPr>
            <w:tcW w:w="3760" w:type="dxa"/>
            <w:vAlign w:val="bottom"/>
            <w:tcBorders>
              <w:bottom w:val="single" w:sz="8" w:color="B6B6B6"/>
            </w:tcBorders>
            <w:shd w:val="clear" w:color="auto" w:fill="DBDBDB"/>
          </w:tcPr>
          <w:p>
            <w:pPr>
              <w:spacing w:after="0"/>
              <w:rPr>
                <w:sz w:val="10"/>
                <w:szCs w:val="10"/>
                <w:color w:val="auto"/>
              </w:rPr>
            </w:pPr>
          </w:p>
        </w:tc>
      </w:tr>
      <w:tr>
        <w:trPr>
          <w:trHeight w:val="333"/>
        </w:trPr>
        <w:tc>
          <w:tcPr>
            <w:tcW w:w="112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5"/>
                <w:szCs w:val="15"/>
                <w:b w:val="1"/>
                <w:bCs w:val="1"/>
                <w:color w:val="EF3B35"/>
              </w:rPr>
              <w:t>Telephone</w:t>
            </w:r>
          </w:p>
        </w:tc>
      </w:tr>
      <w:tr>
        <w:trPr>
          <w:trHeight w:val="174"/>
        </w:trPr>
        <w:tc>
          <w:tcPr>
            <w:tcW w:w="1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3"/>
                <w:szCs w:val="13"/>
                <w:color w:val="auto"/>
              </w:rPr>
              <w:t>1-800-579-1639</w:t>
            </w:r>
          </w:p>
        </w:tc>
      </w:tr>
      <w:tr>
        <w:trPr>
          <w:trHeight w:val="207"/>
        </w:trPr>
        <w:tc>
          <w:tcPr>
            <w:tcW w:w="1120" w:type="dxa"/>
            <w:vAlign w:val="bottom"/>
            <w:tcBorders>
              <w:bottom w:val="single" w:sz="8" w:color="B6B6B6"/>
            </w:tcBorders>
            <w:shd w:val="clear" w:color="auto" w:fill="DBDBDB"/>
          </w:tcPr>
          <w:p>
            <w:pPr>
              <w:spacing w:after="0"/>
              <w:rPr>
                <w:sz w:val="17"/>
                <w:szCs w:val="17"/>
                <w:color w:val="auto"/>
              </w:rPr>
            </w:pPr>
          </w:p>
        </w:tc>
        <w:tc>
          <w:tcPr>
            <w:tcW w:w="220" w:type="dxa"/>
            <w:vAlign w:val="bottom"/>
            <w:tcBorders>
              <w:bottom w:val="single" w:sz="8" w:color="B6B6B6"/>
            </w:tcBorders>
            <w:shd w:val="clear" w:color="auto" w:fill="DBDBDB"/>
          </w:tcPr>
          <w:p>
            <w:pPr>
              <w:spacing w:after="0"/>
              <w:rPr>
                <w:sz w:val="17"/>
                <w:szCs w:val="17"/>
                <w:color w:val="auto"/>
              </w:rPr>
            </w:pPr>
          </w:p>
        </w:tc>
        <w:tc>
          <w:tcPr>
            <w:tcW w:w="3760" w:type="dxa"/>
            <w:vAlign w:val="bottom"/>
            <w:tcBorders>
              <w:bottom w:val="single" w:sz="8" w:color="B6B6B6"/>
            </w:tcBorders>
            <w:shd w:val="clear" w:color="auto" w:fill="DBDBDB"/>
          </w:tcPr>
          <w:p>
            <w:pPr>
              <w:spacing w:after="0"/>
              <w:rPr>
                <w:sz w:val="17"/>
                <w:szCs w:val="17"/>
                <w:color w:val="auto"/>
              </w:rPr>
            </w:pPr>
          </w:p>
        </w:tc>
      </w:tr>
      <w:tr>
        <w:trPr>
          <w:trHeight w:val="266"/>
        </w:trPr>
        <w:tc>
          <w:tcPr>
            <w:tcW w:w="112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007EC4"/>
                <w:w w:val="98"/>
              </w:rPr>
              <w:t>Beneficial</w:t>
            </w:r>
          </w:p>
        </w:tc>
        <w:tc>
          <w:tcPr>
            <w:tcW w:w="220" w:type="dxa"/>
            <w:vAlign w:val="bottom"/>
            <w:shd w:val="clear" w:color="auto" w:fill="DBDBDB"/>
          </w:tcPr>
          <w:p>
            <w:pPr>
              <w:spacing w:after="0"/>
              <w:rPr>
                <w:sz w:val="23"/>
                <w:szCs w:val="23"/>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5"/>
                <w:szCs w:val="15"/>
                <w:b w:val="1"/>
                <w:bCs w:val="1"/>
                <w:color w:val="EF3B35"/>
              </w:rPr>
              <w:t>Contact</w:t>
            </w:r>
          </w:p>
        </w:tc>
      </w:tr>
      <w:tr>
        <w:trPr>
          <w:trHeight w:val="203"/>
        </w:trPr>
        <w:tc>
          <w:tcPr>
            <w:tcW w:w="112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007EC4"/>
                <w:w w:val="98"/>
              </w:rPr>
              <w:t>Owners</w:t>
            </w:r>
          </w:p>
        </w:tc>
        <w:tc>
          <w:tcPr>
            <w:tcW w:w="220" w:type="dxa"/>
            <w:vAlign w:val="bottom"/>
            <w:shd w:val="clear" w:color="auto" w:fill="DBDBDB"/>
          </w:tcPr>
          <w:p>
            <w:pPr>
              <w:spacing w:after="0"/>
              <w:rPr>
                <w:sz w:val="17"/>
                <w:szCs w:val="17"/>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3"/>
                <w:szCs w:val="13"/>
                <w:color w:val="auto"/>
              </w:rPr>
              <w:t>Contact your bank, broker or other nominee to enroll.</w:t>
            </w:r>
          </w:p>
        </w:tc>
      </w:tr>
      <w:tr>
        <w:trPr>
          <w:trHeight w:val="120"/>
        </w:trPr>
        <w:tc>
          <w:tcPr>
            <w:tcW w:w="1120" w:type="dxa"/>
            <w:vAlign w:val="bottom"/>
            <w:shd w:val="clear" w:color="auto" w:fill="DBDBDB"/>
          </w:tcPr>
          <w:p>
            <w:pPr>
              <w:spacing w:after="0"/>
              <w:rPr>
                <w:sz w:val="10"/>
                <w:szCs w:val="10"/>
                <w:color w:val="auto"/>
              </w:rPr>
            </w:pPr>
          </w:p>
        </w:tc>
        <w:tc>
          <w:tcPr>
            <w:tcW w:w="220" w:type="dxa"/>
            <w:vAlign w:val="bottom"/>
            <w:shd w:val="clear" w:color="auto" w:fill="DBDBDB"/>
          </w:tcPr>
          <w:p>
            <w:pPr>
              <w:spacing w:after="0"/>
              <w:rPr>
                <w:sz w:val="10"/>
                <w:szCs w:val="10"/>
                <w:color w:val="auto"/>
              </w:rPr>
            </w:pPr>
          </w:p>
        </w:tc>
        <w:tc>
          <w:tcPr>
            <w:tcW w:w="3760" w:type="dxa"/>
            <w:vAlign w:val="bottom"/>
            <w:shd w:val="clear" w:color="auto" w:fill="DBDBDB"/>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1163320</wp:posOffset>
            </wp:positionV>
            <wp:extent cx="7168515" cy="4127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5141" w:space="720"/>
            <w:col w:w="5220"/>
          </w:cols>
          <w:pgMar w:left="319" w:top="157" w:right="49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Annex A</w:t>
      </w:r>
    </w:p>
    <w:p>
      <w:pPr>
        <w:spacing w:after="0" w:line="99" w:lineRule="exact"/>
        <w:rPr>
          <w:sz w:val="20"/>
          <w:szCs w:val="20"/>
          <w:color w:val="auto"/>
        </w:rPr>
      </w:pPr>
    </w:p>
    <w:p>
      <w:pPr>
        <w:ind w:right="280"/>
        <w:spacing w:after="0" w:line="275" w:lineRule="auto"/>
        <w:rPr>
          <w:sz w:val="20"/>
          <w:szCs w:val="20"/>
          <w:color w:val="auto"/>
        </w:rPr>
      </w:pPr>
      <w:r>
        <w:rPr>
          <w:rFonts w:ascii="Arial" w:cs="Arial" w:eastAsia="Arial" w:hAnsi="Arial"/>
          <w:sz w:val="45"/>
          <w:szCs w:val="45"/>
          <w:b w:val="1"/>
          <w:bCs w:val="1"/>
          <w:color w:val="1B4093"/>
        </w:rPr>
        <w:t>Amendment to the Company’s Amended and Restated Certificate of Incorporation to Remove the Supermajority Voting Requirements for Stockholders to Amend the Company’s Amended and Restated Bylaws and Certain Provisions of the Company’s Amended and Restated Certificate of Incorporation</w:t>
      </w:r>
    </w:p>
    <w:p>
      <w:pPr>
        <w:spacing w:after="0" w:line="200" w:lineRule="exact"/>
        <w:rPr>
          <w:sz w:val="20"/>
          <w:szCs w:val="20"/>
          <w:color w:val="auto"/>
        </w:rPr>
      </w:pPr>
    </w:p>
    <w:p>
      <w:pPr>
        <w:spacing w:after="0" w:line="269" w:lineRule="exact"/>
        <w:rPr>
          <w:sz w:val="20"/>
          <w:szCs w:val="20"/>
          <w:color w:val="auto"/>
        </w:rPr>
      </w:pPr>
    </w:p>
    <w:p>
      <w:pPr>
        <w:ind w:right="180"/>
        <w:spacing w:after="0" w:line="250" w:lineRule="auto"/>
        <w:rPr>
          <w:sz w:val="20"/>
          <w:szCs w:val="20"/>
          <w:color w:val="auto"/>
        </w:rPr>
      </w:pPr>
      <w:r>
        <w:rPr>
          <w:rFonts w:ascii="Arial" w:cs="Arial" w:eastAsia="Arial" w:hAnsi="Arial"/>
          <w:sz w:val="15"/>
          <w:szCs w:val="15"/>
          <w:color w:val="auto"/>
        </w:rPr>
        <w:t xml:space="preserve">Subject to approval by the requisite vote of stockholders of the Company, Articles IV and V of the Certificate of Incorporation would be amended to read in its entirety as follows, with additions to the Certificate of Incorporation indicated in blue text with </w:t>
      </w:r>
      <w:r>
        <w:rPr>
          <w:rFonts w:ascii="Arial" w:cs="Arial" w:eastAsia="Arial" w:hAnsi="Arial"/>
          <w:sz w:val="15"/>
          <w:szCs w:val="15"/>
          <w:u w:val="single" w:color="auto"/>
          <w:color w:val="3051F2"/>
        </w:rPr>
        <w:t>underlining</w:t>
      </w:r>
      <w:r>
        <w:rPr>
          <w:rFonts w:ascii="Arial" w:cs="Arial" w:eastAsia="Arial" w:hAnsi="Arial"/>
          <w:sz w:val="15"/>
          <w:szCs w:val="15"/>
          <w:color w:val="auto"/>
        </w:rPr>
        <w:t xml:space="preserve"> and deletions to the Certificate of Incorporation indicated in red text with </w:t>
      </w:r>
      <w:r>
        <w:rPr>
          <w:rFonts w:ascii="Arial" w:cs="Arial" w:eastAsia="Arial" w:hAnsi="Arial"/>
          <w:sz w:val="15"/>
          <w:szCs w:val="15"/>
          <w:color w:val="EE2724"/>
          <w:strike w:val="1"/>
        </w:rPr>
        <w:t>strikeouts</w:t>
      </w:r>
      <w:r>
        <w:rPr>
          <w:rFonts w:ascii="Arial" w:cs="Arial" w:eastAsia="Arial" w:hAnsi="Arial"/>
          <w:sz w:val="15"/>
          <w:szCs w:val="15"/>
          <w:color w:val="000000"/>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total number of shares of all classes of stock that the Corporation shall have authority to issue is 350,000,000, which shall be divided into two classes as follows:</w:t>
      </w:r>
    </w:p>
    <w:p>
      <w:pPr>
        <w:spacing w:after="0" w:line="126" w:lineRule="exact"/>
        <w:rPr>
          <w:sz w:val="20"/>
          <w:szCs w:val="20"/>
          <w:color w:val="auto"/>
        </w:rPr>
      </w:pPr>
    </w:p>
    <w:p>
      <w:pPr>
        <w:ind w:right="5380"/>
        <w:spacing w:after="0" w:line="432" w:lineRule="auto"/>
        <w:rPr>
          <w:sz w:val="20"/>
          <w:szCs w:val="20"/>
          <w:color w:val="auto"/>
        </w:rPr>
      </w:pPr>
      <w:r>
        <w:rPr>
          <w:rFonts w:ascii="Arial" w:cs="Arial" w:eastAsia="Arial" w:hAnsi="Arial"/>
          <w:sz w:val="15"/>
          <w:szCs w:val="15"/>
          <w:color w:val="auto"/>
        </w:rPr>
        <w:t>300,000,000 shares of common stock, par value $0.01 per share (“Common Stock”); and 50,000,000 shares of preferred stock, par value $0.01 per share (“Preferred Stock”). I. Capital Stock.</w:t>
      </w:r>
    </w:p>
    <w:p>
      <w:pPr>
        <w:spacing w:after="0" w:line="63" w:lineRule="exact"/>
        <w:rPr>
          <w:sz w:val="20"/>
          <w:szCs w:val="20"/>
          <w:color w:val="auto"/>
        </w:rPr>
      </w:pPr>
    </w:p>
    <w:p>
      <w:pPr>
        <w:ind w:right="560"/>
        <w:spacing w:after="0" w:line="310" w:lineRule="auto"/>
        <w:rPr>
          <w:sz w:val="20"/>
          <w:szCs w:val="20"/>
          <w:color w:val="auto"/>
        </w:rPr>
      </w:pPr>
      <w:r>
        <w:rPr>
          <w:rFonts w:ascii="Arial" w:cs="Arial" w:eastAsia="Arial" w:hAnsi="Arial"/>
          <w:sz w:val="15"/>
          <w:szCs w:val="15"/>
          <w:color w:val="auto"/>
        </w:rPr>
        <w:t>A. Common Stock and Preferred Stock may be issued from time to time by the Corporation for such consideration as may be fixed by the Board of Directors of the Corporation (the “Board of Directors”). The Board of Directors is hereby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68515" cy="4127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703580</wp:posOffset>
            </wp:positionV>
            <wp:extent cx="789305" cy="18923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color w:val="007EC4"/>
        </w:rPr>
        <w:t xml:space="preserve">A-2 </w:t>
      </w:r>
      <w:r>
        <w:rPr>
          <w:rFonts w:ascii="Arial" w:cs="Arial" w:eastAsia="Arial" w:hAnsi="Arial"/>
          <w:sz w:val="13"/>
          <w:szCs w:val="13"/>
          <w:color w:val="000000"/>
        </w:rPr>
        <w:t>Academy Sports and Outdoors, Inc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authorized, by resolution or resolutions, to provide, out of the unissued shares of Preferred Stock, for one or more series of Preferred Stock and, with respect to each such series, to fix, without further stockholder approval, the designation of such series, the powers (including voting powers), preferences and relative, participating, optional and other special rights, and the qualifications, limitations or restrictions thereof, of such series of Preferred Stock and the number of shares of such series, which number the Board of Directors may, except where otherwise provided in the designation of such series, increase (but not above the total number of authorized shares of Preferred Stock) or decrease (but not below the number of shares of such series then outstanding)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17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B. 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 relating to any series of Preferred Stock) or pursuant to the DGCL.</w:t>
      </w:r>
    </w:p>
    <w:p>
      <w:pPr>
        <w:spacing w:after="0" w:line="172"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C. Except as otherwise required by law, holders of any series of Preferred Stock shall be entitled to only such voting rights, if any, as shall expressly be granted thereto by this Amended and Restated Certificate of Incorporation (including any certificate of designation relating to such series of Preferred Stock).</w:t>
      </w:r>
    </w:p>
    <w:p>
      <w:pPr>
        <w:spacing w:after="0" w:line="151" w:lineRule="exact"/>
        <w:rPr>
          <w:sz w:val="20"/>
          <w:szCs w:val="20"/>
          <w:color w:val="auto"/>
        </w:rPr>
      </w:pPr>
    </w:p>
    <w:p>
      <w:pPr>
        <w:ind w:right="220"/>
        <w:spacing w:after="0" w:line="293" w:lineRule="auto"/>
        <w:rPr>
          <w:sz w:val="20"/>
          <w:szCs w:val="20"/>
          <w:color w:val="auto"/>
        </w:rPr>
      </w:pPr>
      <w:r>
        <w:rPr>
          <w:rFonts w:ascii="Arial" w:cs="Arial" w:eastAsia="Arial" w:hAnsi="Arial"/>
          <w:sz w:val="15"/>
          <w:szCs w:val="15"/>
          <w:color w:val="auto"/>
        </w:rPr>
        <w:t>D. 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E. 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169" w:lineRule="exact"/>
        <w:rPr>
          <w:sz w:val="20"/>
          <w:szCs w:val="20"/>
          <w:color w:val="auto"/>
        </w:rPr>
      </w:pPr>
    </w:p>
    <w:p>
      <w:pPr>
        <w:ind w:right="120"/>
        <w:spacing w:after="0" w:line="285" w:lineRule="auto"/>
        <w:rPr>
          <w:sz w:val="20"/>
          <w:szCs w:val="20"/>
          <w:color w:val="auto"/>
        </w:rPr>
      </w:pPr>
      <w:r>
        <w:rPr>
          <w:rFonts w:ascii="Arial" w:cs="Arial" w:eastAsia="Arial" w:hAnsi="Arial"/>
          <w:sz w:val="15"/>
          <w:szCs w:val="15"/>
          <w:color w:val="auto"/>
        </w:rPr>
        <w:t xml:space="preserve">F. The number of authorized shares of Preferred Stock or Common Stock may be increased or decreased (but not below the number of shares thereof then outstanding) </w:t>
      </w:r>
      <w:r>
        <w:rPr>
          <w:rFonts w:ascii="Arial" w:cs="Arial" w:eastAsia="Arial" w:hAnsi="Arial"/>
          <w:sz w:val="15"/>
          <w:szCs w:val="15"/>
          <w:color w:val="EE2724"/>
          <w:strike w:val="1"/>
        </w:rPr>
        <w:t>by the affirmative</w:t>
      </w:r>
      <w:r>
        <w:rPr>
          <w:rFonts w:ascii="Arial" w:cs="Arial" w:eastAsia="Arial" w:hAnsi="Arial"/>
          <w:sz w:val="15"/>
          <w:szCs w:val="15"/>
          <w:color w:val="EE2724"/>
        </w:rPr>
        <w:t xml:space="preserve"> </w:t>
      </w:r>
      <w:r>
        <w:rPr>
          <w:rFonts w:ascii="Arial" w:cs="Arial" w:eastAsia="Arial" w:hAnsi="Arial"/>
          <w:sz w:val="15"/>
          <w:szCs w:val="15"/>
          <w:u w:val="single" w:color="auto"/>
          <w:color w:val="3051F2"/>
        </w:rPr>
        <w:t>without a separate class</w:t>
      </w:r>
      <w:r>
        <w:rPr>
          <w:rFonts w:ascii="Arial" w:cs="Arial" w:eastAsia="Arial" w:hAnsi="Arial"/>
          <w:sz w:val="15"/>
          <w:szCs w:val="15"/>
          <w:color w:val="EE2724"/>
        </w:rPr>
        <w:t xml:space="preserve"> </w:t>
      </w:r>
      <w:r>
        <w:rPr>
          <w:rFonts w:ascii="Arial" w:cs="Arial" w:eastAsia="Arial" w:hAnsi="Arial"/>
          <w:sz w:val="15"/>
          <w:szCs w:val="15"/>
          <w:color w:val="000000"/>
        </w:rPr>
        <w:t>vote of the holders of</w:t>
      </w:r>
      <w:r>
        <w:rPr>
          <w:rFonts w:ascii="Arial" w:cs="Arial" w:eastAsia="Arial" w:hAnsi="Arial"/>
          <w:sz w:val="15"/>
          <w:szCs w:val="15"/>
          <w:color w:val="EE2724"/>
        </w:rPr>
        <w:t xml:space="preserve"> </w:t>
      </w:r>
      <w:r>
        <w:rPr>
          <w:rFonts w:ascii="Arial" w:cs="Arial" w:eastAsia="Arial" w:hAnsi="Arial"/>
          <w:sz w:val="15"/>
          <w:szCs w:val="15"/>
          <w:color w:val="EE2724"/>
          <w:strike w:val="1"/>
        </w:rPr>
        <w:t>a majority in voting power of the stock of the Corporation entitled to vote thereon</w:t>
      </w:r>
      <w:r>
        <w:rPr>
          <w:rFonts w:ascii="Arial" w:cs="Arial" w:eastAsia="Arial" w:hAnsi="Arial"/>
          <w:sz w:val="15"/>
          <w:szCs w:val="15"/>
          <w:color w:val="EE2724"/>
        </w:rPr>
        <w:t xml:space="preserve"> </w:t>
      </w:r>
      <w:r>
        <w:rPr>
          <w:rFonts w:ascii="Arial" w:cs="Arial" w:eastAsia="Arial" w:hAnsi="Arial"/>
          <w:sz w:val="15"/>
          <w:szCs w:val="15"/>
          <w:u w:val="single" w:color="auto"/>
          <w:color w:val="3051F2"/>
        </w:rPr>
        <w:t>shares of Common</w:t>
      </w:r>
      <w:r>
        <w:rPr>
          <w:rFonts w:ascii="Arial" w:cs="Arial" w:eastAsia="Arial" w:hAnsi="Arial"/>
          <w:sz w:val="15"/>
          <w:szCs w:val="15"/>
          <w:color w:val="EE2724"/>
        </w:rPr>
        <w:t xml:space="preserve"> </w:t>
      </w:r>
      <w:r>
        <w:rPr>
          <w:rFonts w:ascii="Arial" w:cs="Arial" w:eastAsia="Arial" w:hAnsi="Arial"/>
          <w:sz w:val="15"/>
          <w:szCs w:val="15"/>
          <w:u w:val="single" w:color="auto"/>
          <w:color w:val="3051F2"/>
        </w:rPr>
        <w:t>Stock or Preferred Stock</w:t>
      </w:r>
      <w:r>
        <w:rPr>
          <w:rFonts w:ascii="Arial" w:cs="Arial" w:eastAsia="Arial" w:hAnsi="Arial"/>
          <w:sz w:val="15"/>
          <w:szCs w:val="15"/>
          <w:color w:val="3051F2"/>
        </w:rPr>
        <w:t xml:space="preserve"> </w:t>
      </w:r>
      <w:r>
        <w:rPr>
          <w:rFonts w:ascii="Arial" w:cs="Arial" w:eastAsia="Arial" w:hAnsi="Arial"/>
          <w:sz w:val="15"/>
          <w:szCs w:val="15"/>
          <w:color w:val="000000"/>
        </w:rPr>
        <w:t>irrespective of the provisions of Section 242(b)(2) of the DGCL (or any successor provision thereto)</w:t>
      </w:r>
      <w:r>
        <w:rPr>
          <w:rFonts w:ascii="Arial" w:cs="Arial" w:eastAsia="Arial" w:hAnsi="Arial"/>
          <w:sz w:val="15"/>
          <w:szCs w:val="15"/>
          <w:color w:val="EE2724"/>
          <w:strike w:val="1"/>
        </w:rPr>
        <w:t>, and no vote of the holders of any of the</w:t>
      </w:r>
      <w:r>
        <w:rPr>
          <w:rFonts w:ascii="Arial" w:cs="Arial" w:eastAsia="Arial" w:hAnsi="Arial"/>
          <w:sz w:val="15"/>
          <w:szCs w:val="15"/>
          <w:color w:val="3051F2"/>
        </w:rPr>
        <w:t xml:space="preserve"> </w:t>
      </w:r>
      <w:r>
        <w:rPr>
          <w:rFonts w:ascii="Arial" w:cs="Arial" w:eastAsia="Arial" w:hAnsi="Arial"/>
          <w:sz w:val="15"/>
          <w:szCs w:val="15"/>
          <w:color w:val="EE2724"/>
          <w:strike w:val="1"/>
        </w:rPr>
        <w:t>Common Stock or the Preferred Stock voting separately as a class shall be required therefor</w:t>
      </w:r>
      <w:r>
        <w:rPr>
          <w:rFonts w:ascii="Arial" w:cs="Arial" w:eastAsia="Arial" w:hAnsi="Arial"/>
          <w:sz w:val="15"/>
          <w:szCs w:val="15"/>
          <w:color w:val="000000"/>
        </w:rPr>
        <w:t>, unless a vote of any such holder is required pursuant to this Amended and</w:t>
      </w:r>
      <w:r>
        <w:rPr>
          <w:rFonts w:ascii="Arial" w:cs="Arial" w:eastAsia="Arial" w:hAnsi="Arial"/>
          <w:sz w:val="15"/>
          <w:szCs w:val="15"/>
          <w:color w:val="EE2724"/>
        </w:rPr>
        <w:t xml:space="preserve"> </w:t>
      </w:r>
      <w:r>
        <w:rPr>
          <w:rFonts w:ascii="Arial" w:cs="Arial" w:eastAsia="Arial" w:hAnsi="Arial"/>
          <w:sz w:val="15"/>
          <w:szCs w:val="15"/>
          <w:color w:val="000000"/>
        </w:rPr>
        <w:t>Restated Certificate of Incorporation (including any certificate of designation relating to any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1010285</wp:posOffset>
            </wp:positionV>
            <wp:extent cx="7168515" cy="4127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715010</wp:posOffset>
            </wp:positionV>
            <wp:extent cx="789305" cy="18923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AMENDMENT OF THE CERTIFICATE OF INCORPORATION AND BYLAWS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color w:val="EE2724"/>
          <w:strike w:val="1"/>
        </w:rPr>
        <w:t>For so long as KKR (as defined below) beneficially owns, in the aggregate, at least 40% in voting power of the stock of the Corporation entitled to vote generally in the</w:t>
      </w:r>
      <w:r>
        <w:rPr>
          <w:rFonts w:ascii="Arial" w:cs="Arial" w:eastAsia="Arial" w:hAnsi="Arial"/>
          <w:sz w:val="14"/>
          <w:szCs w:val="14"/>
          <w:color w:val="auto"/>
        </w:rPr>
        <w:t xml:space="preserve"> </w:t>
      </w:r>
      <w:r>
        <w:rPr>
          <w:rFonts w:ascii="Arial" w:cs="Arial" w:eastAsia="Arial" w:hAnsi="Arial"/>
          <w:sz w:val="14"/>
          <w:szCs w:val="14"/>
          <w:color w:val="EE2724"/>
          <w:strike w:val="1"/>
        </w:rPr>
        <w:t>election of directors, in addition to any vote required by applicable law,</w:t>
      </w:r>
      <w:r>
        <w:rPr>
          <w:rFonts w:ascii="Arial" w:cs="Arial" w:eastAsia="Arial" w:hAnsi="Arial"/>
          <w:sz w:val="14"/>
          <w:szCs w:val="14"/>
          <w:u w:val="single" w:color="auto"/>
          <w:color w:val="3051F2"/>
          <w:strike w:val="1"/>
        </w:rPr>
        <w:t>The Corporation reserves the right at any time, and from time to time, to alter, amend, repeal or</w:t>
      </w:r>
      <w:r>
        <w:rPr>
          <w:rFonts w:ascii="Arial" w:cs="Arial" w:eastAsia="Arial" w:hAnsi="Arial"/>
          <w:sz w:val="14"/>
          <w:szCs w:val="14"/>
          <w:color w:val="EE2724"/>
          <w:strike w:val="1"/>
        </w:rPr>
        <w:t xml:space="preserve"> </w:t>
      </w:r>
      <w:r>
        <w:rPr>
          <w:rFonts w:ascii="Arial" w:cs="Arial" w:eastAsia="Arial" w:hAnsi="Arial"/>
          <w:sz w:val="14"/>
          <w:szCs w:val="14"/>
          <w:u w:val="single" w:color="auto"/>
          <w:color w:val="3051F2"/>
          <w:strike w:val="1"/>
        </w:rPr>
        <w:t>rescind, in whole or in part, any provision of</w:t>
      </w:r>
      <w:r>
        <w:rPr>
          <w:rFonts w:ascii="Arial" w:cs="Arial" w:eastAsia="Arial" w:hAnsi="Arial"/>
          <w:sz w:val="14"/>
          <w:szCs w:val="14"/>
          <w:color w:val="3051F2"/>
          <w:strike w:val="1"/>
        </w:rPr>
        <w:t xml:space="preserve"> </w:t>
      </w:r>
      <w:r>
        <w:rPr>
          <w:rFonts w:ascii="Arial" w:cs="Arial" w:eastAsia="Arial" w:hAnsi="Arial"/>
          <w:sz w:val="14"/>
          <w:szCs w:val="14"/>
          <w:color w:val="000000"/>
          <w:strike w:val="1"/>
        </w:rPr>
        <w:t>this Amended and Restated Certificate of Incorporation</w:t>
      </w:r>
      <w:r>
        <w:rPr>
          <w:rFonts w:ascii="Arial" w:cs="Arial" w:eastAsia="Arial" w:hAnsi="Arial"/>
          <w:sz w:val="14"/>
          <w:szCs w:val="14"/>
          <w:color w:val="3051F2"/>
          <w:strike w:val="1"/>
        </w:rPr>
        <w:t xml:space="preserve"> </w:t>
      </w:r>
      <w:r>
        <w:rPr>
          <w:rFonts w:ascii="Arial" w:cs="Arial" w:eastAsia="Arial" w:hAnsi="Arial"/>
          <w:sz w:val="14"/>
          <w:szCs w:val="14"/>
          <w:color w:val="EE2724"/>
          <w:strike w:val="1"/>
        </w:rPr>
        <w:t>may be amended, altered, repealed or rescinded, in whole or in part</w:t>
      </w:r>
      <w:r>
        <w:rPr>
          <w:rFonts w:ascii="Arial" w:cs="Arial" w:eastAsia="Arial" w:hAnsi="Arial"/>
          <w:sz w:val="14"/>
          <w:szCs w:val="14"/>
          <w:color w:val="3051F2"/>
          <w:strike w:val="1"/>
        </w:rPr>
        <w:t xml:space="preserve"> </w:t>
      </w:r>
      <w:r>
        <w:rPr>
          <w:rFonts w:ascii="Arial" w:cs="Arial" w:eastAsia="Arial" w:hAnsi="Arial"/>
          <w:sz w:val="14"/>
          <w:szCs w:val="14"/>
          <w:color w:val="EE2724"/>
          <w:strike w:val="1"/>
        </w:rPr>
        <w:t>or</w:t>
      </w:r>
      <w:r>
        <w:rPr>
          <w:rFonts w:ascii="Arial" w:cs="Arial" w:eastAsia="Arial" w:hAnsi="Arial"/>
          <w:sz w:val="14"/>
          <w:szCs w:val="14"/>
          <w:u w:val="single" w:color="auto"/>
          <w:color w:val="3051F2"/>
          <w:strike w:val="1"/>
        </w:rPr>
        <w:t>, or to adopt</w:t>
      </w:r>
      <w:r>
        <w:rPr>
          <w:rFonts w:ascii="Arial" w:cs="Arial" w:eastAsia="Arial" w:hAnsi="Arial"/>
          <w:sz w:val="14"/>
          <w:szCs w:val="14"/>
          <w:color w:val="EE2724"/>
          <w:strike w:val="1"/>
        </w:rPr>
        <w:t xml:space="preserve"> </w:t>
      </w:r>
      <w:r>
        <w:rPr>
          <w:rFonts w:ascii="Arial" w:cs="Arial" w:eastAsia="Arial" w:hAnsi="Arial"/>
          <w:sz w:val="14"/>
          <w:szCs w:val="14"/>
          <w:color w:val="000000"/>
          <w:strike w:val="1"/>
        </w:rPr>
        <w:t>any provision inconsistent therewith</w:t>
      </w:r>
      <w:r>
        <w:rPr>
          <w:rFonts w:ascii="Arial" w:cs="Arial" w:eastAsia="Arial" w:hAnsi="Arial"/>
          <w:sz w:val="14"/>
          <w:szCs w:val="14"/>
          <w:color w:val="EE2724"/>
          <w:strike w:val="1"/>
        </w:rPr>
        <w:t xml:space="preserve"> or herewith may be adopted, by the affirmative vote of the holders of a majority in voting power of all the then outstanding shares of stock of the Corporation entitled to vote thereon, voting together as a single class. Notwithstanding anything contained in</w:t>
      </w:r>
      <w:r>
        <w:rPr>
          <w:rFonts w:ascii="Arial" w:cs="Arial" w:eastAsia="Arial" w:hAnsi="Arial"/>
          <w:sz w:val="14"/>
          <w:szCs w:val="14"/>
          <w:u w:val="single" w:color="auto"/>
          <w:color w:val="3051F2"/>
          <w:strike w:val="1"/>
        </w:rPr>
        <w:t>, and other provisions</w:t>
      </w:r>
      <w:r>
        <w:rPr>
          <w:rFonts w:ascii="Arial" w:cs="Arial" w:eastAsia="Arial" w:hAnsi="Arial"/>
          <w:sz w:val="14"/>
          <w:szCs w:val="14"/>
          <w:color w:val="EE2724"/>
          <w:strike w:val="1"/>
        </w:rPr>
        <w:t xml:space="preserve"> </w:t>
      </w:r>
      <w:r>
        <w:rPr>
          <w:rFonts w:ascii="Arial" w:cs="Arial" w:eastAsia="Arial" w:hAnsi="Arial"/>
          <w:sz w:val="14"/>
          <w:szCs w:val="14"/>
          <w:u w:val="single" w:color="auto"/>
          <w:color w:val="3051F2"/>
          <w:strike w:val="1"/>
        </w:rPr>
        <w:t>authorized by the laws of the State of Delaware at the time in force may be added or inserted, in the manner now or hereafter prescribed by the laws of the State of Delaware, and all powers, preferences and rights of any nature conferred upon stockholders, directors or any other persons by and pursuant to</w:t>
      </w:r>
      <w:r>
        <w:rPr>
          <w:rFonts w:ascii="Arial" w:cs="Arial" w:eastAsia="Arial" w:hAnsi="Arial"/>
          <w:sz w:val="14"/>
          <w:szCs w:val="14"/>
          <w:color w:val="3051F2"/>
          <w:strike w:val="1"/>
        </w:rPr>
        <w:t xml:space="preserve"> </w:t>
      </w:r>
      <w:r>
        <w:rPr>
          <w:rFonts w:ascii="Arial" w:cs="Arial" w:eastAsia="Arial" w:hAnsi="Arial"/>
          <w:sz w:val="14"/>
          <w:szCs w:val="14"/>
          <w:color w:val="000000"/>
          <w:strike w:val="1"/>
        </w:rPr>
        <w:t>this Amended and</w:t>
      </w:r>
      <w:r>
        <w:rPr>
          <w:rFonts w:ascii="Arial" w:cs="Arial" w:eastAsia="Arial" w:hAnsi="Arial"/>
          <w:sz w:val="14"/>
          <w:szCs w:val="14"/>
          <w:color w:val="3051F2"/>
          <w:strike w:val="1"/>
        </w:rPr>
        <w:t xml:space="preserve"> </w:t>
      </w:r>
      <w:r>
        <w:rPr>
          <w:rFonts w:ascii="Arial" w:cs="Arial" w:eastAsia="Arial" w:hAnsi="Arial"/>
          <w:sz w:val="14"/>
          <w:szCs w:val="14"/>
          <w:color w:val="000000"/>
          <w:strike w:val="1"/>
        </w:rPr>
        <w:t xml:space="preserve">Restated Certificate of Incorporation </w:t>
      </w:r>
      <w:r>
        <w:rPr>
          <w:rFonts w:ascii="Arial" w:cs="Arial" w:eastAsia="Arial" w:hAnsi="Arial"/>
          <w:sz w:val="14"/>
          <w:szCs w:val="14"/>
          <w:u w:val="single" w:color="auto"/>
          <w:color w:val="3051F2"/>
          <w:strike w:val="1"/>
        </w:rPr>
        <w:t>in its present form or as hereafter amended are granted subject to this reservation. Notwithstanding anything herein</w:t>
      </w:r>
      <w:r>
        <w:rPr>
          <w:rFonts w:ascii="Arial" w:cs="Arial" w:eastAsia="Arial" w:hAnsi="Arial"/>
          <w:sz w:val="14"/>
          <w:szCs w:val="14"/>
          <w:color w:val="000000"/>
          <w:strike w:val="1"/>
        </w:rPr>
        <w:t xml:space="preserve"> to the contrary, </w:t>
      </w:r>
      <w:r>
        <w:rPr>
          <w:rFonts w:ascii="Arial" w:cs="Arial" w:eastAsia="Arial" w:hAnsi="Arial"/>
          <w:sz w:val="14"/>
          <w:szCs w:val="14"/>
          <w:color w:val="EE2724"/>
          <w:strike w:val="1"/>
        </w:rPr>
        <w:t>at</w:t>
      </w:r>
      <w:r>
        <w:rPr>
          <w:rFonts w:ascii="Arial" w:cs="Arial" w:eastAsia="Arial" w:hAnsi="Arial"/>
          <w:sz w:val="14"/>
          <w:szCs w:val="14"/>
          <w:color w:val="000000"/>
          <w:strike w:val="1"/>
        </w:rPr>
        <w:t xml:space="preserve"> any </w:t>
      </w:r>
      <w:r>
        <w:rPr>
          <w:rFonts w:ascii="Arial" w:cs="Arial" w:eastAsia="Arial" w:hAnsi="Arial"/>
          <w:sz w:val="14"/>
          <w:szCs w:val="14"/>
          <w:color w:val="EE2724"/>
          <w:strike w:val="1"/>
        </w:rPr>
        <w:t>time when KKR beneficially owns, in the aggregate, less than 40% in voting power of the stock of the Corporation entitled to vote generally in the election of directors,</w:t>
      </w:r>
      <w:r>
        <w:rPr>
          <w:rFonts w:ascii="Arial" w:cs="Arial" w:eastAsia="Arial" w:hAnsi="Arial"/>
          <w:sz w:val="14"/>
          <w:szCs w:val="14"/>
          <w:color w:val="000000"/>
          <w:strike w:val="1"/>
        </w:rPr>
        <w:t xml:space="preserve"> </w:t>
      </w:r>
      <w:r>
        <w:rPr>
          <w:rFonts w:ascii="Arial" w:cs="Arial" w:eastAsia="Arial" w:hAnsi="Arial"/>
          <w:sz w:val="14"/>
          <w:szCs w:val="14"/>
          <w:color w:val="EE2724"/>
          <w:strike w:val="1"/>
        </w:rPr>
        <w:t xml:space="preserve">in addition to any vote required by applicable law, the following provisions in </w:t>
      </w:r>
      <w:r>
        <w:rPr>
          <w:rFonts w:ascii="Arial" w:cs="Arial" w:eastAsia="Arial" w:hAnsi="Arial"/>
          <w:sz w:val="14"/>
          <w:szCs w:val="14"/>
          <w:u w:val="single" w:color="auto"/>
          <w:color w:val="3051F2"/>
          <w:strike w:val="1"/>
        </w:rPr>
        <w:t>amendment to</w:t>
      </w:r>
      <w:r>
        <w:rPr>
          <w:rFonts w:ascii="Arial" w:cs="Arial" w:eastAsia="Arial" w:hAnsi="Arial"/>
          <w:sz w:val="14"/>
          <w:szCs w:val="14"/>
          <w:color w:val="EE2724"/>
          <w:strike w:val="1"/>
        </w:rPr>
        <w:t xml:space="preserve"> </w:t>
      </w:r>
      <w:r>
        <w:rPr>
          <w:rFonts w:ascii="Arial" w:cs="Arial" w:eastAsia="Arial" w:hAnsi="Arial"/>
          <w:sz w:val="14"/>
          <w:szCs w:val="14"/>
          <w:color w:val="000000"/>
          <w:strike w:val="1"/>
        </w:rPr>
        <w:t>this Amended and Restated Certificate of Incorporation</w:t>
      </w:r>
      <w:r>
        <w:rPr>
          <w:rFonts w:ascii="Arial" w:cs="Arial" w:eastAsia="Arial" w:hAnsi="Arial"/>
          <w:sz w:val="14"/>
          <w:szCs w:val="14"/>
          <w:color w:val="EE2724"/>
          <w:strike w:val="1"/>
        </w:rPr>
        <w:t xml:space="preserve"> may be amended, altered, repealed or rescinded, in whole or in part, or any provision inconsistent therewith or herewith may be adopted, only by the affirmative vote of the holders of at least 66</w:t>
      </w:r>
      <w:r>
        <w:rPr>
          <w:rFonts w:ascii="Arial" w:cs="Arial" w:eastAsia="Arial" w:hAnsi="Arial"/>
          <w:sz w:val="18"/>
          <w:szCs w:val="18"/>
          <w:color w:val="EE2724"/>
          <w:strike w:val="1"/>
          <w:vertAlign w:val="superscript"/>
        </w:rPr>
        <w:t>2/3</w:t>
      </w:r>
      <w:r>
        <w:rPr>
          <w:rFonts w:ascii="Arial" w:cs="Arial" w:eastAsia="Arial" w:hAnsi="Arial"/>
          <w:sz w:val="14"/>
          <w:szCs w:val="14"/>
          <w:color w:val="EE2724"/>
          <w:strike w:val="1"/>
        </w:rPr>
        <w:t>% in voting power of all the then outstanding shares of stock of the Corporation entitled to vote thereon, voting together as a single class: this Article V, 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-1096010</wp:posOffset>
            </wp:positionV>
            <wp:extent cx="4578985" cy="762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4578985" cy="7620"/>
                    </a:xfrm>
                    <a:prstGeom prst="rect">
                      <a:avLst/>
                    </a:prstGeom>
                    <a:noFill/>
                  </pic:spPr>
                </pic:pic>
              </a:graphicData>
            </a:graphic>
          </wp:anchor>
        </w:drawing>
      </w:r>
    </w:p>
    <w:p>
      <w:pPr>
        <w:ind w:right="40"/>
        <w:spacing w:after="0" w:line="281" w:lineRule="auto"/>
        <w:rPr>
          <w:sz w:val="20"/>
          <w:szCs w:val="20"/>
          <w:color w:val="auto"/>
        </w:rPr>
      </w:pPr>
      <w:r>
        <w:rPr>
          <w:rFonts w:ascii="Arial" w:cs="Arial" w:eastAsia="Arial" w:hAnsi="Arial"/>
          <w:sz w:val="15"/>
          <w:szCs w:val="15"/>
          <w:color w:val="EE2724"/>
          <w:strike w:val="1"/>
        </w:rPr>
        <w:t xml:space="preserve">Article VII, Article VIII, Article IX and Article X </w:t>
      </w:r>
      <w:r>
        <w:rPr>
          <w:rFonts w:ascii="Arial" w:cs="Arial" w:eastAsia="Arial" w:hAnsi="Arial"/>
          <w:sz w:val="15"/>
          <w:szCs w:val="15"/>
          <w:u w:val="single" w:color="auto"/>
          <w:color w:val="3051F2"/>
          <w:strike w:val="1"/>
        </w:rPr>
        <w:t>effecting changes set forth in (i) Section 242(d)(1) of the DGCL can be effected without a stockholder vote and (ii) Section</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242(d)(2) of the DGCL shall only require the vote of stockholders set forth in Section 242(d)(2) of the DGCL</w:t>
      </w:r>
      <w:r>
        <w:rPr>
          <w:rFonts w:ascii="Arial" w:cs="Arial" w:eastAsia="Arial" w:hAnsi="Arial"/>
          <w:sz w:val="15"/>
          <w:szCs w:val="15"/>
          <w:u w:val="single" w:color="auto"/>
          <w:color w:val="000000"/>
          <w:strike w:val="1"/>
        </w:rPr>
        <w:t>.</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For the purposes of this Amended and Restated Certificate of</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Incorporation, beneficial ownership of shares shall be determined in accordance with Rule 13d-3 promulgated under the Securities Exchange Act of 1934, as amended (the “Exchange Act”).</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 xml:space="preserve">B. The Board of Directors is expressly authorized to make, repeal, alter, amend and rescind, in whole or in part, the amended and restated bylaws of the Corporation (as in effect from time to time, the “Bylaws”) without the assent or vote of the stockholders in any manner not inconsistent with the laws of the State of Delaware or this Amended and Restated Certificate of Incorporation. </w:t>
      </w:r>
      <w:r>
        <w:rPr>
          <w:rFonts w:ascii="Arial" w:cs="Arial" w:eastAsia="Arial" w:hAnsi="Arial"/>
          <w:sz w:val="15"/>
          <w:szCs w:val="15"/>
          <w:color w:val="EE2724"/>
          <w:strike w:val="1"/>
        </w:rPr>
        <w:t>For so long as KKR beneficially owns, in the aggregate, at least 40% in voting power of the stock of the Corporation</w:t>
      </w:r>
      <w:r>
        <w:rPr>
          <w:rFonts w:ascii="Arial" w:cs="Arial" w:eastAsia="Arial" w:hAnsi="Arial"/>
          <w:sz w:val="15"/>
          <w:szCs w:val="15"/>
          <w:color w:val="auto"/>
        </w:rPr>
        <w:t xml:space="preserve"> </w:t>
      </w:r>
      <w:r>
        <w:rPr>
          <w:rFonts w:ascii="Arial" w:cs="Arial" w:eastAsia="Arial" w:hAnsi="Arial"/>
          <w:sz w:val="15"/>
          <w:szCs w:val="15"/>
          <w:color w:val="EE2724"/>
          <w:strike w:val="1"/>
        </w:rPr>
        <w:t xml:space="preserve">entitled to vote generally in the election of directors, in addition to any </w:t>
      </w:r>
      <w:r>
        <w:rPr>
          <w:rFonts w:ascii="Arial" w:cs="Arial" w:eastAsia="Arial" w:hAnsi="Arial"/>
          <w:sz w:val="15"/>
          <w:szCs w:val="15"/>
          <w:u w:val="single" w:color="auto"/>
          <w:color w:val="3051F2"/>
          <w:strike w:val="1"/>
        </w:rPr>
        <w:t>Notwithstanding anything to the contrary contained in this Amended and Restated Certificate of</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Incorporation or any provision of law which might otherwise permit a lesser</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vote of the</w:t>
      </w:r>
      <w:r>
        <w:rPr>
          <w:rFonts w:ascii="Arial" w:cs="Arial" w:eastAsia="Arial" w:hAnsi="Arial"/>
          <w:sz w:val="15"/>
          <w:szCs w:val="15"/>
          <w:color w:val="3051F2"/>
          <w:strike w:val="1"/>
        </w:rPr>
        <w:t xml:space="preserve"> </w:t>
      </w:r>
      <w:r>
        <w:rPr>
          <w:rFonts w:ascii="Arial" w:cs="Arial" w:eastAsia="Arial" w:hAnsi="Arial"/>
          <w:sz w:val="15"/>
          <w:szCs w:val="15"/>
          <w:u w:val="single" w:color="auto"/>
          <w:color w:val="3051F2"/>
          <w:strike w:val="1"/>
        </w:rPr>
        <w:t>stock</w:t>
      </w:r>
      <w:r>
        <w:rPr>
          <w:rFonts w:ascii="Arial" w:cs="Arial" w:eastAsia="Arial" w:hAnsi="Arial"/>
          <w:sz w:val="15"/>
          <w:szCs w:val="15"/>
          <w:color w:val="000000"/>
          <w:strike w:val="1"/>
        </w:rPr>
        <w:t>holders</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of any class or series of capital stock of the Corporation required</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herein (including any certificate of designation relating to any series of Preferred Stock), by the Bylaws or applicable law</w:t>
      </w:r>
      <w:r>
        <w:rPr>
          <w:rFonts w:ascii="Arial" w:cs="Arial" w:eastAsia="Arial" w:hAnsi="Arial"/>
          <w:sz w:val="15"/>
          <w:szCs w:val="15"/>
          <w:color w:val="000000"/>
          <w:strike w:val="1"/>
        </w:rPr>
        <w:t>, the affirmative vote of the holders of</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at least</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a</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 xml:space="preserve">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 </w:t>
      </w:r>
      <w:r>
        <w:rPr>
          <w:rFonts w:ascii="Arial" w:cs="Arial" w:eastAsia="Arial" w:hAnsi="Arial"/>
          <w:sz w:val="15"/>
          <w:szCs w:val="15"/>
          <w:color w:val="EE2724"/>
          <w:strike w:val="1"/>
        </w:rPr>
        <w:t>Notwithstanding anything to the contrary contained in this Amended and Restated Certificate of Incorporation or any provision of law which might otherwise permit a lesser vote of the stockholders, at any time when KKR beneficially owns,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by the Bylaws or applicable law, the affirmative vote of the holders of at least 66</w:t>
      </w:r>
      <w:r>
        <w:rPr>
          <w:rFonts w:ascii="Arial" w:cs="Arial" w:eastAsia="Arial" w:hAnsi="Arial"/>
          <w:sz w:val="19"/>
          <w:szCs w:val="19"/>
          <w:color w:val="EE2724"/>
          <w:strike w:val="1"/>
          <w:vertAlign w:val="superscript"/>
        </w:rPr>
        <w:t>2/3</w:t>
      </w:r>
      <w:r>
        <w:rPr>
          <w:rFonts w:ascii="Arial" w:cs="Arial" w:eastAsia="Arial" w:hAnsi="Arial"/>
          <w:sz w:val="15"/>
          <w:szCs w:val="15"/>
          <w:color w:val="EE2724"/>
          <w:strike w:val="1"/>
        </w:rPr>
        <w:t>% in voting power of all the then 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1016000</wp:posOffset>
            </wp:positionV>
            <wp:extent cx="7168515" cy="4127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-1228090</wp:posOffset>
            </wp:positionV>
            <wp:extent cx="2727325" cy="762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2727325" cy="762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720725</wp:posOffset>
            </wp:positionV>
            <wp:extent cx="789305" cy="18923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B-1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Annex B</w:t>
      </w:r>
    </w:p>
    <w:p>
      <w:pPr>
        <w:spacing w:after="0" w:line="99" w:lineRule="exact"/>
        <w:rPr>
          <w:sz w:val="20"/>
          <w:szCs w:val="20"/>
          <w:color w:val="auto"/>
        </w:rPr>
      </w:pPr>
    </w:p>
    <w:p>
      <w:pPr>
        <w:spacing w:after="0" w:line="279" w:lineRule="auto"/>
        <w:rPr>
          <w:sz w:val="20"/>
          <w:szCs w:val="20"/>
          <w:color w:val="auto"/>
        </w:rPr>
      </w:pPr>
      <w:r>
        <w:rPr>
          <w:rFonts w:ascii="Arial" w:cs="Arial" w:eastAsia="Arial" w:hAnsi="Arial"/>
          <w:sz w:val="45"/>
          <w:szCs w:val="45"/>
          <w:b w:val="1"/>
          <w:bCs w:val="1"/>
          <w:color w:val="1B4093"/>
        </w:rPr>
        <w:t>Amendment to the Company’s Amended and Restated Certificate of Incorporation to Declassify the Board and Phase-In Annual Director Elections by 2028</w:t>
      </w:r>
    </w:p>
    <w:p>
      <w:pPr>
        <w:spacing w:after="0" w:line="200" w:lineRule="exact"/>
        <w:rPr>
          <w:sz w:val="20"/>
          <w:szCs w:val="20"/>
          <w:color w:val="auto"/>
        </w:rPr>
      </w:pPr>
    </w:p>
    <w:p>
      <w:pPr>
        <w:spacing w:after="0" w:line="273" w:lineRule="exact"/>
        <w:rPr>
          <w:sz w:val="20"/>
          <w:szCs w:val="20"/>
          <w:color w:val="auto"/>
        </w:rPr>
      </w:pPr>
    </w:p>
    <w:p>
      <w:pPr>
        <w:jc w:val="both"/>
        <w:ind w:right="160"/>
        <w:spacing w:after="0" w:line="294" w:lineRule="auto"/>
        <w:rPr>
          <w:sz w:val="20"/>
          <w:szCs w:val="20"/>
          <w:color w:val="auto"/>
        </w:rPr>
      </w:pPr>
      <w:r>
        <w:rPr>
          <w:rFonts w:ascii="Arial" w:cs="Arial" w:eastAsia="Arial" w:hAnsi="Arial"/>
          <w:sz w:val="14"/>
          <w:szCs w:val="14"/>
          <w:color w:val="auto"/>
        </w:rPr>
        <w:t xml:space="preserve">Subject to approval by the requisite vote of stockholders of the Company, Article VI of the Certificate of Incorporation would be amended to read in its entirety as follows, with additions to the Certificate of Incorporation indicated in blue text with </w:t>
      </w:r>
      <w:r>
        <w:rPr>
          <w:rFonts w:ascii="Arial" w:cs="Arial" w:eastAsia="Arial" w:hAnsi="Arial"/>
          <w:sz w:val="14"/>
          <w:szCs w:val="14"/>
          <w:u w:val="single" w:color="auto"/>
          <w:color w:val="3051F2"/>
        </w:rPr>
        <w:t>underlining</w:t>
      </w:r>
      <w:r>
        <w:rPr>
          <w:rFonts w:ascii="Arial" w:cs="Arial" w:eastAsia="Arial" w:hAnsi="Arial"/>
          <w:sz w:val="14"/>
          <w:szCs w:val="14"/>
          <w:color w:val="auto"/>
        </w:rPr>
        <w:t xml:space="preserve"> and deletions to the Certificate of Incorporation indicated in red text with </w:t>
      </w:r>
      <w:r>
        <w:rPr>
          <w:rFonts w:ascii="Arial" w:cs="Arial" w:eastAsia="Arial" w:hAnsi="Arial"/>
          <w:sz w:val="14"/>
          <w:szCs w:val="14"/>
          <w:color w:val="EE2724"/>
          <w:strike w:val="1"/>
        </w:rPr>
        <w:t>strikeouts</w:t>
      </w:r>
      <w:r>
        <w:rPr>
          <w:rFonts w:ascii="Arial" w:cs="Arial" w:eastAsia="Arial" w:hAnsi="Arial"/>
          <w:sz w:val="14"/>
          <w:szCs w:val="14"/>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BOARD OF DIRECTORS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 xml:space="preserve">A. Except as otherwise provided in this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w:t>
      </w:r>
      <w:r>
        <w:rPr>
          <w:rFonts w:ascii="Arial" w:cs="Arial" w:eastAsia="Arial" w:hAnsi="Arial"/>
          <w:sz w:val="15"/>
          <w:szCs w:val="15"/>
          <w:color w:val="EE2724"/>
        </w:rPr>
        <w:t>and subject</w:t>
      </w:r>
      <w:r>
        <w:rPr>
          <w:rFonts w:ascii="Arial" w:cs="Arial" w:eastAsia="Arial" w:hAnsi="Arial"/>
          <w:sz w:val="15"/>
          <w:szCs w:val="15"/>
          <w:color w:val="auto"/>
        </w:rPr>
        <w:t xml:space="preserve"> </w:t>
      </w:r>
      <w:r>
        <w:rPr>
          <w:rFonts w:ascii="Arial" w:cs="Arial" w:eastAsia="Arial" w:hAnsi="Arial"/>
          <w:sz w:val="15"/>
          <w:szCs w:val="15"/>
          <w:color w:val="EE2724"/>
          <w:strike w:val="1"/>
        </w:rPr>
        <w:t>to the applicable requirements of the Stockholders Agreement (as defined below)</w:t>
      </w:r>
      <w:r>
        <w:rPr>
          <w:rFonts w:ascii="Arial" w:cs="Arial" w:eastAsia="Arial" w:hAnsi="Arial"/>
          <w:sz w:val="15"/>
          <w:szCs w:val="15"/>
          <w:color w:val="000000"/>
        </w:rPr>
        <w:t>, the total number of directors constituting the whole Board of Directors shall be</w:t>
      </w:r>
      <w:r>
        <w:rPr>
          <w:rFonts w:ascii="Arial" w:cs="Arial" w:eastAsia="Arial" w:hAnsi="Arial"/>
          <w:sz w:val="15"/>
          <w:szCs w:val="15"/>
          <w:color w:val="EE2724"/>
        </w:rPr>
        <w:t xml:space="preserve"> </w:t>
      </w:r>
      <w:r>
        <w:rPr>
          <w:rFonts w:ascii="Arial" w:cs="Arial" w:eastAsia="Arial" w:hAnsi="Arial"/>
          <w:sz w:val="15"/>
          <w:szCs w:val="15"/>
          <w:color w:val="000000"/>
        </w:rPr>
        <w:t xml:space="preserve">determined from time to time exclusively by resolution adopted by the Board of Directors. </w:t>
      </w:r>
      <w:r>
        <w:rPr>
          <w:rFonts w:ascii="Arial" w:cs="Arial" w:eastAsia="Arial" w:hAnsi="Arial"/>
          <w:sz w:val="15"/>
          <w:szCs w:val="15"/>
          <w:color w:val="EE2724"/>
          <w:strike w:val="1"/>
        </w:rPr>
        <w:t>The</w:t>
      </w:r>
      <w:r>
        <w:rPr>
          <w:rFonts w:ascii="Arial" w:cs="Arial" w:eastAsia="Arial" w:hAnsi="Arial"/>
          <w:sz w:val="15"/>
          <w:szCs w:val="15"/>
          <w:color w:val="000000"/>
        </w:rPr>
        <w:t xml:space="preserve"> </w:t>
      </w:r>
      <w:r>
        <w:rPr>
          <w:rFonts w:ascii="Arial" w:cs="Arial" w:eastAsia="Arial" w:hAnsi="Arial"/>
          <w:sz w:val="15"/>
          <w:szCs w:val="15"/>
          <w:u w:val="single" w:color="auto"/>
          <w:color w:val="3051F2"/>
        </w:rPr>
        <w:t>Prior to the annual meeting of stockholders to be held in 2028 (the “2028</w:t>
      </w:r>
      <w:r>
        <w:rPr>
          <w:rFonts w:ascii="Arial" w:cs="Arial" w:eastAsia="Arial" w:hAnsi="Arial"/>
          <w:sz w:val="15"/>
          <w:szCs w:val="15"/>
          <w:color w:val="000000"/>
        </w:rPr>
        <w:t xml:space="preserve"> </w:t>
      </w:r>
      <w:r>
        <w:rPr>
          <w:rFonts w:ascii="Arial" w:cs="Arial" w:eastAsia="Arial" w:hAnsi="Arial"/>
          <w:sz w:val="15"/>
          <w:szCs w:val="15"/>
          <w:u w:val="single" w:color="auto"/>
          <w:color w:val="3051F2"/>
        </w:rPr>
        <w:t>Annual Meeting”), the</w:t>
      </w:r>
      <w:r>
        <w:rPr>
          <w:rFonts w:ascii="Arial" w:cs="Arial" w:eastAsia="Arial" w:hAnsi="Arial"/>
          <w:sz w:val="15"/>
          <w:szCs w:val="15"/>
          <w:color w:val="3051F2"/>
        </w:rPr>
        <w:t xml:space="preserve"> </w:t>
      </w:r>
      <w:r>
        <w:rPr>
          <w:rFonts w:ascii="Arial" w:cs="Arial" w:eastAsia="Arial" w:hAnsi="Arial"/>
          <w:sz w:val="15"/>
          <w:szCs w:val="15"/>
          <w:color w:val="000000"/>
        </w:rPr>
        <w:t>directors (other than those directors elected by the holders of any series of Preferred Stock, voting separately as a series or together with one or</w:t>
      </w:r>
      <w:r>
        <w:rPr>
          <w:rFonts w:ascii="Arial" w:cs="Arial" w:eastAsia="Arial" w:hAnsi="Arial"/>
          <w:sz w:val="15"/>
          <w:szCs w:val="15"/>
          <w:color w:val="3051F2"/>
        </w:rPr>
        <w:t xml:space="preserve"> </w:t>
      </w:r>
      <w:r>
        <w:rPr>
          <w:rFonts w:ascii="Arial" w:cs="Arial" w:eastAsia="Arial" w:hAnsi="Arial"/>
          <w:sz w:val="15"/>
          <w:szCs w:val="15"/>
          <w:color w:val="000000"/>
        </w:rPr>
        <w:t>more other such series, as the case may be) shall be divided into three classes designated Class I, Class II and Class III</w:t>
      </w:r>
      <w:r>
        <w:rPr>
          <w:rFonts w:ascii="Arial" w:cs="Arial" w:eastAsia="Arial" w:hAnsi="Arial"/>
          <w:sz w:val="15"/>
          <w:szCs w:val="15"/>
          <w:color w:val="EE2724"/>
          <w:strike w:val="1"/>
        </w:rPr>
        <w:t>. Each class shall consist, as nearly as possible,</w:t>
      </w:r>
      <w:r>
        <w:rPr>
          <w:rFonts w:ascii="Arial" w:cs="Arial" w:eastAsia="Arial" w:hAnsi="Arial"/>
          <w:sz w:val="15"/>
          <w:szCs w:val="15"/>
          <w:color w:val="000000"/>
        </w:rPr>
        <w:t xml:space="preserve"> </w:t>
      </w:r>
      <w:r>
        <w:rPr>
          <w:rFonts w:ascii="Arial" w:cs="Arial" w:eastAsia="Arial" w:hAnsi="Arial"/>
          <w:sz w:val="15"/>
          <w:szCs w:val="15"/>
          <w:color w:val="EE2724"/>
          <w:strike w:val="1"/>
        </w:rPr>
        <w:t xml:space="preserve">of one-third of the total number of such directors. Class I directors shall initially serve for a term expiring at the first </w:t>
      </w:r>
      <w:r>
        <w:rPr>
          <w:rFonts w:ascii="Arial" w:cs="Arial" w:eastAsia="Arial" w:hAnsi="Arial"/>
          <w:sz w:val="15"/>
          <w:szCs w:val="15"/>
          <w:u w:val="single" w:color="auto"/>
          <w:color w:val="3051F2"/>
          <w:strike w:val="1"/>
        </w:rPr>
        <w:t>and, until the election of directors at the 2028 Annual</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Meeting, in case of any increase or decrease, from time to time, in the number of directors (other than Preferred Stock Directors), the number of directors in each class shall be apportioned in the manner determined by the Board. Directors elected or appointed prior to the 2026</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annual meeting of stockholders</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following the date the</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Common Stock is first publicly traded (the “</w:t>
      </w:r>
      <w:r>
        <w:rPr>
          <w:rFonts w:ascii="Arial" w:cs="Arial" w:eastAsia="Arial" w:hAnsi="Arial"/>
          <w:sz w:val="15"/>
          <w:szCs w:val="15"/>
          <w:u w:val="single" w:color="auto"/>
          <w:color w:val="EE2724"/>
          <w:strike w:val="1"/>
        </w:rPr>
        <w:t>IPO Date</w:t>
      </w:r>
      <w:r>
        <w:rPr>
          <w:rFonts w:ascii="Arial" w:cs="Arial" w:eastAsia="Arial" w:hAnsi="Arial"/>
          <w:sz w:val="15"/>
          <w:szCs w:val="15"/>
          <w:color w:val="EE2724"/>
          <w:strike w:val="1"/>
        </w:rPr>
        <w:t xml:space="preserve">”), Class II directors shall initially serve for a </w:t>
      </w:r>
      <w:r>
        <w:rPr>
          <w:rFonts w:ascii="Arial" w:cs="Arial" w:eastAsia="Arial" w:hAnsi="Arial"/>
          <w:sz w:val="15"/>
          <w:szCs w:val="15"/>
          <w:u w:val="single" w:color="auto"/>
          <w:color w:val="3051F2"/>
          <w:strike w:val="1"/>
        </w:rPr>
        <w:t>shall continue to serve out the remainder of their current terms; directors</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with</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term</w:t>
      </w:r>
      <w:r>
        <w:rPr>
          <w:rFonts w:ascii="Arial" w:cs="Arial" w:eastAsia="Arial" w:hAnsi="Arial"/>
          <w:sz w:val="15"/>
          <w:szCs w:val="15"/>
          <w:u w:val="single" w:color="auto"/>
          <w:color w:val="3051F2"/>
          <w:strike w:val="1"/>
        </w:rPr>
        <w:t>s</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expiring at the</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second</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annual meeting of stockholders</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following the IPO Date and Class III directors shall initially serve for a</w:t>
      </w:r>
      <w:r>
        <w:rPr>
          <w:rFonts w:ascii="Arial" w:cs="Arial" w:eastAsia="Arial" w:hAnsi="Arial"/>
          <w:sz w:val="15"/>
          <w:szCs w:val="15"/>
          <w:color w:val="3051F2"/>
          <w:strike w:val="1"/>
        </w:rPr>
        <w:t xml:space="preserve"> </w:t>
      </w:r>
      <w:r>
        <w:rPr>
          <w:rFonts w:ascii="Arial" w:cs="Arial" w:eastAsia="Arial" w:hAnsi="Arial"/>
          <w:sz w:val="15"/>
          <w:szCs w:val="15"/>
          <w:u w:val="single" w:color="auto"/>
          <w:color w:val="3051F2"/>
          <w:strike w:val="1"/>
        </w:rPr>
        <w:t>to be held in 2026 shall serve out</w:t>
      </w:r>
      <w:r>
        <w:rPr>
          <w:rFonts w:ascii="Arial" w:cs="Arial" w:eastAsia="Arial" w:hAnsi="Arial"/>
          <w:sz w:val="15"/>
          <w:szCs w:val="15"/>
          <w:color w:val="3051F2"/>
          <w:strike w:val="1"/>
        </w:rPr>
        <w:t xml:space="preserve"> </w:t>
      </w:r>
      <w:r>
        <w:rPr>
          <w:rFonts w:ascii="Arial" w:cs="Arial" w:eastAsia="Arial" w:hAnsi="Arial"/>
          <w:sz w:val="15"/>
          <w:szCs w:val="15"/>
          <w:u w:val="single" w:color="auto"/>
          <w:color w:val="3051F2"/>
          <w:strike w:val="1"/>
        </w:rPr>
        <w:t>the remainder of their current terms, and they and any successors shall stand for re-election to a two-year</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term</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expiring</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at the</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third</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annual meeting of stockholders</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 xml:space="preserve">following the IPO Date. At each succeeding </w:t>
      </w:r>
      <w:r>
        <w:rPr>
          <w:rFonts w:ascii="Arial" w:cs="Arial" w:eastAsia="Arial" w:hAnsi="Arial"/>
          <w:sz w:val="15"/>
          <w:szCs w:val="15"/>
          <w:u w:val="single" w:color="auto"/>
          <w:color w:val="3051F2"/>
          <w:strike w:val="1"/>
        </w:rPr>
        <w:t>to be held in 2026; and directors with terms expiring at the</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annual meeting</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of stockholders to be held in 2027 shall serve out</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the remainder of their current terms, and they and any</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successors</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to the class of directors whose</w:t>
      </w:r>
      <w:r>
        <w:rPr>
          <w:rFonts w:ascii="Arial" w:cs="Arial" w:eastAsia="Arial" w:hAnsi="Arial"/>
          <w:sz w:val="15"/>
          <w:szCs w:val="15"/>
          <w:color w:val="3051F2"/>
          <w:strike w:val="1"/>
        </w:rPr>
        <w:t xml:space="preserve"> </w:t>
      </w:r>
      <w:r>
        <w:rPr>
          <w:rFonts w:ascii="Arial" w:cs="Arial" w:eastAsia="Arial" w:hAnsi="Arial"/>
          <w:sz w:val="15"/>
          <w:szCs w:val="15"/>
          <w:u w:val="single" w:color="auto"/>
          <w:color w:val="3051F2"/>
          <w:strike w:val="1"/>
        </w:rPr>
        <w:t>shall stand for re-election to a one-year</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term</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expires</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at</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that</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the annual</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 xml:space="preserve">meeting </w:t>
      </w:r>
      <w:r>
        <w:rPr>
          <w:rFonts w:ascii="Arial" w:cs="Arial" w:eastAsia="Arial" w:hAnsi="Arial"/>
          <w:sz w:val="15"/>
          <w:szCs w:val="15"/>
          <w:u w:val="single" w:color="auto"/>
          <w:color w:val="3051F2"/>
          <w:strike w:val="1"/>
        </w:rPr>
        <w:t>to be held in 2027. From and after the election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1012190</wp:posOffset>
            </wp:positionV>
            <wp:extent cx="7168515" cy="4127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6617335</wp:posOffset>
            </wp:positionH>
            <wp:positionV relativeFrom="paragraph">
              <wp:posOffset>-1720850</wp:posOffset>
            </wp:positionV>
            <wp:extent cx="510540" cy="762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510540" cy="762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-331470</wp:posOffset>
            </wp:positionV>
            <wp:extent cx="26035" cy="762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26035" cy="762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717550</wp:posOffset>
            </wp:positionV>
            <wp:extent cx="789305" cy="18923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color w:val="007EC4"/>
        </w:rPr>
        <w:t xml:space="preserve">B-2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20"/>
        <w:spacing w:after="0" w:line="281" w:lineRule="auto"/>
        <w:rPr>
          <w:sz w:val="20"/>
          <w:szCs w:val="20"/>
          <w:color w:val="auto"/>
        </w:rPr>
      </w:pPr>
      <w:r>
        <w:rPr>
          <w:rFonts w:ascii="Arial" w:cs="Arial" w:eastAsia="Arial" w:hAnsi="Arial"/>
          <w:sz w:val="15"/>
          <w:szCs w:val="15"/>
          <w:u w:val="single" w:color="auto"/>
          <w:color w:val="3051F2"/>
        </w:rPr>
        <w:t>directors at the 2028 Annual Meeting, the Board shall cease to be classified and each director</w:t>
      </w:r>
      <w:r>
        <w:rPr>
          <w:rFonts w:ascii="Arial" w:cs="Arial" w:eastAsia="Arial" w:hAnsi="Arial"/>
          <w:sz w:val="15"/>
          <w:szCs w:val="15"/>
          <w:color w:val="3051F2"/>
        </w:rPr>
        <w:t xml:space="preserve"> </w:t>
      </w:r>
      <w:r>
        <w:rPr>
          <w:rFonts w:ascii="Arial" w:cs="Arial" w:eastAsia="Arial" w:hAnsi="Arial"/>
          <w:sz w:val="15"/>
          <w:szCs w:val="15"/>
          <w:color w:val="000000"/>
        </w:rPr>
        <w:t>shall be elected for a term expiring at the</w:t>
      </w:r>
      <w:r>
        <w:rPr>
          <w:rFonts w:ascii="Arial" w:cs="Arial" w:eastAsia="Arial" w:hAnsi="Arial"/>
          <w:sz w:val="15"/>
          <w:szCs w:val="15"/>
          <w:color w:val="3051F2"/>
        </w:rPr>
        <w:t xml:space="preserve"> </w:t>
      </w:r>
      <w:r>
        <w:rPr>
          <w:rFonts w:ascii="Arial" w:cs="Arial" w:eastAsia="Arial" w:hAnsi="Arial"/>
          <w:sz w:val="15"/>
          <w:szCs w:val="15"/>
          <w:color w:val="EE2724"/>
          <w:strike w:val="1"/>
        </w:rPr>
        <w:t>third succeeding</w:t>
      </w:r>
      <w:r>
        <w:rPr>
          <w:rFonts w:ascii="Arial" w:cs="Arial" w:eastAsia="Arial" w:hAnsi="Arial"/>
          <w:sz w:val="15"/>
          <w:szCs w:val="15"/>
          <w:color w:val="3051F2"/>
        </w:rPr>
        <w:t xml:space="preserve"> </w:t>
      </w:r>
      <w:r>
        <w:rPr>
          <w:rFonts w:ascii="Arial" w:cs="Arial" w:eastAsia="Arial" w:hAnsi="Arial"/>
          <w:sz w:val="15"/>
          <w:szCs w:val="15"/>
          <w:u w:val="single" w:color="auto"/>
          <w:color w:val="3051F2"/>
        </w:rPr>
        <w:t>next</w:t>
      </w:r>
      <w:r>
        <w:rPr>
          <w:rFonts w:ascii="Arial" w:cs="Arial" w:eastAsia="Arial" w:hAnsi="Arial"/>
          <w:sz w:val="15"/>
          <w:szCs w:val="15"/>
          <w:color w:val="3051F2"/>
        </w:rPr>
        <w:t xml:space="preserve"> </w:t>
      </w:r>
      <w:r>
        <w:rPr>
          <w:rFonts w:ascii="Arial" w:cs="Arial" w:eastAsia="Arial" w:hAnsi="Arial"/>
          <w:sz w:val="15"/>
          <w:szCs w:val="15"/>
          <w:color w:val="000000"/>
        </w:rPr>
        <w:t>annual</w:t>
      </w:r>
      <w:r>
        <w:rPr>
          <w:rFonts w:ascii="Arial" w:cs="Arial" w:eastAsia="Arial" w:hAnsi="Arial"/>
          <w:sz w:val="15"/>
          <w:szCs w:val="15"/>
          <w:color w:val="3051F2"/>
        </w:rPr>
        <w:t xml:space="preserve"> </w:t>
      </w:r>
      <w:r>
        <w:rPr>
          <w:rFonts w:ascii="Arial" w:cs="Arial" w:eastAsia="Arial" w:hAnsi="Arial"/>
          <w:sz w:val="15"/>
          <w:szCs w:val="15"/>
          <w:color w:val="000000"/>
        </w:rPr>
        <w:t xml:space="preserve">meeting of stockholders. </w:t>
      </w:r>
      <w:r>
        <w:rPr>
          <w:rFonts w:ascii="Arial" w:cs="Arial" w:eastAsia="Arial" w:hAnsi="Arial"/>
          <w:sz w:val="15"/>
          <w:szCs w:val="15"/>
          <w:color w:val="EE2724"/>
          <w:strike w:val="1"/>
        </w:rPr>
        <w:t>If the number of such directors is changed, any increase or decrease shall be apported among the classes so as to maintain the number of</w:t>
      </w:r>
      <w:r>
        <w:rPr>
          <w:rFonts w:ascii="Arial" w:cs="Arial" w:eastAsia="Arial" w:hAnsi="Arial"/>
          <w:sz w:val="15"/>
          <w:szCs w:val="15"/>
          <w:color w:val="000000"/>
        </w:rPr>
        <w:t xml:space="preserve"> </w:t>
      </w:r>
      <w:r>
        <w:rPr>
          <w:rFonts w:ascii="Arial" w:cs="Arial" w:eastAsia="Arial" w:hAnsi="Arial"/>
          <w:sz w:val="15"/>
          <w:szCs w:val="15"/>
          <w:color w:val="EE2724"/>
          <w:strike w:val="1"/>
        </w:rPr>
        <w:t xml:space="preserve">directors in each class as nearly equal as possible, and any such additional director of any class elected to fill a newly created directorship resulting from an increase in such class shall hold office for a term that shall coincide with the remaining term of that class, but in </w:t>
      </w:r>
      <w:r>
        <w:rPr>
          <w:rFonts w:ascii="Arial" w:cs="Arial" w:eastAsia="Arial" w:hAnsi="Arial"/>
          <w:sz w:val="15"/>
          <w:szCs w:val="15"/>
          <w:u w:val="single" w:color="auto"/>
          <w:color w:val="3051F2"/>
          <w:strike w:val="1"/>
        </w:rPr>
        <w:t>In</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no case shall a decrease in the number of directors remove or</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 xml:space="preserve">shorten the term of any incumbent director. </w:t>
      </w:r>
      <w:r>
        <w:rPr>
          <w:rFonts w:ascii="Arial" w:cs="Arial" w:eastAsia="Arial" w:hAnsi="Arial"/>
          <w:sz w:val="15"/>
          <w:szCs w:val="15"/>
          <w:color w:val="EE2724"/>
          <w:strike w:val="1"/>
        </w:rPr>
        <w:t>Subject to the terms of the Stockholders Agreement, any such</w:t>
      </w:r>
      <w:r>
        <w:rPr>
          <w:rFonts w:ascii="Arial" w:cs="Arial" w:eastAsia="Arial" w:hAnsi="Arial"/>
          <w:sz w:val="15"/>
          <w:szCs w:val="15"/>
          <w:color w:val="000000"/>
          <w:strike w:val="1"/>
        </w:rPr>
        <w:t xml:space="preserve"> </w:t>
      </w:r>
      <w:r>
        <w:rPr>
          <w:rFonts w:ascii="Arial" w:cs="Arial" w:eastAsia="Arial" w:hAnsi="Arial"/>
          <w:sz w:val="15"/>
          <w:szCs w:val="15"/>
          <w:u w:val="single" w:color="auto"/>
          <w:color w:val="3051F2"/>
          <w:strike w:val="1"/>
        </w:rPr>
        <w:t>Notwithstanding the foregoing, each</w:t>
      </w:r>
      <w:r>
        <w:rPr>
          <w:rFonts w:ascii="Arial" w:cs="Arial" w:eastAsia="Arial" w:hAnsi="Arial"/>
          <w:sz w:val="15"/>
          <w:szCs w:val="15"/>
          <w:color w:val="000000"/>
          <w:strike w:val="1"/>
        </w:rPr>
        <w:t xml:space="preserve"> director shall hold office until the annual meeting at which his or her term expires and until his or her successor shall be elected and qualified, or his or her earlier death, resignation, retirement, disqualification or removal from office. </w:t>
      </w:r>
      <w:r>
        <w:rPr>
          <w:rFonts w:ascii="Arial" w:cs="Arial" w:eastAsia="Arial" w:hAnsi="Arial"/>
          <w:sz w:val="15"/>
          <w:szCs w:val="15"/>
          <w:color w:val="EE2724"/>
          <w:strike w:val="1"/>
        </w:rPr>
        <w:t>The Board of Directors is authorized to assign members of the Board of Directors already in office prior to the IPO Date to their</w:t>
      </w:r>
      <w:r>
        <w:rPr>
          <w:rFonts w:ascii="Arial" w:cs="Arial" w:eastAsia="Arial" w:hAnsi="Arial"/>
          <w:sz w:val="15"/>
          <w:szCs w:val="15"/>
          <w:color w:val="000000"/>
          <w:strike w:val="1"/>
        </w:rPr>
        <w:t xml:space="preserve"> </w:t>
      </w:r>
      <w:r>
        <w:rPr>
          <w:rFonts w:ascii="Arial" w:cs="Arial" w:eastAsia="Arial" w:hAnsi="Arial"/>
          <w:sz w:val="15"/>
          <w:szCs w:val="15"/>
          <w:color w:val="EE2724"/>
          <w:strike w:val="1"/>
        </w:rPr>
        <w:t>respective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-417830</wp:posOffset>
            </wp:positionV>
            <wp:extent cx="26035" cy="762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26035" cy="7620"/>
                    </a:xfrm>
                    <a:prstGeom prst="rect">
                      <a:avLst/>
                    </a:prstGeom>
                    <a:noFill/>
                  </pic:spPr>
                </pic:pic>
              </a:graphicData>
            </a:graphic>
          </wp:anchor>
        </w:drawing>
        <w:drawing>
          <wp:anchor simplePos="0" relativeHeight="251657728" behindDoc="1" locked="0" layoutInCell="0" allowOverlap="1">
            <wp:simplePos x="0" y="0"/>
            <wp:positionH relativeFrom="column">
              <wp:posOffset>1587500</wp:posOffset>
            </wp:positionH>
            <wp:positionV relativeFrom="paragraph">
              <wp:posOffset>-204470</wp:posOffset>
            </wp:positionV>
            <wp:extent cx="5320665" cy="762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5320665" cy="7620"/>
                    </a:xfrm>
                    <a:prstGeom prst="rect">
                      <a:avLst/>
                    </a:prstGeom>
                    <a:noFill/>
                  </pic:spPr>
                </pic:pic>
              </a:graphicData>
            </a:graphic>
          </wp:anchor>
        </w:drawing>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 xml:space="preserve">B. Subject to the rights granted to the holders of any one or more series of Preferred Stock then outstanding or the rights granted pursuant to the Stockholders Agreement, to be dated on or about October 6, 2020 (as the same may be amended, supplemented, restated or otherwise modified from time to time, the “Stockholders Agreement”), by and among the Corporation, and certain affiliates of Kohlberg Kravis Roberts &amp; Co. L.P. (together with its affiliates and subsidiaries and its and their successors and assigns (other than the Corporation and its subsidiaries), collectively, “KKR”) , any newly created directorship on the Board of Directors that results from an increase in the number of directors and any vacancy occurring </w:t>
      </w:r>
      <w:r>
        <w:rPr>
          <w:rFonts w:ascii="Arial" w:cs="Arial" w:eastAsia="Arial" w:hAnsi="Arial"/>
          <w:sz w:val="15"/>
          <w:szCs w:val="15"/>
          <w:color w:val="EE2724"/>
          <w:strike w:val="1"/>
        </w:rPr>
        <w:t>on the Board of Directors (whether by death, resignation, retirement, disqualification, removal or other cause) shall be filled</w:t>
      </w:r>
      <w:r>
        <w:rPr>
          <w:rFonts w:ascii="Arial" w:cs="Arial" w:eastAsia="Arial" w:hAnsi="Arial"/>
          <w:sz w:val="15"/>
          <w:szCs w:val="15"/>
          <w:color w:val="auto"/>
        </w:rPr>
        <w:t xml:space="preserve"> </w:t>
      </w:r>
      <w:r>
        <w:rPr>
          <w:rFonts w:ascii="Arial" w:cs="Arial" w:eastAsia="Arial" w:hAnsi="Arial"/>
          <w:sz w:val="15"/>
          <w:szCs w:val="15"/>
          <w:color w:val="EE2724"/>
          <w:strike w:val="1"/>
        </w:rPr>
        <w:t xml:space="preserve">by a majority of the directors then in office (other than the director elected by the holders of any services of Preferred Stock, voting separately as a series or together with one or more other such series, as the case may be), even if less than quorum, by any sole remaining director or by the stockholders; </w:t>
      </w:r>
      <w:r>
        <w:rPr>
          <w:rFonts w:ascii="Arial" w:cs="Arial" w:eastAsia="Arial" w:hAnsi="Arial"/>
          <w:sz w:val="15"/>
          <w:szCs w:val="15"/>
          <w:i w:val="1"/>
          <w:iCs w:val="1"/>
          <w:color w:val="EE2724"/>
          <w:strike w:val="1"/>
        </w:rPr>
        <w:t>provided, however</w:t>
      </w:r>
      <w:r>
        <w:rPr>
          <w:rFonts w:ascii="Arial" w:cs="Arial" w:eastAsia="Arial" w:hAnsi="Arial"/>
          <w:sz w:val="15"/>
          <w:szCs w:val="15"/>
          <w:color w:val="EE2724"/>
          <w:strike w:val="1"/>
        </w:rPr>
        <w:t xml:space="preserve">, that at any time when KKR beneficially owns, in the aggregate, less than 40% in voting power of the stock of the Corporation entitled to vote generally in the election of directors, any newly created directorship on the Board of Directors that results from an increase in the number of directors and any vacancy occurring </w:t>
      </w:r>
      <w:r>
        <w:rPr>
          <w:rFonts w:ascii="Arial" w:cs="Arial" w:eastAsia="Arial" w:hAnsi="Arial"/>
          <w:sz w:val="15"/>
          <w:szCs w:val="15"/>
          <w:color w:val="000000"/>
          <w:strike w:val="1"/>
        </w:rPr>
        <w:t>in the Board of Directors shall,</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 xml:space="preserve">unless otherwise required by law or by resolution of the Board of Directors, be filled only by a majority of the directors then in office (other than the directors elected by the holders of any series of Preferred Stock, voting separately as a series or together with one or more other such series, as the case may be), even if less than a quorum, or by any such sole remaining director (and not by the stockholders). Any director elected to fill a vacancy or newly created directorship shall hold office </w:t>
      </w:r>
      <w:r>
        <w:rPr>
          <w:rFonts w:ascii="Arial" w:cs="Arial" w:eastAsia="Arial" w:hAnsi="Arial"/>
          <w:sz w:val="15"/>
          <w:szCs w:val="15"/>
          <w:u w:val="single" w:color="auto"/>
          <w:color w:val="3051F2"/>
          <w:strike w:val="1"/>
        </w:rPr>
        <w:t>(i) in the case of any</w:t>
      </w:r>
      <w:r>
        <w:rPr>
          <w:rFonts w:ascii="Arial" w:cs="Arial" w:eastAsia="Arial" w:hAnsi="Arial"/>
          <w:sz w:val="15"/>
          <w:szCs w:val="15"/>
          <w:color w:val="000000"/>
          <w:strike w:val="1"/>
        </w:rPr>
        <w:t xml:space="preserve"> </w:t>
      </w:r>
      <w:r>
        <w:rPr>
          <w:rFonts w:ascii="Arial" w:cs="Arial" w:eastAsia="Arial" w:hAnsi="Arial"/>
          <w:sz w:val="15"/>
          <w:szCs w:val="15"/>
          <w:u w:val="single" w:color="auto"/>
          <w:color w:val="3051F2"/>
          <w:strike w:val="1"/>
        </w:rPr>
        <w:t>vacancy or newly created directorship so filled prior to the 2028 Annual Meeting</w:t>
      </w:r>
      <w:r>
        <w:rPr>
          <w:rFonts w:ascii="Arial" w:cs="Arial" w:eastAsia="Arial" w:hAnsi="Arial"/>
          <w:sz w:val="15"/>
          <w:szCs w:val="15"/>
          <w:color w:val="000000"/>
          <w:strike w:val="1"/>
        </w:rPr>
        <w:t>, until the next election of the class for which such director shall have been chosen and</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until his or her successor shall be elected and qualified, or until his or her earlier death, resignation, retirement, disqualification or removal</w:t>
      </w:r>
      <w:r>
        <w:rPr>
          <w:rFonts w:ascii="Arial" w:cs="Arial" w:eastAsia="Arial" w:hAnsi="Arial"/>
          <w:sz w:val="15"/>
          <w:szCs w:val="15"/>
          <w:color w:val="EE2724"/>
          <w:strike w:val="1"/>
        </w:rPr>
        <w:t>.</w:t>
      </w:r>
      <w:r>
        <w:rPr>
          <w:rFonts w:ascii="Arial" w:cs="Arial" w:eastAsia="Arial" w:hAnsi="Arial"/>
          <w:sz w:val="15"/>
          <w:szCs w:val="15"/>
          <w:color w:val="000000"/>
          <w:strike w:val="1"/>
        </w:rPr>
        <w:t xml:space="preserve"> </w:t>
      </w:r>
      <w:r>
        <w:rPr>
          <w:rFonts w:ascii="Arial" w:cs="Arial" w:eastAsia="Arial" w:hAnsi="Arial"/>
          <w:sz w:val="15"/>
          <w:szCs w:val="15"/>
          <w:u w:val="single" w:color="auto"/>
          <w:color w:val="3051F2"/>
          <w:strike w:val="1"/>
        </w:rPr>
        <w:t>and (ii) in the case of any</w:t>
      </w:r>
      <w:r>
        <w:rPr>
          <w:rFonts w:ascii="Arial" w:cs="Arial" w:eastAsia="Arial" w:hAnsi="Arial"/>
          <w:sz w:val="15"/>
          <w:szCs w:val="15"/>
          <w:color w:val="000000"/>
          <w:strike w:val="1"/>
        </w:rPr>
        <w:t xml:space="preserve"> </w:t>
      </w:r>
      <w:r>
        <w:rPr>
          <w:rFonts w:ascii="Arial" w:cs="Arial" w:eastAsia="Arial" w:hAnsi="Arial"/>
          <w:sz w:val="15"/>
          <w:szCs w:val="15"/>
          <w:u w:val="single" w:color="auto"/>
          <w:color w:val="3051F2"/>
          <w:strike w:val="1"/>
        </w:rPr>
        <w:t>vacancy or newly created directorship so filled at or after the 2028 Annual Meeting, until the next annual meeting of stockholders and until his or her successor shall be elected and qualified, or until his or her earlier death, resignation, retirement, disqualification or removal.</w:t>
      </w:r>
    </w:p>
    <w:p>
      <w:pPr>
        <w:spacing w:after="0" w:line="17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color w:val="EE2724"/>
          <w:strike w:val="1"/>
        </w:rPr>
        <w:t>Subject to rights granted to KKR under the Stockholder Agreement a</w:t>
      </w:r>
      <w:r>
        <w:rPr>
          <w:rFonts w:ascii="Arial" w:cs="Arial" w:eastAsia="Arial" w:hAnsi="Arial"/>
          <w:sz w:val="15"/>
          <w:szCs w:val="15"/>
          <w:color w:val="auto"/>
        </w:rPr>
        <w:t xml:space="preserve"> </w:t>
      </w:r>
      <w:r>
        <w:rPr>
          <w:rFonts w:ascii="Arial" w:cs="Arial" w:eastAsia="Arial" w:hAnsi="Arial"/>
          <w:sz w:val="15"/>
          <w:szCs w:val="15"/>
          <w:u w:val="single" w:color="auto"/>
          <w:color w:val="3051F2"/>
        </w:rPr>
        <w:t>A</w:t>
      </w:r>
      <w:r>
        <w:rPr>
          <w:rFonts w:ascii="Arial" w:cs="Arial" w:eastAsia="Arial" w:hAnsi="Arial"/>
          <w:sz w:val="15"/>
          <w:szCs w:val="15"/>
          <w:color w:val="auto"/>
        </w:rPr>
        <w:t xml:space="preserve">ny or all of the directors (other than the directors elected by the holders of any series of Preferred Stock, voting separately as a series or together with one or more other such series, as the case may be) may be removed </w:t>
      </w:r>
      <w:r>
        <w:rPr>
          <w:rFonts w:ascii="Arial" w:cs="Arial" w:eastAsia="Arial" w:hAnsi="Arial"/>
          <w:sz w:val="15"/>
          <w:szCs w:val="15"/>
          <w:color w:val="EE2724"/>
        </w:rPr>
        <w:t>at any time either with or without</w:t>
      </w:r>
      <w:r>
        <w:rPr>
          <w:rFonts w:ascii="Arial" w:cs="Arial" w:eastAsia="Arial" w:hAnsi="Arial"/>
          <w:sz w:val="15"/>
          <w:szCs w:val="15"/>
          <w:color w:val="auto"/>
        </w:rPr>
        <w:t xml:space="preserve"> </w:t>
      </w:r>
      <w:r>
        <w:rPr>
          <w:rFonts w:ascii="Arial" w:cs="Arial" w:eastAsia="Arial" w:hAnsi="Arial"/>
          <w:sz w:val="15"/>
          <w:szCs w:val="15"/>
          <w:color w:val="EE2724"/>
          <w:strike w:val="1"/>
        </w:rPr>
        <w:t xml:space="preserve">cause by the affirmative vote of a majority in voting power of all outstanding shares of stock of the Corporation entitled to vote thereon, voting together as a single class; </w:t>
      </w:r>
      <w:r>
        <w:rPr>
          <w:rFonts w:ascii="Arial" w:cs="Arial" w:eastAsia="Arial" w:hAnsi="Arial"/>
          <w:sz w:val="15"/>
          <w:szCs w:val="15"/>
          <w:i w:val="1"/>
          <w:iCs w:val="1"/>
          <w:color w:val="EE2724"/>
          <w:strike w:val="1"/>
        </w:rPr>
        <w:t>provided, however</w:t>
      </w:r>
      <w:r>
        <w:rPr>
          <w:rFonts w:ascii="Arial" w:cs="Arial" w:eastAsia="Arial" w:hAnsi="Arial"/>
          <w:sz w:val="15"/>
          <w:szCs w:val="15"/>
          <w:color w:val="EE2724"/>
          <w:strike w:val="1"/>
        </w:rPr>
        <w:t>, that any time when KKR beneficially owns, in the aggregate, less than 40% in voting power of the stock of the Corporation entitled to vote generally in</w:t>
      </w:r>
      <w:r>
        <w:rPr>
          <w:rFonts w:ascii="Arial" w:cs="Arial" w:eastAsia="Arial" w:hAnsi="Arial"/>
          <w:sz w:val="15"/>
          <w:szCs w:val="15"/>
          <w:i w:val="1"/>
          <w:iCs w:val="1"/>
          <w:color w:val="EE2724"/>
          <w:strike w:val="1"/>
        </w:rPr>
        <w:t xml:space="preserve"> </w:t>
      </w:r>
      <w:r>
        <w:rPr>
          <w:rFonts w:ascii="Arial" w:cs="Arial" w:eastAsia="Arial" w:hAnsi="Arial"/>
          <w:sz w:val="15"/>
          <w:szCs w:val="15"/>
          <w:color w:val="EE2724"/>
          <w:strike w:val="1"/>
        </w:rPr>
        <w:t xml:space="preserve">the election of directors, any such director or all such directors may be removed </w:t>
      </w:r>
      <w:r>
        <w:rPr>
          <w:rFonts w:ascii="Arial" w:cs="Arial" w:eastAsia="Arial" w:hAnsi="Arial"/>
          <w:sz w:val="15"/>
          <w:szCs w:val="15"/>
          <w:u w:val="single" w:color="auto"/>
          <w:color w:val="3051F2"/>
          <w:strike w:val="1"/>
        </w:rPr>
        <w:t>(i) prior to the 2028 Annual Meeting,</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only for cause and</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(ii) from and after the 2028 Annual</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Meeting, with or without cause, and, in each case,</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only by the affirmative vote of the holders of at least 66⅔% in voting power of all the then-outstanding shares of stock of</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the Corporation entitled to vote thereon,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5511800</wp:posOffset>
            </wp:positionH>
            <wp:positionV relativeFrom="paragraph">
              <wp:posOffset>-711200</wp:posOffset>
            </wp:positionV>
            <wp:extent cx="1384300" cy="762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1384300" cy="762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-166370</wp:posOffset>
            </wp:positionV>
            <wp:extent cx="26035" cy="762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26035" cy="762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D. Elections of directors need not be by written ballot unless the Bylaws shall so provide.</w:t>
      </w:r>
    </w:p>
    <w:p>
      <w:pPr>
        <w:spacing w:after="0" w:line="225" w:lineRule="exact"/>
        <w:rPr>
          <w:sz w:val="20"/>
          <w:szCs w:val="20"/>
          <w:color w:val="auto"/>
        </w:rPr>
      </w:pPr>
    </w:p>
    <w:p>
      <w:pPr>
        <w:jc w:val="both"/>
        <w:ind w:right="60"/>
        <w:spacing w:after="0" w:line="293" w:lineRule="auto"/>
        <w:rPr>
          <w:sz w:val="20"/>
          <w:szCs w:val="20"/>
          <w:color w:val="auto"/>
        </w:rPr>
      </w:pPr>
      <w:r>
        <w:rPr>
          <w:rFonts w:ascii="Arial" w:cs="Arial" w:eastAsia="Arial" w:hAnsi="Arial"/>
          <w:sz w:val="15"/>
          <w:szCs w:val="15"/>
          <w:color w:val="auto"/>
        </w:rPr>
        <w:t>E.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1007110</wp:posOffset>
            </wp:positionV>
            <wp:extent cx="7168515" cy="4127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711835</wp:posOffset>
            </wp:positionV>
            <wp:extent cx="789305" cy="18923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307" w:lineRule="auto"/>
        <w:rPr>
          <w:sz w:val="20"/>
          <w:szCs w:val="20"/>
          <w:color w:val="auto"/>
        </w:rPr>
      </w:pPr>
      <w:r>
        <w:rPr>
          <w:rFonts w:ascii="Arial" w:cs="Arial" w:eastAsia="Arial" w:hAnsi="Arial"/>
          <w:sz w:val="14"/>
          <w:szCs w:val="14"/>
          <w:color w:val="auto"/>
        </w:rPr>
        <w:t>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automatically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1002030</wp:posOffset>
            </wp:positionV>
            <wp:extent cx="7168515" cy="4127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707390</wp:posOffset>
            </wp:positionV>
            <wp:extent cx="789305" cy="18923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C-1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Annex C</w:t>
      </w:r>
    </w:p>
    <w:p>
      <w:pPr>
        <w:spacing w:after="0" w:line="99" w:lineRule="exact"/>
        <w:rPr>
          <w:sz w:val="20"/>
          <w:szCs w:val="20"/>
          <w:color w:val="auto"/>
        </w:rPr>
      </w:pPr>
    </w:p>
    <w:p>
      <w:pPr>
        <w:ind w:right="940"/>
        <w:spacing w:after="0" w:line="279" w:lineRule="auto"/>
        <w:rPr>
          <w:sz w:val="20"/>
          <w:szCs w:val="20"/>
          <w:color w:val="auto"/>
        </w:rPr>
      </w:pPr>
      <w:r>
        <w:rPr>
          <w:rFonts w:ascii="Arial" w:cs="Arial" w:eastAsia="Arial" w:hAnsi="Arial"/>
          <w:sz w:val="45"/>
          <w:szCs w:val="45"/>
          <w:b w:val="1"/>
          <w:bCs w:val="1"/>
          <w:color w:val="1B4093"/>
        </w:rPr>
        <w:t>Amendment to the Company’s Amended and Restated Certificate of Incorporation to Limit the Liability of Certain Officers of the Company as Permitted by Law</w:t>
      </w:r>
    </w:p>
    <w:p>
      <w:pPr>
        <w:spacing w:after="0" w:line="200" w:lineRule="exact"/>
        <w:rPr>
          <w:sz w:val="20"/>
          <w:szCs w:val="20"/>
          <w:color w:val="auto"/>
        </w:rPr>
      </w:pPr>
    </w:p>
    <w:p>
      <w:pPr>
        <w:spacing w:after="0" w:line="273"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 xml:space="preserve">Subject to approval by the requisite vote of stockholders of the Company, Article XII would be added to the Certificate of Incorporation would be amended to read in its entirety as follows, with additions to the Certificate of Incorporation indicated in blue text with </w:t>
      </w:r>
      <w:r>
        <w:rPr>
          <w:rFonts w:ascii="Arial" w:cs="Arial" w:eastAsia="Arial" w:hAnsi="Arial"/>
          <w:sz w:val="14"/>
          <w:szCs w:val="14"/>
          <w:b w:val="1"/>
          <w:bCs w:val="1"/>
          <w:u w:val="single" w:color="auto"/>
          <w:color w:val="3051F2"/>
        </w:rPr>
        <w:t>underlining</w:t>
      </w:r>
      <w:r>
        <w:rPr>
          <w:rFonts w:ascii="Arial" w:cs="Arial" w:eastAsia="Arial" w:hAnsi="Arial"/>
          <w:sz w:val="14"/>
          <w:szCs w:val="14"/>
          <w:color w:val="auto"/>
        </w:rPr>
        <w:t xml:space="preserve"> and deletions to the Certificate of Incorporation indicated in red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text with </w:t>
      </w:r>
      <w:r>
        <w:rPr>
          <w:rFonts w:ascii="Arial" w:cs="Arial" w:eastAsia="Arial" w:hAnsi="Arial"/>
          <w:sz w:val="15"/>
          <w:szCs w:val="15"/>
          <w:color w:val="EE2724"/>
          <w:strike w:val="1"/>
        </w:rPr>
        <w:t>strikeouts</w:t>
      </w:r>
      <w:r>
        <w:rPr>
          <w:rFonts w:ascii="Arial" w:cs="Arial" w:eastAsia="Arial" w:hAnsi="Arial"/>
          <w:sz w:val="15"/>
          <w:szCs w:val="15"/>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3051F2"/>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3051F2"/>
        </w:rPr>
        <w:t>LIMITATION OF OFFICER LIABILITY</w:t>
      </w:r>
    </w:p>
    <w:p>
      <w:pPr>
        <w:spacing w:after="0" w:line="225"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u w:val="single" w:color="auto"/>
          <w:color w:val="3051F2"/>
        </w:rPr>
        <w:t>A. To the fullest extent permitted by the DGCL as it now exists or may hereafter be amended, an officer of the Corporation shall not be personally liable to the Corporation or its stockholders for monetary damages for breach of fiduciary duty owed to the Corporation or its stockholders.</w:t>
      </w:r>
    </w:p>
    <w:p>
      <w:pPr>
        <w:spacing w:after="0" w:line="151" w:lineRule="exact"/>
        <w:rPr>
          <w:sz w:val="20"/>
          <w:szCs w:val="20"/>
          <w:color w:val="auto"/>
        </w:rPr>
      </w:pPr>
    </w:p>
    <w:p>
      <w:pPr>
        <w:jc w:val="both"/>
        <w:ind w:right="400"/>
        <w:spacing w:after="0" w:line="293" w:lineRule="auto"/>
        <w:rPr>
          <w:sz w:val="20"/>
          <w:szCs w:val="20"/>
          <w:color w:val="auto"/>
        </w:rPr>
      </w:pPr>
      <w:r>
        <w:rPr>
          <w:rFonts w:ascii="Arial" w:cs="Arial" w:eastAsia="Arial" w:hAnsi="Arial"/>
          <w:sz w:val="15"/>
          <w:szCs w:val="15"/>
          <w:u w:val="single" w:color="auto"/>
          <w:color w:val="3051F2"/>
        </w:rPr>
        <w:t>B. Neither the amendment nor repeal of this Article XII, nor the adoption of any provision of this Amended and Restated Certificate of Incorporation, nor, to the fullest extent permitted by the DGCL, any modification of law shall eliminate, reduce or otherwise adversely affect any right or protection of a current or former officer of the Corporation existing at the time of such amendment, repeal, adoption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1007110</wp:posOffset>
            </wp:positionV>
            <wp:extent cx="7168515" cy="4127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719455</wp:posOffset>
            </wp:positionV>
            <wp:extent cx="789305" cy="18923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Annex D</w:t>
      </w:r>
    </w:p>
    <w:p>
      <w:pPr>
        <w:spacing w:after="0" w:line="99" w:lineRule="exact"/>
        <w:rPr>
          <w:sz w:val="20"/>
          <w:szCs w:val="20"/>
          <w:color w:val="auto"/>
        </w:rPr>
      </w:pPr>
    </w:p>
    <w:p>
      <w:pPr>
        <w:ind w:right="920"/>
        <w:spacing w:after="0" w:line="301" w:lineRule="auto"/>
        <w:rPr>
          <w:sz w:val="20"/>
          <w:szCs w:val="20"/>
          <w:color w:val="auto"/>
        </w:rPr>
      </w:pPr>
      <w:r>
        <w:rPr>
          <w:rFonts w:ascii="Arial" w:cs="Arial" w:eastAsia="Arial" w:hAnsi="Arial"/>
          <w:sz w:val="45"/>
          <w:szCs w:val="45"/>
          <w:b w:val="1"/>
          <w:bCs w:val="1"/>
          <w:color w:val="1B4093"/>
        </w:rPr>
        <w:t>Reconciliations of GAAP to Non-GAAP Financial Measures</w:t>
      </w:r>
    </w:p>
    <w:p>
      <w:pPr>
        <w:spacing w:after="0" w:line="200" w:lineRule="exact"/>
        <w:rPr>
          <w:sz w:val="20"/>
          <w:szCs w:val="20"/>
          <w:color w:val="auto"/>
        </w:rPr>
      </w:pPr>
    </w:p>
    <w:p>
      <w:pPr>
        <w:spacing w:after="0" w:line="226"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Adjusted EBITDA, Adjusted EBIT, Return on Invested Capital (“ROIC”), Adjusted Pre-tax Net Income, Adjusted Net Income, Adjusted Earnings per Share, and Adjusted Free Cash Flow, as shown below, have been presented in this Proxy Statement, including the Compensation Discussion and Analysis section of this Proxy Statement, as supplemental measures of financial performance that are not required by, or presented in accordance with, accounting principles generally accepted in the United States of America ("GAAP").</w:t>
      </w:r>
    </w:p>
    <w:p>
      <w:pPr>
        <w:spacing w:after="0" w:line="158"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ROIC as Adjusted EBITDA before lease expense (which we previously referred to as “EBITDAR”) less income tax expense divided by average invested capital on a trailing thirteen month basis, inclusive of year-end total lease liabilities.</w:t>
      </w:r>
    </w:p>
    <w:p>
      <w:pPr>
        <w:spacing w:after="0" w:line="173"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We define Adjusted Pre-tax Net Income as net income (loss) before income tax expense and other adjustments included in the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Pre-tax Net Income, Adjusted Net Income and Adjusted Earnings per Share in the applicable table below.</w:t>
      </w:r>
    </w:p>
    <w:p>
      <w:pPr>
        <w:spacing w:after="0" w:line="169" w:lineRule="exact"/>
        <w:rPr>
          <w:sz w:val="20"/>
          <w:szCs w:val="20"/>
          <w:color w:val="auto"/>
        </w:rPr>
      </w:pPr>
    </w:p>
    <w:p>
      <w:pPr>
        <w:ind w:right="360"/>
        <w:spacing w:after="0" w:line="310" w:lineRule="auto"/>
        <w:rPr>
          <w:sz w:val="20"/>
          <w:szCs w:val="20"/>
          <w:color w:val="auto"/>
        </w:rPr>
      </w:pPr>
      <w:r>
        <w:rPr>
          <w:rFonts w:ascii="Arial" w:cs="Arial" w:eastAsia="Arial" w:hAnsi="Arial"/>
          <w:sz w:val="15"/>
          <w:szCs w:val="15"/>
          <w:color w:val="auto"/>
        </w:rPr>
        <w:t>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51"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We believe Adjusted EBITDA, Adjusted EBIT, Adjusted Pre-tax Net Income,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Adjusted Pre-tax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additional basis for assessing our ability to generate cash. Management believes ROIC is a useful measure of how we deploy capital. Management uses Adjusted EBITDA, Adjusted EBIT, ROIC, Adjusted Pre-tax Net Income,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1014095</wp:posOffset>
            </wp:positionV>
            <wp:extent cx="7168515" cy="4127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718820</wp:posOffset>
            </wp:positionV>
            <wp:extent cx="789305" cy="18923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color w:val="007EC4"/>
        </w:rPr>
        <w:t xml:space="preserve">D-2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Management supplements GAAP results with non-GAAP financial measures to provide a more complete understanding of the factors and trends affecting the business than GAAP results alone. Adjusted EBITDA, Adjusted EBIT, ROIC, Adjusted Pre-tax Net Income,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Pre-tax Net Income, Adjusted Net Income, Adjusted Earnings per Share, ROIC, and Adjusted Free Cash Flow should not be construed to imply that our future results will be unaffected by unusual or non-recurring items. In evaluating Adjusted EBITDA, Adjusted EBIT, ROIC, Adjusted Pre-tax Net Income, Adjusted Net Income, Adjusted Earnings per Share and Adjusted Free Cash Flow, you should be aware that in the future we may incur expenses that are the same as or similar to some of the adjustments in this presentation. Our presentation of Adjusted EBITDA, Adjusted EBIT, ROIC, Adjusted Pre-tax Net Income, Adjusted Net Income, Adjusted Earnings per Share, and Adjusted Free Cash Flow should not be construed to imply that our future results will be unaffected by any such adjustments.</w:t>
      </w:r>
    </w:p>
    <w:p>
      <w:pPr>
        <w:spacing w:after="0" w:line="173"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Our Adjusted EBITDA, Adjusted EBIT, ROIC,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51" w:lineRule="exact"/>
        <w:rPr>
          <w:sz w:val="20"/>
          <w:szCs w:val="20"/>
          <w:color w:val="auto"/>
        </w:rPr>
      </w:pPr>
    </w:p>
    <w:p>
      <w:pPr>
        <w:ind w:left="600" w:right="240" w:hanging="302"/>
        <w:spacing w:after="0" w:line="278" w:lineRule="auto"/>
        <w:tabs>
          <w:tab w:leader="none" w:pos="571" w:val="left"/>
        </w:tabs>
        <w:numPr>
          <w:ilvl w:val="0"/>
          <w:numId w:val="96"/>
        </w:numPr>
        <w:rPr>
          <w:rFonts w:ascii="Arial" w:cs="Arial" w:eastAsia="Arial" w:hAnsi="Arial"/>
          <w:sz w:val="17"/>
          <w:szCs w:val="17"/>
          <w:b w:val="1"/>
          <w:bCs w:val="1"/>
          <w:color w:val="auto"/>
        </w:rPr>
      </w:pPr>
      <w:r>
        <w:rPr>
          <w:rFonts w:ascii="Arial" w:cs="Arial" w:eastAsia="Arial" w:hAnsi="Arial"/>
          <w:sz w:val="15"/>
          <w:szCs w:val="15"/>
          <w:color w:val="auto"/>
        </w:rPr>
        <w:t>Adjusted EBITDA, Adjusted EBIT, Adjusted Pre-tax Net Income, Adjusted Net Income and Adjusted Earnings per Share do not reflect costs or cash outlays for capital expenditures or contractual commitments;</w:t>
      </w:r>
    </w:p>
    <w:p>
      <w:pPr>
        <w:spacing w:after="0" w:line="70" w:lineRule="exact"/>
        <w:rPr>
          <w:rFonts w:ascii="Arial" w:cs="Arial" w:eastAsia="Arial" w:hAnsi="Arial"/>
          <w:sz w:val="17"/>
          <w:szCs w:val="17"/>
          <w:b w:val="1"/>
          <w:bCs w:val="1"/>
          <w:color w:val="auto"/>
        </w:rPr>
      </w:pPr>
    </w:p>
    <w:p>
      <w:pPr>
        <w:ind w:left="600" w:right="560" w:hanging="302"/>
        <w:spacing w:after="0" w:line="278" w:lineRule="auto"/>
        <w:tabs>
          <w:tab w:leader="none" w:pos="571" w:val="left"/>
        </w:tabs>
        <w:numPr>
          <w:ilvl w:val="0"/>
          <w:numId w:val="96"/>
        </w:numPr>
        <w:rPr>
          <w:rFonts w:ascii="Arial" w:cs="Arial" w:eastAsia="Arial" w:hAnsi="Arial"/>
          <w:sz w:val="17"/>
          <w:szCs w:val="17"/>
          <w:b w:val="1"/>
          <w:bCs w:val="1"/>
          <w:color w:val="auto"/>
        </w:rPr>
      </w:pPr>
      <w:r>
        <w:rPr>
          <w:rFonts w:ascii="Arial" w:cs="Arial" w:eastAsia="Arial" w:hAnsi="Arial"/>
          <w:sz w:val="15"/>
          <w:szCs w:val="15"/>
          <w:color w:val="auto"/>
        </w:rPr>
        <w:t>Adjusted EBITDA, Adjusted EBIT, Adjusted Pre-tax Net Income, Adjusted Net Income and Adjusted Earnings per Share do not reflect changes in, or cash requirements for, our working capital needs;</w:t>
      </w:r>
    </w:p>
    <w:p>
      <w:pPr>
        <w:spacing w:after="0" w:line="70" w:lineRule="exact"/>
        <w:rPr>
          <w:rFonts w:ascii="Arial" w:cs="Arial" w:eastAsia="Arial" w:hAnsi="Arial"/>
          <w:sz w:val="17"/>
          <w:szCs w:val="17"/>
          <w:b w:val="1"/>
          <w:bCs w:val="1"/>
          <w:color w:val="auto"/>
        </w:rPr>
      </w:pPr>
    </w:p>
    <w:p>
      <w:pPr>
        <w:ind w:left="600" w:right="300" w:hanging="302"/>
        <w:spacing w:after="0" w:line="310" w:lineRule="auto"/>
        <w:tabs>
          <w:tab w:leader="none" w:pos="578" w:val="left"/>
        </w:tabs>
        <w:numPr>
          <w:ilvl w:val="0"/>
          <w:numId w:val="96"/>
        </w:numPr>
        <w:rPr>
          <w:rFonts w:ascii="Arial" w:cs="Arial" w:eastAsia="Arial" w:hAnsi="Arial"/>
          <w:sz w:val="15"/>
          <w:szCs w:val="15"/>
          <w:color w:val="auto"/>
        </w:rPr>
      </w:pPr>
      <w:r>
        <w:rPr>
          <w:rFonts w:ascii="Arial" w:cs="Arial" w:eastAsia="Arial" w:hAnsi="Arial"/>
          <w:sz w:val="15"/>
          <w:szCs w:val="15"/>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51" w:lineRule="exact"/>
        <w:rPr>
          <w:rFonts w:ascii="Arial" w:cs="Arial" w:eastAsia="Arial" w:hAnsi="Arial"/>
          <w:sz w:val="15"/>
          <w:szCs w:val="15"/>
          <w:color w:val="auto"/>
        </w:rPr>
      </w:pPr>
    </w:p>
    <w:p>
      <w:pPr>
        <w:ind w:left="600" w:right="400" w:hanging="302"/>
        <w:spacing w:after="0" w:line="310" w:lineRule="auto"/>
        <w:tabs>
          <w:tab w:leader="none" w:pos="578" w:val="left"/>
        </w:tabs>
        <w:numPr>
          <w:ilvl w:val="0"/>
          <w:numId w:val="96"/>
        </w:numPr>
        <w:rPr>
          <w:rFonts w:ascii="Arial" w:cs="Arial" w:eastAsia="Arial" w:hAnsi="Arial"/>
          <w:sz w:val="15"/>
          <w:szCs w:val="15"/>
          <w:color w:val="auto"/>
        </w:rPr>
      </w:pPr>
      <w:r>
        <w:rPr>
          <w:rFonts w:ascii="Arial" w:cs="Arial" w:eastAsia="Arial" w:hAnsi="Arial"/>
          <w:sz w:val="15"/>
          <w:szCs w:val="15"/>
          <w:color w:val="auto"/>
        </w:rPr>
        <w:t>Adjusted EBITDA, ROIC, Adjusted Pre-tax Net Income, and Adjusted EBIT do not reflect period to period changes in taxes, income tax expense or the cash necessary to pay income taxes;</w:t>
      </w:r>
    </w:p>
    <w:p>
      <w:pPr>
        <w:spacing w:after="0" w:line="51" w:lineRule="exact"/>
        <w:rPr>
          <w:rFonts w:ascii="Arial" w:cs="Arial" w:eastAsia="Arial" w:hAnsi="Arial"/>
          <w:sz w:val="15"/>
          <w:szCs w:val="15"/>
          <w:color w:val="auto"/>
        </w:rPr>
      </w:pPr>
    </w:p>
    <w:p>
      <w:pPr>
        <w:ind w:left="600" w:right="540" w:hanging="302"/>
        <w:spacing w:after="0" w:line="310" w:lineRule="auto"/>
        <w:tabs>
          <w:tab w:leader="none" w:pos="578" w:val="left"/>
        </w:tabs>
        <w:numPr>
          <w:ilvl w:val="0"/>
          <w:numId w:val="96"/>
        </w:numPr>
        <w:rPr>
          <w:rFonts w:ascii="Arial" w:cs="Arial" w:eastAsia="Arial" w:hAnsi="Arial"/>
          <w:sz w:val="15"/>
          <w:szCs w:val="15"/>
          <w:color w:val="auto"/>
        </w:rPr>
      </w:pPr>
      <w:r>
        <w:rPr>
          <w:rFonts w:ascii="Arial" w:cs="Arial" w:eastAsia="Arial" w:hAnsi="Arial"/>
          <w:sz w:val="15"/>
          <w:szCs w:val="15"/>
          <w:color w:val="auto"/>
        </w:rPr>
        <w:t>Adjusted EBITDA, Adjusted EBIT, ROIC, Adjusted Pre-tax Net Income, Adjusted Net Income and Adjusted Earnings per Share do not reflect the impact of earnings or charges resulting from matters we consider not to be indicative of our ongoing operations;</w:t>
      </w:r>
    </w:p>
    <w:p>
      <w:pPr>
        <w:spacing w:after="0" w:line="51" w:lineRule="exact"/>
        <w:rPr>
          <w:rFonts w:ascii="Arial" w:cs="Arial" w:eastAsia="Arial" w:hAnsi="Arial"/>
          <w:sz w:val="15"/>
          <w:szCs w:val="15"/>
          <w:color w:val="auto"/>
        </w:rPr>
      </w:pPr>
    </w:p>
    <w:p>
      <w:pPr>
        <w:ind w:left="600" w:right="500" w:hanging="302"/>
        <w:spacing w:after="0" w:line="310" w:lineRule="auto"/>
        <w:tabs>
          <w:tab w:leader="none" w:pos="578" w:val="left"/>
        </w:tabs>
        <w:numPr>
          <w:ilvl w:val="0"/>
          <w:numId w:val="96"/>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51" w:lineRule="exact"/>
        <w:rPr>
          <w:rFonts w:ascii="Arial" w:cs="Arial" w:eastAsia="Arial" w:hAnsi="Arial"/>
          <w:sz w:val="15"/>
          <w:szCs w:val="15"/>
          <w:color w:val="auto"/>
        </w:rPr>
      </w:pPr>
    </w:p>
    <w:p>
      <w:pPr>
        <w:ind w:left="580" w:hanging="282"/>
        <w:spacing w:after="0"/>
        <w:tabs>
          <w:tab w:leader="none" w:pos="5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other companies in our industry may calculate these measures differently than we do, limiting their usefulness as comparative measures.</w:t>
      </w:r>
    </w:p>
    <w:p>
      <w:pPr>
        <w:spacing w:after="0" w:line="126"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Because of these limitations, Adjusted EBITDA, Adjusted EBIT, ROIC, Adjusted Pre-tax Net Income,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ROIC, Adjusted Pre-tax Net Income, Adjusted Net Income, Adjusted Earnings per Share and Adjusted Free Cash Flow supplementally.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1008380</wp:posOffset>
            </wp:positionV>
            <wp:extent cx="7168515" cy="4127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713105</wp:posOffset>
            </wp:positionV>
            <wp:extent cx="789305" cy="18923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Adjusted EBITDA and Adjusted EBIT</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reconciliations of net income to Adjusted EBITDA and Adjusted EBIT for the periods presented (amounts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Borders>
              <w:bottom w:val="single" w:sz="8" w:color="E1D7AC"/>
            </w:tcBorders>
            <w:shd w:val="clear" w:color="auto" w:fill="E1D7AC"/>
          </w:tcPr>
          <w:p>
            <w:pPr>
              <w:spacing w:after="0"/>
              <w:rPr>
                <w:sz w:val="19"/>
                <w:szCs w:val="19"/>
                <w:color w:val="auto"/>
              </w:rPr>
            </w:pPr>
          </w:p>
        </w:tc>
        <w:tc>
          <w:tcPr>
            <w:tcW w:w="2520" w:type="dxa"/>
            <w:vAlign w:val="bottom"/>
            <w:tcBorders>
              <w:bottom w:val="single" w:sz="8" w:color="E1D7AC"/>
            </w:tcBorders>
            <w:shd w:val="clear" w:color="auto" w:fill="E1D7AC"/>
          </w:tcPr>
          <w:p>
            <w:pPr>
              <w:spacing w:after="0"/>
              <w:rPr>
                <w:sz w:val="19"/>
                <w:szCs w:val="19"/>
                <w:color w:val="auto"/>
              </w:rPr>
            </w:pPr>
          </w:p>
        </w:tc>
        <w:tc>
          <w:tcPr>
            <w:tcW w:w="2560" w:type="dxa"/>
            <w:vAlign w:val="bottom"/>
            <w:tcBorders>
              <w:bottom w:val="single" w:sz="8" w:color="E1D7AC"/>
            </w:tcBorders>
            <w:shd w:val="clear" w:color="auto" w:fill="E1D7AC"/>
          </w:tcPr>
          <w:p>
            <w:pPr>
              <w:jc w:val="right"/>
              <w:ind w:right="1074"/>
              <w:spacing w:after="0"/>
              <w:rPr>
                <w:sz w:val="20"/>
                <w:szCs w:val="20"/>
                <w:color w:val="auto"/>
              </w:rPr>
            </w:pPr>
            <w:r>
              <w:rPr>
                <w:rFonts w:ascii="Arial" w:cs="Arial" w:eastAsia="Arial" w:hAnsi="Arial"/>
                <w:sz w:val="13"/>
                <w:szCs w:val="13"/>
                <w:b w:val="1"/>
                <w:bCs w:val="1"/>
                <w:color w:val="auto"/>
              </w:rPr>
              <w:t>Fiscal Year Ended</w:t>
            </w:r>
          </w:p>
        </w:tc>
        <w:tc>
          <w:tcPr>
            <w:tcW w:w="1660" w:type="dxa"/>
            <w:vAlign w:val="bottom"/>
            <w:tcBorders>
              <w:bottom w:val="single" w:sz="8" w:color="E1D7AC"/>
            </w:tcBorders>
            <w:shd w:val="clear" w:color="auto" w:fill="E1D7AC"/>
          </w:tcPr>
          <w:p>
            <w:pPr>
              <w:spacing w:after="0"/>
              <w:rPr>
                <w:sz w:val="19"/>
                <w:szCs w:val="19"/>
                <w:color w:val="auto"/>
              </w:rPr>
            </w:pPr>
          </w:p>
        </w:tc>
      </w:tr>
      <w:tr>
        <w:trPr>
          <w:trHeight w:val="184"/>
        </w:trPr>
        <w:tc>
          <w:tcPr>
            <w:tcW w:w="4500" w:type="dxa"/>
            <w:vAlign w:val="bottom"/>
            <w:tcBorders>
              <w:top w:val="single" w:sz="8" w:color="E1D7AC"/>
            </w:tcBorders>
            <w:shd w:val="clear" w:color="auto" w:fill="E1D7AC"/>
          </w:tcPr>
          <w:p>
            <w:pPr>
              <w:spacing w:after="0"/>
              <w:rPr>
                <w:sz w:val="15"/>
                <w:szCs w:val="15"/>
                <w:color w:val="auto"/>
              </w:rPr>
            </w:pPr>
          </w:p>
        </w:tc>
        <w:tc>
          <w:tcPr>
            <w:tcW w:w="2520" w:type="dxa"/>
            <w:vAlign w:val="bottom"/>
            <w:tcBorders>
              <w:top w:val="single" w:sz="8" w:color="auto"/>
            </w:tcBorders>
            <w:shd w:val="clear" w:color="auto" w:fill="E1D7AC"/>
          </w:tcPr>
          <w:p>
            <w:pPr>
              <w:jc w:val="right"/>
              <w:ind w:right="214"/>
              <w:spacing w:after="0"/>
              <w:rPr>
                <w:sz w:val="20"/>
                <w:szCs w:val="20"/>
                <w:color w:val="auto"/>
              </w:rPr>
            </w:pPr>
            <w:r>
              <w:rPr>
                <w:rFonts w:ascii="Arial" w:cs="Arial" w:eastAsia="Arial" w:hAnsi="Arial"/>
                <w:sz w:val="13"/>
                <w:szCs w:val="13"/>
                <w:b w:val="1"/>
                <w:bCs w:val="1"/>
                <w:color w:val="auto"/>
              </w:rPr>
              <w:t>February 1, 2025</w:t>
            </w:r>
          </w:p>
        </w:tc>
        <w:tc>
          <w:tcPr>
            <w:tcW w:w="2560" w:type="dxa"/>
            <w:vAlign w:val="bottom"/>
            <w:tcBorders>
              <w:top w:val="single" w:sz="8" w:color="auto"/>
            </w:tcBorders>
            <w:shd w:val="clear" w:color="auto" w:fill="E1D7AC"/>
          </w:tcPr>
          <w:p>
            <w:pPr>
              <w:jc w:val="right"/>
              <w:ind w:right="534"/>
              <w:spacing w:after="0"/>
              <w:rPr>
                <w:sz w:val="20"/>
                <w:szCs w:val="20"/>
                <w:color w:val="auto"/>
              </w:rPr>
            </w:pPr>
            <w:r>
              <w:rPr>
                <w:rFonts w:ascii="Arial" w:cs="Arial" w:eastAsia="Arial" w:hAnsi="Arial"/>
                <w:sz w:val="13"/>
                <w:szCs w:val="13"/>
                <w:b w:val="1"/>
                <w:bCs w:val="1"/>
                <w:color w:val="auto"/>
              </w:rPr>
              <w:t>February 3, 2024</w:t>
            </w:r>
          </w:p>
        </w:tc>
        <w:tc>
          <w:tcPr>
            <w:tcW w:w="166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January 28, 2023</w:t>
            </w:r>
          </w:p>
        </w:tc>
      </w:tr>
      <w:tr>
        <w:trPr>
          <w:trHeight w:val="186"/>
        </w:trPr>
        <w:tc>
          <w:tcPr>
            <w:tcW w:w="4500" w:type="dxa"/>
            <w:vAlign w:val="bottom"/>
            <w:tcBorders>
              <w:bottom w:val="single" w:sz="8" w:color="E1D7AC"/>
            </w:tcBorders>
            <w:shd w:val="clear" w:color="auto" w:fill="E1D7AC"/>
          </w:tcPr>
          <w:p>
            <w:pPr>
              <w:spacing w:after="0"/>
              <w:rPr>
                <w:sz w:val="16"/>
                <w:szCs w:val="16"/>
                <w:color w:val="auto"/>
              </w:rPr>
            </w:pPr>
          </w:p>
        </w:tc>
        <w:tc>
          <w:tcPr>
            <w:tcW w:w="2520" w:type="dxa"/>
            <w:vAlign w:val="bottom"/>
            <w:tcBorders>
              <w:bottom w:val="single" w:sz="8" w:color="E1D7AC"/>
            </w:tcBorders>
            <w:shd w:val="clear" w:color="auto" w:fill="E1D7AC"/>
          </w:tcPr>
          <w:p>
            <w:pPr>
              <w:jc w:val="right"/>
              <w:ind w:right="214"/>
              <w:spacing w:after="0"/>
              <w:rPr>
                <w:sz w:val="20"/>
                <w:szCs w:val="20"/>
                <w:color w:val="auto"/>
              </w:rPr>
            </w:pPr>
            <w:r>
              <w:rPr>
                <w:rFonts w:ascii="Arial" w:cs="Arial" w:eastAsia="Arial" w:hAnsi="Arial"/>
                <w:sz w:val="13"/>
                <w:szCs w:val="13"/>
                <w:b w:val="1"/>
                <w:bCs w:val="1"/>
                <w:color w:val="auto"/>
              </w:rPr>
              <w:t>($)</w:t>
            </w:r>
          </w:p>
        </w:tc>
        <w:tc>
          <w:tcPr>
            <w:tcW w:w="2560" w:type="dxa"/>
            <w:vAlign w:val="bottom"/>
            <w:tcBorders>
              <w:bottom w:val="single" w:sz="8" w:color="E1D7AC"/>
            </w:tcBorders>
            <w:shd w:val="clear" w:color="auto" w:fill="E1D7AC"/>
          </w:tcPr>
          <w:p>
            <w:pPr>
              <w:jc w:val="right"/>
              <w:ind w:right="534"/>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20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Net income</w:t>
            </w:r>
            <w:r>
              <w:rPr>
                <w:rFonts w:ascii="Arial" w:cs="Arial" w:eastAsia="Arial" w:hAnsi="Arial"/>
                <w:sz w:val="8"/>
                <w:szCs w:val="8"/>
                <w:color w:val="auto"/>
              </w:rPr>
              <w:t>(a)</w:t>
            </w:r>
          </w:p>
        </w:tc>
        <w:tc>
          <w:tcPr>
            <w:tcW w:w="2520" w:type="dxa"/>
            <w:vAlign w:val="bottom"/>
            <w:tcBorders>
              <w:bottom w:val="single" w:sz="8" w:color="DBDBDB"/>
            </w:tcBorders>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418,447</w:t>
            </w:r>
          </w:p>
        </w:tc>
        <w:tc>
          <w:tcPr>
            <w:tcW w:w="2560" w:type="dxa"/>
            <w:vAlign w:val="bottom"/>
            <w:tcBorders>
              <w:bottom w:val="single" w:sz="8" w:color="DBDBDB"/>
            </w:tcBorders>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519,190</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628,001</w:t>
            </w:r>
          </w:p>
        </w:tc>
      </w:tr>
      <w:tr>
        <w:trPr>
          <w:trHeight w:val="197"/>
        </w:trPr>
        <w:tc>
          <w:tcPr>
            <w:tcW w:w="4500" w:type="dxa"/>
            <w:vAlign w:val="bottom"/>
          </w:tcPr>
          <w:p>
            <w:pPr>
              <w:ind w:left="100"/>
              <w:spacing w:after="0"/>
              <w:rPr>
                <w:sz w:val="20"/>
                <w:szCs w:val="20"/>
                <w:color w:val="auto"/>
              </w:rPr>
            </w:pPr>
            <w:r>
              <w:rPr>
                <w:rFonts w:ascii="Arial" w:cs="Arial" w:eastAsia="Arial" w:hAnsi="Arial"/>
                <w:sz w:val="13"/>
                <w:szCs w:val="13"/>
                <w:color w:val="auto"/>
              </w:rPr>
              <w:t>Interest expense, net</w:t>
            </w:r>
          </w:p>
        </w:tc>
        <w:tc>
          <w:tcPr>
            <w:tcW w:w="2520" w:type="dxa"/>
            <w:vAlign w:val="bottom"/>
          </w:tcPr>
          <w:p>
            <w:pPr>
              <w:jc w:val="right"/>
              <w:ind w:right="274"/>
              <w:spacing w:after="0"/>
              <w:rPr>
                <w:sz w:val="20"/>
                <w:szCs w:val="20"/>
                <w:color w:val="auto"/>
              </w:rPr>
            </w:pPr>
            <w:r>
              <w:rPr>
                <w:rFonts w:ascii="Arial" w:cs="Arial" w:eastAsia="Arial" w:hAnsi="Arial"/>
                <w:sz w:val="13"/>
                <w:szCs w:val="13"/>
                <w:b w:val="1"/>
                <w:bCs w:val="1"/>
                <w:color w:val="auto"/>
              </w:rPr>
              <w:t>36,873</w:t>
            </w:r>
          </w:p>
        </w:tc>
        <w:tc>
          <w:tcPr>
            <w:tcW w:w="2560" w:type="dxa"/>
            <w:vAlign w:val="bottom"/>
          </w:tcPr>
          <w:p>
            <w:pPr>
              <w:jc w:val="right"/>
              <w:ind w:right="574"/>
              <w:spacing w:after="0"/>
              <w:rPr>
                <w:sz w:val="20"/>
                <w:szCs w:val="20"/>
                <w:color w:val="auto"/>
              </w:rPr>
            </w:pPr>
            <w:r>
              <w:rPr>
                <w:rFonts w:ascii="Arial" w:cs="Arial" w:eastAsia="Arial" w:hAnsi="Arial"/>
                <w:sz w:val="13"/>
                <w:szCs w:val="13"/>
                <w:b w:val="1"/>
                <w:bCs w:val="1"/>
                <w:color w:val="auto"/>
              </w:rPr>
              <w:t>46,051</w:t>
            </w:r>
          </w:p>
        </w:tc>
        <w:tc>
          <w:tcPr>
            <w:tcW w:w="1660" w:type="dxa"/>
            <w:vAlign w:val="bottom"/>
          </w:tcPr>
          <w:p>
            <w:pPr>
              <w:jc w:val="right"/>
              <w:spacing w:after="0"/>
              <w:rPr>
                <w:sz w:val="20"/>
                <w:szCs w:val="20"/>
                <w:color w:val="auto"/>
              </w:rPr>
            </w:pPr>
            <w:r>
              <w:rPr>
                <w:rFonts w:ascii="Arial" w:cs="Arial" w:eastAsia="Arial" w:hAnsi="Arial"/>
                <w:sz w:val="13"/>
                <w:szCs w:val="13"/>
                <w:color w:val="auto"/>
              </w:rPr>
              <w:t>46,441</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Income tax expense</w:t>
            </w:r>
          </w:p>
        </w:tc>
        <w:tc>
          <w:tcPr>
            <w:tcW w:w="2520" w:type="dxa"/>
            <w:vAlign w:val="bottom"/>
            <w:tcBorders>
              <w:bottom w:val="single" w:sz="8" w:color="DBDBDB"/>
            </w:tcBorders>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119,778</w:t>
            </w:r>
          </w:p>
        </w:tc>
        <w:tc>
          <w:tcPr>
            <w:tcW w:w="2560" w:type="dxa"/>
            <w:vAlign w:val="bottom"/>
            <w:tcBorders>
              <w:bottom w:val="single" w:sz="8" w:color="DBDBDB"/>
            </w:tcBorders>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143,966</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190,319</w:t>
            </w:r>
          </w:p>
        </w:tc>
      </w:tr>
      <w:tr>
        <w:trPr>
          <w:trHeight w:val="197"/>
        </w:trPr>
        <w:tc>
          <w:tcPr>
            <w:tcW w:w="450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2520" w:type="dxa"/>
            <w:vAlign w:val="bottom"/>
          </w:tcPr>
          <w:p>
            <w:pPr>
              <w:jc w:val="right"/>
              <w:ind w:right="274"/>
              <w:spacing w:after="0"/>
              <w:rPr>
                <w:sz w:val="20"/>
                <w:szCs w:val="20"/>
                <w:color w:val="auto"/>
              </w:rPr>
            </w:pPr>
            <w:r>
              <w:rPr>
                <w:rFonts w:ascii="Arial" w:cs="Arial" w:eastAsia="Arial" w:hAnsi="Arial"/>
                <w:sz w:val="13"/>
                <w:szCs w:val="13"/>
                <w:b w:val="1"/>
                <w:bCs w:val="1"/>
                <w:color w:val="auto"/>
              </w:rPr>
              <w:t>118,070</w:t>
            </w:r>
          </w:p>
        </w:tc>
        <w:tc>
          <w:tcPr>
            <w:tcW w:w="2560" w:type="dxa"/>
            <w:vAlign w:val="bottom"/>
          </w:tcPr>
          <w:p>
            <w:pPr>
              <w:jc w:val="right"/>
              <w:ind w:right="574"/>
              <w:spacing w:after="0"/>
              <w:rPr>
                <w:sz w:val="20"/>
                <w:szCs w:val="20"/>
                <w:color w:val="auto"/>
              </w:rPr>
            </w:pPr>
            <w:r>
              <w:rPr>
                <w:rFonts w:ascii="Arial" w:cs="Arial" w:eastAsia="Arial" w:hAnsi="Arial"/>
                <w:sz w:val="13"/>
                <w:szCs w:val="13"/>
                <w:b w:val="1"/>
                <w:bCs w:val="1"/>
                <w:color w:val="auto"/>
              </w:rPr>
              <w:t>110,936</w:t>
            </w:r>
          </w:p>
        </w:tc>
        <w:tc>
          <w:tcPr>
            <w:tcW w:w="1660" w:type="dxa"/>
            <w:vAlign w:val="bottom"/>
          </w:tcPr>
          <w:p>
            <w:pPr>
              <w:jc w:val="right"/>
              <w:spacing w:after="0"/>
              <w:rPr>
                <w:sz w:val="20"/>
                <w:szCs w:val="20"/>
                <w:color w:val="auto"/>
              </w:rPr>
            </w:pPr>
            <w:r>
              <w:rPr>
                <w:rFonts w:ascii="Arial" w:cs="Arial" w:eastAsia="Arial" w:hAnsi="Arial"/>
                <w:sz w:val="13"/>
                <w:szCs w:val="13"/>
                <w:color w:val="auto"/>
              </w:rPr>
              <w:t>106,762</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Equity compensation</w:t>
            </w:r>
            <w:r>
              <w:rPr>
                <w:rFonts w:ascii="Arial" w:cs="Arial" w:eastAsia="Arial" w:hAnsi="Arial"/>
                <w:sz w:val="8"/>
                <w:szCs w:val="8"/>
                <w:color w:val="auto"/>
              </w:rPr>
              <w:t>(b)</w:t>
            </w:r>
          </w:p>
        </w:tc>
        <w:tc>
          <w:tcPr>
            <w:tcW w:w="2520" w:type="dxa"/>
            <w:vAlign w:val="bottom"/>
            <w:tcBorders>
              <w:bottom w:val="single" w:sz="8" w:color="DBDBDB"/>
            </w:tcBorders>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26,629</w:t>
            </w:r>
          </w:p>
        </w:tc>
        <w:tc>
          <w:tcPr>
            <w:tcW w:w="2560" w:type="dxa"/>
            <w:vAlign w:val="bottom"/>
            <w:tcBorders>
              <w:bottom w:val="single" w:sz="8" w:color="DBDBDB"/>
            </w:tcBorders>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24,377</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21,175</w:t>
            </w:r>
          </w:p>
        </w:tc>
      </w:tr>
      <w:tr>
        <w:trPr>
          <w:trHeight w:val="197"/>
        </w:trPr>
        <w:tc>
          <w:tcPr>
            <w:tcW w:w="4500" w:type="dxa"/>
            <w:vAlign w:val="bottom"/>
          </w:tcPr>
          <w:p>
            <w:pPr>
              <w:ind w:left="100"/>
              <w:spacing w:after="0"/>
              <w:rPr>
                <w:sz w:val="20"/>
                <w:szCs w:val="20"/>
                <w:color w:val="auto"/>
              </w:rPr>
            </w:pPr>
            <w:r>
              <w:rPr>
                <w:rFonts w:ascii="Arial" w:cs="Arial" w:eastAsia="Arial" w:hAnsi="Arial"/>
                <w:sz w:val="13"/>
                <w:szCs w:val="13"/>
                <w:color w:val="auto"/>
              </w:rPr>
              <w:t>Loss on early retirement of debt, net</w:t>
            </w:r>
          </w:p>
        </w:tc>
        <w:tc>
          <w:tcPr>
            <w:tcW w:w="252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2560" w:type="dxa"/>
            <w:vAlign w:val="bottom"/>
          </w:tcPr>
          <w:p>
            <w:pPr>
              <w:jc w:val="right"/>
              <w:ind w:right="574"/>
              <w:spacing w:after="0"/>
              <w:rPr>
                <w:sz w:val="20"/>
                <w:szCs w:val="20"/>
                <w:color w:val="auto"/>
              </w:rPr>
            </w:pPr>
            <w:r>
              <w:rPr>
                <w:rFonts w:ascii="Arial" w:cs="Arial" w:eastAsia="Arial" w:hAnsi="Arial"/>
                <w:sz w:val="13"/>
                <w:szCs w:val="13"/>
                <w:b w:val="1"/>
                <w:bCs w:val="1"/>
                <w:color w:val="auto"/>
              </w:rPr>
              <w:t>1,525</w:t>
            </w:r>
          </w:p>
        </w:tc>
        <w:tc>
          <w:tcPr>
            <w:tcW w:w="1660" w:type="dxa"/>
            <w:vAlign w:val="bottom"/>
          </w:tcPr>
          <w:p>
            <w:pPr>
              <w:jc w:val="right"/>
              <w:spacing w:after="0"/>
              <w:rPr>
                <w:sz w:val="20"/>
                <w:szCs w:val="20"/>
                <w:color w:val="auto"/>
              </w:rPr>
            </w:pPr>
            <w:r>
              <w:rPr>
                <w:rFonts w:ascii="Arial" w:cs="Arial" w:eastAsia="Arial" w:hAnsi="Arial"/>
                <w:sz w:val="13"/>
                <w:szCs w:val="13"/>
                <w:color w:val="auto"/>
              </w:rPr>
              <w:t>1,963</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Write off of deferred loan costs</w:t>
            </w:r>
          </w:p>
        </w:tc>
        <w:tc>
          <w:tcPr>
            <w:tcW w:w="2520" w:type="dxa"/>
            <w:vAlign w:val="bottom"/>
            <w:tcBorders>
              <w:bottom w:val="single" w:sz="8" w:color="DBDBDB"/>
            </w:tcBorders>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449</w:t>
            </w:r>
          </w:p>
        </w:tc>
        <w:tc>
          <w:tcPr>
            <w:tcW w:w="2560" w:type="dxa"/>
            <w:vAlign w:val="bottom"/>
            <w:tcBorders>
              <w:bottom w:val="single" w:sz="8" w:color="DBDBDB"/>
            </w:tcBorders>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4500" w:type="dxa"/>
            <w:vAlign w:val="bottom"/>
          </w:tcPr>
          <w:p>
            <w:pPr>
              <w:ind w:left="320"/>
              <w:spacing w:after="0"/>
              <w:rPr>
                <w:sz w:val="20"/>
                <w:szCs w:val="20"/>
                <w:color w:val="auto"/>
              </w:rPr>
            </w:pPr>
            <w:r>
              <w:rPr>
                <w:rFonts w:ascii="Arial" w:cs="Arial" w:eastAsia="Arial" w:hAnsi="Arial"/>
                <w:sz w:val="13"/>
                <w:szCs w:val="13"/>
                <w:color w:val="auto"/>
              </w:rPr>
              <w:t>Adjusted EBITDA</w:t>
            </w:r>
          </w:p>
        </w:tc>
        <w:tc>
          <w:tcPr>
            <w:tcW w:w="2520" w:type="dxa"/>
            <w:vAlign w:val="bottom"/>
            <w:tcBorders>
              <w:top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720,246</w:t>
            </w:r>
          </w:p>
        </w:tc>
        <w:tc>
          <w:tcPr>
            <w:tcW w:w="2560" w:type="dxa"/>
            <w:vAlign w:val="bottom"/>
            <w:tcBorders>
              <w:top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846,045</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994,661</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Less: Depreciation and amortization</w:t>
            </w:r>
          </w:p>
        </w:tc>
        <w:tc>
          <w:tcPr>
            <w:tcW w:w="2520" w:type="dxa"/>
            <w:vAlign w:val="bottom"/>
            <w:tcBorders>
              <w:bottom w:val="single" w:sz="8" w:color="DBDBDB"/>
            </w:tcBorders>
            <w:shd w:val="clear" w:color="auto" w:fill="DBDBDB"/>
          </w:tcPr>
          <w:p>
            <w:pPr>
              <w:jc w:val="right"/>
              <w:ind w:right="234"/>
              <w:spacing w:after="0"/>
              <w:rPr>
                <w:sz w:val="20"/>
                <w:szCs w:val="20"/>
                <w:color w:val="auto"/>
              </w:rPr>
            </w:pPr>
            <w:r>
              <w:rPr>
                <w:rFonts w:ascii="Arial" w:cs="Arial" w:eastAsia="Arial" w:hAnsi="Arial"/>
                <w:sz w:val="13"/>
                <w:szCs w:val="13"/>
                <w:b w:val="1"/>
                <w:bCs w:val="1"/>
                <w:color w:val="auto"/>
              </w:rPr>
              <w:t>(118,070)</w:t>
            </w:r>
          </w:p>
        </w:tc>
        <w:tc>
          <w:tcPr>
            <w:tcW w:w="2560" w:type="dxa"/>
            <w:vAlign w:val="bottom"/>
            <w:tcBorders>
              <w:bottom w:val="single" w:sz="8" w:color="DBDBDB"/>
            </w:tcBorders>
            <w:shd w:val="clear" w:color="auto" w:fill="DBDBDB"/>
          </w:tcPr>
          <w:p>
            <w:pPr>
              <w:jc w:val="right"/>
              <w:ind w:right="534"/>
              <w:spacing w:after="0"/>
              <w:rPr>
                <w:sz w:val="20"/>
                <w:szCs w:val="20"/>
                <w:color w:val="auto"/>
              </w:rPr>
            </w:pPr>
            <w:r>
              <w:rPr>
                <w:rFonts w:ascii="Arial" w:cs="Arial" w:eastAsia="Arial" w:hAnsi="Arial"/>
                <w:sz w:val="13"/>
                <w:szCs w:val="13"/>
                <w:b w:val="1"/>
                <w:bCs w:val="1"/>
                <w:color w:val="auto"/>
              </w:rPr>
              <w:t>(110,936)</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(106,762)</w:t>
            </w:r>
          </w:p>
        </w:tc>
      </w:tr>
      <w:tr>
        <w:trPr>
          <w:trHeight w:val="190"/>
        </w:trPr>
        <w:tc>
          <w:tcPr>
            <w:tcW w:w="4500" w:type="dxa"/>
            <w:vAlign w:val="bottom"/>
          </w:tcPr>
          <w:p>
            <w:pPr>
              <w:ind w:left="320"/>
              <w:spacing w:after="0"/>
              <w:rPr>
                <w:sz w:val="20"/>
                <w:szCs w:val="20"/>
                <w:color w:val="auto"/>
              </w:rPr>
            </w:pPr>
            <w:r>
              <w:rPr>
                <w:rFonts w:ascii="Arial" w:cs="Arial" w:eastAsia="Arial" w:hAnsi="Arial"/>
                <w:sz w:val="13"/>
                <w:szCs w:val="13"/>
                <w:color w:val="auto"/>
              </w:rPr>
              <w:t>Adjusted EBIT</w:t>
            </w:r>
          </w:p>
        </w:tc>
        <w:tc>
          <w:tcPr>
            <w:tcW w:w="2520" w:type="dxa"/>
            <w:vAlign w:val="bottom"/>
            <w:tcBorders>
              <w:top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602,176</w:t>
            </w:r>
          </w:p>
        </w:tc>
        <w:tc>
          <w:tcPr>
            <w:tcW w:w="2560" w:type="dxa"/>
            <w:vAlign w:val="bottom"/>
            <w:tcBorders>
              <w:top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735,109</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887,899</w:t>
            </w:r>
          </w:p>
        </w:tc>
      </w:tr>
      <w:tr>
        <w:trPr>
          <w:trHeight w:val="27"/>
        </w:trPr>
        <w:tc>
          <w:tcPr>
            <w:tcW w:w="4500" w:type="dxa"/>
            <w:vAlign w:val="bottom"/>
            <w:tcBorders>
              <w:bottom w:val="single" w:sz="8" w:color="B6B6B6"/>
            </w:tcBorders>
          </w:tcPr>
          <w:p>
            <w:pPr>
              <w:spacing w:after="0"/>
              <w:rPr>
                <w:sz w:val="2"/>
                <w:szCs w:val="2"/>
                <w:color w:val="auto"/>
              </w:rPr>
            </w:pPr>
          </w:p>
        </w:tc>
        <w:tc>
          <w:tcPr>
            <w:tcW w:w="2520" w:type="dxa"/>
            <w:vAlign w:val="bottom"/>
            <w:tcBorders>
              <w:bottom w:val="single" w:sz="8" w:color="B6B6B6"/>
            </w:tcBorders>
          </w:tcPr>
          <w:p>
            <w:pPr>
              <w:spacing w:after="0"/>
              <w:rPr>
                <w:sz w:val="2"/>
                <w:szCs w:val="2"/>
                <w:color w:val="auto"/>
              </w:rPr>
            </w:pPr>
          </w:p>
        </w:tc>
        <w:tc>
          <w:tcPr>
            <w:tcW w:w="2560" w:type="dxa"/>
            <w:vAlign w:val="bottom"/>
            <w:tcBorders>
              <w:bottom w:val="single" w:sz="8" w:color="B6B6B6"/>
            </w:tcBorders>
          </w:tcPr>
          <w:p>
            <w:pPr>
              <w:spacing w:after="0"/>
              <w:rPr>
                <w:sz w:val="2"/>
                <w:szCs w:val="2"/>
                <w:color w:val="auto"/>
              </w:rPr>
            </w:pPr>
          </w:p>
        </w:tc>
        <w:tc>
          <w:tcPr>
            <w:tcW w:w="1660" w:type="dxa"/>
            <w:vAlign w:val="bottom"/>
            <w:tcBorders>
              <w:bottom w:val="single" w:sz="8" w:color="B6B6B6"/>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Return on Invested Capital (“ROIC”)</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reconciliations of net income to ROIC for the periods presented (amounts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Borders>
              <w:bottom w:val="single" w:sz="8" w:color="E1D7AC"/>
            </w:tcBorders>
            <w:shd w:val="clear" w:color="auto" w:fill="E1D7AC"/>
          </w:tcPr>
          <w:p>
            <w:pPr>
              <w:spacing w:after="0"/>
              <w:rPr>
                <w:sz w:val="19"/>
                <w:szCs w:val="19"/>
                <w:color w:val="auto"/>
              </w:rPr>
            </w:pPr>
          </w:p>
        </w:tc>
        <w:tc>
          <w:tcPr>
            <w:tcW w:w="3240" w:type="dxa"/>
            <w:vAlign w:val="bottom"/>
            <w:tcBorders>
              <w:bottom w:val="single" w:sz="8" w:color="E1D7AC"/>
            </w:tcBorders>
            <w:shd w:val="clear" w:color="auto" w:fill="E1D7AC"/>
          </w:tcPr>
          <w:p>
            <w:pPr>
              <w:jc w:val="right"/>
              <w:ind w:right="274"/>
              <w:spacing w:after="0"/>
              <w:rPr>
                <w:sz w:val="20"/>
                <w:szCs w:val="20"/>
                <w:color w:val="auto"/>
              </w:rPr>
            </w:pPr>
            <w:r>
              <w:rPr>
                <w:rFonts w:ascii="Arial" w:cs="Arial" w:eastAsia="Arial" w:hAnsi="Arial"/>
                <w:sz w:val="13"/>
                <w:szCs w:val="13"/>
                <w:b w:val="1"/>
                <w:bCs w:val="1"/>
                <w:color w:val="auto"/>
              </w:rPr>
              <w:t>Fiscal Year Ended</w:t>
            </w:r>
          </w:p>
        </w:tc>
        <w:tc>
          <w:tcPr>
            <w:tcW w:w="1400" w:type="dxa"/>
            <w:vAlign w:val="bottom"/>
            <w:tcBorders>
              <w:bottom w:val="single" w:sz="8" w:color="E1D7AC"/>
            </w:tcBorders>
            <w:shd w:val="clear" w:color="auto" w:fill="E1D7AC"/>
          </w:tcPr>
          <w:p>
            <w:pPr>
              <w:spacing w:after="0"/>
              <w:rPr>
                <w:sz w:val="19"/>
                <w:szCs w:val="19"/>
                <w:color w:val="auto"/>
              </w:rPr>
            </w:pPr>
          </w:p>
        </w:tc>
      </w:tr>
      <w:tr>
        <w:trPr>
          <w:trHeight w:val="184"/>
        </w:trPr>
        <w:tc>
          <w:tcPr>
            <w:tcW w:w="6600" w:type="dxa"/>
            <w:vAlign w:val="bottom"/>
            <w:tcBorders>
              <w:top w:val="single" w:sz="8" w:color="E1D7AC"/>
            </w:tcBorders>
            <w:shd w:val="clear" w:color="auto" w:fill="E1D7AC"/>
          </w:tcPr>
          <w:p>
            <w:pPr>
              <w:spacing w:after="0"/>
              <w:rPr>
                <w:sz w:val="15"/>
                <w:szCs w:val="15"/>
                <w:color w:val="auto"/>
              </w:rPr>
            </w:pPr>
          </w:p>
        </w:tc>
        <w:tc>
          <w:tcPr>
            <w:tcW w:w="3240" w:type="dxa"/>
            <w:vAlign w:val="bottom"/>
            <w:tcBorders>
              <w:top w:val="single" w:sz="8" w:color="auto"/>
            </w:tcBorders>
            <w:shd w:val="clear" w:color="auto" w:fill="E1D7AC"/>
          </w:tcPr>
          <w:p>
            <w:pPr>
              <w:jc w:val="right"/>
              <w:ind w:right="874"/>
              <w:spacing w:after="0"/>
              <w:rPr>
                <w:sz w:val="20"/>
                <w:szCs w:val="20"/>
                <w:color w:val="auto"/>
              </w:rPr>
            </w:pPr>
            <w:r>
              <w:rPr>
                <w:rFonts w:ascii="Arial" w:cs="Arial" w:eastAsia="Arial" w:hAnsi="Arial"/>
                <w:sz w:val="13"/>
                <w:szCs w:val="13"/>
                <w:b w:val="1"/>
                <w:bCs w:val="1"/>
                <w:color w:val="auto"/>
              </w:rPr>
              <w:t>February 1, 2025</w:t>
            </w:r>
          </w:p>
        </w:tc>
        <w:tc>
          <w:tcPr>
            <w:tcW w:w="140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February 3, 2024</w:t>
            </w:r>
          </w:p>
        </w:tc>
      </w:tr>
      <w:tr>
        <w:trPr>
          <w:trHeight w:val="186"/>
        </w:trPr>
        <w:tc>
          <w:tcPr>
            <w:tcW w:w="6600" w:type="dxa"/>
            <w:vAlign w:val="bottom"/>
            <w:tcBorders>
              <w:bottom w:val="single" w:sz="8" w:color="E1D7AC"/>
            </w:tcBorders>
            <w:shd w:val="clear" w:color="auto" w:fill="E1D7AC"/>
          </w:tcPr>
          <w:p>
            <w:pPr>
              <w:spacing w:after="0"/>
              <w:rPr>
                <w:sz w:val="16"/>
                <w:szCs w:val="16"/>
                <w:color w:val="auto"/>
              </w:rPr>
            </w:pPr>
          </w:p>
        </w:tc>
        <w:tc>
          <w:tcPr>
            <w:tcW w:w="3240" w:type="dxa"/>
            <w:vAlign w:val="bottom"/>
            <w:tcBorders>
              <w:bottom w:val="single" w:sz="8" w:color="E1D7AC"/>
            </w:tcBorders>
            <w:shd w:val="clear" w:color="auto" w:fill="E1D7AC"/>
          </w:tcPr>
          <w:p>
            <w:pPr>
              <w:jc w:val="right"/>
              <w:ind w:right="874"/>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224"/>
        </w:trPr>
        <w:tc>
          <w:tcPr>
            <w:tcW w:w="66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Net income</w:t>
            </w:r>
            <w:r>
              <w:rPr>
                <w:rFonts w:ascii="Arial" w:cs="Arial" w:eastAsia="Arial" w:hAnsi="Arial"/>
                <w:sz w:val="17"/>
                <w:szCs w:val="17"/>
                <w:color w:val="auto"/>
                <w:vertAlign w:val="superscript"/>
              </w:rPr>
              <w:t>(a)</w:t>
            </w:r>
          </w:p>
        </w:tc>
        <w:tc>
          <w:tcPr>
            <w:tcW w:w="3240" w:type="dxa"/>
            <w:vAlign w:val="bottom"/>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418,447</w:t>
            </w:r>
          </w:p>
        </w:tc>
        <w:tc>
          <w:tcPr>
            <w:tcW w:w="1400" w:type="dxa"/>
            <w:vAlign w:val="bottom"/>
            <w:shd w:val="clear" w:color="auto" w:fill="DBDBDB"/>
          </w:tcPr>
          <w:p>
            <w:pPr>
              <w:jc w:val="right"/>
              <w:ind w:right="94"/>
              <w:spacing w:after="0"/>
              <w:rPr>
                <w:sz w:val="20"/>
                <w:szCs w:val="20"/>
                <w:color w:val="auto"/>
              </w:rPr>
            </w:pPr>
            <w:r>
              <w:rPr>
                <w:rFonts w:ascii="Arial" w:cs="Arial" w:eastAsia="Arial" w:hAnsi="Arial"/>
                <w:sz w:val="13"/>
                <w:szCs w:val="13"/>
                <w:b w:val="1"/>
                <w:bCs w:val="1"/>
                <w:color w:val="auto"/>
              </w:rPr>
              <w:t>519,190</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Interest expense, net</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36,873</w:t>
            </w:r>
          </w:p>
        </w:tc>
        <w:tc>
          <w:tcPr>
            <w:tcW w:w="1400" w:type="dxa"/>
            <w:vAlign w:val="bottom"/>
          </w:tcPr>
          <w:p>
            <w:pPr>
              <w:jc w:val="right"/>
              <w:ind w:right="94"/>
              <w:spacing w:after="0"/>
              <w:rPr>
                <w:sz w:val="20"/>
                <w:szCs w:val="20"/>
                <w:color w:val="auto"/>
              </w:rPr>
            </w:pPr>
            <w:r>
              <w:rPr>
                <w:rFonts w:ascii="Arial" w:cs="Arial" w:eastAsia="Arial" w:hAnsi="Arial"/>
                <w:sz w:val="13"/>
                <w:szCs w:val="13"/>
                <w:b w:val="1"/>
                <w:bCs w:val="1"/>
                <w:color w:val="auto"/>
              </w:rPr>
              <w:t>46,051</w:t>
            </w:r>
          </w:p>
        </w:tc>
      </w:tr>
      <w:tr>
        <w:trPr>
          <w:trHeight w:val="27"/>
        </w:trPr>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4"/>
        </w:trPr>
        <w:tc>
          <w:tcPr>
            <w:tcW w:w="66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Income tax expense</w:t>
            </w:r>
          </w:p>
        </w:tc>
        <w:tc>
          <w:tcPr>
            <w:tcW w:w="3240" w:type="dxa"/>
            <w:vAlign w:val="bottom"/>
            <w:tcBorders>
              <w:bottom w:val="single" w:sz="8" w:color="DBDBDB"/>
            </w:tcBorders>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119,778</w:t>
            </w:r>
          </w:p>
        </w:tc>
        <w:tc>
          <w:tcPr>
            <w:tcW w:w="140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3"/>
                <w:szCs w:val="13"/>
                <w:b w:val="1"/>
                <w:bCs w:val="1"/>
                <w:color w:val="auto"/>
              </w:rPr>
              <w:t>143,966</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118,070</w:t>
            </w:r>
          </w:p>
        </w:tc>
        <w:tc>
          <w:tcPr>
            <w:tcW w:w="1400" w:type="dxa"/>
            <w:vAlign w:val="bottom"/>
          </w:tcPr>
          <w:p>
            <w:pPr>
              <w:jc w:val="right"/>
              <w:ind w:right="94"/>
              <w:spacing w:after="0"/>
              <w:rPr>
                <w:sz w:val="20"/>
                <w:szCs w:val="20"/>
                <w:color w:val="auto"/>
              </w:rPr>
            </w:pPr>
            <w:r>
              <w:rPr>
                <w:rFonts w:ascii="Arial" w:cs="Arial" w:eastAsia="Arial" w:hAnsi="Arial"/>
                <w:sz w:val="13"/>
                <w:szCs w:val="13"/>
                <w:b w:val="1"/>
                <w:bCs w:val="1"/>
                <w:color w:val="auto"/>
              </w:rPr>
              <w:t>110,936</w:t>
            </w:r>
          </w:p>
        </w:tc>
      </w:tr>
      <w:tr>
        <w:trPr>
          <w:trHeight w:val="27"/>
        </w:trPr>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4"/>
        </w:trPr>
        <w:tc>
          <w:tcPr>
            <w:tcW w:w="66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Equity compensation</w:t>
            </w:r>
            <w:r>
              <w:rPr>
                <w:rFonts w:ascii="Arial" w:cs="Arial" w:eastAsia="Arial" w:hAnsi="Arial"/>
                <w:sz w:val="17"/>
                <w:szCs w:val="17"/>
                <w:color w:val="auto"/>
                <w:vertAlign w:val="superscript"/>
              </w:rPr>
              <w:t>(b)</w:t>
            </w:r>
          </w:p>
        </w:tc>
        <w:tc>
          <w:tcPr>
            <w:tcW w:w="3240" w:type="dxa"/>
            <w:vAlign w:val="bottom"/>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26,629</w:t>
            </w:r>
          </w:p>
        </w:tc>
        <w:tc>
          <w:tcPr>
            <w:tcW w:w="1400" w:type="dxa"/>
            <w:vAlign w:val="bottom"/>
            <w:shd w:val="clear" w:color="auto" w:fill="DBDBDB"/>
          </w:tcPr>
          <w:p>
            <w:pPr>
              <w:jc w:val="right"/>
              <w:ind w:right="94"/>
              <w:spacing w:after="0"/>
              <w:rPr>
                <w:sz w:val="20"/>
                <w:szCs w:val="20"/>
                <w:color w:val="auto"/>
              </w:rPr>
            </w:pPr>
            <w:r>
              <w:rPr>
                <w:rFonts w:ascii="Arial" w:cs="Arial" w:eastAsia="Arial" w:hAnsi="Arial"/>
                <w:sz w:val="13"/>
                <w:szCs w:val="13"/>
                <w:b w:val="1"/>
                <w:bCs w:val="1"/>
                <w:color w:val="auto"/>
              </w:rPr>
              <w:t>24,377</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Loss on early retirement of debt, net</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94"/>
              <w:spacing w:after="0"/>
              <w:rPr>
                <w:sz w:val="20"/>
                <w:szCs w:val="20"/>
                <w:color w:val="auto"/>
              </w:rPr>
            </w:pPr>
            <w:r>
              <w:rPr>
                <w:rFonts w:ascii="Arial" w:cs="Arial" w:eastAsia="Arial" w:hAnsi="Arial"/>
                <w:sz w:val="13"/>
                <w:szCs w:val="13"/>
                <w:b w:val="1"/>
                <w:bCs w:val="1"/>
                <w:color w:val="auto"/>
              </w:rPr>
              <w:t>1,525</w:t>
            </w:r>
          </w:p>
        </w:tc>
      </w:tr>
      <w:tr>
        <w:trPr>
          <w:trHeight w:val="27"/>
        </w:trPr>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4"/>
        </w:trPr>
        <w:tc>
          <w:tcPr>
            <w:tcW w:w="66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Write off of deferred loan costs</w:t>
            </w:r>
          </w:p>
        </w:tc>
        <w:tc>
          <w:tcPr>
            <w:tcW w:w="3240" w:type="dxa"/>
            <w:vAlign w:val="bottom"/>
            <w:tcBorders>
              <w:bottom w:val="single" w:sz="8" w:color="DBDBDB"/>
            </w:tcBorders>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449</w:t>
            </w:r>
          </w:p>
        </w:tc>
        <w:tc>
          <w:tcPr>
            <w:tcW w:w="140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3"/>
                <w:szCs w:val="13"/>
                <w:b w:val="1"/>
                <w:bCs w:val="1"/>
                <w:color w:val="auto"/>
              </w:rPr>
              <w:t>—</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Lease expense</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232,683</w:t>
            </w:r>
          </w:p>
        </w:tc>
        <w:tc>
          <w:tcPr>
            <w:tcW w:w="1400" w:type="dxa"/>
            <w:vAlign w:val="bottom"/>
          </w:tcPr>
          <w:p>
            <w:pPr>
              <w:jc w:val="right"/>
              <w:ind w:right="94"/>
              <w:spacing w:after="0"/>
              <w:rPr>
                <w:sz w:val="20"/>
                <w:szCs w:val="20"/>
                <w:color w:val="auto"/>
              </w:rPr>
            </w:pPr>
            <w:r>
              <w:rPr>
                <w:rFonts w:ascii="Arial" w:cs="Arial" w:eastAsia="Arial" w:hAnsi="Arial"/>
                <w:sz w:val="13"/>
                <w:szCs w:val="13"/>
                <w:b w:val="1"/>
                <w:bCs w:val="1"/>
                <w:color w:val="auto"/>
              </w:rPr>
              <w:t>224,614</w:t>
            </w:r>
          </w:p>
        </w:tc>
      </w:tr>
      <w:tr>
        <w:trPr>
          <w:trHeight w:val="27"/>
        </w:trPr>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4"/>
        </w:trPr>
        <w:tc>
          <w:tcPr>
            <w:tcW w:w="6600" w:type="dxa"/>
            <w:vAlign w:val="bottom"/>
            <w:shd w:val="clear" w:color="auto" w:fill="DBDBDB"/>
          </w:tcPr>
          <w:p>
            <w:pPr>
              <w:ind w:left="320"/>
              <w:spacing w:after="0"/>
              <w:rPr>
                <w:sz w:val="20"/>
                <w:szCs w:val="20"/>
                <w:color w:val="auto"/>
              </w:rPr>
            </w:pPr>
            <w:r>
              <w:rPr>
                <w:rFonts w:ascii="Arial" w:cs="Arial" w:eastAsia="Arial" w:hAnsi="Arial"/>
                <w:sz w:val="13"/>
                <w:szCs w:val="13"/>
                <w:color w:val="auto"/>
              </w:rPr>
              <w:t>Adjusted EBITDA before lease expense</w:t>
            </w:r>
            <w:r>
              <w:rPr>
                <w:rFonts w:ascii="Arial" w:cs="Arial" w:eastAsia="Arial" w:hAnsi="Arial"/>
                <w:sz w:val="17"/>
                <w:szCs w:val="17"/>
                <w:color w:val="auto"/>
                <w:vertAlign w:val="superscript"/>
              </w:rPr>
              <w:t>(1)</w:t>
            </w:r>
          </w:p>
        </w:tc>
        <w:tc>
          <w:tcPr>
            <w:tcW w:w="3240" w:type="dxa"/>
            <w:vAlign w:val="bottom"/>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952,929</w:t>
            </w:r>
          </w:p>
        </w:tc>
        <w:tc>
          <w:tcPr>
            <w:tcW w:w="1400" w:type="dxa"/>
            <w:vAlign w:val="bottom"/>
            <w:shd w:val="clear" w:color="auto" w:fill="DBDBDB"/>
          </w:tcPr>
          <w:p>
            <w:pPr>
              <w:jc w:val="right"/>
              <w:ind w:right="94"/>
              <w:spacing w:after="0"/>
              <w:rPr>
                <w:sz w:val="20"/>
                <w:szCs w:val="20"/>
                <w:color w:val="auto"/>
              </w:rPr>
            </w:pPr>
            <w:r>
              <w:rPr>
                <w:rFonts w:ascii="Arial" w:cs="Arial" w:eastAsia="Arial" w:hAnsi="Arial"/>
                <w:sz w:val="13"/>
                <w:szCs w:val="13"/>
                <w:b w:val="1"/>
                <w:bCs w:val="1"/>
                <w:color w:val="auto"/>
              </w:rPr>
              <w:t>1,070,659</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Less: Income tax expense</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(119,778)</w:t>
            </w:r>
          </w:p>
        </w:tc>
        <w:tc>
          <w:tcPr>
            <w:tcW w:w="1400" w:type="dxa"/>
            <w:vAlign w:val="bottom"/>
          </w:tcPr>
          <w:p>
            <w:pPr>
              <w:jc w:val="right"/>
              <w:ind w:right="54"/>
              <w:spacing w:after="0"/>
              <w:rPr>
                <w:sz w:val="20"/>
                <w:szCs w:val="20"/>
                <w:color w:val="auto"/>
              </w:rPr>
            </w:pPr>
            <w:r>
              <w:rPr>
                <w:rFonts w:ascii="Arial" w:cs="Arial" w:eastAsia="Arial" w:hAnsi="Arial"/>
                <w:sz w:val="13"/>
                <w:szCs w:val="13"/>
                <w:b w:val="1"/>
                <w:bCs w:val="1"/>
                <w:color w:val="auto"/>
              </w:rPr>
              <w:t>(143,966)</w:t>
            </w:r>
          </w:p>
        </w:tc>
      </w:tr>
      <w:tr>
        <w:trPr>
          <w:trHeight w:val="27"/>
        </w:trPr>
        <w:tc>
          <w:tcPr>
            <w:tcW w:w="6600" w:type="dxa"/>
            <w:vAlign w:val="bottom"/>
            <w:tcBorders>
              <w:bottom w:val="single" w:sz="8" w:color="DBDBDB"/>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660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3"/>
                <w:szCs w:val="13"/>
                <w:color w:val="auto"/>
              </w:rPr>
              <w:t>Adjusted EBITDA before lease expense less income tax expense</w:t>
            </w:r>
          </w:p>
        </w:tc>
        <w:tc>
          <w:tcPr>
            <w:tcW w:w="3240" w:type="dxa"/>
            <w:vAlign w:val="bottom"/>
            <w:tcBorders>
              <w:bottom w:val="single" w:sz="8" w:color="DBDBDB"/>
            </w:tcBorders>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833,151</w:t>
            </w:r>
          </w:p>
        </w:tc>
        <w:tc>
          <w:tcPr>
            <w:tcW w:w="140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b w:val="1"/>
                <w:bCs w:val="1"/>
                <w:color w:val="auto"/>
              </w:rPr>
              <w:t>926,693</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Average invested capital</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3,624,592</w:t>
            </w:r>
          </w:p>
        </w:tc>
        <w:tc>
          <w:tcPr>
            <w:tcW w:w="1400" w:type="dxa"/>
            <w:vAlign w:val="bottom"/>
          </w:tcPr>
          <w:p>
            <w:pPr>
              <w:jc w:val="right"/>
              <w:ind w:right="94"/>
              <w:spacing w:after="0"/>
              <w:rPr>
                <w:sz w:val="20"/>
                <w:szCs w:val="20"/>
                <w:color w:val="auto"/>
              </w:rPr>
            </w:pPr>
            <w:r>
              <w:rPr>
                <w:rFonts w:ascii="Arial" w:cs="Arial" w:eastAsia="Arial" w:hAnsi="Arial"/>
                <w:sz w:val="13"/>
                <w:szCs w:val="13"/>
                <w:b w:val="1"/>
                <w:bCs w:val="1"/>
                <w:color w:val="auto"/>
              </w:rPr>
              <w:t>3,314,678</w:t>
            </w:r>
          </w:p>
        </w:tc>
      </w:tr>
      <w:tr>
        <w:trPr>
          <w:trHeight w:val="27"/>
        </w:trPr>
        <w:tc>
          <w:tcPr>
            <w:tcW w:w="6600" w:type="dxa"/>
            <w:vAlign w:val="bottom"/>
            <w:tcBorders>
              <w:bottom w:val="single" w:sz="8" w:color="DBDBDB"/>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600" w:type="dxa"/>
            <w:vAlign w:val="bottom"/>
            <w:shd w:val="clear" w:color="auto" w:fill="DBDBDB"/>
          </w:tcPr>
          <w:p>
            <w:pPr>
              <w:ind w:left="320"/>
              <w:spacing w:after="0"/>
              <w:rPr>
                <w:sz w:val="20"/>
                <w:szCs w:val="20"/>
                <w:color w:val="auto"/>
              </w:rPr>
            </w:pPr>
            <w:r>
              <w:rPr>
                <w:rFonts w:ascii="Arial" w:cs="Arial" w:eastAsia="Arial" w:hAnsi="Arial"/>
                <w:sz w:val="13"/>
                <w:szCs w:val="13"/>
                <w:color w:val="auto"/>
              </w:rPr>
              <w:t>Return on Invested Capital</w:t>
            </w:r>
          </w:p>
        </w:tc>
        <w:tc>
          <w:tcPr>
            <w:tcW w:w="3240" w:type="dxa"/>
            <w:vAlign w:val="bottom"/>
            <w:shd w:val="clear" w:color="auto" w:fill="DBDBDB"/>
          </w:tcPr>
          <w:p>
            <w:pPr>
              <w:jc w:val="right"/>
              <w:ind w:right="874"/>
              <w:spacing w:after="0"/>
              <w:rPr>
                <w:sz w:val="20"/>
                <w:szCs w:val="20"/>
                <w:color w:val="auto"/>
              </w:rPr>
            </w:pPr>
            <w:r>
              <w:rPr>
                <w:rFonts w:ascii="Arial" w:cs="Arial" w:eastAsia="Arial" w:hAnsi="Arial"/>
                <w:sz w:val="13"/>
                <w:szCs w:val="13"/>
                <w:b w:val="1"/>
                <w:bCs w:val="1"/>
                <w:color w:val="auto"/>
              </w:rPr>
              <w:t>23 %</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28 %</w:t>
            </w:r>
          </w:p>
        </w:tc>
      </w:tr>
      <w:tr>
        <w:trPr>
          <w:trHeight w:val="27"/>
        </w:trPr>
        <w:tc>
          <w:tcPr>
            <w:tcW w:w="6600" w:type="dxa"/>
            <w:vAlign w:val="bottom"/>
            <w:shd w:val="clear" w:color="auto" w:fill="DBDBDB"/>
          </w:tcPr>
          <w:p>
            <w:pPr>
              <w:spacing w:after="0"/>
              <w:rPr>
                <w:sz w:val="2"/>
                <w:szCs w:val="2"/>
                <w:color w:val="auto"/>
              </w:rPr>
            </w:pPr>
          </w:p>
        </w:tc>
        <w:tc>
          <w:tcPr>
            <w:tcW w:w="324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(1) “Adjusted EBITDA before lease expense” was previously referred to as “EBITDAR”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911860</wp:posOffset>
            </wp:positionV>
            <wp:extent cx="7168515" cy="4127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624840</wp:posOffset>
            </wp:positionV>
            <wp:extent cx="789305" cy="18923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color w:val="007EC4"/>
        </w:rPr>
        <w:t xml:space="preserve">D-4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Adjusted Pre-tax Net Income</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reconciliations of net income to Adjusted Pre-tax Net Income for the periods presented (amounts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Borders>
              <w:bottom w:val="single" w:sz="8" w:color="E1D7AC"/>
            </w:tcBorders>
            <w:shd w:val="clear" w:color="auto" w:fill="E1D7AC"/>
          </w:tcPr>
          <w:p>
            <w:pPr>
              <w:spacing w:after="0"/>
              <w:rPr>
                <w:sz w:val="19"/>
                <w:szCs w:val="19"/>
                <w:color w:val="auto"/>
              </w:rPr>
            </w:pPr>
          </w:p>
        </w:tc>
        <w:tc>
          <w:tcPr>
            <w:tcW w:w="2520" w:type="dxa"/>
            <w:vAlign w:val="bottom"/>
            <w:tcBorders>
              <w:bottom w:val="single" w:sz="8" w:color="E1D7AC"/>
            </w:tcBorders>
            <w:shd w:val="clear" w:color="auto" w:fill="E1D7AC"/>
          </w:tcPr>
          <w:p>
            <w:pPr>
              <w:spacing w:after="0"/>
              <w:rPr>
                <w:sz w:val="19"/>
                <w:szCs w:val="19"/>
                <w:color w:val="auto"/>
              </w:rPr>
            </w:pPr>
          </w:p>
        </w:tc>
        <w:tc>
          <w:tcPr>
            <w:tcW w:w="2560" w:type="dxa"/>
            <w:vAlign w:val="bottom"/>
            <w:tcBorders>
              <w:bottom w:val="single" w:sz="8" w:color="E1D7AC"/>
            </w:tcBorders>
            <w:shd w:val="clear" w:color="auto" w:fill="E1D7AC"/>
          </w:tcPr>
          <w:p>
            <w:pPr>
              <w:jc w:val="right"/>
              <w:ind w:right="1074"/>
              <w:spacing w:after="0"/>
              <w:rPr>
                <w:sz w:val="20"/>
                <w:szCs w:val="20"/>
                <w:color w:val="auto"/>
              </w:rPr>
            </w:pPr>
            <w:r>
              <w:rPr>
                <w:rFonts w:ascii="Arial" w:cs="Arial" w:eastAsia="Arial" w:hAnsi="Arial"/>
                <w:sz w:val="13"/>
                <w:szCs w:val="13"/>
                <w:b w:val="1"/>
                <w:bCs w:val="1"/>
                <w:color w:val="auto"/>
              </w:rPr>
              <w:t>Fiscal Year Ended</w:t>
            </w:r>
          </w:p>
        </w:tc>
        <w:tc>
          <w:tcPr>
            <w:tcW w:w="1660" w:type="dxa"/>
            <w:vAlign w:val="bottom"/>
            <w:tcBorders>
              <w:bottom w:val="single" w:sz="8" w:color="E1D7AC"/>
            </w:tcBorders>
            <w:shd w:val="clear" w:color="auto" w:fill="E1D7AC"/>
          </w:tcPr>
          <w:p>
            <w:pPr>
              <w:spacing w:after="0"/>
              <w:rPr>
                <w:sz w:val="19"/>
                <w:szCs w:val="19"/>
                <w:color w:val="auto"/>
              </w:rPr>
            </w:pPr>
          </w:p>
        </w:tc>
      </w:tr>
      <w:tr>
        <w:trPr>
          <w:trHeight w:val="184"/>
        </w:trPr>
        <w:tc>
          <w:tcPr>
            <w:tcW w:w="4500" w:type="dxa"/>
            <w:vAlign w:val="bottom"/>
            <w:tcBorders>
              <w:top w:val="single" w:sz="8" w:color="E1D7AC"/>
            </w:tcBorders>
            <w:shd w:val="clear" w:color="auto" w:fill="E1D7AC"/>
          </w:tcPr>
          <w:p>
            <w:pPr>
              <w:spacing w:after="0"/>
              <w:rPr>
                <w:sz w:val="15"/>
                <w:szCs w:val="15"/>
                <w:color w:val="auto"/>
              </w:rPr>
            </w:pPr>
          </w:p>
        </w:tc>
        <w:tc>
          <w:tcPr>
            <w:tcW w:w="2520" w:type="dxa"/>
            <w:vAlign w:val="bottom"/>
            <w:tcBorders>
              <w:top w:val="single" w:sz="8" w:color="auto"/>
            </w:tcBorders>
            <w:shd w:val="clear" w:color="auto" w:fill="E1D7AC"/>
          </w:tcPr>
          <w:p>
            <w:pPr>
              <w:jc w:val="right"/>
              <w:ind w:right="214"/>
              <w:spacing w:after="0"/>
              <w:rPr>
                <w:sz w:val="20"/>
                <w:szCs w:val="20"/>
                <w:color w:val="auto"/>
              </w:rPr>
            </w:pPr>
            <w:r>
              <w:rPr>
                <w:rFonts w:ascii="Arial" w:cs="Arial" w:eastAsia="Arial" w:hAnsi="Arial"/>
                <w:sz w:val="13"/>
                <w:szCs w:val="13"/>
                <w:b w:val="1"/>
                <w:bCs w:val="1"/>
                <w:color w:val="auto"/>
              </w:rPr>
              <w:t>February 1, 2025</w:t>
            </w:r>
          </w:p>
        </w:tc>
        <w:tc>
          <w:tcPr>
            <w:tcW w:w="2560" w:type="dxa"/>
            <w:vAlign w:val="bottom"/>
            <w:tcBorders>
              <w:top w:val="single" w:sz="8" w:color="auto"/>
            </w:tcBorders>
            <w:shd w:val="clear" w:color="auto" w:fill="E1D7AC"/>
          </w:tcPr>
          <w:p>
            <w:pPr>
              <w:jc w:val="right"/>
              <w:ind w:right="534"/>
              <w:spacing w:after="0"/>
              <w:rPr>
                <w:sz w:val="20"/>
                <w:szCs w:val="20"/>
                <w:color w:val="auto"/>
              </w:rPr>
            </w:pPr>
            <w:r>
              <w:rPr>
                <w:rFonts w:ascii="Arial" w:cs="Arial" w:eastAsia="Arial" w:hAnsi="Arial"/>
                <w:sz w:val="13"/>
                <w:szCs w:val="13"/>
                <w:b w:val="1"/>
                <w:bCs w:val="1"/>
                <w:color w:val="auto"/>
              </w:rPr>
              <w:t>February 3, 2024</w:t>
            </w:r>
          </w:p>
        </w:tc>
        <w:tc>
          <w:tcPr>
            <w:tcW w:w="166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January 28, 2023</w:t>
            </w:r>
          </w:p>
        </w:tc>
      </w:tr>
      <w:tr>
        <w:trPr>
          <w:trHeight w:val="186"/>
        </w:trPr>
        <w:tc>
          <w:tcPr>
            <w:tcW w:w="4500" w:type="dxa"/>
            <w:vAlign w:val="bottom"/>
            <w:tcBorders>
              <w:bottom w:val="single" w:sz="8" w:color="E1D7AC"/>
            </w:tcBorders>
            <w:shd w:val="clear" w:color="auto" w:fill="E1D7AC"/>
          </w:tcPr>
          <w:p>
            <w:pPr>
              <w:spacing w:after="0"/>
              <w:rPr>
                <w:sz w:val="16"/>
                <w:szCs w:val="16"/>
                <w:color w:val="auto"/>
              </w:rPr>
            </w:pPr>
          </w:p>
        </w:tc>
        <w:tc>
          <w:tcPr>
            <w:tcW w:w="2520" w:type="dxa"/>
            <w:vAlign w:val="bottom"/>
            <w:tcBorders>
              <w:bottom w:val="single" w:sz="8" w:color="E1D7AC"/>
            </w:tcBorders>
            <w:shd w:val="clear" w:color="auto" w:fill="E1D7AC"/>
          </w:tcPr>
          <w:p>
            <w:pPr>
              <w:jc w:val="right"/>
              <w:ind w:right="214"/>
              <w:spacing w:after="0"/>
              <w:rPr>
                <w:sz w:val="20"/>
                <w:szCs w:val="20"/>
                <w:color w:val="auto"/>
              </w:rPr>
            </w:pPr>
            <w:r>
              <w:rPr>
                <w:rFonts w:ascii="Arial" w:cs="Arial" w:eastAsia="Arial" w:hAnsi="Arial"/>
                <w:sz w:val="13"/>
                <w:szCs w:val="13"/>
                <w:b w:val="1"/>
                <w:bCs w:val="1"/>
                <w:color w:val="auto"/>
              </w:rPr>
              <w:t>($)</w:t>
            </w:r>
          </w:p>
        </w:tc>
        <w:tc>
          <w:tcPr>
            <w:tcW w:w="2560" w:type="dxa"/>
            <w:vAlign w:val="bottom"/>
            <w:tcBorders>
              <w:bottom w:val="single" w:sz="8" w:color="E1D7AC"/>
            </w:tcBorders>
            <w:shd w:val="clear" w:color="auto" w:fill="E1D7AC"/>
          </w:tcPr>
          <w:p>
            <w:pPr>
              <w:jc w:val="right"/>
              <w:ind w:right="534"/>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224"/>
        </w:trPr>
        <w:tc>
          <w:tcPr>
            <w:tcW w:w="45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Net income</w:t>
            </w:r>
            <w:r>
              <w:rPr>
                <w:rFonts w:ascii="Arial" w:cs="Arial" w:eastAsia="Arial" w:hAnsi="Arial"/>
                <w:sz w:val="17"/>
                <w:szCs w:val="17"/>
                <w:color w:val="auto"/>
                <w:vertAlign w:val="superscript"/>
              </w:rPr>
              <w:t>(a)</w:t>
            </w:r>
          </w:p>
        </w:tc>
        <w:tc>
          <w:tcPr>
            <w:tcW w:w="2520" w:type="dxa"/>
            <w:vAlign w:val="bottom"/>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418,447</w:t>
            </w:r>
          </w:p>
        </w:tc>
        <w:tc>
          <w:tcPr>
            <w:tcW w:w="2560" w:type="dxa"/>
            <w:vAlign w:val="bottom"/>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519,190</w:t>
            </w: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628,001</w:t>
            </w:r>
          </w:p>
        </w:tc>
      </w:tr>
      <w:tr>
        <w:trPr>
          <w:trHeight w:val="197"/>
        </w:trPr>
        <w:tc>
          <w:tcPr>
            <w:tcW w:w="4500" w:type="dxa"/>
            <w:vAlign w:val="bottom"/>
          </w:tcPr>
          <w:p>
            <w:pPr>
              <w:ind w:left="100"/>
              <w:spacing w:after="0"/>
              <w:rPr>
                <w:sz w:val="20"/>
                <w:szCs w:val="20"/>
                <w:color w:val="auto"/>
              </w:rPr>
            </w:pPr>
            <w:r>
              <w:rPr>
                <w:rFonts w:ascii="Arial" w:cs="Arial" w:eastAsia="Arial" w:hAnsi="Arial"/>
                <w:sz w:val="13"/>
                <w:szCs w:val="13"/>
                <w:color w:val="auto"/>
              </w:rPr>
              <w:t>Income tax expense</w:t>
            </w:r>
          </w:p>
        </w:tc>
        <w:tc>
          <w:tcPr>
            <w:tcW w:w="2520" w:type="dxa"/>
            <w:vAlign w:val="bottom"/>
          </w:tcPr>
          <w:p>
            <w:pPr>
              <w:jc w:val="right"/>
              <w:ind w:right="274"/>
              <w:spacing w:after="0"/>
              <w:rPr>
                <w:sz w:val="20"/>
                <w:szCs w:val="20"/>
                <w:color w:val="auto"/>
              </w:rPr>
            </w:pPr>
            <w:r>
              <w:rPr>
                <w:rFonts w:ascii="Arial" w:cs="Arial" w:eastAsia="Arial" w:hAnsi="Arial"/>
                <w:sz w:val="13"/>
                <w:szCs w:val="13"/>
                <w:b w:val="1"/>
                <w:bCs w:val="1"/>
                <w:color w:val="auto"/>
              </w:rPr>
              <w:t>119,778</w:t>
            </w:r>
          </w:p>
        </w:tc>
        <w:tc>
          <w:tcPr>
            <w:tcW w:w="2560" w:type="dxa"/>
            <w:vAlign w:val="bottom"/>
          </w:tcPr>
          <w:p>
            <w:pPr>
              <w:jc w:val="right"/>
              <w:ind w:right="574"/>
              <w:spacing w:after="0"/>
              <w:rPr>
                <w:sz w:val="20"/>
                <w:szCs w:val="20"/>
                <w:color w:val="auto"/>
              </w:rPr>
            </w:pPr>
            <w:r>
              <w:rPr>
                <w:rFonts w:ascii="Arial" w:cs="Arial" w:eastAsia="Arial" w:hAnsi="Arial"/>
                <w:sz w:val="13"/>
                <w:szCs w:val="13"/>
                <w:b w:val="1"/>
                <w:bCs w:val="1"/>
                <w:color w:val="auto"/>
              </w:rPr>
              <w:t>143,966</w:t>
            </w:r>
          </w:p>
        </w:tc>
        <w:tc>
          <w:tcPr>
            <w:tcW w:w="1660" w:type="dxa"/>
            <w:vAlign w:val="bottom"/>
          </w:tcPr>
          <w:p>
            <w:pPr>
              <w:jc w:val="right"/>
              <w:spacing w:after="0"/>
              <w:rPr>
                <w:sz w:val="20"/>
                <w:szCs w:val="20"/>
                <w:color w:val="auto"/>
              </w:rPr>
            </w:pPr>
            <w:r>
              <w:rPr>
                <w:rFonts w:ascii="Arial" w:cs="Arial" w:eastAsia="Arial" w:hAnsi="Arial"/>
                <w:sz w:val="13"/>
                <w:szCs w:val="13"/>
                <w:color w:val="auto"/>
              </w:rPr>
              <w:t>190,319</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4"/>
        </w:trPr>
        <w:tc>
          <w:tcPr>
            <w:tcW w:w="45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Equity compensation</w:t>
            </w:r>
            <w:r>
              <w:rPr>
                <w:rFonts w:ascii="Arial" w:cs="Arial" w:eastAsia="Arial" w:hAnsi="Arial"/>
                <w:sz w:val="17"/>
                <w:szCs w:val="17"/>
                <w:color w:val="auto"/>
                <w:vertAlign w:val="superscript"/>
              </w:rPr>
              <w:t>(b)</w:t>
            </w:r>
          </w:p>
        </w:tc>
        <w:tc>
          <w:tcPr>
            <w:tcW w:w="2520" w:type="dxa"/>
            <w:vAlign w:val="bottom"/>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26,629</w:t>
            </w:r>
          </w:p>
        </w:tc>
        <w:tc>
          <w:tcPr>
            <w:tcW w:w="2560" w:type="dxa"/>
            <w:vAlign w:val="bottom"/>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24,377</w:t>
            </w: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21,175</w:t>
            </w:r>
          </w:p>
        </w:tc>
      </w:tr>
      <w:tr>
        <w:trPr>
          <w:trHeight w:val="197"/>
        </w:trPr>
        <w:tc>
          <w:tcPr>
            <w:tcW w:w="4500" w:type="dxa"/>
            <w:vAlign w:val="bottom"/>
          </w:tcPr>
          <w:p>
            <w:pPr>
              <w:ind w:left="100"/>
              <w:spacing w:after="0"/>
              <w:rPr>
                <w:sz w:val="20"/>
                <w:szCs w:val="20"/>
                <w:color w:val="auto"/>
              </w:rPr>
            </w:pPr>
            <w:r>
              <w:rPr>
                <w:rFonts w:ascii="Arial" w:cs="Arial" w:eastAsia="Arial" w:hAnsi="Arial"/>
                <w:sz w:val="13"/>
                <w:szCs w:val="13"/>
                <w:color w:val="auto"/>
              </w:rPr>
              <w:t>Loss on early retirement of debt, net</w:t>
            </w:r>
          </w:p>
        </w:tc>
        <w:tc>
          <w:tcPr>
            <w:tcW w:w="252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2560" w:type="dxa"/>
            <w:vAlign w:val="bottom"/>
          </w:tcPr>
          <w:p>
            <w:pPr>
              <w:jc w:val="right"/>
              <w:ind w:right="574"/>
              <w:spacing w:after="0"/>
              <w:rPr>
                <w:sz w:val="20"/>
                <w:szCs w:val="20"/>
                <w:color w:val="auto"/>
              </w:rPr>
            </w:pPr>
            <w:r>
              <w:rPr>
                <w:rFonts w:ascii="Arial" w:cs="Arial" w:eastAsia="Arial" w:hAnsi="Arial"/>
                <w:sz w:val="13"/>
                <w:szCs w:val="13"/>
                <w:b w:val="1"/>
                <w:bCs w:val="1"/>
                <w:color w:val="auto"/>
              </w:rPr>
              <w:t>1,525</w:t>
            </w:r>
          </w:p>
        </w:tc>
        <w:tc>
          <w:tcPr>
            <w:tcW w:w="1660" w:type="dxa"/>
            <w:vAlign w:val="bottom"/>
          </w:tcPr>
          <w:p>
            <w:pPr>
              <w:jc w:val="right"/>
              <w:spacing w:after="0"/>
              <w:rPr>
                <w:sz w:val="20"/>
                <w:szCs w:val="20"/>
                <w:color w:val="auto"/>
              </w:rPr>
            </w:pPr>
            <w:r>
              <w:rPr>
                <w:rFonts w:ascii="Arial" w:cs="Arial" w:eastAsia="Arial" w:hAnsi="Arial"/>
                <w:sz w:val="13"/>
                <w:szCs w:val="13"/>
                <w:color w:val="auto"/>
              </w:rPr>
              <w:t>1,963</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Write off of deferred loan costs</w:t>
            </w:r>
          </w:p>
        </w:tc>
        <w:tc>
          <w:tcPr>
            <w:tcW w:w="2520" w:type="dxa"/>
            <w:vAlign w:val="bottom"/>
            <w:tcBorders>
              <w:bottom w:val="single" w:sz="8" w:color="DBDBDB"/>
            </w:tcBorders>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449</w:t>
            </w:r>
          </w:p>
        </w:tc>
        <w:tc>
          <w:tcPr>
            <w:tcW w:w="2560" w:type="dxa"/>
            <w:vAlign w:val="bottom"/>
            <w:tcBorders>
              <w:bottom w:val="single" w:sz="8" w:color="DBDBDB"/>
            </w:tcBorders>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4500" w:type="dxa"/>
            <w:vAlign w:val="bottom"/>
          </w:tcPr>
          <w:p>
            <w:pPr>
              <w:ind w:left="320"/>
              <w:spacing w:after="0"/>
              <w:rPr>
                <w:sz w:val="20"/>
                <w:szCs w:val="20"/>
                <w:color w:val="auto"/>
              </w:rPr>
            </w:pPr>
            <w:r>
              <w:rPr>
                <w:rFonts w:ascii="Arial" w:cs="Arial" w:eastAsia="Arial" w:hAnsi="Arial"/>
                <w:sz w:val="13"/>
                <w:szCs w:val="13"/>
                <w:color w:val="auto"/>
              </w:rPr>
              <w:t>Adjusted Pre-tax Net Income</w:t>
            </w:r>
          </w:p>
        </w:tc>
        <w:tc>
          <w:tcPr>
            <w:tcW w:w="2520" w:type="dxa"/>
            <w:vAlign w:val="bottom"/>
            <w:tcBorders>
              <w:top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565,303</w:t>
            </w:r>
          </w:p>
        </w:tc>
        <w:tc>
          <w:tcPr>
            <w:tcW w:w="2560" w:type="dxa"/>
            <w:vAlign w:val="bottom"/>
            <w:tcBorders>
              <w:top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689,058</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841,458</w:t>
            </w:r>
          </w:p>
        </w:tc>
      </w:tr>
      <w:tr>
        <w:trPr>
          <w:trHeight w:val="27"/>
        </w:trPr>
        <w:tc>
          <w:tcPr>
            <w:tcW w:w="4500" w:type="dxa"/>
            <w:vAlign w:val="bottom"/>
            <w:tcBorders>
              <w:bottom w:val="single" w:sz="8" w:color="B6B6B6"/>
            </w:tcBorders>
          </w:tcPr>
          <w:p>
            <w:pPr>
              <w:spacing w:after="0"/>
              <w:rPr>
                <w:sz w:val="2"/>
                <w:szCs w:val="2"/>
                <w:color w:val="auto"/>
              </w:rPr>
            </w:pPr>
          </w:p>
        </w:tc>
        <w:tc>
          <w:tcPr>
            <w:tcW w:w="2520" w:type="dxa"/>
            <w:vAlign w:val="bottom"/>
            <w:tcBorders>
              <w:bottom w:val="single" w:sz="8" w:color="B6B6B6"/>
            </w:tcBorders>
          </w:tcPr>
          <w:p>
            <w:pPr>
              <w:spacing w:after="0"/>
              <w:rPr>
                <w:sz w:val="2"/>
                <w:szCs w:val="2"/>
                <w:color w:val="auto"/>
              </w:rPr>
            </w:pPr>
          </w:p>
        </w:tc>
        <w:tc>
          <w:tcPr>
            <w:tcW w:w="2560" w:type="dxa"/>
            <w:vAlign w:val="bottom"/>
            <w:tcBorders>
              <w:bottom w:val="single" w:sz="8" w:color="B6B6B6"/>
            </w:tcBorders>
          </w:tcPr>
          <w:p>
            <w:pPr>
              <w:spacing w:after="0"/>
              <w:rPr>
                <w:sz w:val="2"/>
                <w:szCs w:val="2"/>
                <w:color w:val="auto"/>
              </w:rPr>
            </w:pPr>
          </w:p>
        </w:tc>
        <w:tc>
          <w:tcPr>
            <w:tcW w:w="1660" w:type="dxa"/>
            <w:vAlign w:val="bottom"/>
            <w:tcBorders>
              <w:bottom w:val="single" w:sz="8" w:color="B6B6B6"/>
            </w:tcBorders>
          </w:tcPr>
          <w:p>
            <w:pPr>
              <w:spacing w:after="0"/>
              <w:rPr>
                <w:sz w:val="2"/>
                <w:szCs w:val="2"/>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Adjusted Net Income and Adjusted Earnings per Share</w:t>
      </w:r>
    </w:p>
    <w:p>
      <w:pPr>
        <w:spacing w:after="0" w:line="70" w:lineRule="exact"/>
        <w:rPr>
          <w:sz w:val="20"/>
          <w:szCs w:val="20"/>
          <w:color w:val="auto"/>
        </w:rPr>
      </w:pPr>
    </w:p>
    <w:p>
      <w:pPr>
        <w:ind w:right="300"/>
        <w:spacing w:after="0" w:line="293" w:lineRule="auto"/>
        <w:rPr>
          <w:sz w:val="20"/>
          <w:szCs w:val="20"/>
          <w:color w:val="auto"/>
        </w:rPr>
      </w:pPr>
      <w:r>
        <w:rPr>
          <w:rFonts w:ascii="Arial" w:cs="Arial" w:eastAsia="Arial" w:hAnsi="Arial"/>
          <w:sz w:val="15"/>
          <w:szCs w:val="15"/>
          <w:color w:val="auto"/>
        </w:rPr>
        <w:t>The following table provides a reconciliation of net income to Adjusted Net Income and Adjusted Earnings per Share for the periods presented (amounts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Borders>
              <w:bottom w:val="single" w:sz="8" w:color="E1D7AC"/>
            </w:tcBorders>
            <w:shd w:val="clear" w:color="auto" w:fill="E1D7AC"/>
          </w:tcPr>
          <w:p>
            <w:pPr>
              <w:spacing w:after="0"/>
              <w:rPr>
                <w:sz w:val="16"/>
                <w:szCs w:val="16"/>
                <w:color w:val="auto"/>
              </w:rPr>
            </w:pPr>
          </w:p>
        </w:tc>
        <w:tc>
          <w:tcPr>
            <w:tcW w:w="8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auto"/>
            </w:tcBorders>
            <w:shd w:val="clear" w:color="auto" w:fill="E1D7AC"/>
          </w:tcPr>
          <w:p>
            <w:pPr>
              <w:spacing w:after="0"/>
              <w:rPr>
                <w:sz w:val="16"/>
                <w:szCs w:val="16"/>
                <w:color w:val="auto"/>
              </w:rPr>
            </w:pPr>
          </w:p>
        </w:tc>
        <w:tc>
          <w:tcPr>
            <w:tcW w:w="80" w:type="dxa"/>
            <w:vAlign w:val="bottom"/>
            <w:tcBorders>
              <w:bottom w:val="single" w:sz="8" w:color="auto"/>
            </w:tcBorders>
            <w:shd w:val="clear" w:color="auto" w:fill="E1D7AC"/>
          </w:tcPr>
          <w:p>
            <w:pPr>
              <w:spacing w:after="0"/>
              <w:rPr>
                <w:sz w:val="16"/>
                <w:szCs w:val="16"/>
                <w:color w:val="auto"/>
              </w:rPr>
            </w:pPr>
          </w:p>
        </w:tc>
        <w:tc>
          <w:tcPr>
            <w:tcW w:w="1900" w:type="dxa"/>
            <w:vAlign w:val="bottom"/>
            <w:tcBorders>
              <w:bottom w:val="single" w:sz="8" w:color="auto"/>
            </w:tcBorders>
            <w:gridSpan w:val="2"/>
            <w:shd w:val="clear" w:color="auto" w:fill="E1D7AC"/>
          </w:tcPr>
          <w:p>
            <w:pPr>
              <w:ind w:left="340"/>
              <w:spacing w:after="0"/>
              <w:rPr>
                <w:sz w:val="20"/>
                <w:szCs w:val="20"/>
                <w:color w:val="auto"/>
              </w:rPr>
            </w:pPr>
            <w:r>
              <w:rPr>
                <w:rFonts w:ascii="Arial" w:cs="Arial" w:eastAsia="Arial" w:hAnsi="Arial"/>
                <w:sz w:val="13"/>
                <w:szCs w:val="13"/>
                <w:b w:val="1"/>
                <w:bCs w:val="1"/>
                <w:color w:val="auto"/>
              </w:rPr>
              <w:t>Fiscal Year Ended</w:t>
            </w:r>
          </w:p>
        </w:tc>
        <w:tc>
          <w:tcPr>
            <w:tcW w:w="1820" w:type="dxa"/>
            <w:vAlign w:val="bottom"/>
            <w:tcBorders>
              <w:bottom w:val="single" w:sz="8" w:color="auto"/>
            </w:tcBorders>
            <w:shd w:val="clear" w:color="auto" w:fill="E1D7AC"/>
          </w:tcPr>
          <w:p>
            <w:pPr>
              <w:spacing w:after="0"/>
              <w:rPr>
                <w:sz w:val="16"/>
                <w:szCs w:val="16"/>
                <w:color w:val="auto"/>
              </w:rPr>
            </w:pPr>
          </w:p>
        </w:tc>
      </w:tr>
      <w:tr>
        <w:trPr>
          <w:trHeight w:val="184"/>
        </w:trPr>
        <w:tc>
          <w:tcPr>
            <w:tcW w:w="5540" w:type="dxa"/>
            <w:vAlign w:val="bottom"/>
            <w:shd w:val="clear" w:color="auto" w:fill="E1D7AC"/>
          </w:tcPr>
          <w:p>
            <w:pPr>
              <w:spacing w:after="0"/>
              <w:rPr>
                <w:sz w:val="15"/>
                <w:szCs w:val="15"/>
                <w:color w:val="auto"/>
              </w:rPr>
            </w:pPr>
          </w:p>
        </w:tc>
        <w:tc>
          <w:tcPr>
            <w:tcW w:w="80" w:type="dxa"/>
            <w:vAlign w:val="bottom"/>
            <w:shd w:val="clear" w:color="auto" w:fill="E1D7AC"/>
          </w:tcPr>
          <w:p>
            <w:pPr>
              <w:spacing w:after="0"/>
              <w:rPr>
                <w:sz w:val="15"/>
                <w:szCs w:val="15"/>
                <w:color w:val="auto"/>
              </w:rPr>
            </w:pPr>
          </w:p>
        </w:tc>
        <w:tc>
          <w:tcPr>
            <w:tcW w:w="1900" w:type="dxa"/>
            <w:vAlign w:val="bottom"/>
            <w:gridSpan w:val="2"/>
            <w:shd w:val="clear" w:color="auto" w:fill="E1D7AC"/>
          </w:tcPr>
          <w:p>
            <w:pPr>
              <w:ind w:left="760"/>
              <w:spacing w:after="0"/>
              <w:rPr>
                <w:sz w:val="20"/>
                <w:szCs w:val="20"/>
                <w:color w:val="auto"/>
              </w:rPr>
            </w:pPr>
            <w:r>
              <w:rPr>
                <w:rFonts w:ascii="Arial" w:cs="Arial" w:eastAsia="Arial" w:hAnsi="Arial"/>
                <w:sz w:val="13"/>
                <w:szCs w:val="13"/>
                <w:b w:val="1"/>
                <w:bCs w:val="1"/>
                <w:color w:val="auto"/>
              </w:rPr>
              <w:t>February 1, 2025</w:t>
            </w:r>
          </w:p>
        </w:tc>
        <w:tc>
          <w:tcPr>
            <w:tcW w:w="1900" w:type="dxa"/>
            <w:vAlign w:val="bottom"/>
            <w:gridSpan w:val="2"/>
            <w:shd w:val="clear" w:color="auto" w:fill="E1D7AC"/>
          </w:tcPr>
          <w:p>
            <w:pPr>
              <w:ind w:left="760"/>
              <w:spacing w:after="0"/>
              <w:rPr>
                <w:sz w:val="20"/>
                <w:szCs w:val="20"/>
                <w:color w:val="auto"/>
              </w:rPr>
            </w:pPr>
            <w:r>
              <w:rPr>
                <w:rFonts w:ascii="Arial" w:cs="Arial" w:eastAsia="Arial" w:hAnsi="Arial"/>
                <w:sz w:val="13"/>
                <w:szCs w:val="13"/>
                <w:b w:val="1"/>
                <w:bCs w:val="1"/>
                <w:color w:val="auto"/>
              </w:rPr>
              <w:t>February 3, 2024</w:t>
            </w:r>
          </w:p>
        </w:tc>
        <w:tc>
          <w:tcPr>
            <w:tcW w:w="18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January 28, 2023</w:t>
            </w:r>
          </w:p>
        </w:tc>
      </w:tr>
      <w:tr>
        <w:trPr>
          <w:trHeight w:val="186"/>
        </w:trPr>
        <w:tc>
          <w:tcPr>
            <w:tcW w:w="5540" w:type="dxa"/>
            <w:vAlign w:val="bottom"/>
            <w:tcBorders>
              <w:bottom w:val="single" w:sz="8" w:color="E1D7AC"/>
            </w:tcBorders>
            <w:shd w:val="clear" w:color="auto" w:fill="E1D7AC"/>
          </w:tcPr>
          <w:p>
            <w:pPr>
              <w:spacing w:after="0"/>
              <w:rPr>
                <w:sz w:val="16"/>
                <w:szCs w:val="16"/>
                <w:color w:val="auto"/>
              </w:rPr>
            </w:pPr>
          </w:p>
        </w:tc>
        <w:tc>
          <w:tcPr>
            <w:tcW w:w="1900" w:type="dxa"/>
            <w:vAlign w:val="bottom"/>
            <w:tcBorders>
              <w:bottom w:val="single" w:sz="8" w:color="E1D7AC"/>
            </w:tcBorders>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186"/>
        </w:trPr>
        <w:tc>
          <w:tcPr>
            <w:tcW w:w="5540" w:type="dxa"/>
            <w:vAlign w:val="bottom"/>
            <w:shd w:val="clear" w:color="auto" w:fill="DBDBDB"/>
          </w:tcPr>
          <w:p>
            <w:pPr>
              <w:ind w:left="20"/>
              <w:spacing w:after="0" w:line="186" w:lineRule="exact"/>
              <w:rPr>
                <w:sz w:val="20"/>
                <w:szCs w:val="20"/>
                <w:color w:val="auto"/>
              </w:rPr>
            </w:pPr>
            <w:r>
              <w:rPr>
                <w:rFonts w:ascii="Arial" w:cs="Arial" w:eastAsia="Arial" w:hAnsi="Arial"/>
                <w:sz w:val="13"/>
                <w:szCs w:val="13"/>
                <w:color w:val="auto"/>
              </w:rPr>
              <w:t>Net income</w:t>
            </w:r>
            <w:r>
              <w:rPr>
                <w:rFonts w:ascii="Arial" w:cs="Arial" w:eastAsia="Arial" w:hAnsi="Arial"/>
                <w:sz w:val="17"/>
                <w:szCs w:val="17"/>
                <w:color w:val="auto"/>
                <w:vertAlign w:val="superscript"/>
              </w:rPr>
              <w:t>(a)</w:t>
            </w:r>
          </w:p>
        </w:tc>
        <w:tc>
          <w:tcPr>
            <w:tcW w:w="1900" w:type="dxa"/>
            <w:vAlign w:val="bottom"/>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rPr>
              <w:t>418,447</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519,190</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628,001</w:t>
            </w:r>
          </w:p>
        </w:tc>
      </w:tr>
      <w:tr>
        <w:trPr>
          <w:trHeight w:val="186"/>
        </w:trPr>
        <w:tc>
          <w:tcPr>
            <w:tcW w:w="5540" w:type="dxa"/>
            <w:vAlign w:val="bottom"/>
          </w:tcPr>
          <w:p>
            <w:pPr>
              <w:ind w:left="20"/>
              <w:spacing w:after="0" w:line="186" w:lineRule="exact"/>
              <w:rPr>
                <w:sz w:val="20"/>
                <w:szCs w:val="20"/>
                <w:color w:val="auto"/>
              </w:rPr>
            </w:pPr>
            <w:r>
              <w:rPr>
                <w:rFonts w:ascii="Arial" w:cs="Arial" w:eastAsia="Arial" w:hAnsi="Arial"/>
                <w:sz w:val="13"/>
                <w:szCs w:val="13"/>
                <w:color w:val="auto"/>
              </w:rPr>
              <w:t xml:space="preserve">Equity compensation </w:t>
            </w:r>
            <w:r>
              <w:rPr>
                <w:rFonts w:ascii="Arial" w:cs="Arial" w:eastAsia="Arial" w:hAnsi="Arial"/>
                <w:sz w:val="17"/>
                <w:szCs w:val="17"/>
                <w:color w:val="auto"/>
                <w:vertAlign w:val="superscript"/>
              </w:rPr>
              <w:t>(b)</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26,629</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24,377</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21,175</w:t>
            </w:r>
          </w:p>
        </w:tc>
      </w:tr>
      <w:tr>
        <w:trPr>
          <w:trHeight w:val="186"/>
        </w:trPr>
        <w:tc>
          <w:tcPr>
            <w:tcW w:w="554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Loss on early retirement of debt</w:t>
            </w:r>
          </w:p>
        </w:tc>
        <w:tc>
          <w:tcPr>
            <w:tcW w:w="80" w:type="dxa"/>
            <w:vAlign w:val="bottom"/>
            <w:shd w:val="clear" w:color="auto" w:fill="DBDBDB"/>
          </w:tcPr>
          <w:p>
            <w:pPr>
              <w:spacing w:after="0"/>
              <w:rPr>
                <w:sz w:val="16"/>
                <w:szCs w:val="16"/>
                <w:color w:val="auto"/>
              </w:rPr>
            </w:pPr>
          </w:p>
        </w:tc>
        <w:tc>
          <w:tcPr>
            <w:tcW w:w="19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b w:val="1"/>
                <w:bCs w:val="1"/>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1,525</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1,963</w:t>
            </w:r>
          </w:p>
        </w:tc>
      </w:tr>
      <w:tr>
        <w:trPr>
          <w:trHeight w:val="186"/>
        </w:trPr>
        <w:tc>
          <w:tcPr>
            <w:tcW w:w="5540" w:type="dxa"/>
            <w:vAlign w:val="bottom"/>
          </w:tcPr>
          <w:p>
            <w:pPr>
              <w:ind w:left="20"/>
              <w:spacing w:after="0"/>
              <w:rPr>
                <w:sz w:val="20"/>
                <w:szCs w:val="20"/>
                <w:color w:val="auto"/>
              </w:rPr>
            </w:pPr>
            <w:r>
              <w:rPr>
                <w:rFonts w:ascii="Arial" w:cs="Arial" w:eastAsia="Arial" w:hAnsi="Arial"/>
                <w:sz w:val="13"/>
                <w:szCs w:val="13"/>
                <w:color w:val="auto"/>
              </w:rPr>
              <w:t>Write off of deferred loan costs</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449</w:t>
            </w:r>
          </w:p>
        </w:tc>
        <w:tc>
          <w:tcPr>
            <w:tcW w:w="80" w:type="dxa"/>
            <w:vAlign w:val="bottom"/>
          </w:tcPr>
          <w:p>
            <w:pPr>
              <w:spacing w:after="0"/>
              <w:rPr>
                <w:sz w:val="16"/>
                <w:szCs w:val="16"/>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5540" w:type="dxa"/>
            <w:vAlign w:val="bottom"/>
            <w:shd w:val="clear" w:color="auto" w:fill="DBDBDB"/>
          </w:tcPr>
          <w:p>
            <w:pPr>
              <w:ind w:left="20"/>
              <w:spacing w:after="0" w:line="187" w:lineRule="exact"/>
              <w:rPr>
                <w:sz w:val="20"/>
                <w:szCs w:val="20"/>
                <w:color w:val="auto"/>
              </w:rPr>
            </w:pPr>
            <w:r>
              <w:rPr>
                <w:rFonts w:ascii="Arial" w:cs="Arial" w:eastAsia="Arial" w:hAnsi="Arial"/>
                <w:sz w:val="13"/>
                <w:szCs w:val="13"/>
                <w:color w:val="auto"/>
              </w:rPr>
              <w:t xml:space="preserve">Tax effects of these adjustments </w:t>
            </w:r>
            <w:r>
              <w:rPr>
                <w:rFonts w:ascii="Arial" w:cs="Arial" w:eastAsia="Arial" w:hAnsi="Arial"/>
                <w:sz w:val="17"/>
                <w:szCs w:val="17"/>
                <w:color w:val="auto"/>
                <w:vertAlign w:val="superscript"/>
              </w:rPr>
              <w:t>(c)</w:t>
            </w:r>
          </w:p>
        </w:tc>
        <w:tc>
          <w:tcPr>
            <w:tcW w:w="80" w:type="dxa"/>
            <w:vAlign w:val="bottom"/>
            <w:shd w:val="clear" w:color="auto" w:fill="DBDBDB"/>
          </w:tcPr>
          <w:p>
            <w:pPr>
              <w:spacing w:after="0"/>
              <w:rPr>
                <w:sz w:val="16"/>
                <w:szCs w:val="16"/>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(6,038)</w:t>
            </w:r>
          </w:p>
        </w:tc>
        <w:tc>
          <w:tcPr>
            <w:tcW w:w="80" w:type="dxa"/>
            <w:vAlign w:val="bottom"/>
            <w:shd w:val="clear" w:color="auto" w:fill="DBDBDB"/>
          </w:tcPr>
          <w:p>
            <w:pPr>
              <w:spacing w:after="0"/>
              <w:rPr>
                <w:sz w:val="16"/>
                <w:szCs w:val="16"/>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(5,621)</w:t>
            </w:r>
          </w:p>
        </w:tc>
        <w:tc>
          <w:tcPr>
            <w:tcW w:w="80" w:type="dxa"/>
            <w:vAlign w:val="bottom"/>
            <w:shd w:val="clear" w:color="auto" w:fill="DBDBDB"/>
          </w:tcPr>
          <w:p>
            <w:pPr>
              <w:spacing w:after="0"/>
              <w:rPr>
                <w:sz w:val="16"/>
                <w:szCs w:val="16"/>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(5,382)</w:t>
            </w:r>
          </w:p>
        </w:tc>
      </w:tr>
      <w:tr>
        <w:trPr>
          <w:trHeight w:val="179"/>
        </w:trPr>
        <w:tc>
          <w:tcPr>
            <w:tcW w:w="5540" w:type="dxa"/>
            <w:vAlign w:val="bottom"/>
          </w:tcPr>
          <w:p>
            <w:pPr>
              <w:ind w:left="320"/>
              <w:spacing w:after="0"/>
              <w:rPr>
                <w:sz w:val="20"/>
                <w:szCs w:val="20"/>
                <w:color w:val="auto"/>
              </w:rPr>
            </w:pPr>
            <w:r>
              <w:rPr>
                <w:rFonts w:ascii="Arial" w:cs="Arial" w:eastAsia="Arial" w:hAnsi="Arial"/>
                <w:sz w:val="13"/>
                <w:szCs w:val="13"/>
                <w:color w:val="auto"/>
              </w:rPr>
              <w:t>Adjusted Net Income</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439,487</w:t>
            </w: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539,471</w:t>
            </w: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645,757</w:t>
            </w:r>
          </w:p>
        </w:tc>
      </w:tr>
      <w:tr>
        <w:trPr>
          <w:trHeight w:val="20"/>
        </w:trPr>
        <w:tc>
          <w:tcPr>
            <w:tcW w:w="554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r>
        <w:trPr>
          <w:trHeight w:val="151"/>
        </w:trPr>
        <w:tc>
          <w:tcPr>
            <w:tcW w:w="5540" w:type="dxa"/>
            <w:vAlign w:val="bottom"/>
            <w:shd w:val="clear" w:color="auto" w:fill="DBDBDB"/>
          </w:tcPr>
          <w:p>
            <w:pPr>
              <w:ind w:left="20"/>
              <w:spacing w:after="0"/>
              <w:rPr>
                <w:sz w:val="20"/>
                <w:szCs w:val="20"/>
                <w:color w:val="auto"/>
              </w:rPr>
            </w:pPr>
            <w:r>
              <w:rPr>
                <w:rFonts w:ascii="Arial" w:cs="Arial" w:eastAsia="Arial" w:hAnsi="Arial"/>
                <w:sz w:val="13"/>
                <w:szCs w:val="13"/>
                <w:color w:val="auto"/>
              </w:rPr>
              <w:t>Earnings per common share:</w:t>
            </w:r>
          </w:p>
        </w:tc>
        <w:tc>
          <w:tcPr>
            <w:tcW w:w="80" w:type="dxa"/>
            <w:vAlign w:val="bottom"/>
            <w:shd w:val="clear" w:color="auto" w:fill="DBDBDB"/>
          </w:tcPr>
          <w:p>
            <w:pPr>
              <w:spacing w:after="0"/>
              <w:rPr>
                <w:sz w:val="13"/>
                <w:szCs w:val="13"/>
                <w:color w:val="auto"/>
              </w:rPr>
            </w:pPr>
          </w:p>
        </w:tc>
        <w:tc>
          <w:tcPr>
            <w:tcW w:w="18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20" w:type="dxa"/>
            <w:vAlign w:val="bottom"/>
            <w:shd w:val="clear" w:color="auto" w:fill="DBDBDB"/>
          </w:tcPr>
          <w:p>
            <w:pPr>
              <w:spacing w:after="0"/>
              <w:rPr>
                <w:sz w:val="13"/>
                <w:szCs w:val="13"/>
                <w:color w:val="auto"/>
              </w:rPr>
            </w:pPr>
          </w:p>
        </w:tc>
      </w:tr>
      <w:tr>
        <w:trPr>
          <w:trHeight w:val="186"/>
        </w:trPr>
        <w:tc>
          <w:tcPr>
            <w:tcW w:w="5540" w:type="dxa"/>
            <w:vAlign w:val="bottom"/>
          </w:tcPr>
          <w:p>
            <w:pPr>
              <w:ind w:left="320"/>
              <w:spacing w:after="0"/>
              <w:rPr>
                <w:sz w:val="20"/>
                <w:szCs w:val="20"/>
                <w:color w:val="auto"/>
              </w:rPr>
            </w:pPr>
            <w:r>
              <w:rPr>
                <w:rFonts w:ascii="Arial" w:cs="Arial" w:eastAsia="Arial" w:hAnsi="Arial"/>
                <w:sz w:val="13"/>
                <w:szCs w:val="13"/>
                <w:color w:val="auto"/>
              </w:rPr>
              <w:t>Basic</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5.87</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6.89</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7.70</w:t>
            </w:r>
          </w:p>
        </w:tc>
      </w:tr>
      <w:tr>
        <w:trPr>
          <w:trHeight w:val="187"/>
        </w:trPr>
        <w:tc>
          <w:tcPr>
            <w:tcW w:w="5540" w:type="dxa"/>
            <w:vAlign w:val="bottom"/>
            <w:shd w:val="clear" w:color="auto" w:fill="DBDBDB"/>
          </w:tcPr>
          <w:p>
            <w:pPr>
              <w:ind w:left="320"/>
              <w:spacing w:after="0"/>
              <w:rPr>
                <w:sz w:val="20"/>
                <w:szCs w:val="20"/>
                <w:color w:val="auto"/>
              </w:rPr>
            </w:pPr>
            <w:r>
              <w:rPr>
                <w:rFonts w:ascii="Arial" w:cs="Arial" w:eastAsia="Arial" w:hAnsi="Arial"/>
                <w:sz w:val="13"/>
                <w:szCs w:val="13"/>
                <w:color w:val="auto"/>
              </w:rPr>
              <w:t>Diluted</w:t>
            </w:r>
          </w:p>
        </w:tc>
        <w:tc>
          <w:tcPr>
            <w:tcW w:w="1900" w:type="dxa"/>
            <w:vAlign w:val="bottom"/>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rPr>
              <w:t>5.73</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6.70</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7.49</w:t>
            </w:r>
          </w:p>
        </w:tc>
      </w:tr>
      <w:tr>
        <w:trPr>
          <w:trHeight w:val="183"/>
        </w:trPr>
        <w:tc>
          <w:tcPr>
            <w:tcW w:w="5540" w:type="dxa"/>
            <w:vAlign w:val="bottom"/>
          </w:tcPr>
          <w:p>
            <w:pPr>
              <w:ind w:left="20"/>
              <w:spacing w:after="0"/>
              <w:rPr>
                <w:sz w:val="20"/>
                <w:szCs w:val="20"/>
                <w:color w:val="auto"/>
              </w:rPr>
            </w:pPr>
            <w:r>
              <w:rPr>
                <w:rFonts w:ascii="Arial" w:cs="Arial" w:eastAsia="Arial" w:hAnsi="Arial"/>
                <w:sz w:val="13"/>
                <w:szCs w:val="13"/>
                <w:color w:val="auto"/>
              </w:rPr>
              <w:t>Adjusted Earnings per Share:</w:t>
            </w: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90"/>
        </w:trPr>
        <w:tc>
          <w:tcPr>
            <w:tcW w:w="5540" w:type="dxa"/>
            <w:vAlign w:val="bottom"/>
            <w:shd w:val="clear" w:color="auto" w:fill="DBDBDB"/>
          </w:tcPr>
          <w:p>
            <w:pPr>
              <w:ind w:left="320"/>
              <w:spacing w:after="0"/>
              <w:rPr>
                <w:sz w:val="20"/>
                <w:szCs w:val="20"/>
                <w:color w:val="auto"/>
              </w:rPr>
            </w:pPr>
            <w:r>
              <w:rPr>
                <w:rFonts w:ascii="Arial" w:cs="Arial" w:eastAsia="Arial" w:hAnsi="Arial"/>
                <w:sz w:val="13"/>
                <w:szCs w:val="13"/>
                <w:color w:val="auto"/>
              </w:rPr>
              <w:t>Basic</w:t>
            </w:r>
          </w:p>
        </w:tc>
        <w:tc>
          <w:tcPr>
            <w:tcW w:w="1900" w:type="dxa"/>
            <w:vAlign w:val="bottom"/>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rPr>
              <w:t>6.16</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7.16</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7.91</w:t>
            </w:r>
          </w:p>
        </w:tc>
      </w:tr>
      <w:tr>
        <w:trPr>
          <w:trHeight w:val="186"/>
        </w:trPr>
        <w:tc>
          <w:tcPr>
            <w:tcW w:w="5540" w:type="dxa"/>
            <w:vAlign w:val="bottom"/>
          </w:tcPr>
          <w:p>
            <w:pPr>
              <w:ind w:left="320"/>
              <w:spacing w:after="0"/>
              <w:rPr>
                <w:sz w:val="20"/>
                <w:szCs w:val="20"/>
                <w:color w:val="auto"/>
              </w:rPr>
            </w:pPr>
            <w:r>
              <w:rPr>
                <w:rFonts w:ascii="Arial" w:cs="Arial" w:eastAsia="Arial" w:hAnsi="Arial"/>
                <w:sz w:val="13"/>
                <w:szCs w:val="13"/>
                <w:color w:val="auto"/>
              </w:rPr>
              <w:t>Diluted</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6.02</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6.96</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7.70</w:t>
            </w:r>
          </w:p>
        </w:tc>
      </w:tr>
      <w:tr>
        <w:trPr>
          <w:trHeight w:val="187"/>
        </w:trPr>
        <w:tc>
          <w:tcPr>
            <w:tcW w:w="554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spacing w:after="0"/>
              <w:rPr>
                <w:sz w:val="16"/>
                <w:szCs w:val="16"/>
                <w:color w:val="auto"/>
              </w:rPr>
            </w:pPr>
          </w:p>
        </w:tc>
      </w:tr>
      <w:tr>
        <w:trPr>
          <w:trHeight w:val="186"/>
        </w:trPr>
        <w:tc>
          <w:tcPr>
            <w:tcW w:w="5540" w:type="dxa"/>
            <w:vAlign w:val="bottom"/>
          </w:tcPr>
          <w:p>
            <w:pPr>
              <w:ind w:left="320"/>
              <w:spacing w:after="0"/>
              <w:rPr>
                <w:sz w:val="20"/>
                <w:szCs w:val="20"/>
                <w:color w:val="auto"/>
              </w:rPr>
            </w:pPr>
            <w:r>
              <w:rPr>
                <w:rFonts w:ascii="Arial" w:cs="Arial" w:eastAsia="Arial" w:hAnsi="Arial"/>
                <w:sz w:val="13"/>
                <w:szCs w:val="13"/>
                <w:color w:val="auto"/>
              </w:rPr>
              <w:t>Basic</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71,343</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75,389</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81,590</w:t>
            </w:r>
          </w:p>
        </w:tc>
      </w:tr>
      <w:tr>
        <w:trPr>
          <w:trHeight w:val="200"/>
        </w:trPr>
        <w:tc>
          <w:tcPr>
            <w:tcW w:w="5540" w:type="dxa"/>
            <w:vAlign w:val="bottom"/>
            <w:shd w:val="clear" w:color="auto" w:fill="DBDBDB"/>
          </w:tcPr>
          <w:p>
            <w:pPr>
              <w:ind w:left="320"/>
              <w:spacing w:after="0"/>
              <w:rPr>
                <w:sz w:val="20"/>
                <w:szCs w:val="20"/>
                <w:color w:val="auto"/>
              </w:rPr>
            </w:pPr>
            <w:r>
              <w:rPr>
                <w:rFonts w:ascii="Arial" w:cs="Arial" w:eastAsia="Arial" w:hAnsi="Arial"/>
                <w:sz w:val="13"/>
                <w:szCs w:val="13"/>
                <w:color w:val="auto"/>
              </w:rPr>
              <w:t>Diluted</w:t>
            </w:r>
          </w:p>
        </w:tc>
        <w:tc>
          <w:tcPr>
            <w:tcW w:w="1900" w:type="dxa"/>
            <w:vAlign w:val="bottom"/>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rPr>
              <w:t>73,048</w:t>
            </w:r>
          </w:p>
        </w:tc>
        <w:tc>
          <w:tcPr>
            <w:tcW w:w="8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77,469</w:t>
            </w:r>
          </w:p>
        </w:tc>
        <w:tc>
          <w:tcPr>
            <w:tcW w:w="8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83,895</w:t>
            </w:r>
          </w:p>
        </w:tc>
      </w:tr>
    </w:tbl>
    <w:p>
      <w:pPr>
        <w:spacing w:after="0" w:line="204"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Footnotes:</w:t>
      </w:r>
    </w:p>
    <w:p>
      <w:pPr>
        <w:spacing w:after="0" w:line="29" w:lineRule="exact"/>
        <w:rPr>
          <w:sz w:val="20"/>
          <w:szCs w:val="20"/>
          <w:color w:val="auto"/>
        </w:rPr>
      </w:pPr>
    </w:p>
    <w:p>
      <w:pPr>
        <w:ind w:left="500" w:right="180" w:hanging="484"/>
        <w:spacing w:after="0" w:line="216" w:lineRule="auto"/>
        <w:tabs>
          <w:tab w:leader="none" w:pos="5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Net income for the year ended February 1, 2025, includes a $15.0 million gain pertaining to a litigation settlement and a $7.1 million gain on a sale-leaseback transaction, both of which occurred in the fourth quarter of 2024. Net income for the year ended February 3, 2024, includes a $15.9 million net gain relative to a credit card litigation settlement which occurred in the fourth quarter of 2023. Net income for the year ended January 28, 2023, included a $7.2 million gain from a business interruption insurance recovery and a $3.7 million gain from the sale of a tariff relief litigation claim, both of which occurred in the fourth quarter of 2022. See Note 2 to the consolidated financial statements in the Annual Report.</w:t>
      </w:r>
    </w:p>
    <w:p>
      <w:pPr>
        <w:spacing w:after="0" w:line="12" w:lineRule="exact"/>
        <w:rPr>
          <w:rFonts w:ascii="Arial" w:cs="Arial" w:eastAsia="Arial" w:hAnsi="Arial"/>
          <w:sz w:val="12"/>
          <w:szCs w:val="12"/>
          <w:color w:val="auto"/>
        </w:rPr>
      </w:pPr>
    </w:p>
    <w:p>
      <w:pPr>
        <w:ind w:left="500" w:right="20" w:hanging="484"/>
        <w:spacing w:after="0" w:line="228" w:lineRule="auto"/>
        <w:tabs>
          <w:tab w:leader="none" w:pos="5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non-cash charges related to equity based compensation, which vary from period to period depending on certain factors including timing and valuation of awards, achievement of performance targets and equity award forfeitures.</w:t>
      </w:r>
    </w:p>
    <w:p>
      <w:pPr>
        <w:spacing w:after="0" w:line="36" w:lineRule="exact"/>
        <w:rPr>
          <w:rFonts w:ascii="Arial" w:cs="Arial" w:eastAsia="Arial" w:hAnsi="Arial"/>
          <w:sz w:val="12"/>
          <w:szCs w:val="12"/>
          <w:color w:val="auto"/>
        </w:rPr>
      </w:pPr>
    </w:p>
    <w:p>
      <w:pPr>
        <w:ind w:left="500" w:hanging="484"/>
        <w:spacing w:after="0"/>
        <w:tabs>
          <w:tab w:leader="none" w:pos="5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the tax effect of the total adjustments made to arrive at Adjusted Net Income at our historical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1101090</wp:posOffset>
            </wp:positionV>
            <wp:extent cx="7168515" cy="4127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814070</wp:posOffset>
            </wp:positionV>
            <wp:extent cx="789305" cy="18923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11" w:name="page112"/>
    <w:bookmarkEnd w:id="111"/>
    <w:p>
      <w:pPr>
        <w:ind w:left="748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D-5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Adjusted Free Cash Flow</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reconciliation of net cash provided by operating activities to Adjusted Free Cash Flow for the periods presented (amounts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auto"/>
            </w:tcBorders>
            <w:shd w:val="clear" w:color="auto" w:fill="E1D7AC"/>
          </w:tcPr>
          <w:p>
            <w:pPr>
              <w:spacing w:after="0"/>
              <w:rPr>
                <w:sz w:val="16"/>
                <w:szCs w:val="16"/>
                <w:color w:val="auto"/>
              </w:rPr>
            </w:pPr>
          </w:p>
        </w:tc>
        <w:tc>
          <w:tcPr>
            <w:tcW w:w="80" w:type="dxa"/>
            <w:vAlign w:val="bottom"/>
            <w:tcBorders>
              <w:bottom w:val="single" w:sz="8" w:color="auto"/>
            </w:tcBorders>
            <w:shd w:val="clear" w:color="auto" w:fill="E1D7AC"/>
          </w:tcPr>
          <w:p>
            <w:pPr>
              <w:spacing w:after="0"/>
              <w:rPr>
                <w:sz w:val="16"/>
                <w:szCs w:val="16"/>
                <w:color w:val="auto"/>
              </w:rPr>
            </w:pPr>
          </w:p>
        </w:tc>
        <w:tc>
          <w:tcPr>
            <w:tcW w:w="1900" w:type="dxa"/>
            <w:vAlign w:val="bottom"/>
            <w:tcBorders>
              <w:bottom w:val="single" w:sz="8" w:color="auto"/>
            </w:tcBorders>
            <w:gridSpan w:val="2"/>
            <w:shd w:val="clear" w:color="auto" w:fill="E1D7AC"/>
          </w:tcPr>
          <w:p>
            <w:pPr>
              <w:ind w:left="340"/>
              <w:spacing w:after="0"/>
              <w:rPr>
                <w:sz w:val="20"/>
                <w:szCs w:val="20"/>
                <w:color w:val="auto"/>
              </w:rPr>
            </w:pPr>
            <w:r>
              <w:rPr>
                <w:rFonts w:ascii="Arial" w:cs="Arial" w:eastAsia="Arial" w:hAnsi="Arial"/>
                <w:sz w:val="13"/>
                <w:szCs w:val="13"/>
                <w:b w:val="1"/>
                <w:bCs w:val="1"/>
                <w:color w:val="auto"/>
              </w:rPr>
              <w:t>Fiscal Year Ended</w:t>
            </w:r>
          </w:p>
        </w:tc>
        <w:tc>
          <w:tcPr>
            <w:tcW w:w="1820" w:type="dxa"/>
            <w:vAlign w:val="bottom"/>
            <w:tcBorders>
              <w:bottom w:val="single" w:sz="8" w:color="auto"/>
            </w:tcBorders>
            <w:shd w:val="clear" w:color="auto" w:fill="E1D7AC"/>
          </w:tcPr>
          <w:p>
            <w:pPr>
              <w:spacing w:after="0"/>
              <w:rPr>
                <w:sz w:val="16"/>
                <w:szCs w:val="16"/>
                <w:color w:val="auto"/>
              </w:rPr>
            </w:pPr>
          </w:p>
        </w:tc>
      </w:tr>
      <w:tr>
        <w:trPr>
          <w:trHeight w:val="184"/>
        </w:trPr>
        <w:tc>
          <w:tcPr>
            <w:tcW w:w="5620" w:type="dxa"/>
            <w:vAlign w:val="bottom"/>
            <w:shd w:val="clear" w:color="auto" w:fill="E1D7AC"/>
          </w:tcPr>
          <w:p>
            <w:pPr>
              <w:spacing w:after="0"/>
              <w:rPr>
                <w:sz w:val="15"/>
                <w:szCs w:val="15"/>
                <w:color w:val="auto"/>
              </w:rPr>
            </w:pPr>
          </w:p>
        </w:tc>
        <w:tc>
          <w:tcPr>
            <w:tcW w:w="1900" w:type="dxa"/>
            <w:vAlign w:val="bottom"/>
            <w:gridSpan w:val="2"/>
            <w:shd w:val="clear" w:color="auto" w:fill="E1D7AC"/>
          </w:tcPr>
          <w:p>
            <w:pPr>
              <w:jc w:val="right"/>
              <w:ind w:right="100"/>
              <w:spacing w:after="0"/>
              <w:rPr>
                <w:sz w:val="20"/>
                <w:szCs w:val="20"/>
                <w:color w:val="auto"/>
              </w:rPr>
            </w:pPr>
            <w:r>
              <w:rPr>
                <w:rFonts w:ascii="Arial" w:cs="Arial" w:eastAsia="Arial" w:hAnsi="Arial"/>
                <w:sz w:val="13"/>
                <w:szCs w:val="13"/>
                <w:b w:val="1"/>
                <w:bCs w:val="1"/>
                <w:color w:val="auto"/>
              </w:rPr>
              <w:t>February 1, 2025</w:t>
            </w:r>
          </w:p>
        </w:tc>
        <w:tc>
          <w:tcPr>
            <w:tcW w:w="1900" w:type="dxa"/>
            <w:vAlign w:val="bottom"/>
            <w:gridSpan w:val="2"/>
            <w:shd w:val="clear" w:color="auto" w:fill="E1D7AC"/>
          </w:tcPr>
          <w:p>
            <w:pPr>
              <w:jc w:val="right"/>
              <w:ind w:right="100"/>
              <w:spacing w:after="0"/>
              <w:rPr>
                <w:sz w:val="20"/>
                <w:szCs w:val="20"/>
                <w:color w:val="auto"/>
              </w:rPr>
            </w:pPr>
            <w:r>
              <w:rPr>
                <w:rFonts w:ascii="Arial" w:cs="Arial" w:eastAsia="Arial" w:hAnsi="Arial"/>
                <w:sz w:val="13"/>
                <w:szCs w:val="13"/>
                <w:b w:val="1"/>
                <w:bCs w:val="1"/>
                <w:color w:val="auto"/>
              </w:rPr>
              <w:t>February 3, 2024</w:t>
            </w:r>
          </w:p>
        </w:tc>
        <w:tc>
          <w:tcPr>
            <w:tcW w:w="18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January 28, 2023</w:t>
            </w:r>
          </w:p>
        </w:tc>
      </w:tr>
      <w:tr>
        <w:trPr>
          <w:trHeight w:val="186"/>
        </w:trPr>
        <w:tc>
          <w:tcPr>
            <w:tcW w:w="562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186"/>
        </w:trPr>
        <w:tc>
          <w:tcPr>
            <w:tcW w:w="56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820" w:type="dxa"/>
            <w:vAlign w:val="bottom"/>
            <w:shd w:val="clear" w:color="auto" w:fill="DBDBDB"/>
          </w:tcPr>
          <w:p>
            <w:pPr>
              <w:jc w:val="center"/>
              <w:ind w:left="1154"/>
              <w:spacing w:after="0"/>
              <w:rPr>
                <w:sz w:val="20"/>
                <w:szCs w:val="20"/>
                <w:color w:val="auto"/>
              </w:rPr>
            </w:pPr>
            <w:r>
              <w:rPr>
                <w:rFonts w:ascii="Arial" w:cs="Arial" w:eastAsia="Arial" w:hAnsi="Arial"/>
                <w:sz w:val="13"/>
                <w:szCs w:val="13"/>
                <w:b w:val="1"/>
                <w:bCs w:val="1"/>
                <w:color w:val="auto"/>
              </w:rPr>
              <w:t>528,082</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center"/>
              <w:ind w:left="1154"/>
              <w:spacing w:after="0"/>
              <w:rPr>
                <w:sz w:val="20"/>
                <w:szCs w:val="20"/>
                <w:color w:val="auto"/>
              </w:rPr>
            </w:pPr>
            <w:r>
              <w:rPr>
                <w:rFonts w:ascii="Arial" w:cs="Arial" w:eastAsia="Arial" w:hAnsi="Arial"/>
                <w:sz w:val="13"/>
                <w:szCs w:val="13"/>
                <w:b w:val="1"/>
                <w:bCs w:val="1"/>
                <w:color w:val="auto"/>
              </w:rPr>
              <w:t>535,779</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center"/>
              <w:ind w:left="1154"/>
              <w:spacing w:after="0"/>
              <w:rPr>
                <w:sz w:val="20"/>
                <w:szCs w:val="20"/>
                <w:color w:val="auto"/>
              </w:rPr>
            </w:pPr>
            <w:r>
              <w:rPr>
                <w:rFonts w:ascii="Arial" w:cs="Arial" w:eastAsia="Arial" w:hAnsi="Arial"/>
                <w:sz w:val="13"/>
                <w:szCs w:val="13"/>
                <w:color w:val="auto"/>
              </w:rPr>
              <w:t>552,005</w:t>
            </w:r>
          </w:p>
        </w:tc>
      </w:tr>
      <w:tr>
        <w:trPr>
          <w:trHeight w:val="186"/>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1820" w:type="dxa"/>
            <w:vAlign w:val="bottom"/>
            <w:tcBorders>
              <w:bottom w:val="single" w:sz="8" w:color="auto"/>
            </w:tcBorders>
          </w:tcPr>
          <w:p>
            <w:pPr>
              <w:jc w:val="center"/>
              <w:ind w:left="1114"/>
              <w:spacing w:after="0"/>
              <w:rPr>
                <w:sz w:val="20"/>
                <w:szCs w:val="20"/>
                <w:color w:val="auto"/>
              </w:rPr>
            </w:pPr>
            <w:r>
              <w:rPr>
                <w:rFonts w:ascii="Arial" w:cs="Arial" w:eastAsia="Arial" w:hAnsi="Arial"/>
                <w:sz w:val="13"/>
                <w:szCs w:val="13"/>
                <w:b w:val="1"/>
                <w:bCs w:val="1"/>
                <w:color w:val="auto"/>
              </w:rPr>
              <w:t>(186,120)</w:t>
            </w:r>
          </w:p>
        </w:tc>
        <w:tc>
          <w:tcPr>
            <w:tcW w:w="80" w:type="dxa"/>
            <w:vAlign w:val="bottom"/>
            <w:tcBorders>
              <w:bottom w:val="single" w:sz="8" w:color="DBDBDB"/>
            </w:tcBorders>
          </w:tcPr>
          <w:p>
            <w:pPr>
              <w:spacing w:after="0"/>
              <w:rPr>
                <w:sz w:val="16"/>
                <w:szCs w:val="16"/>
                <w:color w:val="auto"/>
              </w:rPr>
            </w:pPr>
          </w:p>
        </w:tc>
        <w:tc>
          <w:tcPr>
            <w:tcW w:w="1820" w:type="dxa"/>
            <w:vAlign w:val="bottom"/>
            <w:tcBorders>
              <w:bottom w:val="single" w:sz="8" w:color="auto"/>
            </w:tcBorders>
          </w:tcPr>
          <w:p>
            <w:pPr>
              <w:jc w:val="center"/>
              <w:ind w:left="1114"/>
              <w:spacing w:after="0"/>
              <w:rPr>
                <w:sz w:val="20"/>
                <w:szCs w:val="20"/>
                <w:color w:val="auto"/>
              </w:rPr>
            </w:pPr>
            <w:r>
              <w:rPr>
                <w:rFonts w:ascii="Arial" w:cs="Arial" w:eastAsia="Arial" w:hAnsi="Arial"/>
                <w:sz w:val="13"/>
                <w:szCs w:val="13"/>
                <w:b w:val="1"/>
                <w:bCs w:val="1"/>
                <w:color w:val="auto"/>
              </w:rPr>
              <w:t>(206,139)</w:t>
            </w:r>
          </w:p>
        </w:tc>
        <w:tc>
          <w:tcPr>
            <w:tcW w:w="80" w:type="dxa"/>
            <w:vAlign w:val="bottom"/>
            <w:tcBorders>
              <w:bottom w:val="single" w:sz="8" w:color="DBDBDB"/>
            </w:tcBorders>
          </w:tcPr>
          <w:p>
            <w:pPr>
              <w:spacing w:after="0"/>
              <w:rPr>
                <w:sz w:val="16"/>
                <w:szCs w:val="16"/>
                <w:color w:val="auto"/>
              </w:rPr>
            </w:pPr>
          </w:p>
        </w:tc>
        <w:tc>
          <w:tcPr>
            <w:tcW w:w="1820" w:type="dxa"/>
            <w:vAlign w:val="bottom"/>
            <w:tcBorders>
              <w:bottom w:val="single" w:sz="8" w:color="auto"/>
            </w:tcBorders>
          </w:tcPr>
          <w:p>
            <w:pPr>
              <w:jc w:val="center"/>
              <w:ind w:left="1154"/>
              <w:spacing w:after="0"/>
              <w:rPr>
                <w:sz w:val="20"/>
                <w:szCs w:val="20"/>
                <w:color w:val="auto"/>
              </w:rPr>
            </w:pPr>
            <w:r>
              <w:rPr>
                <w:rFonts w:ascii="Arial" w:cs="Arial" w:eastAsia="Arial" w:hAnsi="Arial"/>
                <w:sz w:val="13"/>
                <w:szCs w:val="13"/>
                <w:color w:val="auto"/>
              </w:rPr>
              <w:t>(108,806)</w:t>
            </w:r>
          </w:p>
        </w:tc>
      </w:tr>
      <w:tr>
        <w:trPr>
          <w:trHeight w:val="205"/>
        </w:trPr>
        <w:tc>
          <w:tcPr>
            <w:tcW w:w="562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3"/>
                <w:szCs w:val="13"/>
                <w:color w:val="auto"/>
              </w:rPr>
              <w:t>Adjusted Free Cash Flow</w:t>
            </w:r>
          </w:p>
        </w:tc>
        <w:tc>
          <w:tcPr>
            <w:tcW w:w="1820" w:type="dxa"/>
            <w:vAlign w:val="bottom"/>
            <w:tcBorders>
              <w:bottom w:val="single" w:sz="8" w:color="auto"/>
            </w:tcBorders>
            <w:shd w:val="clear" w:color="auto" w:fill="DBDBDB"/>
          </w:tcPr>
          <w:p>
            <w:pPr>
              <w:jc w:val="center"/>
              <w:ind w:left="1154"/>
              <w:spacing w:after="0"/>
              <w:rPr>
                <w:sz w:val="20"/>
                <w:szCs w:val="20"/>
                <w:color w:val="auto"/>
              </w:rPr>
            </w:pPr>
            <w:r>
              <w:rPr>
                <w:rFonts w:ascii="Arial" w:cs="Arial" w:eastAsia="Arial" w:hAnsi="Arial"/>
                <w:sz w:val="13"/>
                <w:szCs w:val="13"/>
                <w:b w:val="1"/>
                <w:bCs w:val="1"/>
                <w:color w:val="auto"/>
              </w:rPr>
              <w:t>341,962</w:t>
            </w:r>
          </w:p>
        </w:tc>
        <w:tc>
          <w:tcPr>
            <w:tcW w:w="80" w:type="dxa"/>
            <w:vAlign w:val="bottom"/>
            <w:tcBorders>
              <w:bottom w:val="single" w:sz="8" w:color="DBDBDB"/>
            </w:tcBorders>
            <w:shd w:val="clear" w:color="auto" w:fill="DBDBDB"/>
          </w:tcPr>
          <w:p>
            <w:pPr>
              <w:spacing w:after="0"/>
              <w:rPr>
                <w:sz w:val="17"/>
                <w:szCs w:val="17"/>
                <w:color w:val="auto"/>
              </w:rPr>
            </w:pPr>
          </w:p>
        </w:tc>
        <w:tc>
          <w:tcPr>
            <w:tcW w:w="1820" w:type="dxa"/>
            <w:vAlign w:val="bottom"/>
            <w:tcBorders>
              <w:bottom w:val="single" w:sz="8" w:color="auto"/>
            </w:tcBorders>
            <w:shd w:val="clear" w:color="auto" w:fill="DBDBDB"/>
          </w:tcPr>
          <w:p>
            <w:pPr>
              <w:jc w:val="center"/>
              <w:ind w:left="1154"/>
              <w:spacing w:after="0"/>
              <w:rPr>
                <w:sz w:val="20"/>
                <w:szCs w:val="20"/>
                <w:color w:val="auto"/>
              </w:rPr>
            </w:pPr>
            <w:r>
              <w:rPr>
                <w:rFonts w:ascii="Arial" w:cs="Arial" w:eastAsia="Arial" w:hAnsi="Arial"/>
                <w:sz w:val="13"/>
                <w:szCs w:val="13"/>
                <w:b w:val="1"/>
                <w:bCs w:val="1"/>
                <w:color w:val="auto"/>
              </w:rPr>
              <w:t>329,640</w:t>
            </w:r>
          </w:p>
        </w:tc>
        <w:tc>
          <w:tcPr>
            <w:tcW w:w="80" w:type="dxa"/>
            <w:vAlign w:val="bottom"/>
            <w:tcBorders>
              <w:bottom w:val="single" w:sz="8" w:color="DBDBDB"/>
            </w:tcBorders>
            <w:shd w:val="clear" w:color="auto" w:fill="DBDBDB"/>
          </w:tcPr>
          <w:p>
            <w:pPr>
              <w:spacing w:after="0"/>
              <w:rPr>
                <w:sz w:val="17"/>
                <w:szCs w:val="17"/>
                <w:color w:val="auto"/>
              </w:rPr>
            </w:pPr>
          </w:p>
        </w:tc>
        <w:tc>
          <w:tcPr>
            <w:tcW w:w="1820" w:type="dxa"/>
            <w:vAlign w:val="bottom"/>
            <w:tcBorders>
              <w:bottom w:val="single" w:sz="8" w:color="auto"/>
            </w:tcBorders>
            <w:shd w:val="clear" w:color="auto" w:fill="DBDBDB"/>
          </w:tcPr>
          <w:p>
            <w:pPr>
              <w:jc w:val="center"/>
              <w:ind w:left="1154"/>
              <w:spacing w:after="0"/>
              <w:rPr>
                <w:sz w:val="20"/>
                <w:szCs w:val="20"/>
                <w:color w:val="auto"/>
              </w:rPr>
            </w:pPr>
            <w:r>
              <w:rPr>
                <w:rFonts w:ascii="Arial" w:cs="Arial" w:eastAsia="Arial" w:hAnsi="Arial"/>
                <w:sz w:val="13"/>
                <w:szCs w:val="13"/>
                <w:color w:val="auto"/>
              </w:rPr>
              <w:t>443,199</w:t>
            </w:r>
          </w:p>
        </w:tc>
      </w:tr>
      <w:tr>
        <w:trPr>
          <w:trHeight w:val="20"/>
        </w:trPr>
        <w:tc>
          <w:tcPr>
            <w:tcW w:w="5620" w:type="dxa"/>
            <w:vAlign w:val="bottom"/>
            <w:tcBorders>
              <w:top w:val="single" w:sz="8" w:color="DBDBDB"/>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r>
      <w:tr>
        <w:trPr>
          <w:trHeight w:val="1702"/>
        </w:trPr>
        <w:tc>
          <w:tcPr>
            <w:tcW w:w="56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-323215</wp:posOffset>
            </wp:positionV>
            <wp:extent cx="789305" cy="18923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2" w:name="page113"/>
    <w:bookmarkEnd w:id="112"/>
    <w:p>
      <w:pPr>
        <w:spacing w:after="0" w:line="379"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auto"/>
        </w:rPr>
        <w:t>Thank You</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52"/>
          <w:szCs w:val="52"/>
          <w:b w:val="1"/>
          <w:bCs w:val="1"/>
          <w:color w:val="auto"/>
        </w:rPr>
        <w:t>for being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864235</wp:posOffset>
            </wp:positionV>
            <wp:extent cx="4033520" cy="177609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4033520" cy="177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Learn more at academy.com.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914400</wp:posOffset>
            </wp:positionV>
            <wp:extent cx="7168515" cy="4127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200" w:lineRule="exact"/>
        <w:rPr>
          <w:sz w:val="20"/>
          <w:szCs w:val="20"/>
          <w:color w:val="auto"/>
        </w:rPr>
      </w:pPr>
    </w:p>
    <w:p>
      <w:pPr>
        <w:spacing w:after="0" w:line="345" w:lineRule="exact"/>
        <w:rPr>
          <w:sz w:val="20"/>
          <w:szCs w:val="20"/>
          <w:color w:val="auto"/>
        </w:rPr>
      </w:pPr>
    </w:p>
    <w:p>
      <w:pPr>
        <w:ind w:left="800"/>
        <w:spacing w:after="0"/>
        <w:rPr>
          <w:sz w:val="20"/>
          <w:szCs w:val="20"/>
          <w:color w:val="auto"/>
        </w:rPr>
      </w:pPr>
      <w:r>
        <w:rPr>
          <w:rFonts w:ascii="Arial" w:cs="Arial" w:eastAsia="Arial" w:hAnsi="Arial"/>
          <w:sz w:val="12"/>
          <w:szCs w:val="12"/>
          <w:i w:val="1"/>
          <w:iCs w:val="1"/>
          <w:color w:val="auto"/>
        </w:rPr>
        <w:t>ACADEMY SPORTS AND OUTDOORS, INC.</w:t>
      </w:r>
    </w:p>
    <w:p>
      <w:pPr>
        <w:ind w:left="800"/>
        <w:spacing w:after="0" w:line="216" w:lineRule="auto"/>
        <w:rPr>
          <w:sz w:val="20"/>
          <w:szCs w:val="20"/>
          <w:color w:val="auto"/>
        </w:rPr>
      </w:pPr>
      <w:r>
        <w:rPr>
          <w:rFonts w:ascii="Arial" w:cs="Arial" w:eastAsia="Arial" w:hAnsi="Arial"/>
          <w:sz w:val="12"/>
          <w:szCs w:val="12"/>
          <w:i w:val="1"/>
          <w:iCs w:val="1"/>
          <w:color w:val="auto"/>
        </w:rPr>
        <w:t>C/O BROADRIDGE</w:t>
      </w:r>
    </w:p>
    <w:p>
      <w:pPr>
        <w:ind w:left="800"/>
        <w:spacing w:after="0" w:line="194" w:lineRule="auto"/>
        <w:rPr>
          <w:sz w:val="20"/>
          <w:szCs w:val="20"/>
          <w:color w:val="auto"/>
        </w:rPr>
      </w:pPr>
      <w:r>
        <w:rPr>
          <w:rFonts w:ascii="Arial" w:cs="Arial" w:eastAsia="Arial" w:hAnsi="Arial"/>
          <w:sz w:val="12"/>
          <w:szCs w:val="12"/>
          <w:i w:val="1"/>
          <w:iCs w:val="1"/>
          <w:color w:val="auto"/>
        </w:rPr>
        <w:t>P.O. BOX 1342</w:t>
      </w:r>
    </w:p>
    <w:p>
      <w:pPr>
        <w:ind w:left="800"/>
        <w:spacing w:after="0"/>
        <w:rPr>
          <w:sz w:val="20"/>
          <w:szCs w:val="20"/>
          <w:color w:val="auto"/>
        </w:rPr>
      </w:pPr>
      <w:r>
        <w:rPr>
          <w:rFonts w:ascii="Arial" w:cs="Arial" w:eastAsia="Arial" w:hAnsi="Arial"/>
          <w:sz w:val="12"/>
          <w:szCs w:val="12"/>
          <w:i w:val="1"/>
          <w:iCs w:val="1"/>
          <w:color w:val="auto"/>
        </w:rPr>
        <w:t>BRENTWOOD,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9"/>
          <w:szCs w:val="9"/>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 - www.proxyvote.com or scan the QR Barcode above</w:t>
      </w:r>
    </w:p>
    <w:p>
      <w:pPr>
        <w:spacing w:after="0" w:line="216" w:lineRule="auto"/>
        <w:rPr>
          <w:sz w:val="20"/>
          <w:szCs w:val="20"/>
          <w:color w:val="auto"/>
        </w:rPr>
      </w:pPr>
      <w:r>
        <w:rPr>
          <w:rFonts w:ascii="Arial" w:cs="Arial" w:eastAsia="Arial" w:hAnsi="Arial"/>
          <w:sz w:val="12"/>
          <w:szCs w:val="12"/>
          <w:color w:val="auto"/>
        </w:rPr>
        <w:t>Use the Internet to transmit your voting instructions and for electronic delivery of</w:t>
      </w:r>
    </w:p>
    <w:p>
      <w:pPr>
        <w:jc w:val="both"/>
        <w:ind w:right="800"/>
        <w:spacing w:after="0" w:line="211" w:lineRule="auto"/>
        <w:rPr>
          <w:sz w:val="20"/>
          <w:szCs w:val="20"/>
          <w:color w:val="auto"/>
        </w:rPr>
      </w:pPr>
      <w:r>
        <w:rPr>
          <w:rFonts w:ascii="Arial" w:cs="Arial" w:eastAsia="Arial" w:hAnsi="Arial"/>
          <w:sz w:val="12"/>
          <w:szCs w:val="12"/>
          <w:color w:val="auto"/>
        </w:rPr>
        <w:t>information up until 10:59 P.M. Central Time the day before the meeting date. Have this proxy card in hand when you access the web site and then follow the instructions to obtain your records and to create an electronic voting instruction form.</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rPr>
          <w:sz w:val="20"/>
          <w:szCs w:val="20"/>
          <w:color w:val="auto"/>
        </w:rPr>
      </w:pPr>
      <w:r>
        <w:rPr>
          <w:rFonts w:ascii="Arial" w:cs="Arial" w:eastAsia="Arial" w:hAnsi="Arial"/>
          <w:sz w:val="10"/>
          <w:szCs w:val="10"/>
          <w:color w:val="auto"/>
        </w:rPr>
        <w:t>If you would like to reduce the costs incurred by our company in mailing proxy materials,</w:t>
      </w:r>
    </w:p>
    <w:p>
      <w:pPr>
        <w:spacing w:after="0" w:line="9" w:lineRule="exact"/>
        <w:rPr>
          <w:sz w:val="20"/>
          <w:szCs w:val="20"/>
          <w:color w:val="auto"/>
        </w:rPr>
      </w:pPr>
    </w:p>
    <w:p>
      <w:pPr>
        <w:jc w:val="both"/>
        <w:ind w:right="800"/>
        <w:spacing w:after="0" w:line="242" w:lineRule="auto"/>
        <w:rPr>
          <w:sz w:val="20"/>
          <w:szCs w:val="20"/>
          <w:color w:val="auto"/>
        </w:rPr>
      </w:pPr>
      <w:r>
        <w:rPr>
          <w:rFonts w:ascii="Arial" w:cs="Arial" w:eastAsia="Arial" w:hAnsi="Arial"/>
          <w:sz w:val="10"/>
          <w:szCs w:val="10"/>
          <w:color w:val="auto"/>
        </w:rPr>
        <w:t>you can consent to receiving all future proxy statements, proxy cards and annual reports electronically via e-mail or the Internet. To sign up for electronic delivery, please follow the instructions above to vote using the Internet and, when prompted, indicate that you</w:t>
      </w:r>
    </w:p>
    <w:p>
      <w:pPr>
        <w:spacing w:after="0"/>
        <w:rPr>
          <w:sz w:val="20"/>
          <w:szCs w:val="20"/>
          <w:color w:val="auto"/>
        </w:rPr>
      </w:pPr>
      <w:r>
        <w:rPr>
          <w:rFonts w:ascii="Arial" w:cs="Arial" w:eastAsia="Arial" w:hAnsi="Arial"/>
          <w:sz w:val="12"/>
          <w:szCs w:val="12"/>
          <w:color w:val="auto"/>
        </w:rPr>
        <w:t>agree to receive or access proxy materials electronically in future years.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216" w:lineRule="auto"/>
        <w:rPr>
          <w:sz w:val="20"/>
          <w:szCs w:val="20"/>
          <w:color w:val="auto"/>
        </w:rPr>
      </w:pPr>
      <w:r>
        <w:rPr>
          <w:rFonts w:ascii="Arial" w:cs="Arial" w:eastAsia="Arial" w:hAnsi="Arial"/>
          <w:sz w:val="12"/>
          <w:szCs w:val="12"/>
          <w:color w:val="auto"/>
        </w:rPr>
        <w:t>Use any touch-tone telephone to transmit your voting instructions up until 10:59 P.M.</w:t>
      </w:r>
    </w:p>
    <w:p>
      <w:pPr>
        <w:jc w:val="both"/>
        <w:ind w:right="800"/>
        <w:spacing w:after="0" w:line="219" w:lineRule="auto"/>
        <w:rPr>
          <w:sz w:val="20"/>
          <w:szCs w:val="20"/>
          <w:color w:val="auto"/>
        </w:rPr>
      </w:pPr>
      <w:r>
        <w:rPr>
          <w:rFonts w:ascii="Arial" w:cs="Arial" w:eastAsia="Arial" w:hAnsi="Arial"/>
          <w:sz w:val="12"/>
          <w:szCs w:val="12"/>
          <w:color w:val="auto"/>
        </w:rPr>
        <w:t>Central Time the day before the meeting date. Have this proxy card in hand when you call and then follow the instructions.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rPr>
          <w:sz w:val="20"/>
          <w:szCs w:val="20"/>
          <w:color w:val="auto"/>
        </w:rPr>
      </w:pPr>
      <w:r>
        <w:rPr>
          <w:rFonts w:ascii="Arial" w:cs="Arial" w:eastAsia="Arial" w:hAnsi="Arial"/>
          <w:sz w:val="10"/>
          <w:szCs w:val="10"/>
          <w:color w:val="auto"/>
        </w:rPr>
        <w:t>Mark, sign and date your proxy card and return it in the postage-paid envelope we have</w:t>
      </w:r>
    </w:p>
    <w:p>
      <w:pPr>
        <w:spacing w:after="0" w:line="9" w:lineRule="exact"/>
        <w:rPr>
          <w:sz w:val="20"/>
          <w:szCs w:val="20"/>
          <w:color w:val="auto"/>
        </w:rPr>
      </w:pPr>
    </w:p>
    <w:p>
      <w:pPr>
        <w:jc w:val="both"/>
        <w:ind w:right="800"/>
        <w:spacing w:after="0" w:line="219" w:lineRule="auto"/>
        <w:rPr>
          <w:sz w:val="20"/>
          <w:szCs w:val="20"/>
          <w:color w:val="auto"/>
        </w:rPr>
      </w:pPr>
      <w:r>
        <w:rPr>
          <w:rFonts w:ascii="Arial" w:cs="Arial" w:eastAsia="Arial" w:hAnsi="Arial"/>
          <w:sz w:val="12"/>
          <w:szCs w:val="12"/>
          <w:color w:val="auto"/>
        </w:rPr>
        <w:t>provided or return it to Vote Processing, c/o Broadridge, 51 Mercedes Way, Edgewood, NY 11717.</w:t>
      </w:r>
    </w:p>
    <w:p>
      <w:pPr>
        <w:spacing w:after="0" w:line="839" w:lineRule="exact"/>
        <w:rPr>
          <w:sz w:val="20"/>
          <w:szCs w:val="20"/>
          <w:color w:val="auto"/>
        </w:rPr>
      </w:pPr>
    </w:p>
    <w:p>
      <w:pPr>
        <w:sectPr>
          <w:pgSz w:w="11900" w:h="16838" w:orient="portrait"/>
          <w:cols w:equalWidth="0" w:num="2">
            <w:col w:w="5160" w:space="720"/>
            <w:col w:w="5360"/>
          </w:cols>
          <w:pgMar w:left="320" w:top="1440" w:right="339" w:bottom="1440" w:gutter="0" w:footer="0" w:header="0"/>
        </w:sectPr>
      </w:pP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0"/>
          <w:szCs w:val="10"/>
          <w:color w:val="auto"/>
        </w:rPr>
        <w:t>V70575-P30905 KEEP THIS PORTION FOR YOUR RECORDS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0"/>
          <w:szCs w:val="10"/>
          <w:color w:val="auto"/>
        </w:rPr>
        <w:t>------------------------------------------------------------------------------------------------------------------------------------------------------------------------------------------------------------------------------------</w:t>
      </w:r>
    </w:p>
    <w:p>
      <w:pPr>
        <w:jc w:val="right"/>
        <w:spacing w:after="0"/>
        <w:rPr>
          <w:sz w:val="20"/>
          <w:szCs w:val="20"/>
          <w:color w:val="auto"/>
        </w:rPr>
      </w:pPr>
      <w:r>
        <w:rPr>
          <w:rFonts w:ascii="Arial" w:cs="Arial" w:eastAsia="Arial" w:hAnsi="Arial"/>
          <w:sz w:val="10"/>
          <w:szCs w:val="10"/>
          <w:color w:val="auto"/>
        </w:rPr>
        <w:t>DETACH AND RETURN THIS PORTION ONLY</w:t>
      </w:r>
    </w:p>
    <w:p>
      <w:pPr>
        <w:spacing w:after="0" w:line="7" w:lineRule="exact"/>
        <w:rPr>
          <w:sz w:val="20"/>
          <w:szCs w:val="20"/>
          <w:color w:val="auto"/>
        </w:rPr>
      </w:pPr>
    </w:p>
    <w:p>
      <w:pPr>
        <w:ind w:left="2440"/>
        <w:spacing w:after="0"/>
        <w:rPr>
          <w:sz w:val="20"/>
          <w:szCs w:val="20"/>
          <w:color w:val="auto"/>
        </w:rPr>
      </w:pPr>
      <w:r>
        <w:rPr>
          <w:rFonts w:ascii="Arial" w:cs="Arial" w:eastAsia="Arial" w:hAnsi="Arial"/>
          <w:sz w:val="10"/>
          <w:szCs w:val="10"/>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167005</wp:posOffset>
            </wp:positionV>
            <wp:extent cx="2533650" cy="313372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2533650" cy="3133725"/>
                    </a:xfrm>
                    <a:prstGeom prst="rect">
                      <a:avLst/>
                    </a:prstGeom>
                    <a:noFill/>
                  </pic:spPr>
                </pic:pic>
              </a:graphicData>
            </a:graphic>
          </wp:anchor>
        </w:drawing>
      </w:r>
    </w:p>
    <w:p>
      <w:pPr>
        <w:spacing w:after="0" w:line="250" w:lineRule="exact"/>
        <w:rPr>
          <w:sz w:val="20"/>
          <w:szCs w:val="20"/>
          <w:color w:val="auto"/>
        </w:rPr>
      </w:pPr>
    </w:p>
    <w:p>
      <w:pPr>
        <w:ind w:left="2040"/>
        <w:spacing w:after="0"/>
        <w:rPr>
          <w:sz w:val="20"/>
          <w:szCs w:val="20"/>
          <w:color w:val="auto"/>
        </w:rPr>
      </w:pPr>
      <w:r>
        <w:rPr>
          <w:rFonts w:ascii="Arial" w:cs="Arial" w:eastAsia="Arial" w:hAnsi="Arial"/>
          <w:sz w:val="10"/>
          <w:szCs w:val="10"/>
          <w:b w:val="1"/>
          <w:bCs w:val="1"/>
          <w:color w:val="auto"/>
        </w:rPr>
        <w:t>ACADEMY SPORTS AND</w:t>
      </w:r>
    </w:p>
    <w:p>
      <w:pPr>
        <w:ind w:left="2040"/>
        <w:spacing w:after="0"/>
        <w:rPr>
          <w:sz w:val="20"/>
          <w:szCs w:val="20"/>
          <w:color w:val="auto"/>
        </w:rPr>
      </w:pPr>
      <w:r>
        <w:rPr>
          <w:rFonts w:ascii="Arial" w:cs="Arial" w:eastAsia="Arial" w:hAnsi="Arial"/>
          <w:sz w:val="10"/>
          <w:szCs w:val="10"/>
          <w:b w:val="1"/>
          <w:bCs w:val="1"/>
          <w:color w:val="auto"/>
        </w:rPr>
        <w:t>OUTDOORS, INC.</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9"/>
          <w:szCs w:val="9"/>
          <w:b w:val="1"/>
          <w:bCs w:val="1"/>
          <w:color w:val="auto"/>
        </w:rPr>
        <w:t>The Board of Directors recommends you vote FOR each of the</w:t>
      </w:r>
    </w:p>
    <w:p>
      <w:pPr>
        <w:ind w:left="2040"/>
        <w:spacing w:after="0"/>
        <w:rPr>
          <w:sz w:val="20"/>
          <w:szCs w:val="20"/>
          <w:color w:val="auto"/>
        </w:rPr>
      </w:pPr>
      <w:r>
        <w:rPr>
          <w:rFonts w:ascii="Arial" w:cs="Arial" w:eastAsia="Arial" w:hAnsi="Arial"/>
          <w:sz w:val="9"/>
          <w:szCs w:val="9"/>
          <w:b w:val="1"/>
          <w:bCs w:val="1"/>
          <w:color w:val="auto"/>
        </w:rPr>
        <w:t>director nominees in Proposal 1.</w:t>
      </w:r>
    </w:p>
    <w:p>
      <w:pPr>
        <w:spacing w:after="0" w:line="38" w:lineRule="exact"/>
        <w:rPr>
          <w:sz w:val="20"/>
          <w:szCs w:val="20"/>
          <w:color w:val="auto"/>
        </w:rPr>
      </w:pPr>
    </w:p>
    <w:p>
      <w:pPr>
        <w:ind w:left="2640" w:right="7860" w:hanging="443"/>
        <w:spacing w:after="0" w:line="211" w:lineRule="auto"/>
        <w:tabs>
          <w:tab w:leader="none" w:pos="2629" w:val="left"/>
        </w:tabs>
        <w:numPr>
          <w:ilvl w:val="0"/>
          <w:numId w:val="98"/>
        </w:numPr>
        <w:rPr>
          <w:rFonts w:ascii="Arial" w:cs="Arial" w:eastAsia="Arial" w:hAnsi="Arial"/>
          <w:sz w:val="9"/>
          <w:szCs w:val="9"/>
          <w:color w:val="auto"/>
        </w:rPr>
      </w:pPr>
      <w:r>
        <w:rPr>
          <w:rFonts w:ascii="Arial" w:cs="Arial" w:eastAsia="Arial" w:hAnsi="Arial"/>
          <w:sz w:val="9"/>
          <w:szCs w:val="9"/>
          <w:color w:val="auto"/>
        </w:rPr>
        <w:t>Election of Class II Directors</w:t>
      </w:r>
    </w:p>
    <w:p>
      <w:pPr>
        <w:ind w:left="3180"/>
        <w:spacing w:after="0"/>
        <w:rPr>
          <w:rFonts w:ascii="Arial" w:cs="Arial" w:eastAsia="Arial" w:hAnsi="Arial"/>
          <w:sz w:val="9"/>
          <w:szCs w:val="9"/>
          <w:color w:val="auto"/>
        </w:rPr>
      </w:pPr>
      <w:r>
        <w:rPr>
          <w:rFonts w:ascii="Arial" w:cs="Arial" w:eastAsia="Arial" w:hAnsi="Arial"/>
          <w:sz w:val="9"/>
          <w:szCs w:val="9"/>
          <w:b w:val="1"/>
          <w:bCs w:val="1"/>
          <w:color w:val="auto"/>
        </w:rPr>
        <w:t>Nominees  For Withhold</w:t>
      </w:r>
    </w:p>
    <w:p>
      <w:pPr>
        <w:spacing w:after="0" w:line="43" w:lineRule="exact"/>
        <w:rPr>
          <w:sz w:val="20"/>
          <w:szCs w:val="20"/>
          <w:color w:val="auto"/>
        </w:rPr>
      </w:pPr>
    </w:p>
    <w:tbl>
      <w:tblPr>
        <w:tblLayout w:type="fixed"/>
        <w:tblInd w:w="2860" w:type="dxa"/>
        <w:tblCellMar>
          <w:top w:w="0" w:type="dxa"/>
          <w:left w:w="0" w:type="dxa"/>
          <w:bottom w:w="0" w:type="dxa"/>
          <w:right w:w="0" w:type="dxa"/>
        </w:tblCellMar>
      </w:tblPr>
      <w:tr>
        <w:trPr>
          <w:trHeight w:val="166"/>
        </w:trPr>
        <w:tc>
          <w:tcPr>
            <w:tcW w:w="780" w:type="dxa"/>
            <w:vAlign w:val="bottom"/>
          </w:tcPr>
          <w:p>
            <w:pPr>
              <w:spacing w:after="0"/>
              <w:rPr>
                <w:sz w:val="20"/>
                <w:szCs w:val="20"/>
                <w:color w:val="auto"/>
              </w:rPr>
            </w:pPr>
            <w:r>
              <w:rPr>
                <w:rFonts w:ascii="Arial" w:cs="Arial" w:eastAsia="Arial" w:hAnsi="Arial"/>
                <w:sz w:val="10"/>
                <w:szCs w:val="10"/>
                <w:color w:val="auto"/>
              </w:rPr>
              <w:t>1a) Wendy Beck</w:t>
            </w:r>
          </w:p>
        </w:tc>
        <w:tc>
          <w:tcPr>
            <w:tcW w:w="280" w:type="dxa"/>
            <w:vAlign w:val="bottom"/>
          </w:tcPr>
          <w:p>
            <w:pPr>
              <w:ind w:left="6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00" w:type="dxa"/>
            <w:vAlign w:val="bottom"/>
          </w:tcPr>
          <w:p>
            <w:pPr>
              <w:ind w:left="120"/>
              <w:spacing w:after="0" w:line="71" w:lineRule="exact"/>
              <w:rPr>
                <w:sz w:val="20"/>
                <w:szCs w:val="20"/>
                <w:color w:val="auto"/>
              </w:rPr>
            </w:pPr>
            <w:r>
              <w:rPr>
                <w:rFonts w:ascii="MS PGothic" w:cs="MS PGothic" w:eastAsia="MS PGothic" w:hAnsi="MS PGothic"/>
                <w:sz w:val="7"/>
                <w:szCs w:val="7"/>
                <w:color w:val="auto"/>
                <w:highlight w:val="black"/>
                <w:w w:val="85"/>
              </w:rPr>
              <w:t>☐</w:t>
            </w:r>
          </w:p>
        </w:tc>
      </w:tr>
      <w:tr>
        <w:trPr>
          <w:trHeight w:val="152"/>
        </w:trPr>
        <w:tc>
          <w:tcPr>
            <w:tcW w:w="780" w:type="dxa"/>
            <w:vAlign w:val="bottom"/>
          </w:tcPr>
          <w:p>
            <w:pPr>
              <w:spacing w:after="0"/>
              <w:rPr>
                <w:sz w:val="20"/>
                <w:szCs w:val="20"/>
                <w:color w:val="auto"/>
              </w:rPr>
            </w:pPr>
            <w:r>
              <w:rPr>
                <w:rFonts w:ascii="Arial" w:cs="Arial" w:eastAsia="Arial" w:hAnsi="Arial"/>
                <w:sz w:val="10"/>
                <w:szCs w:val="10"/>
                <w:color w:val="auto"/>
              </w:rPr>
              <w:t>1b) Theresa</w:t>
            </w:r>
          </w:p>
        </w:tc>
        <w:tc>
          <w:tcPr>
            <w:tcW w:w="280" w:type="dxa"/>
            <w:vAlign w:val="bottom"/>
          </w:tcPr>
          <w:p>
            <w:pPr>
              <w:ind w:left="6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00" w:type="dxa"/>
            <w:vAlign w:val="bottom"/>
          </w:tcPr>
          <w:p>
            <w:pPr>
              <w:ind w:left="120"/>
              <w:spacing w:after="0" w:line="71" w:lineRule="exact"/>
              <w:rPr>
                <w:sz w:val="20"/>
                <w:szCs w:val="20"/>
                <w:color w:val="auto"/>
              </w:rPr>
            </w:pPr>
            <w:r>
              <w:rPr>
                <w:rFonts w:ascii="MS PGothic" w:cs="MS PGothic" w:eastAsia="MS PGothic" w:hAnsi="MS PGothic"/>
                <w:sz w:val="7"/>
                <w:szCs w:val="7"/>
                <w:color w:val="auto"/>
                <w:highlight w:val="black"/>
                <w:w w:val="85"/>
              </w:rPr>
              <w:t>☐</w:t>
            </w:r>
          </w:p>
        </w:tc>
      </w:tr>
      <w:tr>
        <w:trPr>
          <w:trHeight w:val="132"/>
        </w:trPr>
        <w:tc>
          <w:tcPr>
            <w:tcW w:w="780" w:type="dxa"/>
            <w:vAlign w:val="bottom"/>
          </w:tcPr>
          <w:p>
            <w:pPr>
              <w:spacing w:after="0"/>
              <w:rPr>
                <w:sz w:val="20"/>
                <w:szCs w:val="20"/>
                <w:color w:val="auto"/>
              </w:rPr>
            </w:pPr>
            <w:r>
              <w:rPr>
                <w:rFonts w:ascii="Arial" w:cs="Arial" w:eastAsia="Arial" w:hAnsi="Arial"/>
                <w:sz w:val="10"/>
                <w:szCs w:val="10"/>
                <w:color w:val="auto"/>
              </w:rPr>
              <w:t>Palermo</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17"/>
        </w:trPr>
        <w:tc>
          <w:tcPr>
            <w:tcW w:w="780" w:type="dxa"/>
            <w:vAlign w:val="bottom"/>
          </w:tcPr>
          <w:p>
            <w:pPr>
              <w:spacing w:after="0"/>
              <w:rPr>
                <w:sz w:val="20"/>
                <w:szCs w:val="20"/>
                <w:color w:val="auto"/>
              </w:rPr>
            </w:pPr>
            <w:r>
              <w:rPr>
                <w:rFonts w:ascii="Arial" w:cs="Arial" w:eastAsia="Arial" w:hAnsi="Arial"/>
                <w:sz w:val="10"/>
                <w:szCs w:val="10"/>
                <w:color w:val="auto"/>
              </w:rPr>
              <w:t>1c) Monique</w:t>
            </w:r>
          </w:p>
        </w:tc>
        <w:tc>
          <w:tcPr>
            <w:tcW w:w="280" w:type="dxa"/>
            <w:vAlign w:val="bottom"/>
          </w:tcPr>
          <w:p>
            <w:pPr>
              <w:ind w:left="6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00" w:type="dxa"/>
            <w:vAlign w:val="bottom"/>
          </w:tcPr>
          <w:p>
            <w:pPr>
              <w:ind w:left="120"/>
              <w:spacing w:after="0" w:line="71" w:lineRule="exact"/>
              <w:rPr>
                <w:sz w:val="20"/>
                <w:szCs w:val="20"/>
                <w:color w:val="auto"/>
              </w:rPr>
            </w:pPr>
            <w:r>
              <w:rPr>
                <w:rFonts w:ascii="MS PGothic" w:cs="MS PGothic" w:eastAsia="MS PGothic" w:hAnsi="MS PGothic"/>
                <w:sz w:val="7"/>
                <w:szCs w:val="7"/>
                <w:color w:val="auto"/>
                <w:highlight w:val="black"/>
                <w:w w:val="85"/>
              </w:rPr>
              <w:t>☐</w:t>
            </w:r>
          </w:p>
        </w:tc>
      </w:tr>
      <w:tr>
        <w:trPr>
          <w:trHeight w:val="132"/>
        </w:trPr>
        <w:tc>
          <w:tcPr>
            <w:tcW w:w="780" w:type="dxa"/>
            <w:vAlign w:val="bottom"/>
          </w:tcPr>
          <w:p>
            <w:pPr>
              <w:spacing w:after="0"/>
              <w:rPr>
                <w:sz w:val="20"/>
                <w:szCs w:val="20"/>
                <w:color w:val="auto"/>
              </w:rPr>
            </w:pPr>
            <w:r>
              <w:rPr>
                <w:rFonts w:ascii="Arial" w:cs="Arial" w:eastAsia="Arial" w:hAnsi="Arial"/>
                <w:sz w:val="10"/>
                <w:szCs w:val="10"/>
                <w:color w:val="auto"/>
              </w:rPr>
              <w:t>Picou</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17"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ind w:left="2040"/>
        <w:spacing w:after="0" w:line="250" w:lineRule="auto"/>
        <w:rPr>
          <w:sz w:val="20"/>
          <w:szCs w:val="20"/>
          <w:color w:val="auto"/>
        </w:rPr>
      </w:pPr>
      <w:r>
        <w:rPr>
          <w:rFonts w:ascii="Arial" w:cs="Arial" w:eastAsia="Arial" w:hAnsi="Arial"/>
          <w:sz w:val="9"/>
          <w:szCs w:val="9"/>
          <w:b w:val="1"/>
          <w:bCs w:val="1"/>
          <w:color w:val="auto"/>
        </w:rPr>
        <w:t>The Board of Directors recommends you vote FOR Proposals 2, 3, 4, 5, and 6.</w:t>
      </w:r>
    </w:p>
    <w:p>
      <w:pPr>
        <w:spacing w:after="0" w:line="21" w:lineRule="exact"/>
        <w:rPr>
          <w:sz w:val="20"/>
          <w:szCs w:val="20"/>
          <w:color w:val="auto"/>
        </w:rPr>
      </w:pPr>
    </w:p>
    <w:p>
      <w:pPr>
        <w:jc w:val="both"/>
        <w:ind w:left="2040" w:right="80" w:firstLine="59"/>
        <w:spacing w:after="0" w:line="226" w:lineRule="auto"/>
        <w:tabs>
          <w:tab w:leader="none" w:pos="2192" w:val="left"/>
        </w:tabs>
        <w:numPr>
          <w:ilvl w:val="0"/>
          <w:numId w:val="99"/>
        </w:numPr>
        <w:rPr>
          <w:rFonts w:ascii="Arial" w:cs="Arial" w:eastAsia="Arial" w:hAnsi="Arial"/>
          <w:sz w:val="9"/>
          <w:szCs w:val="9"/>
          <w:color w:val="auto"/>
        </w:rPr>
      </w:pPr>
      <w:r>
        <w:rPr>
          <w:rFonts w:ascii="Arial" w:cs="Arial" w:eastAsia="Arial" w:hAnsi="Arial"/>
          <w:sz w:val="9"/>
          <w:szCs w:val="9"/>
          <w:color w:val="auto"/>
        </w:rPr>
        <w:t>Ratification of the appointment of Deloitte &amp; Touche LLP as the Company’s independent registered public accounting firm for fiscal 2025.</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For Against Abstain</w:t>
      </w:r>
    </w:p>
    <w:p>
      <w:pPr>
        <w:spacing w:after="0" w:line="51" w:lineRule="exact"/>
        <w:rPr>
          <w:sz w:val="20"/>
          <w:szCs w:val="20"/>
          <w:color w:val="auto"/>
        </w:rPr>
      </w:pPr>
    </w:p>
    <w:p>
      <w:pPr>
        <w:ind w:left="40"/>
        <w:spacing w:after="0" w:line="101" w:lineRule="exact"/>
        <w:tabs>
          <w:tab w:leader="none" w:pos="320" w:val="left"/>
          <w:tab w:leader="none" w:pos="700" w:val="left"/>
        </w:tabs>
        <w:rPr>
          <w:sz w:val="20"/>
          <w:szCs w:val="20"/>
          <w:color w:val="auto"/>
        </w:rPr>
      </w:pPr>
      <w:r>
        <w:rPr>
          <w:rFonts w:ascii="MS PGothic" w:cs="MS PGothic" w:eastAsia="MS PGothic" w:hAnsi="MS PGothic"/>
          <w:sz w:val="10"/>
          <w:szCs w:val="10"/>
          <w:color w:val="auto"/>
          <w:highlight w:val="black"/>
        </w:rPr>
        <w:t>☐</w:t>
        <w:tab/>
        <w:t>☐</w:t>
      </w:r>
      <w:r>
        <w:rPr>
          <w:sz w:val="20"/>
          <w:szCs w:val="20"/>
          <w:color w:val="auto"/>
        </w:rPr>
        <w:tab/>
      </w:r>
      <w:r>
        <w:rPr>
          <w:rFonts w:ascii="MS PGothic" w:cs="MS PGothic" w:eastAsia="MS PGothic" w:hAnsi="MS PGothic"/>
          <w:sz w:val="10"/>
          <w:szCs w:val="10"/>
          <w:color w:val="auto"/>
          <w:highlight w:val="black"/>
        </w:rPr>
        <w:t>☐</w:t>
      </w:r>
    </w:p>
    <w:p>
      <w:pPr>
        <w:spacing w:after="0" w:line="225" w:lineRule="exact"/>
        <w:rPr>
          <w:sz w:val="20"/>
          <w:szCs w:val="20"/>
          <w:color w:val="auto"/>
        </w:rPr>
      </w:pPr>
    </w:p>
    <w:p>
      <w:pPr>
        <w:sectPr>
          <w:pgSz w:w="11900" w:h="16838" w:orient="portrait"/>
          <w:cols w:equalWidth="0" w:num="2">
            <w:col w:w="4820" w:space="80"/>
            <w:col w:w="6340"/>
          </w:cols>
          <w:pgMar w:left="320" w:top="1440" w:right="339" w:bottom="1440" w:gutter="0" w:footer="0" w:header="0"/>
          <w:type w:val="continuous"/>
        </w:sectPr>
      </w:pPr>
    </w:p>
    <w:tbl>
      <w:tblPr>
        <w:tblLayout w:type="fixed"/>
        <w:tblInd w:w="2040" w:type="dxa"/>
        <w:tblCellMar>
          <w:top w:w="0" w:type="dxa"/>
          <w:left w:w="0" w:type="dxa"/>
          <w:bottom w:w="0" w:type="dxa"/>
          <w:right w:w="0" w:type="dxa"/>
        </w:tblCellMar>
      </w:tblPr>
      <w:tr>
        <w:trPr>
          <w:trHeight w:val="121"/>
        </w:trPr>
        <w:tc>
          <w:tcPr>
            <w:tcW w:w="140" w:type="dxa"/>
            <w:vAlign w:val="bottom"/>
          </w:tcPr>
          <w:p>
            <w:pPr>
              <w:ind w:left="60"/>
              <w:spacing w:after="0"/>
              <w:rPr>
                <w:sz w:val="20"/>
                <w:szCs w:val="20"/>
                <w:color w:val="auto"/>
              </w:rPr>
            </w:pPr>
            <w:r>
              <w:rPr>
                <w:rFonts w:ascii="Arial" w:cs="Arial" w:eastAsia="Arial" w:hAnsi="Arial"/>
                <w:sz w:val="9"/>
                <w:szCs w:val="9"/>
                <w:color w:val="auto"/>
                <w:w w:val="79"/>
              </w:rPr>
              <w:t>3.</w:t>
            </w:r>
          </w:p>
        </w:tc>
        <w:tc>
          <w:tcPr>
            <w:tcW w:w="2620" w:type="dxa"/>
            <w:vAlign w:val="bottom"/>
          </w:tcPr>
          <w:p>
            <w:pPr>
              <w:ind w:left="20"/>
              <w:spacing w:after="0"/>
              <w:rPr>
                <w:sz w:val="20"/>
                <w:szCs w:val="20"/>
                <w:color w:val="auto"/>
              </w:rPr>
            </w:pPr>
            <w:r>
              <w:rPr>
                <w:rFonts w:ascii="Arial" w:cs="Arial" w:eastAsia="Arial" w:hAnsi="Arial"/>
                <w:sz w:val="9"/>
                <w:szCs w:val="9"/>
                <w:color w:val="auto"/>
              </w:rPr>
              <w:t>Approval, on a non-binding advisory basis, of the fiscal 2024</w:t>
            </w:r>
          </w:p>
        </w:tc>
        <w:tc>
          <w:tcPr>
            <w:tcW w:w="3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highlight w:val="black"/>
                <w:w w:val="79"/>
              </w:rPr>
              <w:t>☐</w:t>
            </w: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20"/>
                <w:szCs w:val="20"/>
                <w:color w:val="auto"/>
              </w:rPr>
            </w:pPr>
            <w:r>
              <w:rPr>
                <w:rFonts w:ascii="Arial" w:cs="Arial" w:eastAsia="Arial" w:hAnsi="Arial"/>
                <w:sz w:val="9"/>
                <w:szCs w:val="9"/>
                <w:color w:val="auto"/>
              </w:rPr>
              <w:t>compensation paid to the Company’s named executive officers.</w:t>
            </w:r>
          </w:p>
        </w:tc>
        <w:tc>
          <w:tcPr>
            <w:tcW w:w="3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340" w:type="dxa"/>
            <w:vAlign w:val="bottom"/>
            <w:vMerge w:val="restart"/>
          </w:tcPr>
          <w:p>
            <w:pPr>
              <w:ind w:left="10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w w:val="79"/>
              </w:rPr>
              <w:t>☐</w:t>
            </w:r>
          </w:p>
        </w:tc>
        <w:tc>
          <w:tcPr>
            <w:tcW w:w="0" w:type="dxa"/>
            <w:vAlign w:val="bottom"/>
          </w:tcPr>
          <w:p>
            <w:pPr>
              <w:spacing w:after="0"/>
              <w:rPr>
                <w:sz w:val="1"/>
                <w:szCs w:val="1"/>
                <w:color w:val="auto"/>
              </w:rPr>
            </w:pPr>
          </w:p>
        </w:tc>
      </w:tr>
      <w:tr>
        <w:trPr>
          <w:trHeight w:val="118"/>
        </w:trPr>
        <w:tc>
          <w:tcPr>
            <w:tcW w:w="140" w:type="dxa"/>
            <w:vAlign w:val="bottom"/>
          </w:tcPr>
          <w:p>
            <w:pPr>
              <w:ind w:left="60"/>
              <w:spacing w:after="0"/>
              <w:rPr>
                <w:sz w:val="20"/>
                <w:szCs w:val="20"/>
                <w:color w:val="auto"/>
              </w:rPr>
            </w:pPr>
            <w:r>
              <w:rPr>
                <w:rFonts w:ascii="Arial" w:cs="Arial" w:eastAsia="Arial" w:hAnsi="Arial"/>
                <w:sz w:val="9"/>
                <w:szCs w:val="9"/>
                <w:color w:val="auto"/>
                <w:w w:val="79"/>
              </w:rPr>
              <w:t>4.</w:t>
            </w:r>
          </w:p>
        </w:tc>
        <w:tc>
          <w:tcPr>
            <w:tcW w:w="2620" w:type="dxa"/>
            <w:vAlign w:val="bottom"/>
          </w:tcPr>
          <w:p>
            <w:pPr>
              <w:ind w:left="20"/>
              <w:spacing w:after="0"/>
              <w:rPr>
                <w:sz w:val="20"/>
                <w:szCs w:val="20"/>
                <w:color w:val="auto"/>
              </w:rPr>
            </w:pPr>
            <w:r>
              <w:rPr>
                <w:rFonts w:ascii="Arial" w:cs="Arial" w:eastAsia="Arial" w:hAnsi="Arial"/>
                <w:sz w:val="9"/>
                <w:szCs w:val="9"/>
                <w:color w:val="auto"/>
              </w:rPr>
              <w:t>Approval of an amendment of the Company’s Amended and</w:t>
            </w:r>
          </w:p>
        </w:tc>
        <w:tc>
          <w:tcPr>
            <w:tcW w:w="3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760" w:type="dxa"/>
            <w:vAlign w:val="bottom"/>
            <w:gridSpan w:val="2"/>
          </w:tcPr>
          <w:p>
            <w:pPr>
              <w:spacing w:after="0" w:line="87" w:lineRule="exact"/>
              <w:rPr>
                <w:sz w:val="20"/>
                <w:szCs w:val="20"/>
                <w:color w:val="auto"/>
              </w:rPr>
            </w:pPr>
            <w:r>
              <w:rPr>
                <w:rFonts w:ascii="Arial" w:cs="Arial" w:eastAsia="Arial" w:hAnsi="Arial"/>
                <w:sz w:val="9"/>
                <w:szCs w:val="9"/>
                <w:color w:val="auto"/>
              </w:rPr>
              <w:t>Restated Certificate of Incorporation to remove the supermajority</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760" w:type="dxa"/>
            <w:vAlign w:val="bottom"/>
            <w:gridSpan w:val="2"/>
          </w:tcPr>
          <w:p>
            <w:pPr>
              <w:spacing w:after="0" w:line="96" w:lineRule="exact"/>
              <w:rPr>
                <w:sz w:val="20"/>
                <w:szCs w:val="20"/>
                <w:color w:val="auto"/>
              </w:rPr>
            </w:pPr>
            <w:r>
              <w:rPr>
                <w:rFonts w:ascii="Arial" w:cs="Arial" w:eastAsia="Arial" w:hAnsi="Arial"/>
                <w:sz w:val="9"/>
                <w:szCs w:val="9"/>
                <w:color w:val="auto"/>
              </w:rPr>
              <w:t>voting requirements for stockholders to amend the Company’s</w:t>
            </w: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760" w:type="dxa"/>
            <w:vAlign w:val="bottom"/>
            <w:gridSpan w:val="2"/>
          </w:tcPr>
          <w:p>
            <w:pPr>
              <w:spacing w:after="0" w:line="91" w:lineRule="exact"/>
              <w:rPr>
                <w:sz w:val="20"/>
                <w:szCs w:val="20"/>
                <w:color w:val="auto"/>
              </w:rPr>
            </w:pPr>
            <w:r>
              <w:rPr>
                <w:rFonts w:ascii="Arial" w:cs="Arial" w:eastAsia="Arial" w:hAnsi="Arial"/>
                <w:sz w:val="9"/>
                <w:szCs w:val="9"/>
                <w:color w:val="auto"/>
              </w:rPr>
              <w:t>Amended and Restated Bylaws and certain provisions of the</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20"/>
                <w:szCs w:val="20"/>
                <w:color w:val="auto"/>
              </w:rPr>
            </w:pPr>
            <w:r>
              <w:rPr>
                <w:rFonts w:ascii="Arial" w:cs="Arial" w:eastAsia="Arial" w:hAnsi="Arial"/>
                <w:sz w:val="9"/>
                <w:szCs w:val="9"/>
                <w:color w:val="auto"/>
              </w:rPr>
              <w:t>Company’s Amended and Restated Certificate of Incorporation.</w:t>
            </w:r>
          </w:p>
        </w:tc>
        <w:tc>
          <w:tcPr>
            <w:tcW w:w="3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340" w:type="dxa"/>
            <w:vAlign w:val="bottom"/>
            <w:vMerge w:val="restart"/>
          </w:tcPr>
          <w:p>
            <w:pPr>
              <w:ind w:left="10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w w:val="79"/>
              </w:rPr>
              <w:t>☐</w:t>
            </w:r>
          </w:p>
        </w:tc>
        <w:tc>
          <w:tcPr>
            <w:tcW w:w="0" w:type="dxa"/>
            <w:vAlign w:val="bottom"/>
          </w:tcPr>
          <w:p>
            <w:pPr>
              <w:spacing w:after="0"/>
              <w:rPr>
                <w:sz w:val="1"/>
                <w:szCs w:val="1"/>
                <w:color w:val="auto"/>
              </w:rPr>
            </w:pPr>
          </w:p>
        </w:tc>
      </w:tr>
      <w:tr>
        <w:trPr>
          <w:trHeight w:val="118"/>
        </w:trPr>
        <w:tc>
          <w:tcPr>
            <w:tcW w:w="140" w:type="dxa"/>
            <w:vAlign w:val="bottom"/>
          </w:tcPr>
          <w:p>
            <w:pPr>
              <w:ind w:left="60"/>
              <w:spacing w:after="0"/>
              <w:rPr>
                <w:sz w:val="20"/>
                <w:szCs w:val="20"/>
                <w:color w:val="auto"/>
              </w:rPr>
            </w:pPr>
            <w:r>
              <w:rPr>
                <w:rFonts w:ascii="Arial" w:cs="Arial" w:eastAsia="Arial" w:hAnsi="Arial"/>
                <w:sz w:val="9"/>
                <w:szCs w:val="9"/>
                <w:color w:val="auto"/>
                <w:w w:val="79"/>
              </w:rPr>
              <w:t>5.</w:t>
            </w:r>
          </w:p>
        </w:tc>
        <w:tc>
          <w:tcPr>
            <w:tcW w:w="2620" w:type="dxa"/>
            <w:vAlign w:val="bottom"/>
          </w:tcPr>
          <w:p>
            <w:pPr>
              <w:ind w:left="20"/>
              <w:spacing w:after="0"/>
              <w:rPr>
                <w:sz w:val="20"/>
                <w:szCs w:val="20"/>
                <w:color w:val="auto"/>
              </w:rPr>
            </w:pPr>
            <w:r>
              <w:rPr>
                <w:rFonts w:ascii="Arial" w:cs="Arial" w:eastAsia="Arial" w:hAnsi="Arial"/>
                <w:sz w:val="9"/>
                <w:szCs w:val="9"/>
                <w:color w:val="auto"/>
              </w:rPr>
              <w:t>Approval of an amendment of the Company’s Amended and</w:t>
            </w:r>
          </w:p>
        </w:tc>
        <w:tc>
          <w:tcPr>
            <w:tcW w:w="3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760" w:type="dxa"/>
            <w:vAlign w:val="bottom"/>
            <w:gridSpan w:val="2"/>
          </w:tcPr>
          <w:p>
            <w:pPr>
              <w:spacing w:after="0" w:line="87" w:lineRule="exact"/>
              <w:rPr>
                <w:sz w:val="20"/>
                <w:szCs w:val="20"/>
                <w:color w:val="auto"/>
              </w:rPr>
            </w:pPr>
            <w:r>
              <w:rPr>
                <w:rFonts w:ascii="Arial" w:cs="Arial" w:eastAsia="Arial" w:hAnsi="Arial"/>
                <w:sz w:val="9"/>
                <w:szCs w:val="9"/>
                <w:color w:val="auto"/>
              </w:rPr>
              <w:t>Restated Certificate of Incorporation to declassify the Board and</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20"/>
                <w:szCs w:val="20"/>
                <w:color w:val="auto"/>
              </w:rPr>
            </w:pPr>
            <w:r>
              <w:rPr>
                <w:rFonts w:ascii="Arial" w:cs="Arial" w:eastAsia="Arial" w:hAnsi="Arial"/>
                <w:sz w:val="9"/>
                <w:szCs w:val="9"/>
                <w:color w:val="auto"/>
              </w:rPr>
              <w:t>phase-in annual director elections by 2028.</w:t>
            </w:r>
          </w:p>
        </w:tc>
        <w:tc>
          <w:tcPr>
            <w:tcW w:w="3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340" w:type="dxa"/>
            <w:vAlign w:val="bottom"/>
            <w:vMerge w:val="restart"/>
          </w:tcPr>
          <w:p>
            <w:pPr>
              <w:ind w:left="10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w w:val="79"/>
              </w:rPr>
              <w:t>☐</w:t>
            </w:r>
          </w:p>
        </w:tc>
        <w:tc>
          <w:tcPr>
            <w:tcW w:w="0" w:type="dxa"/>
            <w:vAlign w:val="bottom"/>
          </w:tcPr>
          <w:p>
            <w:pPr>
              <w:spacing w:after="0"/>
              <w:rPr>
                <w:sz w:val="1"/>
                <w:szCs w:val="1"/>
                <w:color w:val="auto"/>
              </w:rPr>
            </w:pPr>
          </w:p>
        </w:tc>
      </w:tr>
      <w:tr>
        <w:trPr>
          <w:trHeight w:val="122"/>
        </w:trPr>
        <w:tc>
          <w:tcPr>
            <w:tcW w:w="140" w:type="dxa"/>
            <w:vAlign w:val="bottom"/>
          </w:tcPr>
          <w:p>
            <w:pPr>
              <w:ind w:left="60"/>
              <w:spacing w:after="0"/>
              <w:rPr>
                <w:sz w:val="20"/>
                <w:szCs w:val="20"/>
                <w:color w:val="auto"/>
              </w:rPr>
            </w:pPr>
            <w:r>
              <w:rPr>
                <w:rFonts w:ascii="Arial" w:cs="Arial" w:eastAsia="Arial" w:hAnsi="Arial"/>
                <w:sz w:val="9"/>
                <w:szCs w:val="9"/>
                <w:color w:val="auto"/>
                <w:w w:val="79"/>
              </w:rPr>
              <w:t>6.</w:t>
            </w:r>
          </w:p>
        </w:tc>
        <w:tc>
          <w:tcPr>
            <w:tcW w:w="2620" w:type="dxa"/>
            <w:vAlign w:val="bottom"/>
          </w:tcPr>
          <w:p>
            <w:pPr>
              <w:ind w:left="20"/>
              <w:spacing w:after="0"/>
              <w:rPr>
                <w:sz w:val="20"/>
                <w:szCs w:val="20"/>
                <w:color w:val="auto"/>
              </w:rPr>
            </w:pPr>
            <w:r>
              <w:rPr>
                <w:rFonts w:ascii="Arial" w:cs="Arial" w:eastAsia="Arial" w:hAnsi="Arial"/>
                <w:sz w:val="9"/>
                <w:szCs w:val="9"/>
                <w:color w:val="auto"/>
              </w:rPr>
              <w:t>Approval of an amendment of the Company’s Amended and</w:t>
            </w:r>
          </w:p>
        </w:tc>
        <w:tc>
          <w:tcPr>
            <w:tcW w:w="3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2040"/>
        <w:spacing w:after="0" w:line="201" w:lineRule="auto"/>
        <w:rPr>
          <w:sz w:val="20"/>
          <w:szCs w:val="20"/>
          <w:color w:val="auto"/>
        </w:rPr>
      </w:pPr>
      <w:r>
        <w:rPr>
          <w:rFonts w:ascii="Arial" w:cs="Arial" w:eastAsia="Arial" w:hAnsi="Arial"/>
          <w:sz w:val="9"/>
          <w:szCs w:val="9"/>
          <w:color w:val="auto"/>
        </w:rPr>
        <w:t>Restated Certificate of Incorporation to limit the liability of certain</w:t>
      </w:r>
    </w:p>
    <w:p>
      <w:pPr>
        <w:ind w:left="2040"/>
        <w:spacing w:after="0"/>
        <w:rPr>
          <w:sz w:val="20"/>
          <w:szCs w:val="20"/>
          <w:color w:val="auto"/>
        </w:rPr>
      </w:pPr>
      <w:r>
        <w:rPr>
          <w:rFonts w:ascii="Arial" w:cs="Arial" w:eastAsia="Arial" w:hAnsi="Arial"/>
          <w:sz w:val="9"/>
          <w:szCs w:val="9"/>
          <w:color w:val="auto"/>
        </w:rPr>
        <w:t>officers of the Company as permitted by law.</w:t>
      </w:r>
    </w:p>
    <w:p>
      <w:pPr>
        <w:spacing w:after="0" w:line="72" w:lineRule="exact"/>
        <w:rPr>
          <w:sz w:val="20"/>
          <w:szCs w:val="20"/>
          <w:color w:val="auto"/>
        </w:rPr>
      </w:pPr>
    </w:p>
    <w:p>
      <w:pPr>
        <w:ind w:left="2040"/>
        <w:spacing w:after="0"/>
        <w:rPr>
          <w:sz w:val="20"/>
          <w:szCs w:val="20"/>
          <w:color w:val="auto"/>
        </w:rPr>
      </w:pPr>
      <w:r>
        <w:rPr>
          <w:rFonts w:ascii="Arial" w:cs="Arial" w:eastAsia="Arial" w:hAnsi="Arial"/>
          <w:sz w:val="10"/>
          <w:szCs w:val="10"/>
          <w:color w:val="auto"/>
        </w:rPr>
        <w:t>Note: The proxies will vote in their discretion upon such other</w:t>
      </w:r>
    </w:p>
    <w:p>
      <w:pPr>
        <w:ind w:left="2040"/>
        <w:spacing w:after="0" w:line="207" w:lineRule="auto"/>
        <w:rPr>
          <w:sz w:val="20"/>
          <w:szCs w:val="20"/>
          <w:color w:val="auto"/>
        </w:rPr>
      </w:pPr>
      <w:r>
        <w:rPr>
          <w:rFonts w:ascii="Arial" w:cs="Arial" w:eastAsia="Arial" w:hAnsi="Arial"/>
          <w:sz w:val="10"/>
          <w:szCs w:val="10"/>
          <w:color w:val="auto"/>
        </w:rPr>
        <w:t>business as may properly come before the Annual Meeting or</w:t>
      </w:r>
    </w:p>
    <w:p>
      <w:pPr>
        <w:ind w:left="2040"/>
        <w:spacing w:after="0"/>
        <w:rPr>
          <w:sz w:val="20"/>
          <w:szCs w:val="20"/>
          <w:color w:val="auto"/>
        </w:rPr>
      </w:pPr>
      <w:r>
        <w:rPr>
          <w:rFonts w:ascii="Arial" w:cs="Arial" w:eastAsia="Arial" w:hAnsi="Arial"/>
          <w:sz w:val="10"/>
          <w:szCs w:val="10"/>
          <w:color w:val="auto"/>
        </w:rPr>
        <w:t>any adjournment or postponement thereof.</w:t>
      </w:r>
    </w:p>
    <w:p>
      <w:pPr>
        <w:spacing w:after="0" w:line="75" w:lineRule="exact"/>
        <w:rPr>
          <w:sz w:val="20"/>
          <w:szCs w:val="20"/>
          <w:color w:val="auto"/>
        </w:rPr>
      </w:pPr>
    </w:p>
    <w:p>
      <w:pPr>
        <w:ind w:left="2040"/>
        <w:spacing w:after="0"/>
        <w:rPr>
          <w:sz w:val="20"/>
          <w:szCs w:val="20"/>
          <w:color w:val="auto"/>
        </w:rPr>
      </w:pPr>
      <w:r>
        <w:rPr>
          <w:rFonts w:ascii="Arial" w:cs="Arial" w:eastAsia="Arial" w:hAnsi="Arial"/>
          <w:sz w:val="9"/>
          <w:szCs w:val="9"/>
          <w:color w:val="auto"/>
        </w:rPr>
        <w:t>Authorized Signatures. This section must be completed for your vote to be counted. Sign and</w:t>
      </w:r>
    </w:p>
    <w:p>
      <w:pPr>
        <w:ind w:left="2040"/>
        <w:spacing w:after="0" w:line="201" w:lineRule="auto"/>
        <w:rPr>
          <w:sz w:val="20"/>
          <w:szCs w:val="20"/>
          <w:color w:val="auto"/>
        </w:rPr>
      </w:pPr>
      <w:r>
        <w:rPr>
          <w:rFonts w:ascii="Arial" w:cs="Arial" w:eastAsia="Arial" w:hAnsi="Arial"/>
          <w:sz w:val="9"/>
          <w:szCs w:val="9"/>
          <w:color w:val="auto"/>
        </w:rPr>
        <w:t>date below. Please sign exactly as name(s) appear(s) hereon. Joint owners should each sign.</w:t>
      </w:r>
    </w:p>
    <w:p>
      <w:pPr>
        <w:ind w:left="2040"/>
        <w:spacing w:after="0" w:line="231" w:lineRule="auto"/>
        <w:rPr>
          <w:sz w:val="20"/>
          <w:szCs w:val="20"/>
          <w:color w:val="auto"/>
        </w:rPr>
      </w:pPr>
      <w:r>
        <w:rPr>
          <w:rFonts w:ascii="Arial" w:cs="Arial" w:eastAsia="Arial" w:hAnsi="Arial"/>
          <w:sz w:val="9"/>
          <w:szCs w:val="9"/>
          <w:color w:val="auto"/>
        </w:rPr>
        <w:t>When signing as attorney, executor, administrator, corporate officer, trustee, guardian, or</w:t>
      </w:r>
    </w:p>
    <w:p>
      <w:pPr>
        <w:ind w:left="2040"/>
        <w:spacing w:after="0"/>
        <w:rPr>
          <w:sz w:val="20"/>
          <w:szCs w:val="20"/>
          <w:color w:val="auto"/>
        </w:rPr>
      </w:pPr>
      <w:r>
        <w:rPr>
          <w:rFonts w:ascii="Arial" w:cs="Arial" w:eastAsia="Arial" w:hAnsi="Arial"/>
          <w:sz w:val="9"/>
          <w:szCs w:val="9"/>
          <w:color w:val="auto"/>
        </w:rPr>
        <w:t>custodian, please give full title.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60" w:type="dxa"/>
            <w:vAlign w:val="bottom"/>
            <w:tcBorders>
              <w:right w:val="single" w:sz="8" w:color="auto"/>
            </w:tcBorders>
          </w:tcPr>
          <w:p>
            <w:pPr>
              <w:spacing w:after="0"/>
              <w:rPr>
                <w:sz w:val="11"/>
                <w:szCs w:val="11"/>
                <w:color w:val="auto"/>
              </w:rPr>
            </w:pPr>
          </w:p>
        </w:tc>
        <w:tc>
          <w:tcPr>
            <w:tcW w:w="1620" w:type="dxa"/>
            <w:vAlign w:val="bottom"/>
            <w:tcBorders>
              <w:top w:val="single" w:sz="8" w:color="auto"/>
              <w:bottom w:val="single" w:sz="8" w:color="auto"/>
              <w:right w:val="single" w:sz="8" w:color="auto"/>
            </w:tcBorders>
          </w:tcPr>
          <w:p>
            <w:pPr>
              <w:spacing w:after="0"/>
              <w:rPr>
                <w:sz w:val="11"/>
                <w:szCs w:val="11"/>
                <w:color w:val="auto"/>
              </w:rPr>
            </w:pPr>
          </w:p>
        </w:tc>
        <w:tc>
          <w:tcPr>
            <w:tcW w:w="640" w:type="dxa"/>
            <w:vAlign w:val="bottom"/>
            <w:tcBorders>
              <w:top w:val="single" w:sz="8" w:color="auto"/>
              <w:bottom w:val="single" w:sz="8" w:color="auto"/>
              <w:right w:val="single" w:sz="8" w:color="auto"/>
            </w:tcBorders>
          </w:tcPr>
          <w:p>
            <w:pPr>
              <w:spacing w:after="0"/>
              <w:rPr>
                <w:sz w:val="11"/>
                <w:szCs w:val="11"/>
                <w:color w:val="auto"/>
              </w:rPr>
            </w:pPr>
          </w:p>
        </w:tc>
        <w:tc>
          <w:tcPr>
            <w:tcW w:w="10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bottom w:val="single" w:sz="8" w:color="auto"/>
              <w:right w:val="single" w:sz="8" w:color="auto"/>
            </w:tcBorders>
          </w:tcPr>
          <w:p>
            <w:pPr>
              <w:spacing w:after="0"/>
              <w:rPr>
                <w:sz w:val="11"/>
                <w:szCs w:val="11"/>
                <w:color w:val="auto"/>
              </w:rPr>
            </w:pPr>
          </w:p>
        </w:tc>
        <w:tc>
          <w:tcPr>
            <w:tcW w:w="760" w:type="dxa"/>
            <w:vAlign w:val="bottom"/>
            <w:tcBorders>
              <w:top w:val="single" w:sz="8" w:color="auto"/>
              <w:bottom w:val="single" w:sz="8" w:color="auto"/>
              <w:right w:val="single" w:sz="8" w:color="auto"/>
            </w:tcBorders>
          </w:tcPr>
          <w:p>
            <w:pPr>
              <w:spacing w:after="0"/>
              <w:rPr>
                <w:sz w:val="11"/>
                <w:szCs w:val="11"/>
                <w:color w:val="auto"/>
              </w:rPr>
            </w:pPr>
          </w:p>
        </w:tc>
        <w:tc>
          <w:tcPr>
            <w:tcW w:w="5360" w:type="dxa"/>
            <w:vAlign w:val="bottom"/>
          </w:tcPr>
          <w:p>
            <w:pPr>
              <w:spacing w:after="0"/>
              <w:rPr>
                <w:sz w:val="11"/>
                <w:szCs w:val="11"/>
                <w:color w:val="auto"/>
              </w:rPr>
            </w:pPr>
          </w:p>
        </w:tc>
      </w:tr>
      <w:tr>
        <w:trPr>
          <w:trHeight w:val="99"/>
        </w:trPr>
        <w:tc>
          <w:tcPr>
            <w:tcW w:w="2060" w:type="dxa"/>
            <w:vAlign w:val="bottom"/>
          </w:tcPr>
          <w:p>
            <w:pPr>
              <w:spacing w:after="0"/>
              <w:rPr>
                <w:sz w:val="8"/>
                <w:szCs w:val="8"/>
                <w:color w:val="auto"/>
              </w:rPr>
            </w:pPr>
          </w:p>
        </w:tc>
        <w:tc>
          <w:tcPr>
            <w:tcW w:w="1620" w:type="dxa"/>
            <w:vAlign w:val="bottom"/>
          </w:tcPr>
          <w:p>
            <w:pPr>
              <w:spacing w:after="0" w:line="100" w:lineRule="exact"/>
              <w:rPr>
                <w:sz w:val="20"/>
                <w:szCs w:val="20"/>
                <w:color w:val="auto"/>
              </w:rPr>
            </w:pPr>
            <w:r>
              <w:rPr>
                <w:rFonts w:ascii="Arial" w:cs="Arial" w:eastAsia="Arial" w:hAnsi="Arial"/>
                <w:sz w:val="9"/>
                <w:szCs w:val="9"/>
                <w:color w:val="auto"/>
              </w:rPr>
              <w:t>Signature [PLEASE SIGN WITHIN</w:t>
            </w:r>
          </w:p>
        </w:tc>
        <w:tc>
          <w:tcPr>
            <w:tcW w:w="740" w:type="dxa"/>
            <w:vAlign w:val="bottom"/>
            <w:gridSpan w:val="2"/>
          </w:tcPr>
          <w:p>
            <w:pPr>
              <w:spacing w:after="0" w:line="100" w:lineRule="exact"/>
              <w:rPr>
                <w:sz w:val="20"/>
                <w:szCs w:val="20"/>
                <w:color w:val="auto"/>
              </w:rPr>
            </w:pPr>
            <w:r>
              <w:rPr>
                <w:rFonts w:ascii="Arial" w:cs="Arial" w:eastAsia="Arial" w:hAnsi="Arial"/>
                <w:sz w:val="10"/>
                <w:szCs w:val="10"/>
                <w:color w:val="auto"/>
              </w:rPr>
              <w:t>Date</w:t>
            </w:r>
          </w:p>
        </w:tc>
        <w:tc>
          <w:tcPr>
            <w:tcW w:w="700" w:type="dxa"/>
            <w:vAlign w:val="bottom"/>
          </w:tcPr>
          <w:p>
            <w:pPr>
              <w:spacing w:after="0" w:line="100" w:lineRule="exact"/>
              <w:rPr>
                <w:sz w:val="20"/>
                <w:szCs w:val="20"/>
                <w:color w:val="auto"/>
              </w:rPr>
            </w:pPr>
            <w:r>
              <w:rPr>
                <w:rFonts w:ascii="Arial" w:cs="Arial" w:eastAsia="Arial" w:hAnsi="Arial"/>
                <w:sz w:val="9"/>
                <w:szCs w:val="9"/>
                <w:color w:val="auto"/>
              </w:rPr>
              <w:t>Signature</w:t>
            </w:r>
          </w:p>
        </w:tc>
        <w:tc>
          <w:tcPr>
            <w:tcW w:w="6120" w:type="dxa"/>
            <w:vAlign w:val="bottom"/>
            <w:gridSpan w:val="2"/>
          </w:tcPr>
          <w:p>
            <w:pPr>
              <w:spacing w:after="0" w:line="100" w:lineRule="exact"/>
              <w:rPr>
                <w:sz w:val="20"/>
                <w:szCs w:val="20"/>
                <w:color w:val="auto"/>
              </w:rPr>
            </w:pPr>
            <w:r>
              <w:rPr>
                <w:rFonts w:ascii="Arial" w:cs="Arial" w:eastAsia="Arial" w:hAnsi="Arial"/>
                <w:sz w:val="10"/>
                <w:szCs w:val="10"/>
                <w:color w:val="auto"/>
              </w:rPr>
              <w:t>Date</w:t>
            </w:r>
          </w:p>
        </w:tc>
      </w:tr>
      <w:tr>
        <w:trPr>
          <w:trHeight w:val="87"/>
        </w:trPr>
        <w:tc>
          <w:tcPr>
            <w:tcW w:w="2060" w:type="dxa"/>
            <w:vAlign w:val="bottom"/>
          </w:tcPr>
          <w:p>
            <w:pPr>
              <w:spacing w:after="0"/>
              <w:rPr>
                <w:sz w:val="7"/>
                <w:szCs w:val="7"/>
                <w:color w:val="auto"/>
              </w:rPr>
            </w:pPr>
          </w:p>
        </w:tc>
        <w:tc>
          <w:tcPr>
            <w:tcW w:w="1620" w:type="dxa"/>
            <w:vAlign w:val="bottom"/>
          </w:tcPr>
          <w:p>
            <w:pPr>
              <w:spacing w:after="0" w:line="87" w:lineRule="exact"/>
              <w:rPr>
                <w:sz w:val="20"/>
                <w:szCs w:val="20"/>
                <w:color w:val="auto"/>
              </w:rPr>
            </w:pPr>
            <w:r>
              <w:rPr>
                <w:rFonts w:ascii="Arial" w:cs="Arial" w:eastAsia="Arial" w:hAnsi="Arial"/>
                <w:sz w:val="9"/>
                <w:szCs w:val="9"/>
                <w:color w:val="auto"/>
              </w:rPr>
              <w:t>THE BOX]</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line="87" w:lineRule="exact"/>
              <w:rPr>
                <w:sz w:val="20"/>
                <w:szCs w:val="20"/>
                <w:color w:val="auto"/>
              </w:rPr>
            </w:pPr>
            <w:r>
              <w:rPr>
                <w:rFonts w:ascii="Arial" w:cs="Arial" w:eastAsia="Arial" w:hAnsi="Arial"/>
                <w:sz w:val="9"/>
                <w:szCs w:val="9"/>
                <w:color w:val="auto"/>
              </w:rPr>
              <w:t>(Joint</w:t>
            </w:r>
          </w:p>
        </w:tc>
        <w:tc>
          <w:tcPr>
            <w:tcW w:w="760" w:type="dxa"/>
            <w:vAlign w:val="bottom"/>
          </w:tcPr>
          <w:p>
            <w:pPr>
              <w:spacing w:after="0"/>
              <w:rPr>
                <w:sz w:val="7"/>
                <w:szCs w:val="7"/>
                <w:color w:val="auto"/>
              </w:rPr>
            </w:pPr>
          </w:p>
        </w:tc>
        <w:tc>
          <w:tcPr>
            <w:tcW w:w="5360" w:type="dxa"/>
            <w:vAlign w:val="bottom"/>
          </w:tcPr>
          <w:p>
            <w:pPr>
              <w:spacing w:after="0"/>
              <w:rPr>
                <w:sz w:val="7"/>
                <w:szCs w:val="7"/>
                <w:color w:val="auto"/>
              </w:rPr>
            </w:pPr>
          </w:p>
        </w:tc>
      </w:tr>
      <w:tr>
        <w:trPr>
          <w:trHeight w:val="118"/>
        </w:trPr>
        <w:tc>
          <w:tcPr>
            <w:tcW w:w="20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9"/>
                <w:szCs w:val="9"/>
                <w:color w:val="auto"/>
              </w:rPr>
              <w:t>Owners)</w:t>
            </w:r>
          </w:p>
        </w:tc>
        <w:tc>
          <w:tcPr>
            <w:tcW w:w="760" w:type="dxa"/>
            <w:vAlign w:val="bottom"/>
          </w:tcPr>
          <w:p>
            <w:pPr>
              <w:spacing w:after="0"/>
              <w:rPr>
                <w:sz w:val="10"/>
                <w:szCs w:val="10"/>
                <w:color w:val="auto"/>
              </w:rPr>
            </w:pPr>
          </w:p>
        </w:tc>
        <w:tc>
          <w:tcPr>
            <w:tcW w:w="5360" w:type="dxa"/>
            <w:vAlign w:val="bottom"/>
          </w:tcPr>
          <w:p>
            <w:pPr>
              <w:spacing w:after="0"/>
              <w:rPr>
                <w:sz w:val="10"/>
                <w:szCs w:val="10"/>
                <w:color w:val="auto"/>
              </w:rPr>
            </w:pPr>
          </w:p>
        </w:tc>
      </w:tr>
      <w:tr>
        <w:trPr>
          <w:trHeight w:val="1639"/>
        </w:trPr>
        <w:tc>
          <w:tcPr>
            <w:tcW w:w="20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19"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The Notice,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V70575-P30905</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THIS PROXY IS SOLICITED ON BEHALF OF THE BOARD OF DIRECTORS</w:t>
      </w:r>
    </w:p>
    <w:p>
      <w:pPr>
        <w:jc w:val="center"/>
        <w:spacing w:after="0"/>
        <w:rPr>
          <w:sz w:val="20"/>
          <w:szCs w:val="20"/>
          <w:color w:val="auto"/>
        </w:rPr>
      </w:pPr>
      <w:r>
        <w:rPr>
          <w:rFonts w:ascii="Arial" w:cs="Arial" w:eastAsia="Arial" w:hAnsi="Arial"/>
          <w:sz w:val="15"/>
          <w:szCs w:val="15"/>
          <w:b w:val="1"/>
          <w:bCs w:val="1"/>
          <w:color w:val="auto"/>
        </w:rPr>
        <w:t>OF ACADEMY SPORTS AND OUTDOORS, INC.</w:t>
      </w:r>
    </w:p>
    <w:p>
      <w:pPr>
        <w:spacing w:after="0" w:line="261" w:lineRule="exact"/>
        <w:rPr>
          <w:sz w:val="20"/>
          <w:szCs w:val="20"/>
          <w:color w:val="auto"/>
        </w:rPr>
      </w:pPr>
    </w:p>
    <w:p>
      <w:pPr>
        <w:jc w:val="both"/>
        <w:ind w:right="20"/>
        <w:spacing w:after="0" w:line="220" w:lineRule="auto"/>
        <w:rPr>
          <w:sz w:val="20"/>
          <w:szCs w:val="20"/>
          <w:color w:val="auto"/>
        </w:rPr>
      </w:pPr>
      <w:r>
        <w:rPr>
          <w:rFonts w:ascii="Arial" w:cs="Arial" w:eastAsia="Arial" w:hAnsi="Arial"/>
          <w:sz w:val="15"/>
          <w:szCs w:val="15"/>
          <w:color w:val="auto"/>
        </w:rPr>
        <w:t>I hereby appoint Tom Nealon and Chris Turner, or either of them, as proxies, with power of substitution to each, to vote all shares of common stock that I am entitled to vote at the Annual Meeting of Stockholders of Academy Sports and Outdoors, Inc. to be held on Thursday, June 5, 2025 at 8:00 A.M. Central Time, or at any adjournment or postponement thereof, in accordance with the instruction on the reverse side of this card and with the same effect as though I were present at the Annual Meeting and voting such shares. My appointed proxies are authorized in their discretion to vote upon such other business as may properly come before the Annual Meeting or any adjournment or postponement thereof.</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15"/>
          <w:szCs w:val="15"/>
          <w:b w:val="1"/>
          <w:bCs w:val="1"/>
          <w:color w:val="auto"/>
        </w:rPr>
        <w:t>UNLESS A CONTRARY DIRECTION IS INDICATED, THIS PROXY, WHEN PROPERLY EXECUTED AND RETURNED, WILL BE VOTED “FOR” EACH OF THE NOMINEES FOR DIRECTOR LISTED IN PROPOSAL 1, “FOR” PROPOSALS 2, 3, 4, 5 AND 6, AND IN THE DISCRETION OF THE APPOINTED PROXIES UPON SUCH OTHER BUSINESS AS MAY PROPERLY COME BEFORE THE ANNUAL MEETING OR ANY ADJOURNMENT OR POSTPONEMENT THEREOF (including, if applicable, on any matter which the Board of Directors did not know would be presented at the Annual meeting of stockholders by reasonable time before the proxy solicitation was made or for the election of a person to the Board of Directors if any nominee named in Proposal No. 1 becomes unable to serve or for good cause will not serve). IF SPECIFIC INSTRUCTIONS ARE INDICATED, THIS PROXY WILL BE VOTED IN ACCORDANCE THEREWITH.</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If you vote by phone or Internet, please do not mail your proxy card.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Thank You For Voting.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 and to be signed and dated on reverse side</w:t>
      </w:r>
    </w:p>
    <w:sectPr>
      <w:pgSz w:w="11900" w:h="16838" w:orient="portrait"/>
      <w:cols w:equalWidth="0" w:num="1">
        <w:col w:w="10420"/>
      </w:cols>
      <w:pgMar w:left="11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9ABB43"/>
    <w:multiLevelType w:val="hybridMultilevel"/>
    <w:lvl w:ilvl="0">
      <w:lvlJc w:val="left"/>
      <w:lvlText w:val="o"/>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o"/>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4"/>
      <w:numFmt w:val="bullet"/>
      <w:start w:val="1"/>
    </w:lvl>
  </w:abstractNum>
  <w:abstractNum w:abstractNumId="6">
    <w:nsid w:val="70C6A529"/>
    <w:multiLevelType w:val="hybridMultilevel"/>
    <w:lvl w:ilvl="0">
      <w:lvlJc w:val="left"/>
      <w:lvlText w:val="5"/>
      <w:numFmt w:val="bullet"/>
      <w:start w:val="1"/>
    </w:lvl>
  </w:abstractNum>
  <w:abstractNum w:abstractNumId="7">
    <w:nsid w:val="520EEDD1"/>
    <w:multiLevelType w:val="hybridMultilevel"/>
    <w:lvl w:ilvl="0">
      <w:lvlJc w:val="left"/>
      <w:lvlText w:val="6"/>
      <w:numFmt w:val="bullet"/>
      <w:start w:val="1"/>
    </w:lvl>
  </w:abstractNum>
  <w:abstractNum w:abstractNumId="8">
    <w:nsid w:val="374A3FE6"/>
    <w:multiLevelType w:val="hybridMultilevel"/>
    <w:lvl w:ilvl="0">
      <w:lvlJc w:val="left"/>
      <w:lvlText w:val="7"/>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lvl w:ilvl="1">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1."/>
      <w:numFmt w:val="decimal"/>
      <w:start w:val="2"/>
    </w:lvl>
  </w:abstractNum>
  <w:abstractNum w:abstractNumId="51">
    <w:nsid w:val="51D9C564"/>
    <w:multiLevelType w:val="hybridMultilevel"/>
    <w:lvl w:ilvl="0">
      <w:lvlJc w:val="left"/>
      <w:lvlText w:val="%1."/>
      <w:numFmt w:val="decimal"/>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lvl w:ilvl="1">
      <w:lvlJc w:val="left"/>
      <w:lvlText w:val="◦"/>
      <w:numFmt w:val="bullet"/>
      <w:start w:val="1"/>
    </w:lvl>
  </w:abstractNum>
  <w:abstractNum w:abstractNumId="59">
    <w:nsid w:val="3B0FD379"/>
    <w:multiLevelType w:val="hybridMultilevel"/>
    <w:lvl w:ilvl="0">
      <w:lvlJc w:val="left"/>
      <w:lvlText w:val="•"/>
      <w:numFmt w:val="bullet"/>
      <w:start w:val="1"/>
    </w:lvl>
    <w:lvl w:ilvl="1">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ü"/>
      <w:numFmt w:val="bullet"/>
      <w:start w:val="1"/>
    </w:lvl>
  </w:abstractNum>
  <w:abstractNum w:abstractNumId="62">
    <w:nsid w:val="60B6DF70"/>
    <w:multiLevelType w:val="hybridMultilevel"/>
    <w:lvl w:ilvl="0">
      <w:lvlJc w:val="left"/>
      <w:lvlText w:val="x"/>
      <w:numFmt w:val="bullet"/>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1."/>
      <w:numFmt w:val="decimal"/>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1."/>
      <w:numFmt w:val="decimal"/>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1."/>
      <w:numFmt w:val="decimal"/>
      <w:start w:val="1"/>
    </w:lvl>
  </w:abstractNum>
  <w:abstractNum w:abstractNumId="73">
    <w:nsid w:val="885E1B"/>
    <w:multiLevelType w:val="hybridMultilevel"/>
    <w:lvl w:ilvl="0">
      <w:lvlJc w:val="left"/>
      <w:lvlText w:val="%1."/>
      <w:numFmt w:val="decimal"/>
      <w:start w:val="5"/>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decimal"/>
      <w:start w:val="1"/>
    </w:lvl>
  </w:abstractNum>
  <w:abstractNum w:abstractNumId="76">
    <w:nsid w:val="1716703B"/>
    <w:multiLevelType w:val="hybridMultilevel"/>
    <w:lvl w:ilvl="0">
      <w:lvlJc w:val="left"/>
      <w:lvlText w:val="%1."/>
      <w:numFmt w:val="decimal"/>
      <w:start w:val="1"/>
    </w:lvl>
  </w:abstractNum>
  <w:abstractNum w:abstractNumId="77">
    <w:nsid w:val="14E17E33"/>
    <w:multiLevelType w:val="hybridMultilevel"/>
    <w:lvl w:ilvl="0">
      <w:lvlJc w:val="left"/>
      <w:lvlText w:val="%1."/>
      <w:numFmt w:val="decimal"/>
      <w:start w:val="6"/>
    </w:lvl>
  </w:abstractNum>
  <w:abstractNum w:abstractNumId="78">
    <w:nsid w:val="3222E7CD"/>
    <w:multiLevelType w:val="hybridMultilevel"/>
    <w:lvl w:ilvl="0">
      <w:lvlJc w:val="left"/>
      <w:lvlText w:val="%1."/>
      <w:numFmt w:val="decimal"/>
      <w:start w:val="1"/>
    </w:lvl>
  </w:abstractNum>
  <w:abstractNum w:abstractNumId="79">
    <w:nsid w:val="74DE0EE3"/>
    <w:multiLevelType w:val="hybridMultilevel"/>
    <w:lvl w:ilvl="0">
      <w:lvlJc w:val="left"/>
      <w:lvlText w:val="%1."/>
      <w:numFmt w:val="decimal"/>
      <w:start w:val="1"/>
    </w:lvl>
  </w:abstractNum>
  <w:abstractNum w:abstractNumId="80">
    <w:nsid w:val="68EBC550"/>
    <w:multiLevelType w:val="hybridMultilevel"/>
    <w:lvl w:ilvl="0">
      <w:lvlJc w:val="left"/>
      <w:lvlText w:val="•"/>
      <w:numFmt w:val="bullet"/>
      <w:start w:val="1"/>
    </w:lvl>
    <w:lvl w:ilvl="1">
      <w:lvlJc w:val="left"/>
      <w:lvlText w:val="%2."/>
      <w:numFmt w:val="lowerRoman"/>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1."/>
      <w:numFmt w:val="decimal"/>
      <w:start w:val="1"/>
    </w:lvl>
  </w:abstractNum>
  <w:abstractNum w:abstractNumId="85">
    <w:nsid w:val="57FC4FBB"/>
    <w:multiLevelType w:val="hybridMultilevel"/>
    <w:lvl w:ilvl="0">
      <w:lvlJc w:val="left"/>
      <w:lvlText w:val="%1."/>
      <w:numFmt w:val="decimal"/>
      <w:start w:val="2"/>
    </w:lvl>
  </w:abstractNum>
  <w:abstractNum w:abstractNumId="86">
    <w:nsid w:val="CC1016F"/>
    <w:multiLevelType w:val="hybridMultilevel"/>
    <w:lvl w:ilvl="0">
      <w:lvlJc w:val="left"/>
      <w:lvlText w:val="%1."/>
      <w:numFmt w:val="decimal"/>
      <w:start w:val="3"/>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decimal"/>
      <w:start w:val="6"/>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1."/>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jpe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jpe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jpe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jpeg"/><Relationship Id="rId1617" Type="http://schemas.openxmlformats.org/officeDocument/2006/relationships/image" Target="media/image1610.png"/><Relationship Id="rId1618" Type="http://schemas.openxmlformats.org/officeDocument/2006/relationships/image" Target="media/image1611.jpeg"/><Relationship Id="rId1619" Type="http://schemas.openxmlformats.org/officeDocument/2006/relationships/image" Target="media/image1612.jpeg"/><Relationship Id="rId1620" Type="http://schemas.openxmlformats.org/officeDocument/2006/relationships/image" Target="media/image1613.png"/><Relationship Id="rId1621" Type="http://schemas.openxmlformats.org/officeDocument/2006/relationships/image" Target="media/image1614.jpe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jpeg"/><Relationship Id="rId1632" Type="http://schemas.openxmlformats.org/officeDocument/2006/relationships/image" Target="media/image1625.png"/><Relationship Id="rId1633" Type="http://schemas.openxmlformats.org/officeDocument/2006/relationships/image" Target="media/image1626.jpeg"/><Relationship Id="rId1634" Type="http://schemas.openxmlformats.org/officeDocument/2006/relationships/image" Target="media/image1627.png"/><Relationship Id="rId1635" Type="http://schemas.openxmlformats.org/officeDocument/2006/relationships/image" Target="media/image1628.jpe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jpe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jpe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jpe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jpeg"/><Relationship Id="rId1685" Type="http://schemas.openxmlformats.org/officeDocument/2006/relationships/image" Target="media/image1678.jpeg"/><Relationship Id="rId1686" Type="http://schemas.openxmlformats.org/officeDocument/2006/relationships/image" Target="media/image1679.jpeg"/><Relationship Id="rId1687" Type="http://schemas.openxmlformats.org/officeDocument/2006/relationships/image" Target="media/image1680.jpeg"/><Relationship Id="rId1688" Type="http://schemas.openxmlformats.org/officeDocument/2006/relationships/image" Target="media/image1681.jpeg"/><Relationship Id="rId1689" Type="http://schemas.openxmlformats.org/officeDocument/2006/relationships/image" Target="media/image1682.jpeg"/><Relationship Id="rId1690" Type="http://schemas.openxmlformats.org/officeDocument/2006/relationships/image" Target="media/image1683.jpeg"/><Relationship Id="rId1691" Type="http://schemas.openxmlformats.org/officeDocument/2006/relationships/image" Target="media/image1684.jpeg"/><Relationship Id="rId1692" Type="http://schemas.openxmlformats.org/officeDocument/2006/relationships/image" Target="media/image1685.jpeg"/><Relationship Id="rId1693" Type="http://schemas.openxmlformats.org/officeDocument/2006/relationships/image" Target="media/image1686.jpeg"/><Relationship Id="rId1694" Type="http://schemas.openxmlformats.org/officeDocument/2006/relationships/image" Target="media/image1687.jpeg"/><Relationship Id="rId1695" Type="http://schemas.openxmlformats.org/officeDocument/2006/relationships/image" Target="media/image1688.jpeg"/><Relationship Id="rId1696" Type="http://schemas.openxmlformats.org/officeDocument/2006/relationships/image" Target="media/image1689.jpeg"/><Relationship Id="rId1697" Type="http://schemas.openxmlformats.org/officeDocument/2006/relationships/image" Target="media/image1690.jpeg"/><Relationship Id="rId1698" Type="http://schemas.openxmlformats.org/officeDocument/2006/relationships/image" Target="media/image1691.jpeg"/><Relationship Id="rId1699" Type="http://schemas.openxmlformats.org/officeDocument/2006/relationships/image" Target="media/image1692.jpeg"/><Relationship Id="rId1700" Type="http://schemas.openxmlformats.org/officeDocument/2006/relationships/image" Target="media/image1693.jpe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jpeg"/><Relationship Id="rId1704" Type="http://schemas.openxmlformats.org/officeDocument/2006/relationships/image" Target="media/image1697.jpeg"/><Relationship Id="rId1705" Type="http://schemas.openxmlformats.org/officeDocument/2006/relationships/image" Target="media/image1698.jpeg"/><Relationship Id="rId1706" Type="http://schemas.openxmlformats.org/officeDocument/2006/relationships/image" Target="media/image1699.jpeg"/><Relationship Id="rId1707" Type="http://schemas.openxmlformats.org/officeDocument/2006/relationships/image" Target="media/image1700.jpeg"/><Relationship Id="rId1708" Type="http://schemas.openxmlformats.org/officeDocument/2006/relationships/image" Target="media/image1701.jpeg"/><Relationship Id="rId1709" Type="http://schemas.openxmlformats.org/officeDocument/2006/relationships/image" Target="media/image1702.jpeg"/><Relationship Id="rId1710" Type="http://schemas.openxmlformats.org/officeDocument/2006/relationships/image" Target="media/image1703.png"/><Relationship Id="rId1711" Type="http://schemas.openxmlformats.org/officeDocument/2006/relationships/image" Target="media/image1704.jpeg"/><Relationship Id="rId1712" Type="http://schemas.openxmlformats.org/officeDocument/2006/relationships/image" Target="media/image1705.jpeg"/><Relationship Id="rId1713" Type="http://schemas.openxmlformats.org/officeDocument/2006/relationships/image" Target="media/image1706.jpeg"/><Relationship Id="rId1714" Type="http://schemas.openxmlformats.org/officeDocument/2006/relationships/image" Target="media/image1707.jpeg"/><Relationship Id="rId1715" Type="http://schemas.openxmlformats.org/officeDocument/2006/relationships/image" Target="media/image1708.jpeg"/><Relationship Id="rId1716" Type="http://schemas.openxmlformats.org/officeDocument/2006/relationships/image" Target="media/image1709.png"/><Relationship Id="rId1717" Type="http://schemas.openxmlformats.org/officeDocument/2006/relationships/image" Target="media/image1710.jpeg"/><Relationship Id="rId1718" Type="http://schemas.openxmlformats.org/officeDocument/2006/relationships/image" Target="media/image1711.png"/><Relationship Id="rId1719" Type="http://schemas.openxmlformats.org/officeDocument/2006/relationships/image" Target="media/image1712.jpeg"/><Relationship Id="rId1720" Type="http://schemas.openxmlformats.org/officeDocument/2006/relationships/image" Target="media/image1713.jpeg"/><Relationship Id="rId1721" Type="http://schemas.openxmlformats.org/officeDocument/2006/relationships/image" Target="media/image1714.jpeg"/><Relationship Id="rId1722" Type="http://schemas.openxmlformats.org/officeDocument/2006/relationships/image" Target="media/image1715.jpeg"/><Relationship Id="rId1723" Type="http://schemas.openxmlformats.org/officeDocument/2006/relationships/image" Target="media/image1716.jpeg"/><Relationship Id="rId1724" Type="http://schemas.openxmlformats.org/officeDocument/2006/relationships/image" Target="media/image1717.jpeg"/><Relationship Id="rId1725" Type="http://schemas.openxmlformats.org/officeDocument/2006/relationships/image" Target="media/image1718.jpe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jpeg"/><Relationship Id="rId1729" Type="http://schemas.openxmlformats.org/officeDocument/2006/relationships/image" Target="media/image1722.jpeg"/><Relationship Id="rId1730" Type="http://schemas.openxmlformats.org/officeDocument/2006/relationships/image" Target="media/image1723.jpeg"/><Relationship Id="rId1731" Type="http://schemas.openxmlformats.org/officeDocument/2006/relationships/image" Target="media/image1724.jpeg"/><Relationship Id="rId1732" Type="http://schemas.openxmlformats.org/officeDocument/2006/relationships/image" Target="media/image1725.jpeg"/><Relationship Id="rId1733" Type="http://schemas.openxmlformats.org/officeDocument/2006/relationships/image" Target="media/image1726.jpe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jpe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jpeg"/><Relationship Id="rId1742" Type="http://schemas.openxmlformats.org/officeDocument/2006/relationships/image" Target="media/image1735.jpeg"/><Relationship Id="rId1743" Type="http://schemas.openxmlformats.org/officeDocument/2006/relationships/image" Target="media/image1736.png"/><Relationship Id="rId1744" Type="http://schemas.openxmlformats.org/officeDocument/2006/relationships/image" Target="media/image1737.jpeg"/><Relationship Id="rId1745" Type="http://schemas.openxmlformats.org/officeDocument/2006/relationships/image" Target="media/image1738.jpeg"/><Relationship Id="rId1746" Type="http://schemas.openxmlformats.org/officeDocument/2006/relationships/image" Target="media/image1739.jpeg"/><Relationship Id="rId1747" Type="http://schemas.openxmlformats.org/officeDocument/2006/relationships/image" Target="media/image1740.jpeg"/><Relationship Id="rId1748" Type="http://schemas.openxmlformats.org/officeDocument/2006/relationships/image" Target="media/image1741.jpeg"/><Relationship Id="rId1749" Type="http://schemas.openxmlformats.org/officeDocument/2006/relationships/image" Target="media/image1742.jpe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jpeg"/><Relationship Id="rId1753" Type="http://schemas.openxmlformats.org/officeDocument/2006/relationships/image" Target="media/image1746.jpeg"/><Relationship Id="rId1754" Type="http://schemas.openxmlformats.org/officeDocument/2006/relationships/image" Target="media/image1747.jpeg"/><Relationship Id="rId1755" Type="http://schemas.openxmlformats.org/officeDocument/2006/relationships/image" Target="media/image1748.jpeg"/><Relationship Id="rId1756" Type="http://schemas.openxmlformats.org/officeDocument/2006/relationships/image" Target="media/image1749.jpeg"/><Relationship Id="rId1757" Type="http://schemas.openxmlformats.org/officeDocument/2006/relationships/image" Target="media/image1750.jpeg"/><Relationship Id="rId1758" Type="http://schemas.openxmlformats.org/officeDocument/2006/relationships/image" Target="media/image1751.png"/><Relationship Id="rId1759" Type="http://schemas.openxmlformats.org/officeDocument/2006/relationships/image" Target="media/image1752.jpeg"/><Relationship Id="rId1760" Type="http://schemas.openxmlformats.org/officeDocument/2006/relationships/image" Target="media/image1753.png"/><Relationship Id="rId1761" Type="http://schemas.openxmlformats.org/officeDocument/2006/relationships/image" Target="media/image1754.jpeg"/><Relationship Id="rId1762" Type="http://schemas.openxmlformats.org/officeDocument/2006/relationships/image" Target="media/image1755.jpeg"/><Relationship Id="rId1763" Type="http://schemas.openxmlformats.org/officeDocument/2006/relationships/image" Target="media/image1756.jpeg"/><Relationship Id="rId1764" Type="http://schemas.openxmlformats.org/officeDocument/2006/relationships/image" Target="media/image1757.jpeg"/><Relationship Id="rId1765" Type="http://schemas.openxmlformats.org/officeDocument/2006/relationships/image" Target="media/image1758.jpeg"/><Relationship Id="rId1766" Type="http://schemas.openxmlformats.org/officeDocument/2006/relationships/image" Target="media/image1759.jpeg"/><Relationship Id="rId1767" Type="http://schemas.openxmlformats.org/officeDocument/2006/relationships/image" Target="media/image1760.png"/><Relationship Id="rId1768" Type="http://schemas.openxmlformats.org/officeDocument/2006/relationships/image" Target="media/image1761.jpeg"/><Relationship Id="rId1769" Type="http://schemas.openxmlformats.org/officeDocument/2006/relationships/image" Target="media/image1762.png"/><Relationship Id="rId1770" Type="http://schemas.openxmlformats.org/officeDocument/2006/relationships/image" Target="media/image1763.jpeg"/><Relationship Id="rId1771" Type="http://schemas.openxmlformats.org/officeDocument/2006/relationships/image" Target="media/image1764.jpeg"/><Relationship Id="rId1772" Type="http://schemas.openxmlformats.org/officeDocument/2006/relationships/image" Target="media/image1765.jpeg"/><Relationship Id="rId1773" Type="http://schemas.openxmlformats.org/officeDocument/2006/relationships/image" Target="media/image1766.jpeg"/><Relationship Id="rId1774" Type="http://schemas.openxmlformats.org/officeDocument/2006/relationships/image" Target="media/image1767.jpeg"/><Relationship Id="rId1775" Type="http://schemas.openxmlformats.org/officeDocument/2006/relationships/image" Target="media/image1768.jpeg"/><Relationship Id="rId1776" Type="http://schemas.openxmlformats.org/officeDocument/2006/relationships/image" Target="media/image1769.png"/><Relationship Id="rId1777" Type="http://schemas.openxmlformats.org/officeDocument/2006/relationships/image" Target="media/image1770.jpeg"/><Relationship Id="rId1778" Type="http://schemas.openxmlformats.org/officeDocument/2006/relationships/image" Target="media/image1771.jpeg"/><Relationship Id="rId1779" Type="http://schemas.openxmlformats.org/officeDocument/2006/relationships/image" Target="media/image1772.png"/><Relationship Id="rId1780" Type="http://schemas.openxmlformats.org/officeDocument/2006/relationships/image" Target="media/image1773.jpeg"/><Relationship Id="rId1781" Type="http://schemas.openxmlformats.org/officeDocument/2006/relationships/image" Target="media/image1774.jpeg"/><Relationship Id="rId1782" Type="http://schemas.openxmlformats.org/officeDocument/2006/relationships/image" Target="media/image1775.jpeg"/><Relationship Id="rId1783" Type="http://schemas.openxmlformats.org/officeDocument/2006/relationships/image" Target="media/image1776.jpeg"/><Relationship Id="rId1784" Type="http://schemas.openxmlformats.org/officeDocument/2006/relationships/image" Target="media/image1777.jpeg"/><Relationship Id="rId1785" Type="http://schemas.openxmlformats.org/officeDocument/2006/relationships/image" Target="media/image1778.jpeg"/><Relationship Id="rId1786" Type="http://schemas.openxmlformats.org/officeDocument/2006/relationships/image" Target="media/image1779.png"/><Relationship Id="rId1787" Type="http://schemas.openxmlformats.org/officeDocument/2006/relationships/image" Target="media/image1780.jpeg"/><Relationship Id="rId1788" Type="http://schemas.openxmlformats.org/officeDocument/2006/relationships/image" Target="media/image1781.png"/><Relationship Id="rId1789" Type="http://schemas.openxmlformats.org/officeDocument/2006/relationships/image" Target="media/image1782.jpeg"/><Relationship Id="rId1790" Type="http://schemas.openxmlformats.org/officeDocument/2006/relationships/image" Target="media/image1783.jpeg"/><Relationship Id="rId1791" Type="http://schemas.openxmlformats.org/officeDocument/2006/relationships/image" Target="media/image1784.jpeg"/><Relationship Id="rId1792" Type="http://schemas.openxmlformats.org/officeDocument/2006/relationships/image" Target="media/image1785.jpeg"/><Relationship Id="rId1793" Type="http://schemas.openxmlformats.org/officeDocument/2006/relationships/image" Target="media/image1786.jpeg"/><Relationship Id="rId1794" Type="http://schemas.openxmlformats.org/officeDocument/2006/relationships/image" Target="media/image1787.png"/><Relationship Id="rId1795" Type="http://schemas.openxmlformats.org/officeDocument/2006/relationships/image" Target="media/image1788.jpeg"/><Relationship Id="rId1796" Type="http://schemas.openxmlformats.org/officeDocument/2006/relationships/image" Target="media/image1789.png"/><Relationship Id="rId1797" Type="http://schemas.openxmlformats.org/officeDocument/2006/relationships/image" Target="media/image1790.jpeg"/><Relationship Id="rId1798" Type="http://schemas.openxmlformats.org/officeDocument/2006/relationships/image" Target="media/image1791.jpeg"/><Relationship Id="rId1799" Type="http://schemas.openxmlformats.org/officeDocument/2006/relationships/image" Target="media/image1792.jpeg"/><Relationship Id="rId1800" Type="http://schemas.openxmlformats.org/officeDocument/2006/relationships/image" Target="media/image1793.jpeg"/><Relationship Id="rId1801" Type="http://schemas.openxmlformats.org/officeDocument/2006/relationships/image" Target="media/image1794.jpeg"/><Relationship Id="rId1802" Type="http://schemas.openxmlformats.org/officeDocument/2006/relationships/image" Target="media/image1795.jpeg"/><Relationship Id="rId1803" Type="http://schemas.openxmlformats.org/officeDocument/2006/relationships/image" Target="media/image1796.jpe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jpeg"/><Relationship Id="rId1807" Type="http://schemas.openxmlformats.org/officeDocument/2006/relationships/image" Target="media/image1800.jpeg"/><Relationship Id="rId1808" Type="http://schemas.openxmlformats.org/officeDocument/2006/relationships/image" Target="media/image1801.jpeg"/><Relationship Id="rId1809" Type="http://schemas.openxmlformats.org/officeDocument/2006/relationships/image" Target="media/image1802.jpeg"/><Relationship Id="rId1810" Type="http://schemas.openxmlformats.org/officeDocument/2006/relationships/image" Target="media/image1803.jpeg"/><Relationship Id="rId1811" Type="http://schemas.openxmlformats.org/officeDocument/2006/relationships/image" Target="media/image1804.jpeg"/><Relationship Id="rId1812" Type="http://schemas.openxmlformats.org/officeDocument/2006/relationships/image" Target="media/image1805.png"/><Relationship Id="rId1813" Type="http://schemas.openxmlformats.org/officeDocument/2006/relationships/image" Target="media/image1806.jpeg"/><Relationship Id="rId1814" Type="http://schemas.openxmlformats.org/officeDocument/2006/relationships/image" Target="media/image1807.png"/><Relationship Id="rId1815" Type="http://schemas.openxmlformats.org/officeDocument/2006/relationships/image" Target="media/image1808.jpeg"/><Relationship Id="rId1816" Type="http://schemas.openxmlformats.org/officeDocument/2006/relationships/image" Target="media/image1809.jpeg"/><Relationship Id="rId1817" Type="http://schemas.openxmlformats.org/officeDocument/2006/relationships/image" Target="media/image1810.jpeg"/><Relationship Id="rId1818" Type="http://schemas.openxmlformats.org/officeDocument/2006/relationships/image" Target="media/image1811.jpeg"/><Relationship Id="rId1819" Type="http://schemas.openxmlformats.org/officeDocument/2006/relationships/image" Target="media/image1812.jpeg"/><Relationship Id="rId1820" Type="http://schemas.openxmlformats.org/officeDocument/2006/relationships/image" Target="media/image1813.jpeg"/><Relationship Id="rId1821" Type="http://schemas.openxmlformats.org/officeDocument/2006/relationships/image" Target="media/image1814.jpeg"/><Relationship Id="rId1822" Type="http://schemas.openxmlformats.org/officeDocument/2006/relationships/image" Target="media/image1815.jpeg"/><Relationship Id="rId1823" Type="http://schemas.openxmlformats.org/officeDocument/2006/relationships/image" Target="media/image1816.jpeg"/><Relationship Id="rId1824" Type="http://schemas.openxmlformats.org/officeDocument/2006/relationships/image" Target="media/image1817.jpeg"/><Relationship Id="rId1825" Type="http://schemas.openxmlformats.org/officeDocument/2006/relationships/image" Target="media/image1818.jpeg"/><Relationship Id="rId1826" Type="http://schemas.openxmlformats.org/officeDocument/2006/relationships/image" Target="media/image1819.jpeg"/><Relationship Id="rId1827" Type="http://schemas.openxmlformats.org/officeDocument/2006/relationships/image" Target="media/image1820.jpeg"/><Relationship Id="rId1828" Type="http://schemas.openxmlformats.org/officeDocument/2006/relationships/image" Target="media/image1821.jpeg"/><Relationship Id="rId1829" Type="http://schemas.openxmlformats.org/officeDocument/2006/relationships/image" Target="media/image1822.jpeg"/><Relationship Id="rId1830" Type="http://schemas.openxmlformats.org/officeDocument/2006/relationships/image" Target="media/image1823.jpeg"/><Relationship Id="rId1831" Type="http://schemas.openxmlformats.org/officeDocument/2006/relationships/image" Target="media/image1824.jpeg"/><Relationship Id="rId1832" Type="http://schemas.openxmlformats.org/officeDocument/2006/relationships/image" Target="media/image1825.png"/><Relationship Id="rId1833" Type="http://schemas.openxmlformats.org/officeDocument/2006/relationships/image" Target="media/image1826.jpeg"/><Relationship Id="rId1834" Type="http://schemas.openxmlformats.org/officeDocument/2006/relationships/image" Target="media/image1827.jpeg"/><Relationship Id="rId1835" Type="http://schemas.openxmlformats.org/officeDocument/2006/relationships/image" Target="media/image1828.jpeg"/><Relationship Id="rId1836" Type="http://schemas.openxmlformats.org/officeDocument/2006/relationships/image" Target="media/image1829.png"/><Relationship Id="rId1837" Type="http://schemas.openxmlformats.org/officeDocument/2006/relationships/image" Target="media/image1830.jpeg"/><Relationship Id="rId1838" Type="http://schemas.openxmlformats.org/officeDocument/2006/relationships/image" Target="media/image1831.jpeg"/><Relationship Id="rId1839" Type="http://schemas.openxmlformats.org/officeDocument/2006/relationships/image" Target="media/image1832.png"/><Relationship Id="rId1840" Type="http://schemas.openxmlformats.org/officeDocument/2006/relationships/image" Target="media/image1833.jpeg"/><Relationship Id="rId1841" Type="http://schemas.openxmlformats.org/officeDocument/2006/relationships/image" Target="media/image1834.png"/><Relationship Id="rId1842" Type="http://schemas.openxmlformats.org/officeDocument/2006/relationships/image" Target="media/image1835.jpe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jpeg"/><Relationship Id="rId1847" Type="http://schemas.openxmlformats.org/officeDocument/2006/relationships/image" Target="media/image1840.jpe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jpeg"/><Relationship Id="rId1851" Type="http://schemas.openxmlformats.org/officeDocument/2006/relationships/image" Target="media/image1844.png"/><Relationship Id="rId1852" Type="http://schemas.openxmlformats.org/officeDocument/2006/relationships/image" Target="media/image1845.jpeg"/><Relationship Id="rId1853" Type="http://schemas.openxmlformats.org/officeDocument/2006/relationships/image" Target="media/image1846.jpeg"/><Relationship Id="rId1854" Type="http://schemas.openxmlformats.org/officeDocument/2006/relationships/image" Target="media/image1847.png"/><Relationship Id="rId1855" Type="http://schemas.openxmlformats.org/officeDocument/2006/relationships/image" Target="media/image1848.jpe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jpe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jpe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jpeg"/><Relationship Id="rId1865" Type="http://schemas.openxmlformats.org/officeDocument/2006/relationships/image" Target="media/image1858.png"/><Relationship Id="rId1866" Type="http://schemas.openxmlformats.org/officeDocument/2006/relationships/image" Target="media/image1859.jpeg"/><Relationship Id="rId1867" Type="http://schemas.openxmlformats.org/officeDocument/2006/relationships/image" Target="media/image1860.png"/><Relationship Id="rId1868" Type="http://schemas.openxmlformats.org/officeDocument/2006/relationships/image" Target="media/image1861.jpeg"/><Relationship Id="rId1869" Type="http://schemas.openxmlformats.org/officeDocument/2006/relationships/image" Target="media/image1862.png"/><Relationship Id="rId1870" Type="http://schemas.openxmlformats.org/officeDocument/2006/relationships/image" Target="media/image1863.jpeg"/><Relationship Id="rId1871" Type="http://schemas.openxmlformats.org/officeDocument/2006/relationships/image" Target="media/image1864.png"/><Relationship Id="rId1872" Type="http://schemas.openxmlformats.org/officeDocument/2006/relationships/image" Target="media/image1865.jpeg"/><Relationship Id="rId1873" Type="http://schemas.openxmlformats.org/officeDocument/2006/relationships/image" Target="media/image1866.jpe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jpeg"/><Relationship Id="rId1877" Type="http://schemas.openxmlformats.org/officeDocument/2006/relationships/image" Target="media/image1870.png"/><Relationship Id="rId1878" Type="http://schemas.openxmlformats.org/officeDocument/2006/relationships/image" Target="media/image1871.jpeg"/><Relationship Id="rId1879" Type="http://schemas.openxmlformats.org/officeDocument/2006/relationships/image" Target="media/image1872.png"/><Relationship Id="rId1880" Type="http://schemas.openxmlformats.org/officeDocument/2006/relationships/image" Target="media/image1873.jpeg"/><Relationship Id="rId1881" Type="http://schemas.openxmlformats.org/officeDocument/2006/relationships/image" Target="media/image1874.png"/><Relationship Id="rId1882" Type="http://schemas.openxmlformats.org/officeDocument/2006/relationships/image" Target="media/image1875.jpeg"/><Relationship Id="rId1883" Type="http://schemas.openxmlformats.org/officeDocument/2006/relationships/image" Target="media/image1876.png"/><Relationship Id="rId1884" Type="http://schemas.openxmlformats.org/officeDocument/2006/relationships/image" Target="media/image1877.jpeg"/><Relationship Id="rId1885" Type="http://schemas.openxmlformats.org/officeDocument/2006/relationships/image" Target="media/image1878.png"/><Relationship Id="rId1886" Type="http://schemas.openxmlformats.org/officeDocument/2006/relationships/image" Target="media/image1879.jpeg"/><Relationship Id="rId1887" Type="http://schemas.openxmlformats.org/officeDocument/2006/relationships/image" Target="media/image1880.png"/><Relationship Id="rId1888" Type="http://schemas.openxmlformats.org/officeDocument/2006/relationships/image" Target="media/image1881.jpeg"/><Relationship Id="rId1889" Type="http://schemas.openxmlformats.org/officeDocument/2006/relationships/image" Target="media/image1882.png"/><Relationship Id="rId1890" Type="http://schemas.openxmlformats.org/officeDocument/2006/relationships/image" Target="media/image1883.jpe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jpeg"/><Relationship Id="rId2059" Type="http://schemas.openxmlformats.org/officeDocument/2006/relationships/image" Target="media/image2052.png"/><Relationship Id="rId2060" Type="http://schemas.openxmlformats.org/officeDocument/2006/relationships/image" Target="media/image2053.jpeg"/><Relationship Id="rId2061" Type="http://schemas.openxmlformats.org/officeDocument/2006/relationships/image" Target="media/image2054.png"/><Relationship Id="rId2062" Type="http://schemas.openxmlformats.org/officeDocument/2006/relationships/image" Target="media/image2055.jpe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jpeg"/><Relationship Id="rId2232" Type="http://schemas.openxmlformats.org/officeDocument/2006/relationships/image" Target="media/image2225.jpeg"/><Relationship Id="rId2233" Type="http://schemas.openxmlformats.org/officeDocument/2006/relationships/image" Target="media/image2226.png"/><Relationship Id="rId2234" Type="http://schemas.openxmlformats.org/officeDocument/2006/relationships/image" Target="media/image2227.jpe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jpeg"/><Relationship Id="rId2261" Type="http://schemas.openxmlformats.org/officeDocument/2006/relationships/image" Target="media/image2254.png"/><Relationship Id="rId2262" Type="http://schemas.openxmlformats.org/officeDocument/2006/relationships/image" Target="media/image2255.jpe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jpeg"/><Relationship Id="rId2266" Type="http://schemas.openxmlformats.org/officeDocument/2006/relationships/image" Target="media/image2259.png"/><Relationship Id="rId2267" Type="http://schemas.openxmlformats.org/officeDocument/2006/relationships/image" Target="media/image2260.jpeg"/><Relationship Id="rId2268" Type="http://schemas.openxmlformats.org/officeDocument/2006/relationships/image" Target="media/image2261.jpeg"/><Relationship Id="rId2269" Type="http://schemas.openxmlformats.org/officeDocument/2006/relationships/image" Target="media/image2262.jpeg"/><Relationship Id="rId2270" Type="http://schemas.openxmlformats.org/officeDocument/2006/relationships/image" Target="media/image2263.jpeg"/><Relationship Id="rId2271" Type="http://schemas.openxmlformats.org/officeDocument/2006/relationships/image" Target="media/image2264.png"/><Relationship Id="rId2272" Type="http://schemas.openxmlformats.org/officeDocument/2006/relationships/image" Target="media/image2265.jpeg"/><Relationship Id="rId2273" Type="http://schemas.openxmlformats.org/officeDocument/2006/relationships/image" Target="media/image2266.png"/><Relationship Id="rId2274" Type="http://schemas.openxmlformats.org/officeDocument/2006/relationships/image" Target="media/image2267.jpeg"/><Relationship Id="rId2275" Type="http://schemas.openxmlformats.org/officeDocument/2006/relationships/image" Target="media/image2268.png"/><Relationship Id="rId2276" Type="http://schemas.openxmlformats.org/officeDocument/2006/relationships/image" Target="media/image2269.jpe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jpeg"/><Relationship Id="rId2280" Type="http://schemas.openxmlformats.org/officeDocument/2006/relationships/image" Target="media/image2273.png"/><Relationship Id="rId2281" Type="http://schemas.openxmlformats.org/officeDocument/2006/relationships/image" Target="media/image2274.jpeg"/><Relationship Id="rId2282" Type="http://schemas.openxmlformats.org/officeDocument/2006/relationships/image" Target="media/image2275.png"/><Relationship Id="rId2283" Type="http://schemas.openxmlformats.org/officeDocument/2006/relationships/image" Target="media/image2276.jpeg"/><Relationship Id="rId2284" Type="http://schemas.openxmlformats.org/officeDocument/2006/relationships/image" Target="media/image2277.png"/><Relationship Id="rId2285" Type="http://schemas.openxmlformats.org/officeDocument/2006/relationships/image" Target="media/image2278.jpeg"/><Relationship Id="rId2286" Type="http://schemas.openxmlformats.org/officeDocument/2006/relationships/image" Target="media/image2279.png"/><Relationship Id="rId2287" Type="http://schemas.openxmlformats.org/officeDocument/2006/relationships/image" Target="media/image2280.jpeg"/><Relationship Id="rId2288" Type="http://schemas.openxmlformats.org/officeDocument/2006/relationships/image" Target="media/image2281.png"/><Relationship Id="rId2289" Type="http://schemas.openxmlformats.org/officeDocument/2006/relationships/image" Target="media/image2282.jpeg"/><Relationship Id="rId2290" Type="http://schemas.openxmlformats.org/officeDocument/2006/relationships/image" Target="media/image2283.png"/><Relationship Id="rId2291" Type="http://schemas.openxmlformats.org/officeDocument/2006/relationships/image" Target="media/image2284.jpeg"/><Relationship Id="rId2292" Type="http://schemas.openxmlformats.org/officeDocument/2006/relationships/image" Target="media/image2285.png"/><Relationship Id="rId2293" Type="http://schemas.openxmlformats.org/officeDocument/2006/relationships/image" Target="media/image2286.jpeg"/><Relationship Id="rId2294" Type="http://schemas.openxmlformats.org/officeDocument/2006/relationships/image" Target="media/image2287.png"/><Relationship Id="rId2295" Type="http://schemas.openxmlformats.org/officeDocument/2006/relationships/image" Target="media/image2288.jpeg"/><Relationship Id="rId2296" Type="http://schemas.openxmlformats.org/officeDocument/2006/relationships/image" Target="media/image2289.png"/><Relationship Id="rId2297" Type="http://schemas.openxmlformats.org/officeDocument/2006/relationships/image" Target="media/image2290.jpeg"/><Relationship Id="rId2298" Type="http://schemas.openxmlformats.org/officeDocument/2006/relationships/image" Target="media/image2291.png"/><Relationship Id="rId2299" Type="http://schemas.openxmlformats.org/officeDocument/2006/relationships/image" Target="media/image2292.jpe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jpe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jpe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jpeg"/><Relationship Id="rId2309" Type="http://schemas.openxmlformats.org/officeDocument/2006/relationships/image" Target="media/image2302.png"/><Relationship Id="rId2310" Type="http://schemas.openxmlformats.org/officeDocument/2006/relationships/image" Target="media/image2303.jpeg"/><Relationship Id="rId2311" Type="http://schemas.openxmlformats.org/officeDocument/2006/relationships/image" Target="media/image2304.png"/><Relationship Id="rId2312" Type="http://schemas.openxmlformats.org/officeDocument/2006/relationships/image" Target="media/image2305.jpe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jpeg"/><Relationship Id="rId2316" Type="http://schemas.openxmlformats.org/officeDocument/2006/relationships/image" Target="media/image2309.png"/><Relationship Id="rId2317" Type="http://schemas.openxmlformats.org/officeDocument/2006/relationships/image" Target="media/image2310.jpeg"/><Relationship Id="rId2318" Type="http://schemas.openxmlformats.org/officeDocument/2006/relationships/image" Target="media/image2311.png"/><Relationship Id="rId2319" Type="http://schemas.openxmlformats.org/officeDocument/2006/relationships/image" Target="media/image2312.jpeg"/><Relationship Id="rId2320" Type="http://schemas.openxmlformats.org/officeDocument/2006/relationships/image" Target="media/image2313.png"/><Relationship Id="rId2321" Type="http://schemas.openxmlformats.org/officeDocument/2006/relationships/image" Target="media/image2314.jpeg"/><Relationship Id="rId2322" Type="http://schemas.openxmlformats.org/officeDocument/2006/relationships/image" Target="media/image2315.png"/><Relationship Id="rId2323" Type="http://schemas.openxmlformats.org/officeDocument/2006/relationships/image" Target="media/image2316.jpe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jpe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jpeg"/><Relationship Id="rId2335" Type="http://schemas.openxmlformats.org/officeDocument/2006/relationships/image" Target="media/image2328.jpeg"/><Relationship Id="rId2336" Type="http://schemas.openxmlformats.org/officeDocument/2006/relationships/image" Target="media/image2329.png"/><Relationship Id="rId2337" Type="http://schemas.openxmlformats.org/officeDocument/2006/relationships/image" Target="media/image2330.jpeg"/><Relationship Id="rId2338" Type="http://schemas.openxmlformats.org/officeDocument/2006/relationships/image" Target="media/image2331.jpeg"/><Relationship Id="rId2339" Type="http://schemas.openxmlformats.org/officeDocument/2006/relationships/image" Target="media/image2332.jpeg"/><Relationship Id="rId2340" Type="http://schemas.openxmlformats.org/officeDocument/2006/relationships/image" Target="media/image2333.png"/><Relationship Id="rId2341" Type="http://schemas.openxmlformats.org/officeDocument/2006/relationships/image" Target="media/image2334.jpeg"/><Relationship Id="rId2342" Type="http://schemas.openxmlformats.org/officeDocument/2006/relationships/image" Target="media/image2335.png"/><Relationship Id="rId2343" Type="http://schemas.openxmlformats.org/officeDocument/2006/relationships/image" Target="media/image2336.jpeg"/><Relationship Id="rId2344" Type="http://schemas.openxmlformats.org/officeDocument/2006/relationships/image" Target="media/image2337.png"/><Relationship Id="rId2345" Type="http://schemas.openxmlformats.org/officeDocument/2006/relationships/image" Target="media/image2338.jpeg"/><Relationship Id="rId2346" Type="http://schemas.openxmlformats.org/officeDocument/2006/relationships/image" Target="media/image2339.png"/><Relationship Id="rId2347" Type="http://schemas.openxmlformats.org/officeDocument/2006/relationships/image" Target="media/image2340.jpe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jpeg"/><Relationship Id="rId2352" Type="http://schemas.openxmlformats.org/officeDocument/2006/relationships/image" Target="media/image2345.jpeg"/><Relationship Id="rId2353" Type="http://schemas.openxmlformats.org/officeDocument/2006/relationships/image" Target="media/image2346.png"/><Relationship Id="rId2354" Type="http://schemas.openxmlformats.org/officeDocument/2006/relationships/image" Target="media/image2347.jpe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jpeg"/><Relationship Id="rId2359" Type="http://schemas.openxmlformats.org/officeDocument/2006/relationships/image" Target="media/image2352.jpeg"/><Relationship Id="rId2360" Type="http://schemas.openxmlformats.org/officeDocument/2006/relationships/image" Target="media/image2353.png"/><Relationship Id="rId2361" Type="http://schemas.openxmlformats.org/officeDocument/2006/relationships/image" Target="media/image2354.jpeg"/><Relationship Id="rId2362" Type="http://schemas.openxmlformats.org/officeDocument/2006/relationships/image" Target="media/image2355.png"/><Relationship Id="rId2363" Type="http://schemas.openxmlformats.org/officeDocument/2006/relationships/image" Target="media/image2356.jpe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jpeg"/><Relationship Id="rId2368" Type="http://schemas.openxmlformats.org/officeDocument/2006/relationships/image" Target="media/image2361.jpeg"/><Relationship Id="rId2369" Type="http://schemas.openxmlformats.org/officeDocument/2006/relationships/image" Target="media/image2362.png"/><Relationship Id="rId2370" Type="http://schemas.openxmlformats.org/officeDocument/2006/relationships/image" Target="media/image2363.jpeg"/><Relationship Id="rId2371" Type="http://schemas.openxmlformats.org/officeDocument/2006/relationships/image" Target="media/image2364.png"/><Relationship Id="rId2372" Type="http://schemas.openxmlformats.org/officeDocument/2006/relationships/image" Target="media/image2365.jpeg"/><Relationship Id="rId2373" Type="http://schemas.openxmlformats.org/officeDocument/2006/relationships/image" Target="media/image2366.png"/><Relationship Id="rId2374" Type="http://schemas.openxmlformats.org/officeDocument/2006/relationships/image" Target="media/image2367.jpeg"/><Relationship Id="rId2375" Type="http://schemas.openxmlformats.org/officeDocument/2006/relationships/image" Target="media/image2368.png"/><Relationship Id="rId2376" Type="http://schemas.openxmlformats.org/officeDocument/2006/relationships/image" Target="media/image2369.jpeg"/><Relationship Id="rId2377" Type="http://schemas.openxmlformats.org/officeDocument/2006/relationships/image" Target="media/image2370.png"/><Relationship Id="rId2378" Type="http://schemas.openxmlformats.org/officeDocument/2006/relationships/image" Target="media/image2371.jpeg"/><Relationship Id="rId2379" Type="http://schemas.openxmlformats.org/officeDocument/2006/relationships/image" Target="media/image2372.png"/><Relationship Id="rId2380" Type="http://schemas.openxmlformats.org/officeDocument/2006/relationships/image" Target="media/image2373.jpeg"/><Relationship Id="rId2381" Type="http://schemas.openxmlformats.org/officeDocument/2006/relationships/image" Target="media/image2374.jpe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jpeg"/><Relationship Id="rId2386" Type="http://schemas.openxmlformats.org/officeDocument/2006/relationships/image" Target="media/image2379.png"/><Relationship Id="rId2387" Type="http://schemas.openxmlformats.org/officeDocument/2006/relationships/image" Target="media/image2380.jpe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jpe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jpe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jpeg"/><Relationship Id="rId2402" Type="http://schemas.openxmlformats.org/officeDocument/2006/relationships/image" Target="media/image2395.png"/><Relationship Id="rId2403" Type="http://schemas.openxmlformats.org/officeDocument/2006/relationships/image" Target="media/image2396.jpeg"/><Relationship Id="rId2404" Type="http://schemas.openxmlformats.org/officeDocument/2006/relationships/image" Target="media/image2397.png"/><Relationship Id="rId2405" Type="http://schemas.openxmlformats.org/officeDocument/2006/relationships/image" Target="media/image2398.jpeg"/><Relationship Id="rId2406" Type="http://schemas.openxmlformats.org/officeDocument/2006/relationships/image" Target="media/image2399.png"/><Relationship Id="rId2407" Type="http://schemas.openxmlformats.org/officeDocument/2006/relationships/image" Target="media/image2400.jpeg"/><Relationship Id="rId2408" Type="http://schemas.openxmlformats.org/officeDocument/2006/relationships/image" Target="media/image2401.png"/><Relationship Id="rId2409" Type="http://schemas.openxmlformats.org/officeDocument/2006/relationships/image" Target="media/image2402.jpeg"/><Relationship Id="rId2410" Type="http://schemas.openxmlformats.org/officeDocument/2006/relationships/image" Target="media/image2403.png"/><Relationship Id="rId2411" Type="http://schemas.openxmlformats.org/officeDocument/2006/relationships/image" Target="media/image2404.jpeg"/><Relationship Id="rId2412" Type="http://schemas.openxmlformats.org/officeDocument/2006/relationships/image" Target="media/image2405.png"/><Relationship Id="rId2413" Type="http://schemas.openxmlformats.org/officeDocument/2006/relationships/image" Target="media/image2406.jpe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jpeg"/><Relationship Id="rId2417" Type="http://schemas.openxmlformats.org/officeDocument/2006/relationships/image" Target="media/image2410.jpe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2025-04-21T15:21:49Z</dcterms:created>
  <dcterms:modified xsi:type="dcterms:W3CDTF">2025-04-21T15:21:49Z</dcterms:modified>
</cp:coreProperties>
</file>