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6011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01154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Johnson Samuel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0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220" w:type="dxa"/>
            <w:vAlign w:val="bottom"/>
          </w:tcPr>
          <w:p>
            <w:pPr>
              <w:ind w:left="1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22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2"/>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80" w:type="dxa"/>
            <w:vAlign w:val="bottom"/>
            <w:vMerge w:val="restart"/>
          </w:tcPr>
          <w:p>
            <w:pPr>
              <w:ind w:left="1140"/>
              <w:spacing w:after="0"/>
              <w:rPr>
                <w:sz w:val="20"/>
                <w:szCs w:val="20"/>
                <w:color w:val="auto"/>
              </w:rPr>
            </w:pPr>
            <w:r>
              <w:rPr>
                <w:rFonts w:ascii="Times New Roman" w:cs="Times New Roman" w:eastAsia="Times New Roman" w:hAnsi="Times New Roman"/>
                <w:sz w:val="17"/>
                <w:szCs w:val="17"/>
                <w:color w:val="0000FF"/>
              </w:rPr>
              <w:t>President</w:t>
            </w: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01/30/2025</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center"/>
              <w:ind w:left="55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01/30/2025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9"/>
              <w:spacing w:after="0"/>
              <w:rPr>
                <w:sz w:val="20"/>
                <w:szCs w:val="20"/>
                <w:color w:val="auto"/>
              </w:rPr>
            </w:pPr>
            <w:r>
              <w:rPr>
                <w:rFonts w:ascii="Times New Roman" w:cs="Times New Roman" w:eastAsia="Times New Roman" w:hAnsi="Times New Roman"/>
                <w:sz w:val="17"/>
                <w:szCs w:val="17"/>
                <w:color w:val="0000FF"/>
                <w:w w:val="99"/>
              </w:rPr>
              <w:t>1,990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74"/>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86,880</w:t>
            </w:r>
            <w:r>
              <w:rPr>
                <w:rFonts w:ascii="Times New Roman" w:cs="Times New Roman" w:eastAsia="Times New Roman" w:hAnsi="Times New Roman"/>
                <w:sz w:val="21"/>
                <w:szCs w:val="21"/>
                <w:color w:val="008000"/>
                <w:w w:val="95"/>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01/30/2025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rPr>
              <w:t>560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53.97</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86,320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01/31/2025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w w:val="99"/>
              </w:rPr>
              <w:t>2,751</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4"/>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89,071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01/31/2025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rPr>
              <w:t>670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54.68</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88,401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1,990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01/30/2025</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1,990</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(4)</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2,531</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(3)</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2,751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01/31/2025</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2,751</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(5)</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(3)</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-2493645</wp:posOffset>
            </wp:positionV>
            <wp:extent cx="29210" cy="2498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987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Common Stock acquired under the Issuer's employee stock purchase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30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8,501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7,961 PRSUs were deemed earned. Of this earned amount, 25% of the earned amount of this grant vested on March 1, 2023, and the remaining 75% will vest in three equal annual installments beginning on January 30, 2024, subject to the Reporting Person's continued service with the Issuer through each applicable vesting date. The remaining unearned amount of this grant (i.e., 540 PRSUs) may vest upon certification by the Issuer's compensation committee of achievement of certain Issuer stock price conditions as of January 30, 2026.</w:t>
      </w:r>
    </w:p>
    <w:p>
      <w:pPr>
        <w:spacing w:after="0" w:line="28"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11,004 PRSUs. These PRSUs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vest in three equal annual installments beginning on January 31, 2023, subject to the Reporting Person's continued service with the Issuer through each applicable vesting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01/31/2025</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2299"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2025-01-31T15:35:55Z</dcterms:created>
  <dcterms:modified xsi:type="dcterms:W3CDTF">2025-01-31T15:35:55Z</dcterms:modified>
</cp:coreProperties>
</file>