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171450</wp:posOffset>
            </wp:positionV>
            <wp:extent cx="1637030" cy="402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Academy Sports &amp; Outdoors,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001-39589</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85-1800912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22" w:right="339" w:bottom="1440" w:gutter="0" w:footer="0" w:header="0"/>
          <w:type w:val="continuous"/>
        </w:sectPr>
      </w:pP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North Mason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Katy, Texas 77449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522" w:right="339" w:bottom="144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(281) 646-5200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700" w:firstLine="8"/>
        <w:spacing w:after="0" w:line="52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3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8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ASO</w:t>
            </w:r>
          </w:p>
        </w:tc>
        <w:tc>
          <w:tcPr>
            <w:tcW w:w="8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May 5, 2021, Academy Sports and Outdoors, Inc. (the “Company”) entered into an Underwriting Agreement (the “Underwriting Agreement”), by and among the Company, Allstar LLC, Allstar Co-Invest Blocker L.P., KKR 2006 Allstar Blocker L.P., MSI 2011 LLC and MG Family Limited Partnership (collectively, the “Selling Stockholders”), and Credit Suisse Securities (USA) LLC and J.P. Morgan Securities LLC, as representatives of the several underwriters named therein (the “Underwriters”), relating to an underwritten offering (the “Secondary Offering”) of 14,000,000 shares of the Company’s common stock, par value $0.01 per share (“Common Stock”), pursuant to the Company’s Registration Statement on Form S-1 (File No. 333-255720), filed on May 3, 2021. Certain of the Selling Stockholders have granted the Underwriters the option to purchase, within 30 days from the date of the Underwriting Agreement, an additional 2,100,000 shares of Common Stock. On May 6, 2021, the Underwriters exercised in full their option to purchase the additional shares. The Secondary Offering was completed on May 10, 2021 (the “Effective Date”). Pursuant to the Underwriting Agreement, the Underwriters purchased the shares from the Selling Stockholders at a price of $30.96 per share. The offering also included the Company’s repurchase of 3,229,974 shares out of the 14,000,000 shares of Common Stock subject to the offering from the Underwriters at a price per share equal to the price at which the Underwriters purchased the shares from the Selling Stockholders in the offering. The closing of the share repurchase occurred substantially concurrently with closing of the offering, and the shares of the Company’s Common Stock that were repurchased by the Company were retired. The Company did not receive any proceeds from the Secondary Offering.</w:t>
      </w:r>
    </w:p>
    <w:p>
      <w:pPr>
        <w:spacing w:after="0" w:line="21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description of the Underwriting Agreement is qualified in its entirety by the terms of such agreement, which is incorporated herein by reference and attached to this report as Exhibit 1.1.</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Election of Director.</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the Effective Date, the Company’s Board of Directors (the “Board”) appointed Beryl B. Raff to serve as an independent Class III director on the Board, effective as of the Effective Date. Ms. Raff fills a vacancy resulting from the resignations from the Board of Vishal V. Patel (a Class III director) and Aileen X. Yan (a Class II director), both designees of affiliates of Kohlberg Kravis Roberts &amp; Co. L.P. (“KKR”), which became effective as of the Effective Date (the “Resignations”) in connection with a reduction in KKR’s holdings in the Company following the Secondary Offering that closed on the Effective Date. Mr. Patel and Ms. Yan each advised the Board that they have no disagreement with the Company on any matter relating to the Company’s operations, policies or practices. Contemporaneous with the Resignations, the Board approved a decrease in the size of the Board from ten directors to nine directors. As a Class III director, Ms. Raff’s term will end at the Company’s 2023 Annual Meeting of Stockholders. The Board also appointed Ms. Raff to the Compensation Committee, effective as of the Effective Date.</w:t>
      </w:r>
    </w:p>
    <w:p>
      <w:pPr>
        <w:spacing w:after="0" w:line="200" w:lineRule="exact"/>
        <w:rPr>
          <w:sz w:val="20"/>
          <w:szCs w:val="20"/>
          <w:color w:val="auto"/>
        </w:rPr>
      </w:pPr>
    </w:p>
    <w:p>
      <w:pPr>
        <w:spacing w:after="0" w:line="24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Ms. Raff, age 70, has spent over forty years in the retail industry developing her merchandising, senior executive management and board membership experience. Ms. Raff has been the Chairman and Chief Executive Officer of Helzberg Diamonds, a wholly owned subsidiary of Berkshire Hathaway Inc., since 2009. Before joining Helzberg Diamonds, from 2001 to 2009, Ms. Raff held senior merchandising positions with J.C. Penney Company, Inc. (“JC Penney”), most recently as Executive Vice President and General Merchandise Manager, where she was responsible for the day to day operation of the fine jewelry business and served on its Executive Board, which determined strategic direction and initiatives for JC Penney. Prior to JC Penney, Ms. Raff also was Chairman and Chief Executive Officer at Zale Corporation and held senior merchant positions at R. H. Macy &amp; Company. Currently, Ms. Raff serves on the Board of Directors of Helen of Troy, Ltd., including on its Audit Committee and formerly on its Compensation Committee, and on the Board of Directors of Larry H. Miller Company, including on its Governance and Compensation Committees. Previously, Ms. Raff spent seven years on the Board of Directors of The Michaels Companies, Inc., including on its Audit and Compensation Committees, eight years on the Board of Directors of Group 1 Automotive, Inc., including on its Compensation Committee and as chair of its Governance &amp; Nominating Committee, and ten years on the Board of Directors of Jo-Ann’s Stores, Inc., including on its Audit and Governance Committees and as chair of its Compensation Committee. Ms. Raff received her Bachelors of Business Administration from Boston University and her Masters of Business Administration from Drexel University. The Board selected Ms. Raff because of her executive leadership and management experience and extensive business and financial experience related to the retail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 w:name="page3"/>
    <w:bookmarkEnd w:id="2"/>
    <w:p>
      <w:pPr>
        <w:ind w:firstLine="648"/>
        <w:spacing w:after="0" w:line="311" w:lineRule="auto"/>
        <w:rPr>
          <w:sz w:val="20"/>
          <w:szCs w:val="20"/>
          <w:color w:val="auto"/>
        </w:rPr>
      </w:pPr>
      <w:r>
        <w:rPr>
          <w:rFonts w:ascii="Arial" w:cs="Arial" w:eastAsia="Arial" w:hAnsi="Arial"/>
          <w:sz w:val="16"/>
          <w:szCs w:val="16"/>
          <w:color w:val="auto"/>
        </w:rPr>
        <w:t>The Board has determined that Ms. Raff qualifies as an independent director under the corporate governance standards of Nasdaq. Ms. Raff was not appointed to the Board pursuant to any arrangement or understanding with any other person. Ms. Raff has no family relationships with any director or executive officer of the Company and there are no transactions in which Ms. Raff has an interest requiring disclosure under Item 404(a) of Regulation S-K.</w:t>
      </w:r>
    </w:p>
    <w:p>
      <w:pPr>
        <w:spacing w:after="0" w:line="17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As compensation for her service on the Board, Ms. Raff will receive the Company’s standard compensation for non-employee directors as disclosed in the Company’s 2021 proxy statement filed by the Company with the U.S. Securities and Exchange Commission (the “SEC”) on April 23, 2021.</w:t>
      </w:r>
    </w:p>
    <w:p>
      <w:pPr>
        <w:spacing w:after="0" w:line="21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Company and Ms. Raff will enter into the Company’s standard form of indemnification agreement for directors, a copy of which was previously filed as Exhibit 10.37 to Amendment No. 2 to the Company’s Registration Statement on Form S-1 filed with the SEC on September 23, 2020.</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May 10, 2021, the Company issued a press release announcing Ms. Raff’s appointment and other Board and Board committee composition changes, a copy of which is attached hereto as Exhibit 99.1 and incorporated herein by reference.</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709"/>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Exhibit No.</w:t>
            </w:r>
          </w:p>
        </w:tc>
        <w:tc>
          <w:tcPr>
            <w:tcW w:w="10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Description</w:t>
            </w:r>
          </w:p>
        </w:tc>
      </w:tr>
      <w:tr>
        <w:trPr>
          <w:trHeight w:val="392"/>
        </w:trPr>
        <w:tc>
          <w:tcPr>
            <w:tcW w:w="32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Arial" w:cs="Arial" w:eastAsia="Arial" w:hAnsi="Arial"/>
                <w:sz w:val="18"/>
                <w:szCs w:val="18"/>
                <w:color w:val="auto"/>
                <w:w w:val="92"/>
              </w:rPr>
              <w:t>Underwriting Agreement, dated May 5, 2021, by and among Academy Sports and Outdoors, Inc., the selling stockholders named therein</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ind w:left="140"/>
              <w:spacing w:after="0"/>
              <w:rPr>
                <w:sz w:val="20"/>
                <w:szCs w:val="20"/>
                <w:color w:val="auto"/>
              </w:rPr>
            </w:pPr>
            <w:r>
              <w:rPr>
                <w:rFonts w:ascii="Arial" w:cs="Arial" w:eastAsia="Arial" w:hAnsi="Arial"/>
                <w:sz w:val="18"/>
                <w:szCs w:val="18"/>
                <w:color w:val="auto"/>
                <w:w w:val="93"/>
              </w:rPr>
              <w:t>and Credit Suisse Securities (USA) LLC and J.P. Morgan Securities LLC, as representatives of the several underwriters named therein.</w:t>
            </w:r>
          </w:p>
        </w:tc>
      </w:tr>
      <w:tr>
        <w:trPr>
          <w:trHeight w:val="190"/>
        </w:trPr>
        <w:tc>
          <w:tcPr>
            <w:tcW w:w="1000" w:type="dxa"/>
            <w:vAlign w:val="bottom"/>
            <w:gridSpan w:val="3"/>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240" w:type="dxa"/>
            <w:vAlign w:val="bottom"/>
          </w:tcPr>
          <w:p>
            <w:pPr>
              <w:ind w:left="140"/>
              <w:spacing w:after="0" w:line="190" w:lineRule="exact"/>
              <w:rPr>
                <w:sz w:val="20"/>
                <w:szCs w:val="20"/>
                <w:color w:val="auto"/>
              </w:rPr>
            </w:pPr>
            <w:r>
              <w:rPr>
                <w:rFonts w:ascii="Arial" w:cs="Arial" w:eastAsia="Arial" w:hAnsi="Arial"/>
                <w:sz w:val="18"/>
                <w:szCs w:val="18"/>
                <w:color w:val="auto"/>
              </w:rPr>
              <w:t>Press Release dated May 10, 2021.</w:t>
            </w:r>
          </w:p>
        </w:tc>
      </w:tr>
      <w:tr>
        <w:trPr>
          <w:trHeight w:val="203"/>
        </w:trPr>
        <w:tc>
          <w:tcPr>
            <w:tcW w:w="24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Academy Sports and Outdoors, Inc.</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May 10, 2021</w:t>
            </w:r>
          </w:p>
        </w:tc>
        <w:tc>
          <w:tcPr>
            <w:tcW w:w="5040" w:type="dxa"/>
            <w:vAlign w:val="bottom"/>
          </w:tcPr>
          <w:p>
            <w:pPr>
              <w:spacing w:after="0"/>
              <w:rPr>
                <w:sz w:val="24"/>
                <w:szCs w:val="24"/>
                <w:color w:val="auto"/>
              </w:rPr>
            </w:pPr>
          </w:p>
        </w:tc>
      </w:tr>
      <w:tr>
        <w:trPr>
          <w:trHeight w:val="439"/>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 G. Casares</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Rene G. Casares</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115"/>
        </w:trPr>
        <w:tc>
          <w:tcPr>
            <w:tcW w:w="620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Academy Sports and Outdoors,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14,000,000 Shares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($0.01 par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8" w:lineRule="exact"/>
        <w:rPr>
          <w:sz w:val="20"/>
          <w:szCs w:val="20"/>
          <w:color w:val="auto"/>
        </w:rPr>
      </w:pPr>
    </w:p>
    <w:p>
      <w:pPr>
        <w:ind w:right="5540"/>
        <w:spacing w:after="0" w:line="258" w:lineRule="auto"/>
        <w:rPr>
          <w:sz w:val="20"/>
          <w:szCs w:val="20"/>
          <w:color w:val="auto"/>
        </w:rPr>
      </w:pPr>
      <w:r>
        <w:rPr>
          <w:rFonts w:ascii="Arial" w:cs="Arial" w:eastAsia="Arial" w:hAnsi="Arial"/>
          <w:sz w:val="18"/>
          <w:szCs w:val="18"/>
          <w:color w:val="auto"/>
        </w:rPr>
        <w:t>As Representatives of the several Underwriters named in Schedule I(A) hereto, c/o Credit Suisse Securities (USA) LLC,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10010-3629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10179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Each of (i) Allstar LLC, Allstar Co-Invest Blocker L.P. and KKR 2006 Allstar Blocker L.P. (collectively, the “KKR Selling Stockholders”) and (ii) MSI 2011 LLC and MG Family Limited Partnership (collectively, the “Gochman Selling Stockholders”), as a stockholder of Academy Sports and Outdoors, Inc., a Delaware corporation (the “Company”), proposes to sell to the several underwriters named in Schedule I(A) hereto (the “Underwriters”), for whom you (the “Representatives”) are acting as representatives, the number of shares of the Company’s common stock, $0.01 par value (“Common Stock”), set forth next to such Selling Stockholder’s name on Schedule I(B) hereto. The aggregate 14,000,000 shares to be sold by the Selling Stockholders are herein called the “Underwritten Securities”. The KKR Selling Stockholders also propose to grant to the Underwriters an option to purchase up to 2,100,000 additional shares of Common Stock (the “Option Securities”; the Option Securities, together with the Underwritten Securities, being hereinafter called the “Securities”). Certain capitalized terms used herein are defined in Section 25 hereof.</w:t>
      </w:r>
    </w:p>
    <w:p>
      <w:pPr>
        <w:spacing w:after="0" w:line="205" w:lineRule="exact"/>
        <w:rPr>
          <w:sz w:val="20"/>
          <w:szCs w:val="20"/>
          <w:color w:val="auto"/>
        </w:rPr>
      </w:pPr>
    </w:p>
    <w:p>
      <w:pPr>
        <w:jc w:val="both"/>
        <w:ind w:right="300" w:firstLine="1296"/>
        <w:spacing w:after="0" w:line="311" w:lineRule="auto"/>
        <w:rPr>
          <w:sz w:val="20"/>
          <w:szCs w:val="20"/>
          <w:color w:val="auto"/>
        </w:rPr>
      </w:pPr>
      <w:r>
        <w:rPr>
          <w:rFonts w:ascii="Arial" w:cs="Arial" w:eastAsia="Arial" w:hAnsi="Arial"/>
          <w:sz w:val="16"/>
          <w:szCs w:val="16"/>
          <w:color w:val="auto"/>
        </w:rPr>
        <w:t>Subject to the sale of the Underwritten Securities by the Selling Stockholders to the Underwriters in compliance with the terms of this Agreement, the Underwriters have agreed to sell to the Company, and the Company has agreed to herein to purchase from the Underwriters (the “Share Repurchase”), an aggregate of 3,229,974 shares of Underwritten Securities (the “Repurchase Securities”) pursuant to Section 3 of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ind w:left="1220"/>
        <w:spacing w:after="0"/>
        <w:rPr>
          <w:sz w:val="20"/>
          <w:szCs w:val="20"/>
          <w:color w:val="auto"/>
        </w:rPr>
      </w:pPr>
      <w:r>
        <w:rPr>
          <w:rFonts w:ascii="Arial" w:cs="Arial" w:eastAsia="Arial" w:hAnsi="Arial"/>
          <w:sz w:val="18"/>
          <w:szCs w:val="18"/>
          <w:color w:val="auto"/>
        </w:rPr>
        <w:t>The Company and the Selling Stockholders hereby confirm their respective agreements with the Underwriters as follows:</w:t>
      </w:r>
    </w:p>
    <w:p>
      <w:pPr>
        <w:spacing w:after="0" w:line="279" w:lineRule="exact"/>
        <w:rPr>
          <w:sz w:val="20"/>
          <w:szCs w:val="20"/>
          <w:color w:val="auto"/>
        </w:rPr>
      </w:pPr>
    </w:p>
    <w:p>
      <w:pPr>
        <w:ind w:left="-80" w:right="260" w:firstLine="656"/>
        <w:spacing w:after="0" w:line="277" w:lineRule="auto"/>
        <w:tabs>
          <w:tab w:leader="none" w:pos="12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as set forth below in this Section 1.</w:t>
      </w:r>
    </w:p>
    <w:p>
      <w:pPr>
        <w:spacing w:after="0" w:line="224" w:lineRule="exact"/>
        <w:rPr>
          <w:sz w:val="20"/>
          <w:szCs w:val="20"/>
          <w:color w:val="auto"/>
        </w:rPr>
      </w:pPr>
    </w:p>
    <w:p>
      <w:pPr>
        <w:ind w:left="-80" w:firstLine="656"/>
        <w:spacing w:after="0" w:line="288" w:lineRule="auto"/>
        <w:tabs>
          <w:tab w:leader="none" w:pos="130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prepared and filed with the Commission a registration statement (file number 333-255720) on Form S-1, including a related preliminary prospectus, for registration under the Act of the offering and sale of the Securities. Such Registration Statement, including any amendments thereto filed prior to the Execution Time, has become effective. No order suspending the effectiveness of the Registration Statement has been issued by the Commission, and no proceeding for that purpose or pursuant to Section 8A of the Act against the Company or related to the offering of the Securities has been initiated or threatened by the Commission.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222" w:lineRule="exact"/>
        <w:rPr>
          <w:rFonts w:ascii="Arial" w:cs="Arial" w:eastAsia="Arial" w:hAnsi="Arial"/>
          <w:sz w:val="16"/>
          <w:szCs w:val="16"/>
          <w:color w:val="auto"/>
        </w:rPr>
      </w:pPr>
    </w:p>
    <w:p>
      <w:pPr>
        <w:ind w:left="-80" w:firstLine="656"/>
        <w:spacing w:after="0" w:line="287" w:lineRule="auto"/>
        <w:tabs>
          <w:tab w:leader="none" w:pos="131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below)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and any settlement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w:t>
      </w:r>
    </w:p>
    <w:p>
      <w:pPr>
        <w:spacing w:after="0" w:line="225" w:lineRule="exact"/>
        <w:rPr>
          <w:rFonts w:ascii="Arial" w:cs="Arial" w:eastAsia="Arial" w:hAnsi="Arial"/>
          <w:sz w:val="16"/>
          <w:szCs w:val="16"/>
          <w:color w:val="auto"/>
        </w:rPr>
      </w:pPr>
    </w:p>
    <w:p>
      <w:pPr>
        <w:ind w:left="-80" w:right="60" w:firstLine="656"/>
        <w:spacing w:after="0" w:line="257" w:lineRule="auto"/>
        <w:tabs>
          <w:tab w:leader="none" w:pos="1308" w:val="left"/>
        </w:tabs>
        <w:numPr>
          <w:ilvl w:val="0"/>
          <w:numId w:val="4"/>
        </w:numPr>
        <w:rPr>
          <w:rFonts w:ascii="Arial" w:cs="Arial" w:eastAsia="Arial" w:hAnsi="Arial"/>
          <w:sz w:val="18"/>
          <w:szCs w:val="18"/>
          <w:color w:val="auto"/>
        </w:rPr>
      </w:pPr>
      <w:r>
        <w:rPr>
          <w:rFonts w:ascii="Arial" w:cs="Arial" w:eastAsia="Arial" w:hAnsi="Arial"/>
          <w:sz w:val="18"/>
          <w:szCs w:val="18"/>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or any electronic roadshow based upon and in conformity with written information furnished to the Company by or on behalf of any Underwriter through the Representatives specifically for use therein.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25" w:right="419" w:bottom="1440" w:gutter="0" w:footer="0" w:header="0"/>
        </w:sectPr>
      </w:pPr>
    </w:p>
    <w:bookmarkStart w:id="7" w:name="page8"/>
    <w:bookmarkEnd w:id="7"/>
    <w:p>
      <w:pPr>
        <w:ind w:left="-20" w:right="340" w:firstLine="656"/>
        <w:spacing w:after="0" w:line="311" w:lineRule="auto"/>
        <w:tabs>
          <w:tab w:leader="none" w:pos="1378" w:val="left"/>
        </w:tabs>
        <w:numPr>
          <w:ilvl w:val="0"/>
          <w:numId w:val="5"/>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02" w:lineRule="exact"/>
        <w:rPr>
          <w:rFonts w:ascii="Arial" w:cs="Arial" w:eastAsia="Arial" w:hAnsi="Arial"/>
          <w:sz w:val="16"/>
          <w:szCs w:val="16"/>
          <w:color w:val="auto"/>
        </w:rPr>
      </w:pPr>
    </w:p>
    <w:p>
      <w:pPr>
        <w:ind w:left="-20" w:right="180" w:firstLine="656"/>
        <w:spacing w:after="0" w:line="311"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202" w:lineRule="exact"/>
        <w:rPr>
          <w:rFonts w:ascii="Arial" w:cs="Arial" w:eastAsia="Arial" w:hAnsi="Arial"/>
          <w:sz w:val="16"/>
          <w:szCs w:val="16"/>
          <w:color w:val="auto"/>
        </w:rPr>
      </w:pPr>
    </w:p>
    <w:p>
      <w:pPr>
        <w:ind w:left="1360" w:hanging="72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right="320" w:firstLine="656"/>
        <w:spacing w:after="0" w:line="263" w:lineRule="auto"/>
        <w:tabs>
          <w:tab w:leader="none" w:pos="1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 of the Company or any Significant Subsidiary (as defined below) is, nor after giving effect to the Share Repurchase as herein contemplated will be, an “investment company” as defined in the Investment Company Act, without taking account of any exemption arising out of the number of holders of the Company’s securities.</w:t>
      </w:r>
    </w:p>
    <w:p>
      <w:pPr>
        <w:spacing w:after="0" w:line="237" w:lineRule="exact"/>
        <w:rPr>
          <w:rFonts w:ascii="Arial" w:cs="Arial" w:eastAsia="Arial" w:hAnsi="Arial"/>
          <w:sz w:val="18"/>
          <w:szCs w:val="18"/>
          <w:color w:val="auto"/>
        </w:rPr>
      </w:pPr>
    </w:p>
    <w:p>
      <w:pPr>
        <w:ind w:left="-20" w:right="440" w:firstLine="656"/>
        <w:spacing w:after="0" w:line="277" w:lineRule="auto"/>
        <w:tabs>
          <w:tab w:leader="none" w:pos="1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224" w:lineRule="exact"/>
        <w:rPr>
          <w:rFonts w:ascii="Arial" w:cs="Arial" w:eastAsia="Arial" w:hAnsi="Arial"/>
          <w:sz w:val="18"/>
          <w:szCs w:val="18"/>
          <w:color w:val="auto"/>
        </w:rPr>
      </w:pPr>
    </w:p>
    <w:p>
      <w:pPr>
        <w:ind w:left="-20" w:right="180" w:firstLine="656"/>
        <w:spacing w:after="0" w:line="286" w:lineRule="auto"/>
        <w:tabs>
          <w:tab w:leader="none" w:pos="1338"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219" w:lineRule="exact"/>
        <w:rPr>
          <w:rFonts w:ascii="Arial" w:cs="Arial" w:eastAsia="Arial" w:hAnsi="Arial"/>
          <w:sz w:val="17"/>
          <w:szCs w:val="17"/>
          <w:color w:val="auto"/>
        </w:rPr>
      </w:pPr>
    </w:p>
    <w:p>
      <w:pPr>
        <w:ind w:left="-20" w:firstLine="656"/>
        <w:spacing w:after="0" w:line="271" w:lineRule="auto"/>
        <w:tabs>
          <w:tab w:leader="none" w:pos="1338"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232" w:lineRule="exact"/>
        <w:rPr>
          <w:rFonts w:ascii="Arial" w:cs="Arial" w:eastAsia="Arial" w:hAnsi="Arial"/>
          <w:sz w:val="17"/>
          <w:szCs w:val="17"/>
          <w:color w:val="auto"/>
        </w:rPr>
      </w:pPr>
    </w:p>
    <w:p>
      <w:pPr>
        <w:ind w:left="-20" w:right="20" w:firstLine="656"/>
        <w:spacing w:after="0" w:line="277" w:lineRule="auto"/>
        <w:tabs>
          <w:tab w:leader="none" w:pos="1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no “significant subsidiary,” as defined in Rule 1-02(w) of Regulation S-X under the Act, other than those subsidiaries listed on Schedule III (each, a “Significant Subsidiary”).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8" w:name="page9"/>
    <w:bookmarkEnd w:id="8"/>
    <w:p>
      <w:pPr>
        <w:ind w:left="-8" w:firstLine="656"/>
        <w:spacing w:after="0" w:line="284" w:lineRule="auto"/>
        <w:tabs>
          <w:tab w:leader="none" w:pos="1350" w:val="left"/>
        </w:tabs>
        <w:numPr>
          <w:ilvl w:val="1"/>
          <w:numId w:val="6"/>
        </w:numPr>
        <w:rPr>
          <w:rFonts w:ascii="Arial" w:cs="Arial" w:eastAsia="Arial" w:hAnsi="Arial"/>
          <w:sz w:val="16"/>
          <w:szCs w:val="16"/>
          <w:color w:val="auto"/>
        </w:rPr>
      </w:pPr>
      <w:r>
        <w:rPr>
          <w:rFonts w:ascii="Arial" w:cs="Arial" w:eastAsia="Arial" w:hAnsi="Arial"/>
          <w:sz w:val="16"/>
          <w:szCs w:val="16"/>
          <w:color w:val="auto"/>
        </w:rPr>
        <w:t>As of January 20, 2021, all the outstanding membership interests or shares of capital stock, as applicable, of the Company (including the Securities to be sold by the Selling Stockholders) and each subsidiary listed on Exhibit 21 of the Company’s Annual Report on Form 10-K for the fiscal year ended January 30, 2021 (the “Annual Report”) incorporated by reference into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(A) that certain Indenture, dated as of November 6, 2020 (the “Indenture”), by and among Academy, Ltd., as issuer, the guarantors named therein and The Bank of New York Mellon Trust Company, N.A., as trustee and notes collateral agent, (B) that certain Second Amended and Restated Credit Agreement, dated as of November 6, 2020, among Academy, Ltd., as Borrower, New Academy Holding Company, LLC, as Holdings, Associated Investors L.L.C. and Academy Managing Co., L.L.C, as Texas Intermediate Holdcos, the several lenders from time to time party thereto and Credit Suisse AG, Cayman Islands Branch, as the Administrative Agent and the Collateral Agent and the several other parties named therein (as amended, the “Term Loan Facility”) and (C) that certain First Amended and Restated ABL Credit Agreement, dated as of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amended, the “ABL Facility” and, together with the Indenture and the Term Loan Facility, the “Debt Documents”) or permitted under the Debt Documents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235" w:lineRule="exact"/>
        <w:rPr>
          <w:rFonts w:ascii="Arial" w:cs="Arial" w:eastAsia="Arial" w:hAnsi="Arial"/>
          <w:sz w:val="16"/>
          <w:szCs w:val="16"/>
          <w:color w:val="auto"/>
        </w:rPr>
      </w:pPr>
    </w:p>
    <w:p>
      <w:pPr>
        <w:ind w:left="1452" w:hanging="804"/>
        <w:spacing w:after="0"/>
        <w:tabs>
          <w:tab w:leader="none" w:pos="14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79" w:lineRule="exact"/>
        <w:rPr>
          <w:rFonts w:ascii="Arial" w:cs="Arial" w:eastAsia="Arial" w:hAnsi="Arial"/>
          <w:sz w:val="18"/>
          <w:szCs w:val="18"/>
          <w:color w:val="auto"/>
        </w:rPr>
      </w:pPr>
    </w:p>
    <w:p>
      <w:pPr>
        <w:ind w:left="-8" w:right="60" w:firstLine="656"/>
        <w:spacing w:after="0" w:line="285" w:lineRule="auto"/>
        <w:tabs>
          <w:tab w:leader="none" w:pos="1390" w:val="left"/>
        </w:tabs>
        <w:numPr>
          <w:ilvl w:val="1"/>
          <w:numId w:val="6"/>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 (ii) such as may be required under the blue sky laws of any jurisdiction in which the Securities are offered and sold in connection with the transactions contemplated hereby or under the Conduct Rules of the Financial Industry Regulatory Authority, Inc. (“FINRA”),</w:t>
      </w:r>
    </w:p>
    <w:p>
      <w:pPr>
        <w:spacing w:after="0" w:line="1" w:lineRule="exact"/>
        <w:rPr>
          <w:rFonts w:ascii="Arial" w:cs="Arial" w:eastAsia="Arial" w:hAnsi="Arial"/>
          <w:sz w:val="16"/>
          <w:szCs w:val="16"/>
          <w:color w:val="auto"/>
        </w:rPr>
      </w:pPr>
    </w:p>
    <w:p>
      <w:pPr>
        <w:ind w:left="-8" w:right="200" w:firstLine="8"/>
        <w:spacing w:after="0" w:line="260" w:lineRule="auto"/>
        <w:tabs>
          <w:tab w:leader="none" w:pos="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filings with the Commission pursuant to Rule 424(b), (iv) filings with the Commission under the Exchange Act, or (v) as shall have been obtained or made prior to the Closing Date.</w:t>
      </w:r>
    </w:p>
    <w:p>
      <w:pPr>
        <w:spacing w:after="0" w:line="1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52" w:right="339" w:bottom="1440" w:gutter="0" w:footer="0" w:header="0"/>
        </w:sectPr>
      </w:pPr>
    </w:p>
    <w:bookmarkStart w:id="9" w:name="page10"/>
    <w:bookmarkEnd w:id="9"/>
    <w:p>
      <w:pPr>
        <w:ind w:left="-40" w:right="20" w:firstLine="656"/>
        <w:spacing w:after="0" w:line="253" w:lineRule="auto"/>
        <w:tabs>
          <w:tab w:leader="none" w:pos="1358"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consummation of the transactions contemplated hereby (including the Share Repurchase),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250" w:lineRule="exact"/>
        <w:rPr>
          <w:rFonts w:ascii="Arial" w:cs="Arial" w:eastAsia="Arial" w:hAnsi="Arial"/>
          <w:sz w:val="18"/>
          <w:szCs w:val="18"/>
          <w:color w:val="auto"/>
        </w:rPr>
      </w:pPr>
    </w:p>
    <w:p>
      <w:pPr>
        <w:ind w:left="-40" w:right="40" w:firstLine="656"/>
        <w:spacing w:after="0" w:line="273" w:lineRule="auto"/>
        <w:tabs>
          <w:tab w:leader="none" w:pos="135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U.S. Federal Income and Estate Tax Consequences to Non-U.S. Holders” and (ii) the Annual Report, incorporated by reference into the Preliminary Prospectus and the Prospectus, under the headings “Business—Governmental Regulations,” “Legal Proceedings” and “Business—Intellectual Property” insofar as such statements summarize legal matters, agreements, documents or proceedings discussed therein, are accurate and fair summaries of such legal matters, agreements, documents or proceedings.</w:t>
      </w:r>
    </w:p>
    <w:p>
      <w:pPr>
        <w:spacing w:after="0" w:line="231" w:lineRule="exact"/>
        <w:rPr>
          <w:rFonts w:ascii="Arial" w:cs="Arial" w:eastAsia="Arial" w:hAnsi="Arial"/>
          <w:sz w:val="17"/>
          <w:szCs w:val="17"/>
          <w:color w:val="auto"/>
        </w:rPr>
      </w:pPr>
    </w:p>
    <w:p>
      <w:pPr>
        <w:ind w:left="-40" w:right="40" w:firstLine="656"/>
        <w:spacing w:after="0" w:line="263" w:lineRule="auto"/>
        <w:tabs>
          <w:tab w:leader="none" w:pos="1358"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other than as required by the Amended and Restated Registration Rights Agreement, dated as of October 6, 2020, among the Company and the shareholders party thereto (as amended, supplemented or otherwise modified from time to time prior to the date hereof).</w:t>
      </w:r>
    </w:p>
    <w:p>
      <w:pPr>
        <w:spacing w:after="0" w:line="237" w:lineRule="exact"/>
        <w:rPr>
          <w:rFonts w:ascii="Arial" w:cs="Arial" w:eastAsia="Arial" w:hAnsi="Arial"/>
          <w:sz w:val="18"/>
          <w:szCs w:val="18"/>
          <w:color w:val="auto"/>
        </w:rPr>
      </w:pPr>
    </w:p>
    <w:p>
      <w:pPr>
        <w:ind w:left="-40" w:firstLine="656"/>
        <w:spacing w:after="0" w:line="254" w:lineRule="auto"/>
        <w:tabs>
          <w:tab w:leader="none" w:pos="1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set forth in the Disclosure Package and the Prospectus, the consolidated historical financial statements included or incorporated by reference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and the summary historical financial data set forth under the heading “Summary—Summary Historical Consolidated Financial and Other Data” in the Disclosure Package and the Prospectus fairly presents in all material respects, on the basis stated in the Disclosure Package and the Prospectus, the information included therein.</w:t>
      </w:r>
    </w:p>
    <w:p>
      <w:pPr>
        <w:spacing w:after="0" w:line="248" w:lineRule="exact"/>
        <w:rPr>
          <w:rFonts w:ascii="Arial" w:cs="Arial" w:eastAsia="Arial" w:hAnsi="Arial"/>
          <w:sz w:val="18"/>
          <w:szCs w:val="18"/>
          <w:color w:val="auto"/>
        </w:rPr>
      </w:pPr>
    </w:p>
    <w:p>
      <w:pPr>
        <w:ind w:left="-40" w:right="140" w:firstLine="656"/>
        <w:spacing w:after="0" w:line="255" w:lineRule="auto"/>
        <w:tabs>
          <w:tab w:leader="none" w:pos="133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52" w:right="359" w:bottom="1440" w:gutter="0" w:footer="0" w:header="0"/>
        </w:sectPr>
      </w:pPr>
    </w:p>
    <w:bookmarkStart w:id="10" w:name="page11"/>
    <w:bookmarkEnd w:id="10"/>
    <w:p>
      <w:pPr>
        <w:ind w:left="-8" w:firstLine="656"/>
        <w:spacing w:after="0" w:line="286" w:lineRule="auto"/>
        <w:tabs>
          <w:tab w:leader="none" w:pos="1350" w:val="left"/>
        </w:tabs>
        <w:numPr>
          <w:ilvl w:val="1"/>
          <w:numId w:val="9"/>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w:t>
      </w:r>
    </w:p>
    <w:p>
      <w:pPr>
        <w:spacing w:after="0" w:line="1" w:lineRule="exact"/>
        <w:rPr>
          <w:rFonts w:ascii="Arial" w:cs="Arial" w:eastAsia="Arial" w:hAnsi="Arial"/>
          <w:sz w:val="16"/>
          <w:szCs w:val="16"/>
          <w:color w:val="auto"/>
        </w:rPr>
      </w:pPr>
    </w:p>
    <w:p>
      <w:pPr>
        <w:ind w:left="272" w:hanging="272"/>
        <w:spacing w:after="0"/>
        <w:tabs>
          <w:tab w:leader="none" w:pos="2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would reasonably be expected to have a Material Adverse Effect.</w:t>
      </w:r>
    </w:p>
    <w:p>
      <w:pPr>
        <w:spacing w:after="0" w:line="264" w:lineRule="exact"/>
        <w:rPr>
          <w:rFonts w:ascii="Arial" w:cs="Arial" w:eastAsia="Arial" w:hAnsi="Arial"/>
          <w:sz w:val="18"/>
          <w:szCs w:val="18"/>
          <w:color w:val="auto"/>
        </w:rPr>
      </w:pPr>
    </w:p>
    <w:p>
      <w:pPr>
        <w:ind w:left="-8" w:right="40" w:firstLine="656"/>
        <w:spacing w:after="0" w:line="275" w:lineRule="auto"/>
        <w:tabs>
          <w:tab w:leader="none" w:pos="13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owned by them and good and marketable title to all personal property owned by them, in each case free and clear of all liens, encumbrances and defects except (i) pursuant to the Debt Documents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30" w:lineRule="exact"/>
        <w:rPr>
          <w:rFonts w:ascii="Arial" w:cs="Arial" w:eastAsia="Arial" w:hAnsi="Arial"/>
          <w:sz w:val="17"/>
          <w:szCs w:val="17"/>
          <w:color w:val="auto"/>
        </w:rPr>
      </w:pPr>
    </w:p>
    <w:p>
      <w:pPr>
        <w:ind w:left="-8" w:right="60" w:firstLine="656"/>
        <w:spacing w:after="0" w:line="254" w:lineRule="auto"/>
        <w:tabs>
          <w:tab w:leader="none" w:pos="13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245" w:lineRule="exact"/>
        <w:rPr>
          <w:rFonts w:ascii="Arial" w:cs="Arial" w:eastAsia="Arial" w:hAnsi="Arial"/>
          <w:sz w:val="18"/>
          <w:szCs w:val="18"/>
          <w:color w:val="auto"/>
        </w:rPr>
      </w:pPr>
    </w:p>
    <w:p>
      <w:pPr>
        <w:ind w:left="-8" w:right="220" w:firstLine="656"/>
        <w:spacing w:after="0" w:line="259" w:lineRule="auto"/>
        <w:tabs>
          <w:tab w:leader="none" w:pos="14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Deloitte &amp; Touche LLP, who has audited the consolidated financial statements of Academy Sports and Outdoors, Inc. and its subsidiaries as of January 30, 2021 and February 1, 2020 and for each of the three years in the period ended January 30, 2021, each included in the Disclosure Package and the Prospectus, are independent registered public accountants with respect to the Company within the meaning of the Exchange Act and the rules of the Public Company Accounting Oversight Board.</w:t>
      </w:r>
    </w:p>
    <w:p>
      <w:pPr>
        <w:spacing w:after="0" w:line="240" w:lineRule="exact"/>
        <w:rPr>
          <w:rFonts w:ascii="Arial" w:cs="Arial" w:eastAsia="Arial" w:hAnsi="Arial"/>
          <w:sz w:val="18"/>
          <w:szCs w:val="18"/>
          <w:color w:val="auto"/>
        </w:rPr>
      </w:pPr>
    </w:p>
    <w:p>
      <w:pPr>
        <w:ind w:left="-8" w:right="160" w:firstLine="656"/>
        <w:spacing w:after="0" w:line="255" w:lineRule="auto"/>
        <w:tabs>
          <w:tab w:leader="none" w:pos="13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15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52" w:right="399" w:bottom="1440" w:gutter="0" w:footer="0" w:header="0"/>
        </w:sectPr>
      </w:pPr>
    </w:p>
    <w:bookmarkStart w:id="11" w:name="page12"/>
    <w:bookmarkEnd w:id="11"/>
    <w:p>
      <w:pPr>
        <w:ind w:left="-20" w:right="340" w:firstLine="656"/>
        <w:spacing w:after="0" w:line="263" w:lineRule="auto"/>
        <w:tabs>
          <w:tab w:leader="none" w:pos="13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237" w:lineRule="exact"/>
        <w:rPr>
          <w:rFonts w:ascii="Arial" w:cs="Arial" w:eastAsia="Arial" w:hAnsi="Arial"/>
          <w:sz w:val="18"/>
          <w:szCs w:val="18"/>
          <w:color w:val="auto"/>
        </w:rPr>
      </w:pPr>
    </w:p>
    <w:p>
      <w:pPr>
        <w:jc w:val="both"/>
        <w:ind w:left="-20" w:firstLine="656"/>
        <w:spacing w:after="0" w:line="301" w:lineRule="auto"/>
        <w:tabs>
          <w:tab w:leader="none" w:pos="13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211" w:lineRule="exact"/>
        <w:rPr>
          <w:sz w:val="20"/>
          <w:szCs w:val="20"/>
          <w:color w:val="auto"/>
        </w:rPr>
      </w:pPr>
    </w:p>
    <w:p>
      <w:pPr>
        <w:ind w:left="-20" w:right="140" w:firstLine="656"/>
        <w:spacing w:after="0" w:line="272" w:lineRule="auto"/>
        <w:tabs>
          <w:tab w:leader="none" w:pos="14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Debt Documents.</w:t>
      </w:r>
    </w:p>
    <w:p>
      <w:pPr>
        <w:spacing w:after="0" w:line="231" w:lineRule="exact"/>
        <w:rPr>
          <w:rFonts w:ascii="Arial" w:cs="Arial" w:eastAsia="Arial" w:hAnsi="Arial"/>
          <w:sz w:val="17"/>
          <w:szCs w:val="17"/>
          <w:color w:val="auto"/>
        </w:rPr>
      </w:pPr>
    </w:p>
    <w:p>
      <w:pPr>
        <w:ind w:left="-20" w:right="120" w:firstLine="656"/>
        <w:spacing w:after="0" w:line="293" w:lineRule="auto"/>
        <w:tabs>
          <w:tab w:leader="none" w:pos="14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218" w:lineRule="exact"/>
        <w:rPr>
          <w:rFonts w:ascii="Arial" w:cs="Arial" w:eastAsia="Arial" w:hAnsi="Arial"/>
          <w:sz w:val="16"/>
          <w:szCs w:val="16"/>
          <w:color w:val="auto"/>
        </w:rPr>
      </w:pPr>
    </w:p>
    <w:p>
      <w:pPr>
        <w:ind w:left="-20" w:right="60" w:firstLine="656"/>
        <w:spacing w:after="0" w:line="293" w:lineRule="auto"/>
        <w:tabs>
          <w:tab w:leader="none" w:pos="14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Disclosure Package and the Prospectus, the Company is not aware of any material weakness in the Company and its subsidiaries’ internal controls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2" w:name="page13"/>
    <w:bookmarkEnd w:id="12"/>
    <w:p>
      <w:pPr>
        <w:ind w:right="140" w:firstLine="656"/>
        <w:spacing w:after="0" w:line="277" w:lineRule="auto"/>
        <w:tabs>
          <w:tab w:leader="none" w:pos="14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224" w:lineRule="exact"/>
        <w:rPr>
          <w:rFonts w:ascii="Arial" w:cs="Arial" w:eastAsia="Arial" w:hAnsi="Arial"/>
          <w:sz w:val="18"/>
          <w:szCs w:val="18"/>
          <w:color w:val="auto"/>
        </w:rPr>
      </w:pPr>
    </w:p>
    <w:p>
      <w:pPr>
        <w:ind w:right="160" w:firstLine="656"/>
        <w:spacing w:after="0" w:line="289" w:lineRule="auto"/>
        <w:tabs>
          <w:tab w:leader="none" w:pos="14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220" w:lineRule="exact"/>
        <w:rPr>
          <w:rFonts w:ascii="Arial" w:cs="Arial" w:eastAsia="Arial" w:hAnsi="Arial"/>
          <w:sz w:val="16"/>
          <w:szCs w:val="16"/>
          <w:color w:val="auto"/>
        </w:rPr>
      </w:pPr>
    </w:p>
    <w:p>
      <w:pPr>
        <w:ind w:right="360" w:firstLine="656"/>
        <w:spacing w:after="0" w:line="263" w:lineRule="auto"/>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237" w:lineRule="exact"/>
        <w:rPr>
          <w:rFonts w:ascii="Arial" w:cs="Arial" w:eastAsia="Arial" w:hAnsi="Arial"/>
          <w:sz w:val="18"/>
          <w:szCs w:val="18"/>
          <w:color w:val="auto"/>
        </w:rPr>
      </w:pPr>
    </w:p>
    <w:p>
      <w:pPr>
        <w:ind w:firstLine="656"/>
        <w:spacing w:after="0" w:line="286" w:lineRule="auto"/>
        <w:tabs>
          <w:tab w:leader="none" w:pos="14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Debt Documents;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1420" w:hanging="844"/>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80" w:right="80" w:firstLine="656"/>
        <w:spacing w:after="0" w:line="263" w:lineRule="auto"/>
        <w:tabs>
          <w:tab w:leader="none" w:pos="1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w:t>
      </w:r>
    </w:p>
    <w:p>
      <w:pPr>
        <w:spacing w:after="0" w:line="237" w:lineRule="exact"/>
        <w:rPr>
          <w:rFonts w:ascii="Arial" w:cs="Arial" w:eastAsia="Arial" w:hAnsi="Arial"/>
          <w:sz w:val="18"/>
          <w:szCs w:val="18"/>
          <w:color w:val="auto"/>
        </w:rPr>
      </w:pPr>
    </w:p>
    <w:p>
      <w:pPr>
        <w:jc w:val="both"/>
        <w:ind w:left="-80" w:right="40" w:firstLine="656"/>
        <w:spacing w:after="0" w:line="263" w:lineRule="auto"/>
        <w:tabs>
          <w:tab w:leader="none" w:pos="1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237" w:lineRule="exact"/>
        <w:rPr>
          <w:rFonts w:ascii="Arial" w:cs="Arial" w:eastAsia="Arial" w:hAnsi="Arial"/>
          <w:sz w:val="18"/>
          <w:szCs w:val="18"/>
          <w:color w:val="auto"/>
        </w:rPr>
      </w:pPr>
    </w:p>
    <w:p>
      <w:pPr>
        <w:ind w:left="-80" w:right="80" w:firstLine="656"/>
        <w:spacing w:after="0" w:line="291" w:lineRule="auto"/>
        <w:tabs>
          <w:tab w:leader="none" w:pos="14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220" w:lineRule="exact"/>
        <w:rPr>
          <w:rFonts w:ascii="Arial" w:cs="Arial" w:eastAsia="Arial" w:hAnsi="Arial"/>
          <w:sz w:val="16"/>
          <w:szCs w:val="16"/>
          <w:color w:val="auto"/>
        </w:rPr>
      </w:pPr>
    </w:p>
    <w:p>
      <w:pPr>
        <w:ind w:left="-80" w:firstLine="656"/>
        <w:spacing w:after="0" w:line="289" w:lineRule="auto"/>
        <w:tabs>
          <w:tab w:leader="none" w:pos="13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or controlled Affiliate of the Company or any of its subsidiaries is currently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Swiss Secretariat of Economic Affairs, the Hong Kong Monetary Authority, the Monetary Authority of Singapore, or other relevant sanctions authority (collectively, “Sanctions”), nor is the Company or any of its subsidiaries located, organized or resident in a country or territory that is the subject or target of Sanctions including, without limitation, Cuba, Iran, North Korea, Syria and Crimea (each a “Sanctioned Country”).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152" w:right="399" w:bottom="1440" w:gutter="0" w:footer="0" w:header="0"/>
        </w:sectPr>
      </w:pPr>
    </w:p>
    <w:bookmarkStart w:id="14" w:name="page15"/>
    <w:bookmarkEnd w:id="14"/>
    <w:p>
      <w:pPr>
        <w:ind w:left="-80" w:firstLine="656"/>
        <w:spacing w:after="0" w:line="268" w:lineRule="auto"/>
        <w:tabs>
          <w:tab w:leader="none" w:pos="1508"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238" w:lineRule="exact"/>
        <w:rPr>
          <w:rFonts w:ascii="Arial" w:cs="Arial" w:eastAsia="Arial" w:hAnsi="Arial"/>
          <w:sz w:val="17"/>
          <w:szCs w:val="17"/>
          <w:color w:val="auto"/>
        </w:rPr>
      </w:pPr>
    </w:p>
    <w:p>
      <w:pPr>
        <w:ind w:left="-80" w:firstLine="656"/>
        <w:spacing w:after="0" w:line="286" w:lineRule="auto"/>
        <w:tabs>
          <w:tab w:leader="none" w:pos="14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the Company and its subsidiaries (i) conducts its business and is in compliance with all federal, state and local laws governing or otherwise regulating the importation, transportation, purchase or other acquisition, possession or sale or other transfer of firearms, ammunition or explosives, including without limitation the Gun Control Act of 1968 (Chapter 44 of Title 18, United States Code), the National Firearms Act of 1934 (Chapter 53 of Title 26, United States Code), and the Arms Export Control Act (22 U.S.C. § 2778), as well as all applicable rules and regulations of the Bureau of Alcohol, Tobacco, Firearms and Explosives (the “ATF”)) (collectively, the “Firearms, Ammunition and Explosives Laws”); and (ii) possesses, and is in compliance with the terms of, all licenses, registrations and permits required in order for the Company and its subsidiaries to conduct their respective businesses (as currently conducted and as proposed to be conducted) with respect to the sale of firearms, ammunition and explosives, except, in the case of each of clause (i) or (ii), where the failure to so comply or be in possession would not reasonably be expected to have a Material Adverse Effect. Neither the Company nor any of its subsidiaries has received, during the three year period preceding the date of this Agreement, from the ATF or any other regulatory authority any notice of revocation of any such license, registration or permit and has no reason to believe that the ATF or any other regulatory authority may issue any such notice, except for any such notice or revocation that would not reasonably be expected to have a Material Adverse Effect. Neither the Company nor any of its subsidiaries (1) has received from the ATF or any other regulatory authority any notice of violation of any Firearms, Ammunition and Explosives Law or (2) has any reason to believe that the ATF or any other regulatory authority may issue any such notice, except, in the case of clauses (1) and (2), where such notices or violations would not reasonably be expected to have a Material Adverse Effect.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152" w:right="399" w:bottom="1440" w:gutter="0" w:footer="0" w:header="0"/>
        </w:sectPr>
      </w:pPr>
    </w:p>
    <w:bookmarkStart w:id="15" w:name="page16"/>
    <w:bookmarkEnd w:id="15"/>
    <w:p>
      <w:pPr>
        <w:ind w:right="40" w:firstLine="656"/>
        <w:spacing w:after="0" w:line="269" w:lineRule="auto"/>
        <w:tabs>
          <w:tab w:leader="none" w:pos="14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is free and clear of all material bugs, errors, defects, Trojan horses, time bombs, malware and other corruptants. Except as would not reasonably be 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06" w:lineRule="exact"/>
        <w:rPr>
          <w:sz w:val="20"/>
          <w:szCs w:val="20"/>
          <w:color w:val="auto"/>
        </w:rPr>
      </w:pPr>
    </w:p>
    <w:p>
      <w:pPr>
        <w:ind w:right="100" w:firstLine="1296"/>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78" w:lineRule="exact"/>
        <w:rPr>
          <w:sz w:val="20"/>
          <w:szCs w:val="20"/>
          <w:color w:val="auto"/>
        </w:rPr>
      </w:pPr>
    </w:p>
    <w:p>
      <w:pPr>
        <w:ind w:right="640" w:firstLine="656"/>
        <w:spacing w:after="0" w:line="277" w:lineRule="auto"/>
        <w:tabs>
          <w:tab w:leader="none" w:pos="132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xml:space="preserve"> Each Selling Stockholder represents, warrants and covenants to the Company and the Underwriters, severally and not jointly, as follows:</w:t>
      </w:r>
    </w:p>
    <w:p>
      <w:pPr>
        <w:spacing w:after="0" w:line="224" w:lineRule="exact"/>
        <w:rPr>
          <w:sz w:val="20"/>
          <w:szCs w:val="20"/>
          <w:color w:val="auto"/>
        </w:rPr>
      </w:pPr>
    </w:p>
    <w:p>
      <w:pPr>
        <w:ind w:left="1400" w:hanging="744"/>
        <w:spacing w:after="0"/>
        <w:tabs>
          <w:tab w:leader="none" w:pos="1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Stockholder.</w:t>
      </w:r>
    </w:p>
    <w:p>
      <w:pPr>
        <w:spacing w:after="0" w:line="279" w:lineRule="exact"/>
        <w:rPr>
          <w:rFonts w:ascii="Arial" w:cs="Arial" w:eastAsia="Arial" w:hAnsi="Arial"/>
          <w:sz w:val="18"/>
          <w:szCs w:val="18"/>
          <w:color w:val="auto"/>
        </w:rPr>
      </w:pPr>
    </w:p>
    <w:p>
      <w:pPr>
        <w:ind w:firstLine="656"/>
        <w:spacing w:after="0" w:line="287" w:lineRule="auto"/>
        <w:tabs>
          <w:tab w:leader="none" w:pos="1398"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such Selling Stockholder is a Gochman Selling Stockholder, (i) book-entry entitlements representing all of the Securities to be sold by such Selling Stockholder hereunder have been placed in custody under a Custody Agreement, in the form heretofore furnished to you (the “Custody Agreement”), duly executed and delivered by such Selling Stockholder to Broadridge Corporate Issuer Solutions, Inc., as custodian (the “Custodian”), and</w:t>
      </w:r>
    </w:p>
    <w:p>
      <w:pPr>
        <w:spacing w:after="0" w:line="2" w:lineRule="exact"/>
        <w:rPr>
          <w:rFonts w:ascii="Arial" w:cs="Arial" w:eastAsia="Arial" w:hAnsi="Arial"/>
          <w:sz w:val="16"/>
          <w:szCs w:val="16"/>
          <w:color w:val="auto"/>
        </w:rPr>
      </w:pPr>
    </w:p>
    <w:p>
      <w:pPr>
        <w:ind w:right="20" w:firstLine="8"/>
        <w:spacing w:after="0" w:line="290"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Selling Stockholder shall have duly executed and delivered a Power of Attorney, in the form heretofore furnished to you (the “Power of Attorney”), appointing Ken Hicks, Michael Mullican, and Rene Casares,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3 hereof, to execute and deliver a Stock Power relating to the Underwritten Securities to be sold by such Selling Stockholder (the “Stock Power”), to authorize the delivery of the Securities to be sold by such Selling Stockholder hereunder and to otherwise to act on behalf of such Selling Stockholder in connection with the transactions contemplated by this Agreement and the Custody Agreement.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6" w:name="page17"/>
    <w:bookmarkEnd w:id="16"/>
    <w:p>
      <w:pPr>
        <w:ind w:left="-20" w:firstLine="656"/>
        <w:spacing w:after="0" w:line="287" w:lineRule="auto"/>
        <w:tabs>
          <w:tab w:leader="none" w:pos="13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payment for the Underwritten Securities to be sold by such Selling Stockholders pursuant to this Agreement, delivery of such Underwritten Securities, as directed by the Representatives, to Cede &amp; Co. (“Cede”) or such other nominee as may be designated by The Depository Trust Company (“DTC”), registration of such Underwritten Securities in the name of Cede or such other nominee and the crediting of such Securities on the books of DTC to the securities account of the Underwriters (assuming that neither DTC nor the Underwriters has notice of any adverse claim (within the meaning of Section 8-105 of the New York Uniform Commercial Code (the “UCC”)) to such Securities), (A) DTC shall be a “protected purchaser” of such Underwritten Securities within the meaning of Section 8-303 of the UCC, (B) under Section 8-501 of the UCC, the Underwriters will acquire a valid security entitlement in respect of such Underwritten Securities and (C) no action based on any “adverse claim”, within the meaning of Section 8-102 of the UCC, to such Underwritten Securities may be successfully asserted against the Underwriters with respect to such security entitlement; for purposes of this representation, such Selling Stockholder may assume that when such payment, delivery and crediting occur, (x) such Underwritten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221" w:lineRule="exact"/>
        <w:rPr>
          <w:rFonts w:ascii="Arial" w:cs="Arial" w:eastAsia="Arial" w:hAnsi="Arial"/>
          <w:sz w:val="16"/>
          <w:szCs w:val="16"/>
          <w:color w:val="auto"/>
        </w:rPr>
      </w:pPr>
    </w:p>
    <w:p>
      <w:pPr>
        <w:ind w:left="-20" w:right="120" w:firstLine="656"/>
        <w:spacing w:after="0" w:line="268" w:lineRule="auto"/>
        <w:tabs>
          <w:tab w:leader="none" w:pos="137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execution and delivery by such Selling Stockholder, or such Selling Stockholder’s Attorneys-in-Fact, as applicable, of, and the performance by such Selling Stockholder of its obligations under, this Agreement, and, if such Selling Stockholder is a Gochman Selling Stockholder, the Power of Attorney, the Custody Agreement and Stock Power, will not contravene or conflict with, result in a breach of, or constitute a default (or, with the giving of notice or lapse of time, would be in default) under, or require the consent of any other party to, (i) in the case of the KKR Selling Stockholders, the limited partnership agreement or the limited liability company agreement, as applicable, of the KKR Selling Stockholders, (ii) in the case of the Gochman Selling Stockholders, the limited partnership agreement or limited liability company agreement, as applicable, of the Gochman Selling Stockholders,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Gochman Selling Stockholder, under the Power of Attorney, the Custody Agreement and the Stock Power, except such as may be required under the Securities Act, the Exchange Act, applicable state securities or blue sky laws and from the FINRA and such other approvals as have been or will be made or obtained on or prior to the Closing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 w:name="page18"/>
    <w:bookmarkEnd w:id="17"/>
    <w:p>
      <w:pPr>
        <w:ind w:right="20" w:firstLine="656"/>
        <w:spacing w:after="0" w:line="272" w:lineRule="auto"/>
        <w:tabs>
          <w:tab w:leader="none" w:pos="138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name of such Selling Stockholder, the number of total shares beneficially owned, the number of offered shares and the address and other information with respect to such Selling Stockholder (excluding percentages) under the caption “Selling Stockholders” in the Registration Statement, the Disclosure Package and the Prospectus (such information, the “Selling Stockholders Information”).</w:t>
      </w:r>
    </w:p>
    <w:p>
      <w:pPr>
        <w:spacing w:after="0" w:line="231" w:lineRule="exact"/>
        <w:rPr>
          <w:rFonts w:ascii="Arial" w:cs="Arial" w:eastAsia="Arial" w:hAnsi="Arial"/>
          <w:sz w:val="17"/>
          <w:szCs w:val="17"/>
          <w:color w:val="auto"/>
        </w:rPr>
      </w:pPr>
    </w:p>
    <w:p>
      <w:pPr>
        <w:ind w:right="40" w:firstLine="656"/>
        <w:spacing w:after="0" w:line="255" w:lineRule="auto"/>
        <w:tabs>
          <w:tab w:leader="none" w:pos="13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than the Registration Statement, the Preliminary Prospectus, the Disclosure Package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in Schedule II hereto, each electronic road show and any other written communications approved in writing in advance by the Company and the Representatives.</w:t>
      </w:r>
    </w:p>
    <w:p>
      <w:pPr>
        <w:spacing w:after="0" w:line="246" w:lineRule="exact"/>
        <w:rPr>
          <w:rFonts w:ascii="Arial" w:cs="Arial" w:eastAsia="Arial" w:hAnsi="Arial"/>
          <w:sz w:val="18"/>
          <w:szCs w:val="18"/>
          <w:color w:val="auto"/>
        </w:rPr>
      </w:pPr>
    </w:p>
    <w:p>
      <w:pPr>
        <w:ind w:right="180" w:firstLine="656"/>
        <w:spacing w:after="0" w:line="263" w:lineRule="auto"/>
        <w:tabs>
          <w:tab w:leader="none" w:pos="13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 Such Selling Stockholder has a reasonable basis for making each of the representations set forth in this Section 2. Such Selling Stockholder acknowledges that the Underwriters and, for purposes of the opinions to be delivered pursuant to Sections 8(b)(i) and</w:t>
      </w:r>
    </w:p>
    <w:p>
      <w:pPr>
        <w:spacing w:after="0" w:line="1" w:lineRule="exact"/>
        <w:rPr>
          <w:sz w:val="20"/>
          <w:szCs w:val="20"/>
          <w:color w:val="auto"/>
        </w:rPr>
      </w:pPr>
    </w:p>
    <w:p>
      <w:pPr>
        <w:ind w:right="500" w:firstLine="8"/>
        <w:spacing w:after="0" w:line="260"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and Section 8(c) hereof, counsel to such Selling Stockholder and counsel to the Underwriters, will rely upon the accuracy and truthfulness of the foregoing representations and hereby consents to such reliance.</w:t>
      </w:r>
    </w:p>
    <w:p>
      <w:pPr>
        <w:spacing w:after="0" w:line="239" w:lineRule="exact"/>
        <w:rPr>
          <w:rFonts w:ascii="Arial" w:cs="Arial" w:eastAsia="Arial" w:hAnsi="Arial"/>
          <w:sz w:val="18"/>
          <w:szCs w:val="18"/>
          <w:color w:val="auto"/>
        </w:rPr>
      </w:pPr>
    </w:p>
    <w:p>
      <w:pPr>
        <w:ind w:left="1340" w:hanging="684"/>
        <w:spacing w:after="0"/>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79" w:lineRule="exact"/>
        <w:rPr>
          <w:sz w:val="20"/>
          <w:szCs w:val="20"/>
          <w:color w:val="auto"/>
        </w:rPr>
      </w:pPr>
    </w:p>
    <w:p>
      <w:pPr>
        <w:ind w:firstLine="656"/>
        <w:spacing w:after="0" w:line="289" w:lineRule="auto"/>
        <w:tabs>
          <w:tab w:leader="none" w:pos="13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$30.96 per share, the amount of the Underwritten Securities determined by multiplying the aggregate number of Underwritten Securities to be sold by each of the Selling Stockholders as set forth opposite its name in Schedule I(B) hereto by a fraction, the numerator of which is the aggregate number of Underwritten Securities to be purchased by such Underwriter as set forth opposite such Underwriter’s name in Schedule I(A) hereto and the denominator of which is the aggregate number of the Underwritten Securities to be purchased by all of the Underwriters from all of the Selling Stockholders hereunder. Contemporaneously with and, subject to the sale of the Underwritten Securities by the Selling Stockholders to the Underwriters in compliance with the terms of this Agreement, the Underwriters agree to sell to the Company, and the Company agrees to purchase from the Underwriters, an aggregate of 3,229,974 shares of Common Stock at a purchase price per share set forth above in this Section 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8" w:name="page19"/>
    <w:bookmarkEnd w:id="18"/>
    <w:p>
      <w:pPr>
        <w:ind w:left="-20" w:right="140" w:firstLine="656"/>
        <w:spacing w:after="0" w:line="289" w:lineRule="auto"/>
        <w:tabs>
          <w:tab w:leader="none" w:pos="13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KKR Selling Stockholders hereby grant an option to the several Underwriters to purchase, severally and not jointly, up to 2,100,000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(but not more than twice) on or before the 30th day after the date of the Prospectus upon written or telegraphic notice by the Representatives to the KKR Selling Stockholders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220" w:lineRule="exact"/>
        <w:rPr>
          <w:rFonts w:ascii="Arial" w:cs="Arial" w:eastAsia="Arial" w:hAnsi="Arial"/>
          <w:sz w:val="16"/>
          <w:szCs w:val="16"/>
          <w:color w:val="auto"/>
        </w:rPr>
      </w:pPr>
    </w:p>
    <w:p>
      <w:pPr>
        <w:ind w:left="-20" w:firstLine="656"/>
        <w:spacing w:after="0" w:line="286" w:lineRule="auto"/>
        <w:tabs>
          <w:tab w:leader="none" w:pos="13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of the Company and each Selling Stockholder acknowledges and agrees that the Representatives and the other Underwriters are acting solely in the capacity of an arm’s length contractual counterparty to the Company and the Selling Stockholders with respect to the offering of Underwritten Securities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Stockholders. Moreover, each Selling Shareholder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Stockholders to participate in the offering, enter into a “lock-up” agreement, or sell any Securities at the price determined in the offering, and nothing set forth in such disclosures is intended to suggest that the Representatives or any Underwriter is making such a recommendation.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52" w:right="359" w:bottom="1440" w:gutter="0" w:footer="0" w:header="0"/>
        </w:sectPr>
      </w:pPr>
    </w:p>
    <w:bookmarkStart w:id="19" w:name="page20"/>
    <w:bookmarkEnd w:id="19"/>
    <w:p>
      <w:pPr>
        <w:ind w:firstLine="656"/>
        <w:spacing w:after="0" w:line="268" w:lineRule="auto"/>
        <w:tabs>
          <w:tab w:leader="none" w:pos="132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Underwritten Securities and the Option Securities (if the option provided for in Section 3(b) hereof shall have been exercised on or before the second Business Day immediately preceding the Closing Date) shall be made at the offices of Simpson Thacher &amp; Bartlett LLP, 425 Lexington Avenue, New York, New York 10017 at 10:00 AM, New York City time, on May 10, 2021, or at such time on such later date not more than two Business Days after the foregoing date as the Representatives shall designate, which date and time may be postponed by agreement between the Representatives, the 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Underwritten Securities and the Option Securities shall be made through the facilities of DTC unless the Representatives shall otherwise instruct. On the Closing Date, subject to the sale of the Underwritten Securities by the Selling Stockholders to the Underwriters in compliance with the terms of this Agreement, and in consideration for the Repurchase Securities, the Company shall pay the purchase price set forth in Section 3(a) hereof for each Repurchase Securities by wire transfer of federal (same-day) funds to the account specified by the Underwriters to the Company at least twenty-four hours in advance. Payment for the Repurchase Securities shall be made against delivery by the Underwriters of the Repurchase Securities to the Company through the facilities of the DTC for the account of the Company on the Closing Date.</w:t>
      </w:r>
    </w:p>
    <w:p>
      <w:pPr>
        <w:spacing w:after="0" w:line="209" w:lineRule="exact"/>
        <w:rPr>
          <w:sz w:val="20"/>
          <w:szCs w:val="20"/>
          <w:color w:val="auto"/>
        </w:rPr>
      </w:pPr>
    </w:p>
    <w:p>
      <w:pPr>
        <w:ind w:right="80" w:firstLine="1296"/>
        <w:spacing w:after="0" w:line="270" w:lineRule="auto"/>
        <w:rPr>
          <w:sz w:val="20"/>
          <w:szCs w:val="20"/>
          <w:color w:val="auto"/>
        </w:rPr>
      </w:pPr>
      <w:r>
        <w:rPr>
          <w:rFonts w:ascii="Arial" w:cs="Arial" w:eastAsia="Arial" w:hAnsi="Arial"/>
          <w:sz w:val="17"/>
          <w:szCs w:val="17"/>
          <w:color w:val="auto"/>
        </w:rPr>
        <w:t>If the option provided for in Section 3(b) hereof is exercised after the second Business Day immediately preceding the Closing Date, the KKR Selling Stockholders will deliver the Option Securities to the Representatives on the date specified by the Representatives (which shall be within two Business Days after exercise of said option, which date may be postponed by agreement between the Representatives, the Company and the KKR Selling Stockholders) for the respective accounts of the several Underwriters, against payment by the several Underwriters through the Representatives of the purchase price thereof to or upon the order of the KKR Selling Stockholders by wire transfer payable in same-day funds to the account(s) specified by the KKR Selling Stockholders. If settlement for the Option Securities occurs after the Closing Date, the KKR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8 hereof.</w:t>
      </w:r>
    </w:p>
    <w:p>
      <w:pPr>
        <w:spacing w:after="0" w:line="235" w:lineRule="exact"/>
        <w:rPr>
          <w:sz w:val="20"/>
          <w:szCs w:val="20"/>
          <w:color w:val="auto"/>
        </w:rPr>
      </w:pPr>
    </w:p>
    <w:p>
      <w:pPr>
        <w:ind w:left="1340" w:hanging="684"/>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ind w:left="1320" w:hanging="68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279" w:lineRule="exact"/>
        <w:rPr>
          <w:sz w:val="20"/>
          <w:szCs w:val="20"/>
          <w:color w:val="auto"/>
        </w:rPr>
      </w:pPr>
    </w:p>
    <w:p>
      <w:pPr>
        <w:ind w:left="-20" w:firstLine="656"/>
        <w:spacing w:after="0" w:line="285" w:lineRule="auto"/>
        <w:tabs>
          <w:tab w:leader="none" w:pos="13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20" w:right="40" w:firstLine="656"/>
        <w:spacing w:after="0" w:line="293" w:lineRule="auto"/>
        <w:tabs>
          <w:tab w:leader="none" w:pos="13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subject to paragraph (a) of this Section 6, amend or supplement the Disclosure Package to eliminate or correct such statement or omission; and (iii) supply any amendment or supplement to the several Underwriters and counsel for the Underwriters without charge in such quantities as they may reasonably request.</w:t>
      </w:r>
    </w:p>
    <w:p>
      <w:pPr>
        <w:spacing w:after="0" w:line="218" w:lineRule="exact"/>
        <w:rPr>
          <w:rFonts w:ascii="Arial" w:cs="Arial" w:eastAsia="Arial" w:hAnsi="Arial"/>
          <w:sz w:val="16"/>
          <w:szCs w:val="16"/>
          <w:color w:val="auto"/>
        </w:rPr>
      </w:pPr>
    </w:p>
    <w:p>
      <w:pPr>
        <w:ind w:left="-20" w:firstLine="656"/>
        <w:spacing w:after="0" w:line="289" w:lineRule="auto"/>
        <w:tabs>
          <w:tab w:leader="none" w:pos="13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95" w:right="359" w:bottom="1440" w:gutter="0" w:footer="0" w:header="0"/>
        </w:sectPr>
      </w:pPr>
    </w:p>
    <w:bookmarkStart w:id="21" w:name="page22"/>
    <w:bookmarkEnd w:id="21"/>
    <w:p>
      <w:pPr>
        <w:ind w:left="1392" w:hanging="744"/>
        <w:spacing w:after="0"/>
        <w:tabs>
          <w:tab w:leader="none" w:pos="13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8" w:right="180" w:firstLine="656"/>
        <w:spacing w:after="0" w:line="263"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237" w:lineRule="exact"/>
        <w:rPr>
          <w:rFonts w:ascii="Arial" w:cs="Arial" w:eastAsia="Arial" w:hAnsi="Arial"/>
          <w:sz w:val="18"/>
          <w:szCs w:val="18"/>
          <w:color w:val="auto"/>
        </w:rPr>
      </w:pPr>
    </w:p>
    <w:p>
      <w:pPr>
        <w:ind w:left="-8" w:right="80" w:firstLine="656"/>
        <w:spacing w:after="0" w:line="277" w:lineRule="auto"/>
        <w:tabs>
          <w:tab w:leader="none" w:pos="13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and use its commercially reasonable efforts to permit the Securities to be eligible for clearance and settlement through DTC.</w:t>
      </w:r>
    </w:p>
    <w:p>
      <w:pPr>
        <w:spacing w:after="0" w:line="224" w:lineRule="exact"/>
        <w:rPr>
          <w:rFonts w:ascii="Arial" w:cs="Arial" w:eastAsia="Arial" w:hAnsi="Arial"/>
          <w:sz w:val="18"/>
          <w:szCs w:val="18"/>
          <w:color w:val="auto"/>
        </w:rPr>
      </w:pPr>
    </w:p>
    <w:p>
      <w:pPr>
        <w:ind w:left="-8" w:right="20" w:firstLine="656"/>
        <w:spacing w:after="0" w:line="255" w:lineRule="auto"/>
        <w:tabs>
          <w:tab w:leader="none" w:pos="13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246" w:lineRule="exact"/>
        <w:rPr>
          <w:rFonts w:ascii="Arial" w:cs="Arial" w:eastAsia="Arial" w:hAnsi="Arial"/>
          <w:sz w:val="18"/>
          <w:szCs w:val="18"/>
          <w:color w:val="auto"/>
        </w:rPr>
      </w:pPr>
    </w:p>
    <w:p>
      <w:pPr>
        <w:ind w:left="-8" w:right="60" w:firstLine="656"/>
        <w:spacing w:after="0" w:line="255" w:lineRule="auto"/>
        <w:tabs>
          <w:tab w:leader="none" w:pos="13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46" w:lineRule="exact"/>
        <w:rPr>
          <w:rFonts w:ascii="Arial" w:cs="Arial" w:eastAsia="Arial" w:hAnsi="Arial"/>
          <w:sz w:val="18"/>
          <w:szCs w:val="18"/>
          <w:color w:val="auto"/>
        </w:rPr>
      </w:pPr>
    </w:p>
    <w:p>
      <w:pPr>
        <w:ind w:left="-8" w:firstLine="656"/>
        <w:spacing w:after="0" w:line="282" w:lineRule="auto"/>
        <w:tabs>
          <w:tab w:leader="none" w:pos="13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Representatives,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45 days after the date of the Underwriting Agreement. The foregoing sentence shall not apply to (A) any shares of Common Stock issued by the Company upon the exercise of options to purchase shares of Common Stock, upon the vesting of restricted stock awards or upon the settlement of restricted stock unit awards, in each case disclosed in the Disclosure Package and the Prospectus, (B) the grant of awards pursuant to the Company’s incentive plans or otherwise pursuant to equity compensation arrangements with directors, officers, employees and consultants of the Company and its subsidiaries, in each case, as described in the Disclosure Package and the Prospectus, (C) the issuance or grant of shares of securities, including restricted stock awards, options to purchase shares of common stock, restricted stock units or any other stock-based awards, in each case, registered or to be registered pursuant to any registration statement on Form S-8 pursuant to any benefit plans or arrangements (including, without limitation, employee stock purchase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(E) the issuance of shares of Common Stock, of restricted stock awards or of options to purchase shares of Common Stock, in each case, in connection with joint ventures, commercial relationships or other strategic transactions;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immediately preceding clauses (D) and (E), the aggregate number of restricted stock awards and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 or</w:t>
      </w:r>
    </w:p>
    <w:p>
      <w:pPr>
        <w:spacing w:after="0" w:line="10" w:lineRule="exact"/>
        <w:rPr>
          <w:rFonts w:ascii="Arial" w:cs="Arial" w:eastAsia="Arial" w:hAnsi="Arial"/>
          <w:sz w:val="16"/>
          <w:szCs w:val="16"/>
          <w:color w:val="auto"/>
        </w:rPr>
      </w:pPr>
    </w:p>
    <w:p>
      <w:pPr>
        <w:ind w:left="272" w:hanging="272"/>
        <w:spacing w:after="0"/>
        <w:tabs>
          <w:tab w:leader="none" w:pos="2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 Repurchase.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52" w:right="339" w:bottom="1440" w:gutter="0" w:footer="0" w:header="0"/>
        </w:sectPr>
      </w:pPr>
    </w:p>
    <w:bookmarkStart w:id="22" w:name="page23"/>
    <w:bookmarkEnd w:id="22"/>
    <w:p>
      <w:pPr>
        <w:ind w:left="1300" w:hanging="70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jc w:val="both"/>
        <w:ind w:left="-60" w:right="120" w:firstLine="656"/>
        <w:spacing w:after="0" w:line="263" w:lineRule="auto"/>
        <w:tabs>
          <w:tab w:leader="none" w:pos="13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237" w:lineRule="exact"/>
        <w:rPr>
          <w:rFonts w:ascii="Arial" w:cs="Arial" w:eastAsia="Arial" w:hAnsi="Arial"/>
          <w:sz w:val="18"/>
          <w:szCs w:val="18"/>
          <w:color w:val="auto"/>
        </w:rPr>
      </w:pPr>
    </w:p>
    <w:p>
      <w:pPr>
        <w:ind w:left="-60" w:firstLine="656"/>
        <w:spacing w:after="0" w:line="284" w:lineRule="auto"/>
        <w:tabs>
          <w:tab w:leader="none" w:pos="12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6(h)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fees and the reasonable and documented fees and expenses of counsel for the Underwriters relating to such filings in an amount not to exceed $35,000);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one counsel for the Selling Stockholders and (x) all other costs and expenses incident to the performance by the Company of its obligations hereunder. Notwithstanding the forgoing, except as specifically provided in this paragraph (l)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agrees with the Underwriters to pay (directly or by reimbursement) all fees and expenses incident to the performance of such Selling Stockholder’s obligations under this Agreement with respect to stock transfer taxes, stamp duties and other similar taxes incident to the sale and delivery of the Underwritten Securities to be sold by such Selling Stockholder to the Underwriters hereunder. This Section 6(l) shall not affect or modify any separate, valid agreement relating to the allocation of payment of expenses between the Company, on the one hand, and any Selling Stockholder, on the other hand.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52" w:right="379" w:bottom="1440" w:gutter="0" w:footer="0" w:header="0"/>
        </w:sectPr>
      </w:pPr>
    </w:p>
    <w:bookmarkStart w:id="23" w:name="page24"/>
    <w:bookmarkEnd w:id="23"/>
    <w:p>
      <w:pPr>
        <w:ind w:left="1440" w:hanging="80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firstLine="656"/>
        <w:spacing w:after="0" w:line="286" w:lineRule="auto"/>
        <w:tabs>
          <w:tab w:leader="none" w:pos="13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24" w:name="page25"/>
    <w:bookmarkEnd w:id="24"/>
    <w:p>
      <w:pPr>
        <w:ind w:left="1340" w:hanging="684"/>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Agreements of the Selling Stockholders</w:t>
      </w:r>
      <w:r>
        <w:rPr>
          <w:rFonts w:ascii="Arial" w:cs="Arial" w:eastAsia="Arial" w:hAnsi="Arial"/>
          <w:sz w:val="16"/>
          <w:szCs w:val="16"/>
          <w:color w:val="auto"/>
        </w:rPr>
        <w:t>. Each Selling Stockholder agrees with the Company and the several Underwriters as follows:</w:t>
      </w:r>
    </w:p>
    <w:p>
      <w:pPr>
        <w:spacing w:after="0" w:line="302" w:lineRule="exact"/>
        <w:rPr>
          <w:sz w:val="20"/>
          <w:szCs w:val="20"/>
          <w:color w:val="auto"/>
        </w:rPr>
      </w:pPr>
    </w:p>
    <w:p>
      <w:pPr>
        <w:ind w:firstLine="656"/>
        <w:spacing w:after="0" w:line="279" w:lineRule="auto"/>
        <w:tabs>
          <w:tab w:leader="none" w:pos="1388"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Such Selling Stockholder will advise you promptly, and if requested by you, will confirm such advice in writing, during the period when a prospectus relating to the Underwritten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25" w:lineRule="exact"/>
        <w:rPr>
          <w:rFonts w:ascii="Arial" w:cs="Arial" w:eastAsia="Arial" w:hAnsi="Arial"/>
          <w:sz w:val="17"/>
          <w:szCs w:val="17"/>
          <w:color w:val="auto"/>
        </w:rPr>
      </w:pPr>
    </w:p>
    <w:p>
      <w:pPr>
        <w:ind w:right="220" w:firstLine="656"/>
        <w:spacing w:after="0" w:line="342" w:lineRule="auto"/>
        <w:tabs>
          <w:tab w:leader="none" w:pos="13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deliver to the Underwriters prior to the Closing Date a properly completed and executed United States Treasury Department Form W-9, together with all required attachments, if any, of such Selling Stockholder or, in the case of a Gochman Selling Stockholder, of the Custodian.</w:t>
      </w:r>
    </w:p>
    <w:p>
      <w:pPr>
        <w:spacing w:after="0" w:line="15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Underwriters, may, in their sole discretion, waive in writing the performance by the Company or any Selling Stockholder of any one or more of the foregoing covenants or extend the time for their performance.</w:t>
      </w:r>
    </w:p>
    <w:p>
      <w:pPr>
        <w:spacing w:after="0" w:line="224" w:lineRule="exact"/>
        <w:rPr>
          <w:sz w:val="20"/>
          <w:szCs w:val="20"/>
          <w:color w:val="auto"/>
        </w:rPr>
      </w:pPr>
    </w:p>
    <w:p>
      <w:pPr>
        <w:ind w:right="80" w:firstLine="656"/>
        <w:spacing w:after="0" w:line="254" w:lineRule="auto"/>
        <w:tabs>
          <w:tab w:leader="none" w:pos="132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Underwritten Securities and the Option Securities, as the case may be, shall be subject to the accuracy in all material respects (except in the case of Section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and any settlement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249" w:lineRule="exact"/>
        <w:rPr>
          <w:sz w:val="20"/>
          <w:szCs w:val="20"/>
          <w:color w:val="auto"/>
        </w:rPr>
      </w:pPr>
    </w:p>
    <w:p>
      <w:pPr>
        <w:ind w:right="140" w:firstLine="656"/>
        <w:spacing w:after="0" w:line="301" w:lineRule="auto"/>
        <w:tabs>
          <w:tab w:leader="none" w:pos="13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211" w:lineRule="exact"/>
        <w:rPr>
          <w:rFonts w:ascii="Arial" w:cs="Arial" w:eastAsia="Arial" w:hAnsi="Arial"/>
          <w:sz w:val="16"/>
          <w:szCs w:val="16"/>
          <w:color w:val="auto"/>
        </w:rPr>
      </w:pPr>
    </w:p>
    <w:p>
      <w:pPr>
        <w:ind w:firstLine="656"/>
        <w:spacing w:after="0" w:line="311" w:lineRule="auto"/>
        <w:tabs>
          <w:tab w:leader="none" w:pos="13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The Company and the KKR Selling Stockholders shall have requested and caused Simpson Thacher &amp; Bartlett LLP, counsel for the Company and the KKR Selling Stockholders, to furnish to the Representatives an opinion letter and a negative assurance letter, each dated the Closing Date or any settlement date, as the case may be, and in form and substance reasonably satisfactory to the Representatives, as set forth in Exhibit B hereto;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5" w:name="page26"/>
    <w:bookmarkEnd w:id="25"/>
    <w:p>
      <w:pPr>
        <w:ind w:left="560" w:right="20" w:firstLine="724"/>
        <w:spacing w:after="0" w:line="263" w:lineRule="auto"/>
        <w:tabs>
          <w:tab w:leader="none" w:pos="15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shall have requested and caused the general counsel of the Company to furnish to the Representatives an opinion letter dated the Closing Date or any settlement date, as the case may be, and otherwise in form and substance reasonably satisfactory to the Representatives, as set forth in Exhibit C hereto; and</w:t>
      </w:r>
    </w:p>
    <w:p>
      <w:pPr>
        <w:spacing w:after="0" w:line="210" w:lineRule="exact"/>
        <w:rPr>
          <w:rFonts w:ascii="Arial" w:cs="Arial" w:eastAsia="Arial" w:hAnsi="Arial"/>
          <w:sz w:val="18"/>
          <w:szCs w:val="18"/>
          <w:color w:val="auto"/>
        </w:rPr>
      </w:pPr>
    </w:p>
    <w:p>
      <w:pPr>
        <w:ind w:left="560" w:right="100" w:firstLine="724"/>
        <w:spacing w:after="0" w:line="342" w:lineRule="auto"/>
        <w:tabs>
          <w:tab w:leader="none" w:pos="1604"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Gochman Selling Stockholders shall have requested and caused Whalen LLP, counsel for the Gochman Selling Stockholders, to furnish to the Representatives an opinion letter dated the Closing Date and in form and substance reasonably satisfactory to the Representatives.</w:t>
      </w:r>
    </w:p>
    <w:p>
      <w:pPr>
        <w:spacing w:after="0" w:line="177" w:lineRule="exact"/>
        <w:rPr>
          <w:rFonts w:ascii="Arial" w:cs="Arial" w:eastAsia="Arial" w:hAnsi="Arial"/>
          <w:sz w:val="16"/>
          <w:szCs w:val="16"/>
          <w:color w:val="auto"/>
        </w:rPr>
      </w:pPr>
    </w:p>
    <w:p>
      <w:pPr>
        <w:ind w:left="-20" w:right="120" w:firstLine="656"/>
        <w:spacing w:after="0" w:line="259" w:lineRule="auto"/>
        <w:tabs>
          <w:tab w:leader="none" w:pos="13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letter and negative assurance letter, each dated the Closing Date or any settlement date, as the case may be,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240" w:lineRule="exact"/>
        <w:rPr>
          <w:rFonts w:ascii="Arial" w:cs="Arial" w:eastAsia="Arial" w:hAnsi="Arial"/>
          <w:sz w:val="18"/>
          <w:szCs w:val="18"/>
          <w:color w:val="auto"/>
        </w:rPr>
      </w:pPr>
    </w:p>
    <w:p>
      <w:pPr>
        <w:ind w:left="-20" w:right="20" w:firstLine="656"/>
        <w:spacing w:after="0" w:line="257" w:lineRule="auto"/>
        <w:tabs>
          <w:tab w:leader="none" w:pos="13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or any settlement date, as the case may be,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242" w:lineRule="exact"/>
        <w:rPr>
          <w:sz w:val="20"/>
          <w:szCs w:val="20"/>
          <w:color w:val="auto"/>
        </w:rPr>
      </w:pPr>
    </w:p>
    <w:p>
      <w:pPr>
        <w:ind w:left="640" w:firstLine="644"/>
        <w:spacing w:after="0" w:line="257" w:lineRule="auto"/>
        <w:tabs>
          <w:tab w:leader="none" w:pos="20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in all material respects (except in the case of Section 1(kk), (ll) and (mm) or to the extent already qualified by materiality, in which case such representations and warranties are true and correct in all respects) at the Execution Time and on the Closing Date or any settlement date, as the case may be, and the Company has complied in all material respects with all the agreements and satisfied all the conditions on its part to be performed or satisfied hereunder at or prior to the Closing Date or any settlement date, as the case may be;</w:t>
      </w:r>
    </w:p>
    <w:p>
      <w:pPr>
        <w:spacing w:after="0" w:line="241" w:lineRule="exact"/>
        <w:rPr>
          <w:rFonts w:ascii="Arial" w:cs="Arial" w:eastAsia="Arial" w:hAnsi="Arial"/>
          <w:sz w:val="18"/>
          <w:szCs w:val="18"/>
          <w:color w:val="auto"/>
        </w:rPr>
      </w:pPr>
    </w:p>
    <w:p>
      <w:pPr>
        <w:ind w:left="640" w:right="120" w:firstLine="644"/>
        <w:spacing w:after="0" w:line="259" w:lineRule="auto"/>
        <w:tabs>
          <w:tab w:leader="none" w:pos="20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240" w:lineRule="exact"/>
        <w:rPr>
          <w:rFonts w:ascii="Arial" w:cs="Arial" w:eastAsia="Arial" w:hAnsi="Arial"/>
          <w:sz w:val="18"/>
          <w:szCs w:val="18"/>
          <w:color w:val="auto"/>
        </w:rPr>
      </w:pPr>
    </w:p>
    <w:p>
      <w:pPr>
        <w:ind w:left="640" w:right="140" w:firstLine="644"/>
        <w:spacing w:after="0" w:line="342" w:lineRule="auto"/>
        <w:tabs>
          <w:tab w:leader="none" w:pos="2038"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26" w:name="page27"/>
    <w:bookmarkEnd w:id="26"/>
    <w:p>
      <w:pPr>
        <w:ind w:left="-20" w:right="20" w:firstLine="656"/>
        <w:spacing w:after="0" w:line="254" w:lineRule="auto"/>
        <w:tabs>
          <w:tab w:leader="none" w:pos="13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Execution Time and at the Closing Date or any settlement date, as the case may be, the Company shall have requested and caused Deloitte &amp; Touche LLP to furnish to the Underwriters a “comfort” letter, dated as of the Execution Time, and a bring-down “comfort letter,” dated as of the Closing Date or any settlement date, as the case may be,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248" w:lineRule="exact"/>
        <w:rPr>
          <w:rFonts w:ascii="Arial" w:cs="Arial" w:eastAsia="Arial" w:hAnsi="Arial"/>
          <w:sz w:val="18"/>
          <w:szCs w:val="18"/>
          <w:color w:val="auto"/>
        </w:rPr>
      </w:pPr>
    </w:p>
    <w:p>
      <w:pPr>
        <w:ind w:left="-20" w:right="180" w:firstLine="656"/>
        <w:spacing w:after="0" w:line="263" w:lineRule="auto"/>
        <w:tabs>
          <w:tab w:leader="none" w:pos="13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Closing Date or any settlement date, the Underwriters shall receive a written certificate executed by (i) in the case of the KKR Selling Stockholders, the managing member or the general partner of the applicable KKR Selling Stockholder and (ii) in the case of the Gochman Selling Stockholders, an Attorney-in-Fact of such Selling Stockholder, dated as of such date, to the effect that:</w:t>
      </w:r>
    </w:p>
    <w:p>
      <w:pPr>
        <w:spacing w:after="0" w:line="237" w:lineRule="exact"/>
        <w:rPr>
          <w:rFonts w:ascii="Arial" w:cs="Arial" w:eastAsia="Arial" w:hAnsi="Arial"/>
          <w:sz w:val="18"/>
          <w:szCs w:val="18"/>
          <w:color w:val="auto"/>
        </w:rPr>
      </w:pPr>
    </w:p>
    <w:p>
      <w:pPr>
        <w:ind w:left="640" w:right="200" w:firstLine="644"/>
        <w:spacing w:after="0" w:line="311" w:lineRule="auto"/>
        <w:tabs>
          <w:tab w:leader="none" w:pos="20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202" w:lineRule="exact"/>
        <w:rPr>
          <w:rFonts w:ascii="Arial" w:cs="Arial" w:eastAsia="Arial" w:hAnsi="Arial"/>
          <w:sz w:val="16"/>
          <w:szCs w:val="16"/>
          <w:color w:val="auto"/>
        </w:rPr>
      </w:pPr>
    </w:p>
    <w:p>
      <w:pPr>
        <w:ind w:left="640" w:right="100" w:firstLine="644"/>
        <w:spacing w:after="0" w:line="277" w:lineRule="auto"/>
        <w:tabs>
          <w:tab w:leader="none" w:pos="203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applicable Selling Stockholder has complied in all material respects with all the agreements and satisfied all the conditions on its part to be performed or satisfied at or prior to such date.</w:t>
      </w:r>
    </w:p>
    <w:p>
      <w:pPr>
        <w:spacing w:after="0" w:line="224" w:lineRule="exact"/>
        <w:rPr>
          <w:rFonts w:ascii="Arial" w:cs="Arial" w:eastAsia="Arial" w:hAnsi="Arial"/>
          <w:sz w:val="18"/>
          <w:szCs w:val="18"/>
          <w:color w:val="auto"/>
        </w:rPr>
      </w:pPr>
    </w:p>
    <w:p>
      <w:pPr>
        <w:ind w:left="-20" w:right="620" w:firstLine="656"/>
        <w:spacing w:after="0" w:line="263" w:lineRule="auto"/>
        <w:tabs>
          <w:tab w:leader="none" w:pos="13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or before the Closing Date, the Gochman Selling shall have furnished for review by the Underwriters copies of the Power of Attorney, Stock Power and Custody Agreement, as applicable, and such further information, certificates and documents as the Underwriters may reasonably request.</w:t>
      </w:r>
    </w:p>
    <w:p>
      <w:pPr>
        <w:spacing w:after="0" w:line="237" w:lineRule="exact"/>
        <w:rPr>
          <w:rFonts w:ascii="Arial" w:cs="Arial" w:eastAsia="Arial" w:hAnsi="Arial"/>
          <w:sz w:val="18"/>
          <w:szCs w:val="18"/>
          <w:color w:val="auto"/>
        </w:rPr>
      </w:pPr>
    </w:p>
    <w:p>
      <w:pPr>
        <w:ind w:left="-20" w:firstLine="656"/>
        <w:spacing w:after="0" w:line="293" w:lineRule="auto"/>
        <w:tabs>
          <w:tab w:leader="none" w:pos="13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218" w:lineRule="exact"/>
        <w:rPr>
          <w:rFonts w:ascii="Arial" w:cs="Arial" w:eastAsia="Arial" w:hAnsi="Arial"/>
          <w:sz w:val="16"/>
          <w:szCs w:val="16"/>
          <w:color w:val="auto"/>
        </w:rPr>
      </w:pPr>
    </w:p>
    <w:p>
      <w:pPr>
        <w:ind w:left="-20" w:right="20" w:firstLine="656"/>
        <w:spacing w:after="0" w:line="255" w:lineRule="auto"/>
        <w:tabs>
          <w:tab w:leader="none" w:pos="13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the earlier of (A) the Execution Time and (B) the execution and delivery 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27" w:name="page28"/>
    <w:bookmarkEnd w:id="27"/>
    <w:p>
      <w:pPr>
        <w:ind w:right="320" w:firstLine="656"/>
        <w:spacing w:after="0" w:line="263" w:lineRule="auto"/>
        <w:tabs>
          <w:tab w:leader="none" w:pos="13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or prior to the Execution Time, the Selling Stockholders shall have furnished to the Representatives, and the Company shall have caused each executive officer and director of the Company listed on Exhibit A-1 hereto to furnish to the Representatives, a letter addressed to the Representatives substantially in the form of Exhibit A hereto.</w:t>
      </w:r>
    </w:p>
    <w:p>
      <w:pPr>
        <w:spacing w:after="0" w:line="237" w:lineRule="exact"/>
        <w:rPr>
          <w:rFonts w:ascii="Arial" w:cs="Arial" w:eastAsia="Arial" w:hAnsi="Arial"/>
          <w:sz w:val="18"/>
          <w:szCs w:val="18"/>
          <w:color w:val="auto"/>
        </w:rPr>
      </w:pPr>
    </w:p>
    <w:p>
      <w:pPr>
        <w:ind w:right="100" w:firstLine="656"/>
        <w:spacing w:after="0" w:line="277" w:lineRule="auto"/>
        <w:tabs>
          <w:tab w:leader="none" w:pos="139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Closing Date or any settlement date, as the case may be, the Company shall have taken all action reasonably required to be taken by it to have the Securities declared eligible for clearance and settlement through DTC.</w:t>
      </w:r>
    </w:p>
    <w:p>
      <w:pPr>
        <w:spacing w:after="0" w:line="224" w:lineRule="exact"/>
        <w:rPr>
          <w:rFonts w:ascii="Arial" w:cs="Arial" w:eastAsia="Arial" w:hAnsi="Arial"/>
          <w:sz w:val="18"/>
          <w:szCs w:val="18"/>
          <w:color w:val="auto"/>
        </w:rPr>
      </w:pPr>
    </w:p>
    <w:p>
      <w:pPr>
        <w:ind w:right="420" w:firstLine="656"/>
        <w:spacing w:after="0" w:line="277" w:lineRule="auto"/>
        <w:tabs>
          <w:tab w:leader="none" w:pos="13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Closing Date or any settlement date, as the case may be, the Company shall have furnished to the Representatives such further information, certificates and documents as the Representatives may reasonably request.</w:t>
      </w:r>
    </w:p>
    <w:p>
      <w:pPr>
        <w:spacing w:after="0" w:line="197"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51" w:lineRule="exact"/>
        <w:rPr>
          <w:sz w:val="20"/>
          <w:szCs w:val="20"/>
          <w:color w:val="auto"/>
        </w:rPr>
      </w:pPr>
    </w:p>
    <w:p>
      <w:pPr>
        <w:jc w:val="both"/>
        <w:ind w:right="340" w:firstLine="1296"/>
        <w:spacing w:after="0" w:line="342" w:lineRule="auto"/>
        <w:rPr>
          <w:sz w:val="20"/>
          <w:szCs w:val="20"/>
          <w:color w:val="auto"/>
        </w:rPr>
      </w:pPr>
      <w:r>
        <w:rPr>
          <w:rFonts w:ascii="Arial" w:cs="Arial" w:eastAsia="Arial" w:hAnsi="Arial"/>
          <w:sz w:val="16"/>
          <w:szCs w:val="16"/>
          <w:color w:val="auto"/>
        </w:rPr>
        <w:t>The documents required to be delivered by this Section 8 will be available for inspection at the office of Simpson Thacher &amp; Bartlett LLP, at 425 Lexington Avenue, New York, New York 10017, on the Business Day prior to the Closing Date or any settlement date, as the case may be.</w:t>
      </w:r>
    </w:p>
    <w:p>
      <w:pPr>
        <w:spacing w:after="0" w:line="178" w:lineRule="exact"/>
        <w:rPr>
          <w:sz w:val="20"/>
          <w:szCs w:val="20"/>
          <w:color w:val="auto"/>
        </w:rPr>
      </w:pPr>
    </w:p>
    <w:p>
      <w:pPr>
        <w:ind w:right="140" w:firstLine="656"/>
        <w:spacing w:after="0" w:line="293" w:lineRule="auto"/>
        <w:tabs>
          <w:tab w:leader="none" w:pos="132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28" w:name="page29"/>
    <w:bookmarkEnd w:id="28"/>
    <w:p>
      <w:pPr>
        <w:ind w:left="1400" w:hanging="76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79" w:lineRule="exact"/>
        <w:rPr>
          <w:sz w:val="20"/>
          <w:szCs w:val="20"/>
          <w:color w:val="auto"/>
        </w:rPr>
      </w:pPr>
    </w:p>
    <w:p>
      <w:pPr>
        <w:ind w:left="-20" w:firstLine="656"/>
        <w:spacing w:after="0" w:line="285" w:lineRule="auto"/>
        <w:tabs>
          <w:tab w:leader="none" w:pos="13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Company will not be liable in any such case to the extent that any such loss, claim, damage or liability arises out of or is based upon any</w:t>
      </w:r>
      <w:r>
        <w:rPr>
          <w:rFonts w:ascii="Arial" w:cs="Arial" w:eastAsia="Arial" w:hAnsi="Arial"/>
          <w:sz w:val="16"/>
          <w:szCs w:val="16"/>
          <w:i w:val="1"/>
          <w:iCs w:val="1"/>
          <w:color w:val="auto"/>
        </w:rPr>
        <w:t xml:space="preserve"> </w:t>
      </w:r>
      <w:r>
        <w:rPr>
          <w:rFonts w:ascii="Arial" w:cs="Arial" w:eastAsia="Arial" w:hAnsi="Arial"/>
          <w:sz w:val="16"/>
          <w:szCs w:val="16"/>
          <w:color w:val="auto"/>
        </w:rPr>
        <w:t>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222" w:lineRule="exact"/>
        <w:rPr>
          <w:rFonts w:ascii="Arial" w:cs="Arial" w:eastAsia="Arial" w:hAnsi="Arial"/>
          <w:sz w:val="16"/>
          <w:szCs w:val="16"/>
          <w:color w:val="auto"/>
        </w:rPr>
      </w:pPr>
    </w:p>
    <w:p>
      <w:pPr>
        <w:ind w:left="-20" w:firstLine="656"/>
        <w:spacing w:after="0" w:line="287" w:lineRule="auto"/>
        <w:tabs>
          <w:tab w:leader="none" w:pos="13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agrees to indemnify and hold harmless (x) each Underwriter, the directors, officers, selling agents and Affiliates of each Underwriter and each person who controls any Underwriter within the meaning of either the Act or the Exchange Act and (y) the Company, each person, if any, who controls the Company within the meaning of either the Act or the Exchange Act, each of directors of the Company who signed the Registration Statement and each of the officers of the Company who signs the Registration Statement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under this subsection of each Selling Stockholder shall be limited to an amount equal to the aggregate gross proceeds after underwriting commissions and discounts, but before expenses, to such Selling Stockholder from the sale of Securities sold by such Selling Stockholder hereunder (the “Selling Stockholder Net Proceeds”).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52" w:right="359" w:bottom="1440" w:gutter="0" w:footer="0" w:header="0"/>
        </w:sectPr>
      </w:pPr>
    </w:p>
    <w:bookmarkStart w:id="29" w:name="page30"/>
    <w:bookmarkEnd w:id="29"/>
    <w:p>
      <w:pPr>
        <w:ind w:right="40" w:firstLine="656"/>
        <w:spacing w:after="0" w:line="269" w:lineRule="auto"/>
        <w:tabs>
          <w:tab w:leader="none" w:pos="13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(i) the Company, (ii) each person, if any, who controls (within the meaning of either the Act or the Exchange Act) the Company or any Selling Stockholder, (iii) 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Representatives specifically for inclusion in the documents referred to in the foregoing indemnity. This indemnity agreement will be in addition to any liability that any Underwriter may otherwise have. The Company acknowledges that the statements in the Preliminary Prospectus and the Prospectus set forth in the sixth paragraph, the twelfth paragraph and the thirteenth paragraph under the heading “Underwriting (Conflicts of Interest)”, constitute the only information furnished in writing by or on behalf of the several Underwriters for inclusion in the Registration Statement, Preliminary Prospectus, the Prospectus, any Issuer Free Writing Prospectus or any road show.</w:t>
      </w:r>
    </w:p>
    <w:p>
      <w:pPr>
        <w:spacing w:after="0" w:line="239" w:lineRule="exact"/>
        <w:rPr>
          <w:rFonts w:ascii="Arial" w:cs="Arial" w:eastAsia="Arial" w:hAnsi="Arial"/>
          <w:sz w:val="17"/>
          <w:szCs w:val="17"/>
          <w:color w:val="auto"/>
        </w:rPr>
      </w:pPr>
    </w:p>
    <w:p>
      <w:pPr>
        <w:ind w:firstLine="656"/>
        <w:spacing w:after="0" w:line="283" w:lineRule="auto"/>
        <w:tabs>
          <w:tab w:leader="none" w:pos="139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so to notify the indemnifying party (i) will not relieve it from liability under paragraph (a), (b) or (c) above, as applicable,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as applicable,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person); (ii) such action includes both the indemnified party and the indemnifying party and the indemnified party shall have reasonably concluded (based on the advice of counsel for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related proceeding in the same jurisdiction, be liable for the reasonable fees and expenses of more than one separate firm (in addition to any local counsel) for all indemnified parties. Any such separate firm for any Underwriters, its Affiliates, directors, selling agents and officers and any control persons of such Underwriters shall be designated in writing by Credit Suisse Securities (USA) LLC and J.P. Morgan Securities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Credit Suisse Securities (USA) LLC and J.P. Morgan Securities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0" w:name="page31"/>
    <w:bookmarkEnd w:id="30"/>
    <w:p>
      <w:pPr>
        <w:ind w:left="-20" w:firstLine="656"/>
        <w:spacing w:after="0" w:line="283" w:lineRule="auto"/>
        <w:tabs>
          <w:tab w:leader="none" w:pos="1368"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further limited in the manner and to the extent set forth in paragraph 10(b) and in no event shall the aggregate liability of such Selling Stockholder under paragraph 10(b) and this paragraph (e) exceed the Selling Stockholder Net Proceeds.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The Selling Stockholder’s obligations in this Section 10 to contribute are several in proportion to their Selling Stockholder Net Proceeds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and each person, if any, who controls any Selling Stockholder within the meaning of either the Act or the Exchange Act shall have the same rights to contribution as such Selling Stockholder, subject in each case to the applicable terms and conditions of this paragraph (e).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52" w:right="359" w:bottom="1440" w:gutter="0" w:footer="0" w:header="0"/>
        </w:sectPr>
      </w:pPr>
    </w:p>
    <w:bookmarkStart w:id="31" w:name="page32"/>
    <w:bookmarkEnd w:id="31"/>
    <w:p>
      <w:pPr>
        <w:ind w:left="-60" w:firstLine="656"/>
        <w:spacing w:after="0" w:line="285" w:lineRule="auto"/>
        <w:tabs>
          <w:tab w:leader="none" w:pos="134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52" w:right="399" w:bottom="1440" w:gutter="0" w:footer="0" w:header="0"/>
        </w:sectPr>
      </w:pPr>
    </w:p>
    <w:bookmarkStart w:id="32" w:name="page33"/>
    <w:bookmarkEnd w:id="32"/>
    <w:p>
      <w:pPr>
        <w:ind w:left="-40" w:firstLine="656"/>
        <w:spacing w:after="0" w:line="287" w:lineRule="auto"/>
        <w:tabs>
          <w:tab w:leader="none" w:pos="137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225" w:lineRule="exact"/>
        <w:rPr>
          <w:rFonts w:ascii="Arial" w:cs="Arial" w:eastAsia="Arial" w:hAnsi="Arial"/>
          <w:sz w:val="16"/>
          <w:szCs w:val="16"/>
          <w:color w:val="auto"/>
        </w:rPr>
      </w:pPr>
    </w:p>
    <w:p>
      <w:pPr>
        <w:ind w:left="-40" w:right="20" w:firstLine="656"/>
        <w:spacing w:after="0" w:line="273" w:lineRule="auto"/>
        <w:tabs>
          <w:tab w:leader="none" w:pos="137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Affiliated Underwriter</w:t>
      </w:r>
      <w:r>
        <w:rPr>
          <w:rFonts w:ascii="Arial" w:cs="Arial" w:eastAsia="Arial" w:hAnsi="Arial"/>
          <w:sz w:val="17"/>
          <w:szCs w:val="17"/>
          <w:color w:val="auto"/>
        </w:rPr>
        <w:t>. With respect to any Underwriter (the “Affiliated Underwriter”) who is affiliated with any person or entity engaged to act as an investment adviser on behalf of an investor who has a direct or indirect interest in the Securities being sold by the Selling Shareholder, the Securities which such Affiliated Underwriter shall procure purchasers for or failing which shall underwrite, shall not include any Securities attributable to such investor (with any such Securities instead being allocated and sold to purchasers procured by, failing which underwritten by, the other Underwriters) and, accordingly, the fees or other amounts received by such Affiliated Underwriter in connection with the transactions contemplated hereby shall not include any fees or other amounts attributable to the Securities attributable to such investor.</w:t>
      </w:r>
    </w:p>
    <w:p>
      <w:pPr>
        <w:spacing w:after="0" w:line="231" w:lineRule="exact"/>
        <w:rPr>
          <w:rFonts w:ascii="Arial" w:cs="Arial" w:eastAsia="Arial" w:hAnsi="Arial"/>
          <w:sz w:val="17"/>
          <w:szCs w:val="17"/>
          <w:color w:val="auto"/>
        </w:rPr>
      </w:pPr>
    </w:p>
    <w:p>
      <w:pPr>
        <w:ind w:left="-40" w:right="40" w:firstLine="656"/>
        <w:spacing w:after="0" w:line="275" w:lineRule="auto"/>
        <w:tabs>
          <w:tab w:leader="none" w:pos="137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52" w:right="379" w:bottom="1440" w:gutter="0" w:footer="0" w:header="0"/>
        </w:sectPr>
      </w:pPr>
    </w:p>
    <w:bookmarkStart w:id="33" w:name="page34"/>
    <w:bookmarkEnd w:id="33"/>
    <w:p>
      <w:pPr>
        <w:ind w:left="-20" w:firstLine="656"/>
        <w:spacing w:after="0" w:line="269" w:lineRule="auto"/>
        <w:tabs>
          <w:tab w:leader="none" w:pos="139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Representatives, will be mailed, delivered or telefaxed to c/o Credit Suisse Securities (USA) LLC, Eleven Madison Avenue, New York, NY 10010-3629, Attention: LCD-IBD and c/o J.P. Morgan Securities LLC, 383 Madison Avenue, New York, New York 10179, Attention: IBCM-Legal, if sent to the Company, will be mailed or delivered to Academy Sports and Outdoors, Inc., 1540 North Mason Road, Katy, TX, 77449 Attention: General Counsel; with a copy to Joseph H. Kaufman and Sunny Cheong, Simpson Thacher &amp; Bartlett LLP, at 425 Lexington Avenue, New York, New York (fax no. (212) 455-2502), or if to the KKR Selling Stockholders , c/o Kohlberg Kravis Roberts &amp; Co. L.P., 30 Hudson Yards, Suite 7500, New York, NY 10001, with a copy to Joseph H. Kaufman and Sunny Cheong, Simpson Thacher &amp; Bartlett LLP, at 425 Lexington Avenue, New York, New York (fax no. (212) 455-2502), or, if to the Gochman Selling Stockholders, to each of the Attorneys-in Fact named in the Power of Attorney, c/o the Company at the address set forth on the cover of the Registration Statement, Attention: General Counsel with a copy, which shall not constitute notice, to Whalen LLP, 1601 Dove Street, Suite 270, Newport Beach, California 92660. The Company and the Selling Stockholders shall be entitled to act and rely upon any request, consent, notice or agreement given or made on behalf of the Underwriters by the Representatives.</w:t>
      </w:r>
    </w:p>
    <w:p>
      <w:pPr>
        <w:spacing w:after="0" w:line="235" w:lineRule="exact"/>
        <w:rPr>
          <w:rFonts w:ascii="Arial" w:cs="Arial" w:eastAsia="Arial" w:hAnsi="Arial"/>
          <w:sz w:val="17"/>
          <w:szCs w:val="17"/>
          <w:color w:val="auto"/>
        </w:rPr>
      </w:pPr>
    </w:p>
    <w:p>
      <w:pPr>
        <w:ind w:left="1400" w:hanging="764"/>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79" w:lineRule="exact"/>
        <w:rPr>
          <w:sz w:val="20"/>
          <w:szCs w:val="20"/>
          <w:color w:val="auto"/>
        </w:rPr>
      </w:pPr>
    </w:p>
    <w:p>
      <w:pPr>
        <w:ind w:left="-20" w:firstLine="656"/>
        <w:spacing w:after="0" w:line="259" w:lineRule="auto"/>
        <w:tabs>
          <w:tab w:leader="none" w:pos="13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40" w:lineRule="exact"/>
        <w:rPr>
          <w:rFonts w:ascii="Arial" w:cs="Arial" w:eastAsia="Arial" w:hAnsi="Arial"/>
          <w:sz w:val="18"/>
          <w:szCs w:val="18"/>
          <w:color w:val="auto"/>
        </w:rPr>
      </w:pPr>
    </w:p>
    <w:p>
      <w:pPr>
        <w:ind w:left="-20" w:right="100" w:firstLine="656"/>
        <w:spacing w:after="0" w:line="259" w:lineRule="auto"/>
        <w:tabs>
          <w:tab w:leader="none" w:pos="137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40" w:lineRule="exact"/>
        <w:rPr>
          <w:rFonts w:ascii="Arial" w:cs="Arial" w:eastAsia="Arial" w:hAnsi="Arial"/>
          <w:sz w:val="18"/>
          <w:szCs w:val="18"/>
          <w:color w:val="auto"/>
        </w:rPr>
      </w:pPr>
    </w:p>
    <w:p>
      <w:pPr>
        <w:ind w:left="-20" w:firstLine="656"/>
        <w:spacing w:after="0" w:line="254" w:lineRule="auto"/>
        <w:tabs>
          <w:tab w:leader="none" w:pos="13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52" w:right="359" w:bottom="1440" w:gutter="0" w:footer="0" w:header="0"/>
        </w:sectPr>
      </w:pPr>
    </w:p>
    <w:bookmarkStart w:id="34" w:name="page35"/>
    <w:bookmarkEnd w:id="34"/>
    <w:p>
      <w:pPr>
        <w:ind w:left="-60" w:right="140" w:firstLine="656"/>
        <w:spacing w:after="0" w:line="286" w:lineRule="auto"/>
        <w:tabs>
          <w:tab w:leader="none" w:pos="135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parties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9" w:lineRule="exact"/>
        <w:rPr>
          <w:rFonts w:ascii="Arial" w:cs="Arial" w:eastAsia="Arial" w:hAnsi="Arial"/>
          <w:sz w:val="17"/>
          <w:szCs w:val="17"/>
          <w:color w:val="auto"/>
        </w:rPr>
      </w:pPr>
    </w:p>
    <w:p>
      <w:pPr>
        <w:ind w:left="-60" w:right="80" w:firstLine="656"/>
        <w:spacing w:after="0" w:line="263"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237" w:lineRule="exact"/>
        <w:rPr>
          <w:rFonts w:ascii="Arial" w:cs="Arial" w:eastAsia="Arial" w:hAnsi="Arial"/>
          <w:sz w:val="18"/>
          <w:szCs w:val="18"/>
          <w:color w:val="auto"/>
        </w:rPr>
      </w:pPr>
    </w:p>
    <w:p>
      <w:pPr>
        <w:ind w:left="-60" w:right="80" w:firstLine="656"/>
        <w:spacing w:after="0" w:line="259"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40" w:lineRule="exact"/>
        <w:rPr>
          <w:rFonts w:ascii="Arial" w:cs="Arial" w:eastAsia="Arial" w:hAnsi="Arial"/>
          <w:sz w:val="18"/>
          <w:szCs w:val="18"/>
          <w:color w:val="auto"/>
        </w:rPr>
      </w:pPr>
    </w:p>
    <w:p>
      <w:pPr>
        <w:ind w:left="-60" w:firstLine="656"/>
        <w:spacing w:after="0" w:line="269" w:lineRule="auto"/>
        <w:tabs>
          <w:tab w:leader="none" w:pos="135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in connection with such transaction or the process leading thereto. Any review by the Representatives and the other Underwriters of the Company, the Selling Stockholders, the transactions contemplated hereby or other matters relating to such transactions will be performed solely for the benefit of the Underwriters and shall not be on behalf of the Company or the Selling Stockholders.</w:t>
      </w:r>
    </w:p>
    <w:p>
      <w:pPr>
        <w:spacing w:after="0" w:line="232" w:lineRule="exact"/>
        <w:rPr>
          <w:rFonts w:ascii="Arial" w:cs="Arial" w:eastAsia="Arial" w:hAnsi="Arial"/>
          <w:sz w:val="17"/>
          <w:szCs w:val="17"/>
          <w:color w:val="auto"/>
        </w:rPr>
      </w:pPr>
    </w:p>
    <w:p>
      <w:pPr>
        <w:ind w:left="-60" w:right="280" w:firstLine="656"/>
        <w:spacing w:after="0" w:line="277"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Stockholders and the Underwriters, or any of them, with respect to the subject matter 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52" w:right="379" w:bottom="1440" w:gutter="0" w:footer="0" w:header="0"/>
        </w:sectPr>
      </w:pPr>
    </w:p>
    <w:bookmarkStart w:id="35" w:name="page36"/>
    <w:bookmarkEnd w:id="35"/>
    <w:p>
      <w:pPr>
        <w:ind w:right="500" w:firstLine="656"/>
        <w:spacing w:after="0" w:line="259" w:lineRule="auto"/>
        <w:tabs>
          <w:tab w:leader="none" w:pos="141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40" w:lineRule="exact"/>
        <w:rPr>
          <w:rFonts w:ascii="Arial" w:cs="Arial" w:eastAsia="Arial" w:hAnsi="Arial"/>
          <w:sz w:val="18"/>
          <w:szCs w:val="18"/>
          <w:color w:val="auto"/>
        </w:rPr>
      </w:pPr>
    </w:p>
    <w:p>
      <w:pPr>
        <w:ind w:firstLine="656"/>
        <w:spacing w:after="0" w:line="279" w:lineRule="auto"/>
        <w:tabs>
          <w:tab w:leader="none" w:pos="141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 transmitted by facsimile or electronic format (i.e., “pdf” or “tif”) shall be deemed to be their original signatures for all purposes.</w:t>
      </w:r>
    </w:p>
    <w:p>
      <w:pPr>
        <w:spacing w:after="0" w:line="225" w:lineRule="exact"/>
        <w:rPr>
          <w:rFonts w:ascii="Arial" w:cs="Arial" w:eastAsia="Arial" w:hAnsi="Arial"/>
          <w:sz w:val="17"/>
          <w:szCs w:val="17"/>
          <w:color w:val="auto"/>
        </w:rPr>
      </w:pPr>
    </w:p>
    <w:p>
      <w:pPr>
        <w:ind w:right="100" w:firstLine="656"/>
        <w:spacing w:after="0" w:line="293" w:lineRule="auto"/>
        <w:tabs>
          <w:tab w:leader="none" w:pos="141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Electronic Signatures</w:t>
      </w:r>
      <w:r>
        <w:rPr>
          <w:rFonts w:ascii="Arial" w:cs="Arial" w:eastAsia="Arial" w:hAnsi="Arial"/>
          <w:sz w:val="16"/>
          <w:szCs w:val="16"/>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218" w:lineRule="exact"/>
        <w:rPr>
          <w:rFonts w:ascii="Arial" w:cs="Arial" w:eastAsia="Arial" w:hAnsi="Arial"/>
          <w:sz w:val="16"/>
          <w:szCs w:val="16"/>
          <w:color w:val="auto"/>
        </w:rPr>
      </w:pPr>
    </w:p>
    <w:p>
      <w:pPr>
        <w:ind w:left="1420" w:hanging="764"/>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shall mean this Underwriting Agreement.</w:t>
      </w:r>
    </w:p>
    <w:p>
      <w:pPr>
        <w:spacing w:after="0" w:line="25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“Disclosure Package” shall mean (i) the Preliminary Prospectus that is generally distributed to investors and used to offer the Securities,</w:t>
      </w:r>
    </w:p>
    <w:p>
      <w:pPr>
        <w:spacing w:after="0" w:line="46" w:lineRule="exact"/>
        <w:rPr>
          <w:sz w:val="20"/>
          <w:szCs w:val="20"/>
          <w:color w:val="auto"/>
        </w:rPr>
      </w:pPr>
    </w:p>
    <w:p>
      <w:pPr>
        <w:ind w:firstLine="8"/>
        <w:spacing w:after="0" w:line="255"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Issuer Free Writing Prospectuses, if any, and any other information identified in Schedule II hereto (including the pricing information provided orally by the underwriters), and (iii) any other Free Writing Prospectus that the parties hereto shall hereafter expressly agree in writing to treat as part of the Disclosure Package.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36" w:name="page37"/>
    <w:bookmarkEnd w:id="36"/>
    <w:p>
      <w:pPr>
        <w:ind w:right="280" w:firstLine="1296"/>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97" w:lineRule="exact"/>
        <w:rPr>
          <w:sz w:val="20"/>
          <w:szCs w:val="20"/>
          <w:color w:val="auto"/>
        </w:rPr>
      </w:pPr>
    </w:p>
    <w:p>
      <w:pPr>
        <w:ind w:right="740" w:firstLine="1296"/>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“Execution Time” shall mean 5:10 p.m. on May 5, 2021.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52" w:lineRule="exact"/>
        <w:rPr>
          <w:sz w:val="20"/>
          <w:szCs w:val="20"/>
          <w:color w:val="auto"/>
        </w:rPr>
      </w:pPr>
    </w:p>
    <w:p>
      <w:pPr>
        <w:ind w:right="780" w:firstLine="1296"/>
        <w:spacing w:after="0" w:line="277"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52"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“Prospectus” shall mean the prospectus relating to the Securities that is first filed pursuant to Rule 424(b) after the Execution Time.</w:t>
      </w:r>
    </w:p>
    <w:p>
      <w:pPr>
        <w:spacing w:after="0" w:line="264"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“Rule 158”, “Rule 163”, “Rule 164”, “Rule 172”, “Rule 405”, “Rule 415”, “Rule 424”, “Rule 430A” and “Rule 433” refer to such rules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the Act.</w:t>
      </w:r>
    </w:p>
    <w:p>
      <w:pPr>
        <w:spacing w:after="0" w:line="238"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97"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ind w:left="1300"/>
        <w:spacing w:after="0"/>
        <w:rPr>
          <w:sz w:val="20"/>
          <w:szCs w:val="20"/>
          <w:color w:val="auto"/>
        </w:rPr>
      </w:pPr>
      <w:r>
        <w:rPr>
          <w:rFonts w:ascii="Arial" w:cs="Arial" w:eastAsia="Arial" w:hAnsi="Arial"/>
          <w:sz w:val="16"/>
          <w:szCs w:val="16"/>
          <w:color w:val="auto"/>
        </w:rPr>
        <w:t>“Testing-the-Waters Communication” means any oral or written communication with potential investors in reliance on Rule 163B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Act.</w:t>
      </w:r>
    </w:p>
    <w:p>
      <w:pPr>
        <w:spacing w:after="0" w:line="238"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Act.</w:t>
      </w:r>
    </w:p>
    <w:p>
      <w:pPr>
        <w:spacing w:after="0" w:line="197"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As used herein, the terms “Registration Statement,” “Preliminary Prospectus,” “Disclosure Package” and “Prospectus” shall include documents filed under the Exchange Act, which are incorporated by reference therein as of the applicable date.</w:t>
      </w:r>
    </w:p>
    <w:p>
      <w:pPr>
        <w:spacing w:after="0" w:line="224" w:lineRule="exact"/>
        <w:rPr>
          <w:sz w:val="20"/>
          <w:szCs w:val="20"/>
          <w:color w:val="auto"/>
        </w:rPr>
      </w:pPr>
    </w:p>
    <w:p>
      <w:pPr>
        <w:ind w:right="80" w:firstLine="656"/>
        <w:spacing w:after="0" w:line="254" w:lineRule="auto"/>
        <w:tabs>
          <w:tab w:leader="none" w:pos="141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Allocation of Selling Stockholder Shares</w:t>
      </w:r>
      <w:r>
        <w:rPr>
          <w:rFonts w:ascii="Arial" w:cs="Arial" w:eastAsia="Arial" w:hAnsi="Arial"/>
          <w:sz w:val="18"/>
          <w:szCs w:val="18"/>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222"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Signatures follow</w:t>
      </w:r>
      <w:r>
        <w:rPr>
          <w:rFonts w:ascii="Arial" w:cs="Arial" w:eastAsia="Arial" w:hAnsi="Arial"/>
          <w:sz w:val="18"/>
          <w:szCs w:val="18"/>
          <w:color w:val="auto"/>
        </w:rPr>
        <w: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 G. Casares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Rene G. Casares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0" w:lineRule="exact"/>
        <w:rPr>
          <w:sz w:val="20"/>
          <w:szCs w:val="20"/>
          <w:color w:val="auto"/>
        </w:rPr>
      </w:pPr>
    </w:p>
    <w:p>
      <w:pPr>
        <w:spacing w:after="0" w:line="27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9" w:name="page40"/>
    <w:bookmarkEnd w:id="39"/>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On behalf of the Gochman Selling Stockholders:</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Attorney-in-Fact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Rene G. Casares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ALLSTAR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Terence Gallagher</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ALLSTAR CO-INVEST BLOCKER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Allstar Co-Invest GP LLC, its general partner</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Terence Gallagher</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2006 ALLSTAR BLOCKER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KKR 2006 AIV GP LLC, its general partner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Terence Gallagher</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right="4799"/>
        <w:spacing w:after="0" w:line="277" w:lineRule="auto"/>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Justin Sterling</w:t>
      </w:r>
    </w:p>
    <w:p>
      <w:pPr>
        <w:spacing w:after="0" w:line="23" w:lineRule="exact"/>
        <w:rPr>
          <w:sz w:val="20"/>
          <w:szCs w:val="20"/>
          <w:color w:val="auto"/>
        </w:rPr>
      </w:pPr>
    </w:p>
    <w:p>
      <w:pPr>
        <w:jc w:val="center"/>
        <w:ind w:right="781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Jaclyn Berkley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Jaclyn Berkley</w:t>
      </w:r>
    </w:p>
    <w:p>
      <w:pPr>
        <w:spacing w:after="0" w:line="2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11" w:lineRule="exact"/>
        <w:rPr>
          <w:sz w:val="20"/>
          <w:szCs w:val="20"/>
          <w:color w:val="auto"/>
        </w:rPr>
      </w:pPr>
    </w:p>
    <w:p>
      <w:pPr>
        <w:ind w:right="4559"/>
        <w:spacing w:after="0" w:line="277" w:lineRule="auto"/>
        <w:rPr>
          <w:sz w:val="20"/>
          <w:szCs w:val="20"/>
          <w:color w:val="auto"/>
        </w:rPr>
      </w:pPr>
      <w:r>
        <w:rPr>
          <w:rFonts w:ascii="Arial" w:cs="Arial" w:eastAsia="Arial" w:hAnsi="Arial"/>
          <w:sz w:val="18"/>
          <w:szCs w:val="18"/>
          <w:color w:val="auto"/>
        </w:rPr>
        <w:t>For themselves and the other several Underwriters named in Schedule I(A) to the foregoing Agreement.</w:t>
      </w:r>
    </w:p>
    <w:p>
      <w:pPr>
        <w:spacing w:after="0" w:line="200" w:lineRule="exact"/>
        <w:rPr>
          <w:sz w:val="20"/>
          <w:szCs w:val="20"/>
          <w:color w:val="auto"/>
        </w:rPr>
      </w:pPr>
    </w:p>
    <w:p>
      <w:pPr>
        <w:spacing w:after="0" w:line="240"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3380" w:type="dxa"/>
            <w:vAlign w:val="bottom"/>
          </w:tcPr>
          <w:p>
            <w:pPr>
              <w:ind w:left="1180"/>
              <w:spacing w:after="0"/>
              <w:rPr>
                <w:sz w:val="20"/>
                <w:szCs w:val="20"/>
                <w:color w:val="auto"/>
              </w:rPr>
            </w:pPr>
            <w:r>
              <w:rPr>
                <w:rFonts w:ascii="Arial" w:cs="Arial" w:eastAsia="Arial" w:hAnsi="Arial"/>
                <w:sz w:val="18"/>
                <w:szCs w:val="18"/>
                <w:color w:val="auto"/>
              </w:rPr>
              <w:t>SCHEDULE I(A)</w:t>
            </w:r>
          </w:p>
        </w:tc>
        <w:tc>
          <w:tcPr>
            <w:tcW w:w="1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800" w:type="dxa"/>
            <w:vAlign w:val="bottom"/>
          </w:tcPr>
          <w:p>
            <w:pPr>
              <w:spacing w:after="0"/>
              <w:rPr>
                <w:sz w:val="24"/>
                <w:szCs w:val="24"/>
                <w:color w:val="auto"/>
              </w:rPr>
            </w:pPr>
          </w:p>
        </w:tc>
        <w:tc>
          <w:tcPr>
            <w:tcW w:w="3380" w:type="dxa"/>
            <w:vAlign w:val="bottom"/>
          </w:tcPr>
          <w:p>
            <w:pPr>
              <w:jc w:val="center"/>
              <w:ind w:left="1270"/>
              <w:spacing w:after="0"/>
              <w:rPr>
                <w:sz w:val="20"/>
                <w:szCs w:val="20"/>
                <w:color w:val="auto"/>
              </w:rPr>
            </w:pPr>
            <w:r>
              <w:rPr>
                <w:rFonts w:ascii="Arial" w:cs="Arial" w:eastAsia="Arial" w:hAnsi="Arial"/>
                <w:sz w:val="18"/>
                <w:szCs w:val="18"/>
                <w:color w:val="auto"/>
                <w:w w:val="93"/>
              </w:rPr>
              <w:t>Number of Underwritten</w:t>
            </w:r>
          </w:p>
        </w:tc>
        <w:tc>
          <w:tcPr>
            <w:tcW w:w="1200" w:type="dxa"/>
            <w:vAlign w:val="bottom"/>
          </w:tcPr>
          <w:p>
            <w:pPr>
              <w:spacing w:after="0"/>
              <w:rPr>
                <w:sz w:val="24"/>
                <w:szCs w:val="24"/>
                <w:color w:val="auto"/>
              </w:rPr>
            </w:pPr>
          </w:p>
        </w:tc>
        <w:tc>
          <w:tcPr>
            <w:tcW w:w="2880" w:type="dxa"/>
            <w:vAlign w:val="bottom"/>
            <w:gridSpan w:val="2"/>
          </w:tcPr>
          <w:p>
            <w:pPr>
              <w:jc w:val="right"/>
              <w:ind w:right="940"/>
              <w:spacing w:after="0"/>
              <w:rPr>
                <w:sz w:val="20"/>
                <w:szCs w:val="20"/>
                <w:color w:val="auto"/>
              </w:rPr>
            </w:pPr>
            <w:r>
              <w:rPr>
                <w:rFonts w:ascii="Arial" w:cs="Arial" w:eastAsia="Arial" w:hAnsi="Arial"/>
                <w:sz w:val="18"/>
                <w:szCs w:val="18"/>
                <w:color w:val="auto"/>
              </w:rPr>
              <w:t>Number of Option</w:t>
            </w: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Underwriters</w:t>
            </w:r>
          </w:p>
        </w:tc>
        <w:tc>
          <w:tcPr>
            <w:tcW w:w="3380" w:type="dxa"/>
            <w:vAlign w:val="bottom"/>
          </w:tcPr>
          <w:p>
            <w:pPr>
              <w:jc w:val="center"/>
              <w:ind w:left="1270"/>
              <w:spacing w:after="0"/>
              <w:rPr>
                <w:sz w:val="20"/>
                <w:szCs w:val="20"/>
                <w:color w:val="auto"/>
              </w:rPr>
            </w:pPr>
            <w:r>
              <w:rPr>
                <w:rFonts w:ascii="Arial" w:cs="Arial" w:eastAsia="Arial" w:hAnsi="Arial"/>
                <w:sz w:val="18"/>
                <w:szCs w:val="18"/>
                <w:color w:val="auto"/>
                <w:w w:val="88"/>
              </w:rPr>
              <w:t>Securities to be Purchased</w:t>
            </w:r>
          </w:p>
        </w:tc>
        <w:tc>
          <w:tcPr>
            <w:tcW w:w="1200" w:type="dxa"/>
            <w:vAlign w:val="bottom"/>
          </w:tcPr>
          <w:p>
            <w:pPr>
              <w:spacing w:after="0"/>
              <w:rPr>
                <w:sz w:val="20"/>
                <w:szCs w:val="20"/>
                <w:color w:val="auto"/>
              </w:rPr>
            </w:pPr>
          </w:p>
        </w:tc>
        <w:tc>
          <w:tcPr>
            <w:tcW w:w="2880" w:type="dxa"/>
            <w:vAlign w:val="bottom"/>
            <w:gridSpan w:val="2"/>
          </w:tcPr>
          <w:p>
            <w:pPr>
              <w:jc w:val="right"/>
              <w:ind w:right="660"/>
              <w:spacing w:after="0"/>
              <w:rPr>
                <w:sz w:val="20"/>
                <w:szCs w:val="20"/>
                <w:color w:val="auto"/>
              </w:rPr>
            </w:pPr>
            <w:r>
              <w:rPr>
                <w:rFonts w:ascii="Arial" w:cs="Arial" w:eastAsia="Arial" w:hAnsi="Arial"/>
                <w:sz w:val="18"/>
                <w:szCs w:val="18"/>
                <w:color w:val="auto"/>
              </w:rPr>
              <w:t>Securities to be Purchased</w:t>
            </w:r>
          </w:p>
        </w:tc>
      </w:tr>
      <w:tr>
        <w:trPr>
          <w:trHeight w:val="202"/>
        </w:trPr>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Credit Suisse Securities (USA) LLC</w:t>
            </w:r>
          </w:p>
        </w:tc>
        <w:tc>
          <w:tcPr>
            <w:tcW w:w="3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4,200,000</w:t>
            </w:r>
          </w:p>
        </w:tc>
        <w:tc>
          <w:tcPr>
            <w:tcW w:w="2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630,000</w:t>
            </w:r>
          </w:p>
        </w:tc>
        <w:tc>
          <w:tcPr>
            <w:tcW w:w="20" w:type="dxa"/>
            <w:vAlign w:val="bottom"/>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2,800,000</w:t>
            </w:r>
          </w:p>
        </w:tc>
        <w:tc>
          <w:tcPr>
            <w:tcW w:w="2860" w:type="dxa"/>
            <w:vAlign w:val="bottom"/>
          </w:tcPr>
          <w:p>
            <w:pPr>
              <w:jc w:val="right"/>
              <w:spacing w:after="0"/>
              <w:rPr>
                <w:sz w:val="20"/>
                <w:szCs w:val="20"/>
                <w:color w:val="auto"/>
              </w:rPr>
            </w:pPr>
            <w:r>
              <w:rPr>
                <w:rFonts w:ascii="Arial" w:cs="Arial" w:eastAsia="Arial" w:hAnsi="Arial"/>
                <w:sz w:val="18"/>
                <w:szCs w:val="18"/>
                <w:color w:val="auto"/>
              </w:rPr>
              <w:t>420,000</w:t>
            </w:r>
          </w:p>
        </w:tc>
        <w:tc>
          <w:tcPr>
            <w:tcW w:w="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KKR Capital Markets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2,940,000</w:t>
            </w:r>
          </w:p>
        </w:tc>
        <w:tc>
          <w:tcPr>
            <w:tcW w:w="2860" w:type="dxa"/>
            <w:vAlign w:val="bottom"/>
          </w:tcPr>
          <w:p>
            <w:pPr>
              <w:jc w:val="right"/>
              <w:spacing w:after="0"/>
              <w:rPr>
                <w:sz w:val="20"/>
                <w:szCs w:val="20"/>
                <w:color w:val="auto"/>
              </w:rPr>
            </w:pPr>
            <w:r>
              <w:rPr>
                <w:rFonts w:ascii="Arial" w:cs="Arial" w:eastAsia="Arial" w:hAnsi="Arial"/>
                <w:sz w:val="18"/>
                <w:szCs w:val="18"/>
                <w:color w:val="auto"/>
              </w:rPr>
              <w:t>441,000</w:t>
            </w:r>
          </w:p>
        </w:tc>
        <w:tc>
          <w:tcPr>
            <w:tcW w:w="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BofA Securities, Inc.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1,960,000</w:t>
            </w:r>
          </w:p>
        </w:tc>
        <w:tc>
          <w:tcPr>
            <w:tcW w:w="2860" w:type="dxa"/>
            <w:vAlign w:val="bottom"/>
          </w:tcPr>
          <w:p>
            <w:pPr>
              <w:jc w:val="right"/>
              <w:spacing w:after="0"/>
              <w:rPr>
                <w:sz w:val="20"/>
                <w:szCs w:val="20"/>
                <w:color w:val="auto"/>
              </w:rPr>
            </w:pPr>
            <w:r>
              <w:rPr>
                <w:rFonts w:ascii="Arial" w:cs="Arial" w:eastAsia="Arial" w:hAnsi="Arial"/>
                <w:sz w:val="18"/>
                <w:szCs w:val="18"/>
                <w:color w:val="auto"/>
              </w:rPr>
              <w:t>294,000</w:t>
            </w:r>
          </w:p>
        </w:tc>
        <w:tc>
          <w:tcPr>
            <w:tcW w:w="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Evercore Group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280,000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Guggenheim Securities,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280,000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UBS Securities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280,000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280,000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Stephens Inc.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Loop Capital Markets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CastleOak Securities, L.P.</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Blaylock Van,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Cabrera Capital Markets</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Ramirez &amp; Co.,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Telsey Advisory Group LLC</w:t>
            </w:r>
          </w:p>
        </w:tc>
        <w:tc>
          <w:tcPr>
            <w:tcW w:w="33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140,000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r>
      <w:tr>
        <w:trPr>
          <w:trHeight w:val="230"/>
        </w:trPr>
        <w:tc>
          <w:tcPr>
            <w:tcW w:w="3800" w:type="dxa"/>
            <w:vAlign w:val="bottom"/>
          </w:tcPr>
          <w:p>
            <w:pPr>
              <w:ind w:left="340"/>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w w:val="95"/>
              </w:rPr>
              <w:t>14,000,000</w:t>
            </w:r>
          </w:p>
        </w:tc>
        <w:tc>
          <w:tcPr>
            <w:tcW w:w="2860" w:type="dxa"/>
            <w:vAlign w:val="bottom"/>
          </w:tcPr>
          <w:p>
            <w:pPr>
              <w:jc w:val="right"/>
              <w:spacing w:after="0"/>
              <w:rPr>
                <w:sz w:val="20"/>
                <w:szCs w:val="20"/>
                <w:color w:val="auto"/>
              </w:rPr>
            </w:pPr>
            <w:r>
              <w:rPr>
                <w:rFonts w:ascii="Arial" w:cs="Arial" w:eastAsia="Arial" w:hAnsi="Arial"/>
                <w:sz w:val="18"/>
                <w:szCs w:val="18"/>
                <w:color w:val="auto"/>
              </w:rPr>
              <w:t>2,100,000</w:t>
            </w:r>
          </w:p>
        </w:tc>
        <w:tc>
          <w:tcPr>
            <w:tcW w:w="20" w:type="dxa"/>
            <w:vAlign w:val="bottom"/>
          </w:tcPr>
          <w:p>
            <w:pPr>
              <w:spacing w:after="0"/>
              <w:rPr>
                <w:sz w:val="20"/>
                <w:szCs w:val="20"/>
                <w:color w:val="auto"/>
              </w:rPr>
            </w:pPr>
          </w:p>
        </w:tc>
      </w:tr>
      <w:tr>
        <w:trPr>
          <w:trHeight w:val="182"/>
        </w:trPr>
        <w:tc>
          <w:tcPr>
            <w:tcW w:w="38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120" w:type="dxa"/>
            <w:vAlign w:val="bottom"/>
            <w:gridSpan w:val="2"/>
          </w:tcPr>
          <w:p>
            <w:pPr>
              <w:ind w:left="1320"/>
              <w:spacing w:after="0"/>
              <w:rPr>
                <w:sz w:val="20"/>
                <w:szCs w:val="20"/>
                <w:color w:val="auto"/>
              </w:rPr>
            </w:pPr>
            <w:r>
              <w:rPr>
                <w:rFonts w:ascii="Arial" w:cs="Arial" w:eastAsia="Arial" w:hAnsi="Arial"/>
                <w:sz w:val="18"/>
                <w:szCs w:val="18"/>
                <w:color w:val="auto"/>
              </w:rPr>
              <w:t>SCHEDULE I(B)</w:t>
            </w:r>
          </w:p>
        </w:tc>
        <w:tc>
          <w:tcPr>
            <w:tcW w:w="1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60" w:type="dxa"/>
            <w:vAlign w:val="bottom"/>
            <w:vMerge w:val="restart"/>
          </w:tcPr>
          <w:p>
            <w:pPr>
              <w:spacing w:after="0"/>
              <w:rPr>
                <w:sz w:val="20"/>
                <w:szCs w:val="20"/>
                <w:color w:val="auto"/>
              </w:rPr>
            </w:pPr>
            <w:r>
              <w:rPr>
                <w:rFonts w:ascii="Arial" w:cs="Arial" w:eastAsia="Arial" w:hAnsi="Arial"/>
                <w:sz w:val="18"/>
                <w:szCs w:val="18"/>
                <w:color w:val="auto"/>
              </w:rPr>
              <w:t>Selling Stockholders</w:t>
            </w:r>
          </w:p>
        </w:tc>
        <w:tc>
          <w:tcPr>
            <w:tcW w:w="1460" w:type="dxa"/>
            <w:vAlign w:val="bottom"/>
          </w:tcPr>
          <w:p>
            <w:pPr>
              <w:spacing w:after="0"/>
              <w:rPr>
                <w:sz w:val="24"/>
                <w:szCs w:val="24"/>
                <w:color w:val="auto"/>
              </w:rPr>
            </w:pPr>
          </w:p>
        </w:tc>
        <w:tc>
          <w:tcPr>
            <w:tcW w:w="2660" w:type="dxa"/>
            <w:vAlign w:val="bottom"/>
          </w:tcPr>
          <w:p>
            <w:pPr>
              <w:jc w:val="center"/>
              <w:ind w:left="750"/>
              <w:spacing w:after="0"/>
              <w:rPr>
                <w:sz w:val="20"/>
                <w:szCs w:val="20"/>
                <w:color w:val="auto"/>
              </w:rPr>
            </w:pPr>
            <w:r>
              <w:rPr>
                <w:rFonts w:ascii="Arial" w:cs="Arial" w:eastAsia="Arial" w:hAnsi="Arial"/>
                <w:sz w:val="18"/>
                <w:szCs w:val="18"/>
                <w:color w:val="auto"/>
                <w:w w:val="93"/>
              </w:rPr>
              <w:t>Number of Underwritten</w:t>
            </w:r>
          </w:p>
        </w:tc>
        <w:tc>
          <w:tcPr>
            <w:tcW w:w="1160" w:type="dxa"/>
            <w:vAlign w:val="bottom"/>
          </w:tcPr>
          <w:p>
            <w:pPr>
              <w:spacing w:after="0"/>
              <w:rPr>
                <w:sz w:val="24"/>
                <w:szCs w:val="24"/>
                <w:color w:val="auto"/>
              </w:rPr>
            </w:pPr>
          </w:p>
        </w:tc>
        <w:tc>
          <w:tcPr>
            <w:tcW w:w="2300" w:type="dxa"/>
            <w:vAlign w:val="bottom"/>
          </w:tcPr>
          <w:p>
            <w:pPr>
              <w:jc w:val="right"/>
              <w:ind w:right="550"/>
              <w:spacing w:after="0"/>
              <w:rPr>
                <w:sz w:val="20"/>
                <w:szCs w:val="20"/>
                <w:color w:val="auto"/>
              </w:rPr>
            </w:pPr>
            <w:r>
              <w:rPr>
                <w:rFonts w:ascii="Arial" w:cs="Arial" w:eastAsia="Arial" w:hAnsi="Arial"/>
                <w:sz w:val="18"/>
                <w:szCs w:val="18"/>
                <w:color w:val="auto"/>
              </w:rPr>
              <w:t>Number of Option</w:t>
            </w:r>
          </w:p>
        </w:tc>
        <w:tc>
          <w:tcPr>
            <w:tcW w:w="0" w:type="dxa"/>
            <w:vAlign w:val="bottom"/>
          </w:tcPr>
          <w:p>
            <w:pPr>
              <w:spacing w:after="0"/>
              <w:rPr>
                <w:sz w:val="1"/>
                <w:szCs w:val="1"/>
                <w:color w:val="auto"/>
              </w:rPr>
            </w:pPr>
          </w:p>
        </w:tc>
      </w:tr>
      <w:tr>
        <w:trPr>
          <w:trHeight w:val="224"/>
        </w:trPr>
        <w:tc>
          <w:tcPr>
            <w:tcW w:w="36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660" w:type="dxa"/>
            <w:vAlign w:val="bottom"/>
          </w:tcPr>
          <w:p>
            <w:pPr>
              <w:jc w:val="center"/>
              <w:ind w:left="750"/>
              <w:spacing w:after="0"/>
              <w:rPr>
                <w:sz w:val="20"/>
                <w:szCs w:val="20"/>
                <w:color w:val="auto"/>
              </w:rPr>
            </w:pPr>
            <w:r>
              <w:rPr>
                <w:rFonts w:ascii="Arial" w:cs="Arial" w:eastAsia="Arial" w:hAnsi="Arial"/>
                <w:sz w:val="18"/>
                <w:szCs w:val="18"/>
                <w:color w:val="auto"/>
                <w:w w:val="88"/>
              </w:rPr>
              <w:t>Shares to be Sold</w:t>
            </w:r>
          </w:p>
        </w:tc>
        <w:tc>
          <w:tcPr>
            <w:tcW w:w="1160" w:type="dxa"/>
            <w:vAlign w:val="bottom"/>
          </w:tcPr>
          <w:p>
            <w:pPr>
              <w:spacing w:after="0"/>
              <w:rPr>
                <w:sz w:val="19"/>
                <w:szCs w:val="19"/>
                <w:color w:val="auto"/>
              </w:rPr>
            </w:pPr>
          </w:p>
        </w:tc>
        <w:tc>
          <w:tcPr>
            <w:tcW w:w="2300" w:type="dxa"/>
            <w:vAlign w:val="bottom"/>
          </w:tcPr>
          <w:p>
            <w:pPr>
              <w:jc w:val="right"/>
              <w:ind w:right="590"/>
              <w:spacing w:after="0"/>
              <w:rPr>
                <w:sz w:val="20"/>
                <w:szCs w:val="20"/>
                <w:color w:val="auto"/>
              </w:rPr>
            </w:pPr>
            <w:r>
              <w:rPr>
                <w:rFonts w:ascii="Arial" w:cs="Arial" w:eastAsia="Arial" w:hAnsi="Arial"/>
                <w:sz w:val="18"/>
                <w:szCs w:val="18"/>
                <w:color w:val="auto"/>
              </w:rPr>
              <w:t>Shares to be Sold</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Allstar LLC</w:t>
            </w:r>
          </w:p>
        </w:tc>
        <w:tc>
          <w:tcPr>
            <w:tcW w:w="1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16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5,081,954</w:t>
            </w:r>
          </w:p>
        </w:tc>
        <w:tc>
          <w:tcPr>
            <w:tcW w:w="2300" w:type="dxa"/>
            <w:vAlign w:val="bottom"/>
          </w:tcPr>
          <w:p>
            <w:pPr>
              <w:jc w:val="right"/>
              <w:spacing w:after="0" w:line="201" w:lineRule="exact"/>
              <w:rPr>
                <w:sz w:val="20"/>
                <w:szCs w:val="20"/>
                <w:color w:val="auto"/>
              </w:rPr>
            </w:pPr>
            <w:r>
              <w:rPr>
                <w:rFonts w:ascii="Arial" w:cs="Arial" w:eastAsia="Arial" w:hAnsi="Arial"/>
                <w:sz w:val="18"/>
                <w:szCs w:val="18"/>
                <w:color w:val="auto"/>
              </w:rPr>
              <w:t>970,191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Allstar Co-Invest Blocker L.P.</w:t>
            </w:r>
          </w:p>
        </w:tc>
        <w:tc>
          <w:tcPr>
            <w:tcW w:w="1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3,935,052</w:t>
            </w:r>
          </w:p>
        </w:tc>
        <w:tc>
          <w:tcPr>
            <w:tcW w:w="2300" w:type="dxa"/>
            <w:vAlign w:val="bottom"/>
          </w:tcPr>
          <w:p>
            <w:pPr>
              <w:jc w:val="right"/>
              <w:spacing w:after="0"/>
              <w:rPr>
                <w:sz w:val="20"/>
                <w:szCs w:val="20"/>
                <w:color w:val="auto"/>
              </w:rPr>
            </w:pPr>
            <w:r>
              <w:rPr>
                <w:rFonts w:ascii="Arial" w:cs="Arial" w:eastAsia="Arial" w:hAnsi="Arial"/>
                <w:sz w:val="18"/>
                <w:szCs w:val="18"/>
                <w:color w:val="auto"/>
              </w:rPr>
              <w:t>751,237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KKR 2006 Allstar Blocker L.P.</w:t>
            </w:r>
          </w:p>
        </w:tc>
        <w:tc>
          <w:tcPr>
            <w:tcW w:w="1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1,982,994</w:t>
            </w:r>
          </w:p>
        </w:tc>
        <w:tc>
          <w:tcPr>
            <w:tcW w:w="2300" w:type="dxa"/>
            <w:vAlign w:val="bottom"/>
          </w:tcPr>
          <w:p>
            <w:pPr>
              <w:jc w:val="right"/>
              <w:spacing w:after="0"/>
              <w:rPr>
                <w:sz w:val="20"/>
                <w:szCs w:val="20"/>
                <w:color w:val="auto"/>
              </w:rPr>
            </w:pPr>
            <w:r>
              <w:rPr>
                <w:rFonts w:ascii="Arial" w:cs="Arial" w:eastAsia="Arial" w:hAnsi="Arial"/>
                <w:sz w:val="18"/>
                <w:szCs w:val="18"/>
                <w:color w:val="auto"/>
              </w:rPr>
              <w:t>378,572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MSI 2011 LLC</w:t>
            </w:r>
          </w:p>
        </w:tc>
        <w:tc>
          <w:tcPr>
            <w:tcW w:w="1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1,867,707</w:t>
            </w:r>
          </w:p>
        </w:tc>
        <w:tc>
          <w:tcPr>
            <w:tcW w:w="23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MG Family Limited Partnership</w:t>
            </w:r>
          </w:p>
        </w:tc>
        <w:tc>
          <w:tcPr>
            <w:tcW w:w="146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1,132,293</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line="203" w:lineRule="exact"/>
              <w:rPr>
                <w:sz w:val="20"/>
                <w:szCs w:val="20"/>
                <w:color w:val="auto"/>
              </w:rPr>
            </w:pPr>
            <w:r>
              <w:rPr>
                <w:rFonts w:ascii="Arial" w:cs="Arial" w:eastAsia="Arial" w:hAnsi="Arial"/>
                <w:sz w:val="18"/>
                <w:szCs w:val="18"/>
                <w:color w:val="auto"/>
              </w:rPr>
              <w:t>Total</w:t>
            </w:r>
          </w:p>
        </w:tc>
        <w:tc>
          <w:tcPr>
            <w:tcW w:w="14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0"/>
              </w:rPr>
              <w:t>14,000,000</w:t>
            </w:r>
          </w:p>
        </w:tc>
        <w:tc>
          <w:tcPr>
            <w:tcW w:w="2300" w:type="dxa"/>
            <w:vAlign w:val="bottom"/>
          </w:tcPr>
          <w:p>
            <w:pPr>
              <w:jc w:val="right"/>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4" w:name="page45"/>
    <w:bookmarkEnd w:id="44"/>
    <w:p>
      <w:pPr>
        <w:ind w:left="5080"/>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52" w:lineRule="exact"/>
        <w:rPr>
          <w:sz w:val="20"/>
          <w:szCs w:val="20"/>
          <w:color w:val="auto"/>
        </w:rPr>
      </w:pPr>
    </w:p>
    <w:p>
      <w:pPr>
        <w:ind w:left="980" w:hanging="486"/>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provided orally by Underwriters</w:t>
      </w:r>
    </w:p>
    <w:p>
      <w:pPr>
        <w:spacing w:after="0" w:line="252" w:lineRule="exact"/>
        <w:rPr>
          <w:sz w:val="20"/>
          <w:szCs w:val="20"/>
          <w:color w:val="auto"/>
        </w:rPr>
      </w:pPr>
    </w:p>
    <w:p>
      <w:pPr>
        <w:ind w:left="980" w:hanging="486"/>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Number of Underwritten Securities: 14,000,000 shares of Common Stock</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Number of Option Securities: 2,100,000 shares of Common Stock</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Price: $32.00 per share</w:t>
      </w:r>
    </w:p>
    <w:p>
      <w:pPr>
        <w:spacing w:after="0" w:line="9" w:lineRule="exact"/>
        <w:rPr>
          <w:rFonts w:ascii="Arial" w:cs="Arial" w:eastAsia="Arial" w:hAnsi="Arial"/>
          <w:sz w:val="18"/>
          <w:szCs w:val="18"/>
          <w:color w:val="auto"/>
        </w:rPr>
      </w:pPr>
    </w:p>
    <w:p>
      <w:pPr>
        <w:ind w:left="980" w:hanging="486"/>
        <w:spacing w:after="0" w:line="260"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Repurchase Securities is 3,229,974 shares of Common Stock to be purchased at a price per share equal to the price per share paid by the Underwriters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45" w:name="page46"/>
    <w:bookmarkEnd w:id="45"/>
    <w:p>
      <w:pPr>
        <w:jc w:val="center"/>
        <w:ind w:right="-1100"/>
        <w:spacing w:after="0"/>
        <w:rPr>
          <w:sz w:val="20"/>
          <w:szCs w:val="20"/>
          <w:color w:val="auto"/>
        </w:rPr>
      </w:pPr>
      <w:r>
        <w:rPr>
          <w:rFonts w:ascii="Arial" w:cs="Arial" w:eastAsia="Arial" w:hAnsi="Arial"/>
          <w:sz w:val="18"/>
          <w:szCs w:val="18"/>
          <w:color w:val="auto"/>
        </w:rPr>
        <w:t>SCHEDULE III</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Significant Subsidiaries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ACADEMY,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6" w:name="page47"/>
    <w:bookmarkEnd w:id="46"/>
    <w:p>
      <w:pPr>
        <w:spacing w:after="0"/>
        <w:tabs>
          <w:tab w:leader="none" w:pos="1032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3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10010-3629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10179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7"/>
          <w:szCs w:val="17"/>
          <w:color w:val="auto"/>
        </w:rPr>
        <w:t>This letter agreement (this “Letter Agreement”) is being delivered to you in connection with the proposed Underwriting Agreement (the “Underwriting Agreement”), among Academy Sports and Outdoors,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198" w:lineRule="exact"/>
        <w:rPr>
          <w:sz w:val="20"/>
          <w:szCs w:val="20"/>
          <w:color w:val="auto"/>
        </w:rPr>
      </w:pPr>
    </w:p>
    <w:p>
      <w:pPr>
        <w:ind w:right="60" w:firstLine="1296"/>
        <w:spacing w:after="0" w:line="287"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will not, without the prior written consent of Credit Suisse Securities (USA) LLC and J.P. Morgan Securities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45 days after the date of the Underwriting Agreement (the “lock-up period”). Capitalized terms used but not defined herein shall have the meanings assigned thereto in the Underwriting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644"/>
        <w:spacing w:after="0"/>
        <w:rPr>
          <w:sz w:val="20"/>
          <w:szCs w:val="20"/>
          <w:color w:val="auto"/>
        </w:rPr>
      </w:pPr>
      <w:r>
        <w:rPr>
          <w:rFonts w:ascii="Arial" w:cs="Arial" w:eastAsia="Arial" w:hAnsi="Arial"/>
          <w:sz w:val="18"/>
          <w:szCs w:val="18"/>
          <w:color w:val="auto"/>
        </w:rPr>
        <w:t>The foregoing restrictions shall not apply:</w:t>
      </w:r>
    </w:p>
    <w:p>
      <w:pPr>
        <w:spacing w:after="0" w:line="252" w:lineRule="exact"/>
        <w:rPr>
          <w:sz w:val="20"/>
          <w:szCs w:val="20"/>
          <w:color w:val="auto"/>
        </w:rPr>
      </w:pPr>
    </w:p>
    <w:p>
      <w:pPr>
        <w:ind w:left="644" w:hanging="644"/>
        <w:spacing w:after="0"/>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52" w:lineRule="exact"/>
        <w:rPr>
          <w:rFonts w:ascii="Arial" w:cs="Arial" w:eastAsia="Arial" w:hAnsi="Arial"/>
          <w:sz w:val="18"/>
          <w:szCs w:val="18"/>
          <w:color w:val="auto"/>
        </w:rPr>
      </w:pPr>
    </w:p>
    <w:p>
      <w:pPr>
        <w:ind w:left="644" w:right="360" w:hanging="644"/>
        <w:spacing w:after="0" w:line="308" w:lineRule="auto"/>
        <w:tabs>
          <w:tab w:leader="none" w:pos="64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173" w:lineRule="exact"/>
        <w:rPr>
          <w:rFonts w:ascii="Arial" w:cs="Arial" w:eastAsia="Arial" w:hAnsi="Arial"/>
          <w:sz w:val="17"/>
          <w:szCs w:val="17"/>
          <w:color w:val="auto"/>
        </w:rPr>
      </w:pPr>
    </w:p>
    <w:p>
      <w:pPr>
        <w:ind w:left="644" w:right="140" w:hanging="644"/>
        <w:spacing w:after="0" w:line="25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214" w:lineRule="exact"/>
        <w:rPr>
          <w:rFonts w:ascii="Arial" w:cs="Arial" w:eastAsia="Arial" w:hAnsi="Arial"/>
          <w:sz w:val="18"/>
          <w:szCs w:val="18"/>
          <w:color w:val="auto"/>
        </w:rPr>
      </w:pPr>
    </w:p>
    <w:p>
      <w:pPr>
        <w:ind w:left="644" w:hanging="644"/>
        <w:spacing w:after="0"/>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right="100" w:hanging="644"/>
        <w:spacing w:after="0" w:line="27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that controls or manages, or is controlled or managed by, or is under common control or management with, the undersigned;</w:t>
      </w:r>
    </w:p>
    <w:p>
      <w:pPr>
        <w:spacing w:after="0" w:line="197" w:lineRule="exact"/>
        <w:rPr>
          <w:rFonts w:ascii="Arial" w:cs="Arial" w:eastAsia="Arial" w:hAnsi="Arial"/>
          <w:sz w:val="18"/>
          <w:szCs w:val="18"/>
          <w:color w:val="auto"/>
        </w:rPr>
      </w:pPr>
    </w:p>
    <w:p>
      <w:pPr>
        <w:ind w:left="644" w:right="360" w:hanging="644"/>
        <w:spacing w:after="0" w:line="27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hanging="644"/>
        <w:spacing w:after="0" w:line="269" w:lineRule="auto"/>
        <w:tabs>
          <w:tab w:leader="none" w:pos="644"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where any Shares received by the undersigned upon any such exercise, vesting or settlement will be subject to the terms of this lock-up agreement, or (2) for the purpose of satisfying any withholding taxes (including estimated taxes) due as a result of the exercise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in each case on a “cashless” or “net exercise” basis, where any Shares received by the undersigned upon any such exercise, vesting or settlement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138"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125" w:right="419" w:bottom="1440" w:gutter="0" w:footer="0" w:header="0"/>
        </w:sectPr>
      </w:pPr>
    </w:p>
    <w:bookmarkStart w:id="48" w:name="page49"/>
    <w:bookmarkEnd w:id="48"/>
    <w:p>
      <w:pPr>
        <w:ind w:left="644" w:hanging="644"/>
        <w:spacing w:after="0" w:line="273" w:lineRule="auto"/>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204" w:lineRule="exact"/>
        <w:rPr>
          <w:rFonts w:ascii="Arial" w:cs="Arial" w:eastAsia="Arial" w:hAnsi="Arial"/>
          <w:sz w:val="17"/>
          <w:szCs w:val="17"/>
          <w:color w:val="auto"/>
        </w:rPr>
      </w:pPr>
    </w:p>
    <w:p>
      <w:pPr>
        <w:ind w:left="644" w:right="60" w:hanging="644"/>
        <w:spacing w:after="0" w:line="259"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213" w:lineRule="exact"/>
        <w:rPr>
          <w:rFonts w:ascii="Arial" w:cs="Arial" w:eastAsia="Arial" w:hAnsi="Arial"/>
          <w:sz w:val="18"/>
          <w:szCs w:val="18"/>
          <w:color w:val="auto"/>
        </w:rPr>
      </w:pPr>
    </w:p>
    <w:p>
      <w:pPr>
        <w:ind w:left="644" w:right="280" w:hanging="644"/>
        <w:spacing w:after="0" w:line="277"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to transfers in response to a bona fide third party tender offer, merger, consolidation or other similar transaction made to or with all holders of Shares or related Securities involving a “change of control” (as defined below) of the Company occurring after the consummation of the Offering, that has been approved by the board of directors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consolidation or other such transaction is not completed, the undersigned’s Shares shall remain subject to the terms of this Letter Agreement. For purposes of this clause (xii), “change of control” means the consummation of any bona fide third party tender offer, merger, consolidation or other similar transaction the result of which is that any “person” (as defined in Section 13 (d)(3) of the Exchange Act), or group of persons, other than the Company, becomes the beneficial owner (as defined in Rules 13d-3 and 13d-5 of the Exchange Act) of at least 51% of total voting power of the voting stock of the Company;</w:t>
      </w:r>
    </w:p>
    <w:p>
      <w:pPr>
        <w:spacing w:after="0" w:line="138"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49" w:name="page50"/>
    <w:bookmarkEnd w:id="49"/>
    <w:p>
      <w:pPr>
        <w:ind w:left="1300" w:right="60" w:hanging="644"/>
        <w:spacing w:after="0" w:line="259"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(1) the entry into a written plan meeting the requirements of Rule 10b5-l under the Exchange Act for the transfer of Shares or Related Securities that does not in any case provide for the transfer of Shares or Related Securities during the lock-up period or (2) the transfer of Shares or Related Securities pursuant to a written plan in effect on the date hereof meeting the requirements of Rule 10b5-1 under the Exchange Act; or</w:t>
      </w:r>
    </w:p>
    <w:p>
      <w:pPr>
        <w:spacing w:after="0" w:line="213" w:lineRule="exact"/>
        <w:rPr>
          <w:rFonts w:ascii="Arial" w:cs="Arial" w:eastAsia="Arial" w:hAnsi="Arial"/>
          <w:sz w:val="18"/>
          <w:szCs w:val="18"/>
          <w:color w:val="auto"/>
        </w:rPr>
      </w:pPr>
    </w:p>
    <w:p>
      <w:pPr>
        <w:ind w:left="1300" w:right="100" w:hanging="644"/>
        <w:spacing w:after="0" w:line="293"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any sales in open market transactions to generate such amount of net proceeds to the undersigned from such sales (after deducting commissions) in an aggregate amount up to the total amount of (i) the exercise price and/or (ii) taxes or estimated taxes (as applicable) that become due as a result of (A) the exercise of options held by the undersigned and/or (B) the vesting and/or settlement of restricted stock awards or restricted stock units held by the undersigned, in each case, issued pursuant to any incentive plans or otherwise pursuant to equity compensation plans or arrangements described in or filed as an exhibit to the registration statement with respect to the Offering and that are exercisable and/or scheduled to vest and/or settle immediately prior to or during the lock-up.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252" w:lineRule="exact"/>
        <w:rPr>
          <w:sz w:val="20"/>
          <w:szCs w:val="20"/>
          <w:color w:val="auto"/>
        </w:rPr>
      </w:pPr>
    </w:p>
    <w:p>
      <w:pPr>
        <w:ind w:left="1620" w:hanging="316"/>
        <w:spacing w:after="0" w:line="293" w:lineRule="auto"/>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case of any transfer or distribution pursuant to clauses (ii) through (vi) above, it shall be a condition to such transfer that each transferee executes and delivers to Credit Suisse Securities (USA) LLC and J.P. Morgan Securities LLC an agreement in form and substance satisfactory to Credit Suisse Securities (USA) LLC and J.P. Morgan Securities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191" w:lineRule="exact"/>
        <w:rPr>
          <w:rFonts w:ascii="Arial" w:cs="Arial" w:eastAsia="Arial" w:hAnsi="Arial"/>
          <w:sz w:val="16"/>
          <w:szCs w:val="16"/>
          <w:color w:val="auto"/>
        </w:rPr>
      </w:pPr>
    </w:p>
    <w:p>
      <w:pPr>
        <w:ind w:left="1620" w:right="80" w:hanging="316"/>
        <w:spacing w:after="0" w:line="259"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214" w:lineRule="exact"/>
        <w:rPr>
          <w:sz w:val="20"/>
          <w:szCs w:val="20"/>
          <w:color w:val="auto"/>
        </w:rPr>
      </w:pPr>
    </w:p>
    <w:p>
      <w:pPr>
        <w:ind w:right="140" w:firstLine="1296"/>
        <w:spacing w:after="0" w:line="255" w:lineRule="auto"/>
        <w:rPr>
          <w:sz w:val="20"/>
          <w:szCs w:val="20"/>
          <w:color w:val="auto"/>
        </w:rPr>
      </w:pPr>
      <w:r>
        <w:rPr>
          <w:rFonts w:ascii="Arial" w:cs="Arial" w:eastAsia="Arial" w:hAnsi="Arial"/>
          <w:sz w:val="18"/>
          <w:szCs w:val="18"/>
          <w:color w:val="auto"/>
        </w:rPr>
        <w:t xml:space="preserve">Notwithstanding anything to the contrary in this agreement, the restrictions set forth in this Letter Agreement shall not apply to the exercise of any right with respect to a registration of any Shares or Related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the undersigned’s Shares or Related Securities proposed to be registered pursuant to the exercise of such rights under this paragraph shall occur, and no registration statement shall be publicly filed or announced, during the lock-up period. In addition, the undersigned agrees and consents to the entry of stop transfer instructions with the Company’s transfer agent and registrar against the transfer of the undersigned’s Shares or Related Securities except in compliance with the foregoing restrictions.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240" w:firstLine="1296"/>
        <w:spacing w:after="0" w:line="277" w:lineRule="auto"/>
        <w:rPr>
          <w:sz w:val="20"/>
          <w:szCs w:val="20"/>
          <w:color w:val="auto"/>
        </w:rPr>
      </w:pPr>
      <w:r>
        <w:rPr>
          <w:rFonts w:ascii="Arial" w:cs="Arial" w:eastAsia="Arial" w:hAnsi="Arial"/>
          <w:sz w:val="18"/>
          <w:szCs w:val="18"/>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197"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 or any Underwriter is making such a recommendation.</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If for any reason the Underwriting Agreement shall be terminated prior to the Closing Date, the agreement set forth above shall likewise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 terminated.</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[Name and address of officer, director or stockholder]</w:t>
      </w: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1" w:name="page52"/>
    <w:bookmarkEnd w:id="51"/>
    <w:p>
      <w:pPr>
        <w:spacing w:after="0"/>
        <w:tabs>
          <w:tab w:leader="none" w:pos="1018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tabs>
          <w:tab w:leader="none" w:pos="1018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color w:val="auto"/>
        </w:rPr>
        <w:t>ADDENDUM</w:t>
      </w:r>
    </w:p>
    <w:p>
      <w:pPr>
        <w:spacing w:after="0" w:line="25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52"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Academy Sports and Outdoors, Inc., a Delaware corporation (the “Company”) of [●] shares of Common Stock, $0.01 par value (the “Common Stock”), of the Company and the lock-up letter dated [●], 2021 (the “Lock-up Letter”), executed by you in connection with such offering, and your request for a [waiver] [release] dated [●], 20[●], with respect to [●] shares of Common Stock (the “Shares”).</w:t>
      </w:r>
    </w:p>
    <w:p>
      <w:pPr>
        <w:spacing w:after="0" w:line="214"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Credit Suisse Securities (USA) LLC and J.P. Morgan Securities LLC hereby agree to [waive] [release] the transfer restrictions set forth in the Lock-up Letter, but only with respect to the Shares, effective [●], 20[●].</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Suisse Securities (USA) LLC and J.P. Morgan Securities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tabs>
          <w:tab w:leader="none" w:pos="1034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Attached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tabs>
          <w:tab w:leader="none" w:pos="1034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Attached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-237490</wp:posOffset>
            </wp:positionV>
            <wp:extent cx="2211705" cy="539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11705" cy="5397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FOR IMMEDIATE RELEASE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Academy Sports + Outdoors Announces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Appointment of Beryl B. Raff and Other Changes to Board of Directors</w:t>
      </w:r>
    </w:p>
    <w:p>
      <w:pPr>
        <w:spacing w:after="0" w:line="234" w:lineRule="exact"/>
        <w:rPr>
          <w:sz w:val="20"/>
          <w:szCs w:val="20"/>
          <w:color w:val="auto"/>
        </w:rPr>
      </w:pPr>
    </w:p>
    <w:p>
      <w:pPr>
        <w:jc w:val="both"/>
        <w:ind w:left="100" w:right="100"/>
        <w:spacing w:after="0" w:line="273" w:lineRule="auto"/>
        <w:rPr>
          <w:sz w:val="20"/>
          <w:szCs w:val="20"/>
          <w:color w:val="auto"/>
        </w:rPr>
      </w:pPr>
      <w:r>
        <w:rPr>
          <w:rFonts w:ascii="Arial" w:cs="Arial" w:eastAsia="Arial" w:hAnsi="Arial"/>
          <w:sz w:val="17"/>
          <w:szCs w:val="17"/>
          <w:color w:val="auto"/>
        </w:rPr>
        <w:t>KATY, TEXAS (PRNewswire - May 10, 2021) - Academy Sports and Outdoors, Inc. (“Academy”) (NASDAQ: ASO) announced today, effective immediately, the appointments of Beryl B. Raff to its Board of Directors (the “Board”) and Compensation Committee and Wendy A. Beck, currently a member of the Board and its Audit Committee, as a member and chairperson of the Nominating &amp; Governance Committee. Academy also announced today that Vishal V. Patel and Aileen X. Yan, both designees of affiliates of Kohlberg Kravis Roberts &amp; Co. L.P. (“KKR”), have resigned from the Board, effective immediately, following a reduction in KKR’s holdings in Academy through a secondary public offering that closed today. As a result of these changes, Academy’s Board now comprises nine directors, including six independent directors.</w:t>
      </w:r>
    </w:p>
    <w:p>
      <w:pPr>
        <w:spacing w:after="0" w:line="205"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18"/>
          <w:szCs w:val="18"/>
          <w:color w:val="auto"/>
        </w:rPr>
        <w:t>“We are very fortunate to welcome Beryl, who brings a wealth of retail and leadership experience, to our Board,” said Ken C. Hicks, Academy Chairman, President and CEO. “Beryl is a highly respected executive and seasoned board member with a proven track record of success over her career. Additionally, as a result of today’s changes, we are pleased to report that Academy’s Board of Directors is now comprised of a majority of independent directors.”</w:t>
      </w:r>
    </w:p>
    <w:p>
      <w:pPr>
        <w:spacing w:after="0" w:line="214" w:lineRule="exact"/>
        <w:rPr>
          <w:sz w:val="20"/>
          <w:szCs w:val="20"/>
          <w:color w:val="auto"/>
        </w:rPr>
      </w:pPr>
    </w:p>
    <w:p>
      <w:pPr>
        <w:jc w:val="both"/>
        <w:ind w:left="100" w:right="100"/>
        <w:spacing w:after="0" w:line="268" w:lineRule="auto"/>
        <w:rPr>
          <w:sz w:val="20"/>
          <w:szCs w:val="20"/>
          <w:color w:val="auto"/>
        </w:rPr>
      </w:pPr>
      <w:r>
        <w:rPr>
          <w:rFonts w:ascii="Arial" w:cs="Arial" w:eastAsia="Arial" w:hAnsi="Arial"/>
          <w:sz w:val="17"/>
          <w:szCs w:val="17"/>
          <w:color w:val="auto"/>
        </w:rPr>
        <w:t>Ms. Raff, age 70, has spent over forty years in the retail industry developing her merchandising, senior executive management and board membership experience. Ms. Raff has been the Chairman and Chief Executive Officer of Helzberg Diamonds, a wholly owned subsidiary of Berkshire Hathaway Inc., since 2009. Before joining Helzberg Diamonds, from 2001 to 2009, Ms. Raff held senior merchandising positions with J.C. Penney Company, Inc. (“JC Penney”), most recently as Executive Vice President and General Merchandise Manager, where she was responsible for the day to day operation of the fine jewelry business and served on its Executive Board, which determined strategic direction and initiatives for JC Penney. Prior to JC Penney, Ms. Raff also was Chairman and Chief Executive Officer at Zale Corporation and held senior merchant positions at R. H. Macy &amp; Company. Currently, Ms. Raff serves on the Board of Directors of Helen of Troy, Ltd., including on its Audit Committee and formerly on its Compensation Committee, and on the Board of Directors of Larry H. Miller Company, including on its Governance and Compensation Committees. Previously, Ms. Raff spent seven years on the Board of Directors of The Michaels Companies, Inc., including on its Audit and Compensation Committees, eight years on the Board of Directors of Group 1 Automotive, Inc., including on its Compensation Committee and as chair of its Governance &amp; Nominating Committee, and ten years on the Board of Directors of Jo- Ann’s Stores, Inc., including on its Audit and Governance Committees and as chair of its Compensation Committee. Ms. Raff received her Bachelors of Business Administration from Boston University and her Masters of Business Administration from Drexel University. The Board selected Ms. Raff because of her executive leadership and management experience and extensive business and financial experience related to the retail industry.</w:t>
      </w:r>
    </w:p>
    <w:p>
      <w:pPr>
        <w:spacing w:after="0" w:line="211" w:lineRule="exact"/>
        <w:rPr>
          <w:sz w:val="20"/>
          <w:szCs w:val="20"/>
          <w:color w:val="auto"/>
        </w:rPr>
      </w:pPr>
    </w:p>
    <w:p>
      <w:pPr>
        <w:jc w:val="both"/>
        <w:ind w:left="100" w:right="100"/>
        <w:spacing w:after="0" w:line="263" w:lineRule="auto"/>
        <w:rPr>
          <w:sz w:val="20"/>
          <w:szCs w:val="20"/>
          <w:color w:val="auto"/>
        </w:rPr>
      </w:pPr>
      <w:r>
        <w:rPr>
          <w:rFonts w:ascii="Arial" w:cs="Arial" w:eastAsia="Arial" w:hAnsi="Arial"/>
          <w:sz w:val="18"/>
          <w:szCs w:val="18"/>
          <w:color w:val="auto"/>
        </w:rPr>
        <w:t>Mr. Patel’s and Ms. Yan’s departures from the Board precede that of William (Bill) S. Simon, a member of the Board’s Compensation Committee, who will not stand for re-election to the Board at Academy’s Annual Meeting of Stockholders on June 3, 2021. Mr. Patel, Mr. Simon, and Ms. Yan served on the company’s board of managers prior to Academy’s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color w:val="auto"/>
        </w:rPr>
        <w:t>“I would like to thank Vishal, Bill and Aileen for their significant contributions to Academy’s success during their tenures,” said Mr. Hicks. “We are grateful for their service to Academy and wish them the very best in the future.”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stockholder approval of the director nominees standing for re-election at Academy’s Annual Meeting of Stockholders on June 3, 2021, thereafter, the Board is expected to be comprised of eight directors, including six independent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About Academy Sports + Outdoors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19 private label brands, which go well beyond traditional sporting goods and apparel offerings. For more information, visit www.academy.com.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SOURCE: Academy Sports and Outdoors,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Elise Hasbrook, Vice President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281.253.8200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elise.hasbrook@academy.com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Investor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 Hodges, 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281.646.5362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matt.hodges@academy.com</w:t>
      </w:r>
    </w:p>
    <w:sectPr>
      <w:pgSz w:w="11900" w:h="16838" w:orient="portrait"/>
      <w:cols w:equalWidth="0" w:num="1">
        <w:col w:w="11040"/>
      </w:cols>
      <w:pgMar w:left="420" w:top="3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lowerLetter"/>
      <w:start w:val="4"/>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1)"/>
      <w:numFmt w:val="lowerLetter"/>
      <w:start w:val="4"/>
    </w:lvl>
  </w:abstractNum>
  <w:abstractNum w:abstractNumId="5">
    <w:nsid w:val="4516DDE9"/>
    <w:multiLevelType w:val="hybridMultilevel"/>
    <w:lvl w:ilvl="0">
      <w:lvlJc w:val="left"/>
      <w:lvlText w:val="%1"/>
      <w:numFmt w:val="lowerLetter"/>
      <w:start w:val="1"/>
    </w:lvl>
    <w:lvl w:ilvl="1">
      <w:lvlJc w:val="left"/>
      <w:lvlText w:val="(%2)"/>
      <w:numFmt w:val="lowerLetter"/>
      <w:start w:val="12"/>
    </w:lvl>
  </w:abstractNum>
  <w:abstractNum w:abstractNumId="6">
    <w:nsid w:val="3006C83E"/>
    <w:multiLevelType w:val="hybridMultilevel"/>
    <w:lvl w:ilvl="0">
      <w:lvlJc w:val="left"/>
      <w:lvlText w:val="(%1)"/>
      <w:numFmt w:val="lowerLetter"/>
      <w:start w:val="61"/>
    </w:lvl>
    <w:lvl w:ilvl="1">
      <w:lvlJc w:val="left"/>
      <w:lvlText w:val="%2"/>
      <w:numFmt w:val="lowerLetter"/>
      <w:start w:val="1"/>
    </w:lvl>
  </w:abstractNum>
  <w:abstractNum w:abstractNumId="7">
    <w:nsid w:val="614FD4A1"/>
    <w:multiLevelType w:val="hybridMultilevel"/>
    <w:lvl w:ilvl="0">
      <w:lvlJc w:val="left"/>
      <w:lvlText w:val="(%1)"/>
      <w:numFmt w:val="lowerLetter"/>
      <w:start w:val="15"/>
    </w:lvl>
  </w:abstractNum>
  <w:abstractNum w:abstractNumId="8">
    <w:nsid w:val="419AC241"/>
    <w:multiLevelType w:val="hybridMultilevel"/>
    <w:lvl w:ilvl="0">
      <w:lvlJc w:val="left"/>
      <w:lvlText w:val="%1"/>
      <w:numFmt w:val="lowerLetter"/>
      <w:start w:val="1"/>
    </w:lvl>
    <w:lvl w:ilvl="1">
      <w:lvlJc w:val="left"/>
      <w:lvlText w:val="(%2)"/>
      <w:numFmt w:val="lowerLetter"/>
      <w:start w:val="20"/>
    </w:lvl>
  </w:abstractNum>
  <w:abstractNum w:abstractNumId="9">
    <w:nsid w:val="5577F8E1"/>
    <w:multiLevelType w:val="hybridMultilevel"/>
    <w:lvl w:ilvl="0">
      <w:lvlJc w:val="left"/>
      <w:lvlText w:val="(%1)"/>
      <w:numFmt w:val="lowerLetter"/>
      <w:start w:val="35"/>
    </w:lvl>
    <w:lvl w:ilvl="1">
      <w:lvlJc w:val="left"/>
      <w:lvlText w:val="(%2)"/>
      <w:numFmt w:val="lowerLetter"/>
      <w:start w:val="21"/>
    </w:lvl>
  </w:abstractNum>
  <w:abstractNum w:abstractNumId="10">
    <w:nsid w:val="440BADFC"/>
    <w:multiLevelType w:val="hybridMultilevel"/>
    <w:lvl w:ilvl="0">
      <w:lvlJc w:val="left"/>
      <w:lvlText w:val="(%1)"/>
      <w:numFmt w:val="lowerLetter"/>
      <w:start w:val="25"/>
    </w:lvl>
  </w:abstractNum>
  <w:abstractNum w:abstractNumId="11">
    <w:nsid w:val="5072367"/>
    <w:multiLevelType w:val="hybridMultilevel"/>
    <w:lvl w:ilvl="0">
      <w:lvlJc w:val="left"/>
      <w:lvlText w:val="(%1)"/>
      <w:numFmt w:val="lowerLetter"/>
      <w:start w:val="27"/>
    </w:lvl>
  </w:abstractNum>
  <w:abstractNum w:abstractNumId="12">
    <w:nsid w:val="3804823E"/>
    <w:multiLevelType w:val="hybridMultilevel"/>
    <w:lvl w:ilvl="0">
      <w:lvlJc w:val="left"/>
      <w:lvlText w:val="(%1)"/>
      <w:numFmt w:val="lowerLetter"/>
      <w:start w:val="30"/>
    </w:lvl>
  </w:abstractNum>
  <w:abstractNum w:abstractNumId="13">
    <w:nsid w:val="77465F01"/>
    <w:multiLevelType w:val="hybridMultilevel"/>
    <w:lvl w:ilvl="0">
      <w:lvlJc w:val="left"/>
      <w:lvlText w:val="(%1)"/>
      <w:numFmt w:val="lowerLetter"/>
      <w:start w:val="34"/>
    </w:lvl>
  </w:abstractNum>
  <w:abstractNum w:abstractNumId="14">
    <w:nsid w:val="7724C67E"/>
    <w:multiLevelType w:val="hybridMultilevel"/>
    <w:lvl w:ilvl="0">
      <w:lvlJc w:val="left"/>
      <w:lvlText w:val="(%1)"/>
      <w:numFmt w:val="lowerLetter"/>
      <w:start w:val="39"/>
    </w:lvl>
  </w:abstractNum>
  <w:abstractNum w:abstractNumId="15">
    <w:nsid w:val="5C482A97"/>
    <w:multiLevelType w:val="hybridMultilevel"/>
    <w:lvl w:ilvl="0">
      <w:lvlJc w:val="left"/>
      <w:lvlText w:val="(%1)"/>
      <w:numFmt w:val="lowerLetter"/>
      <w:start w:val="41"/>
    </w:lvl>
  </w:abstractNum>
  <w:abstractNum w:abstractNumId="16">
    <w:nsid w:val="2463B9EA"/>
    <w:multiLevelType w:val="hybridMultilevel"/>
    <w:lvl w:ilvl="0">
      <w:lvlJc w:val="left"/>
      <w:lvlText w:val="%1."/>
      <w:numFmt w:val="decimal"/>
      <w:start w:val="2"/>
    </w:lvl>
  </w:abstractNum>
  <w:abstractNum w:abstractNumId="17">
    <w:nsid w:val="5E884ADC"/>
    <w:multiLevelType w:val="hybridMultilevel"/>
    <w:lvl w:ilvl="0">
      <w:lvlJc w:val="left"/>
      <w:lvlText w:val="%1"/>
      <w:numFmt w:val="lowerLetter"/>
      <w:start w:val="1"/>
    </w:lvl>
    <w:lvl w:ilvl="1">
      <w:lvlJc w:val="left"/>
      <w:lvlText w:val="(%2)"/>
      <w:numFmt w:val="lowerLetter"/>
      <w:start w:val="1"/>
    </w:lvl>
  </w:abstractNum>
  <w:abstractNum w:abstractNumId="18">
    <w:nsid w:val="51EAD36B"/>
    <w:multiLevelType w:val="hybridMultilevel"/>
    <w:lvl w:ilvl="0">
      <w:lvlJc w:val="left"/>
      <w:lvlText w:val="(%1)"/>
      <w:numFmt w:val="lowerLetter"/>
      <w:start w:val="35"/>
    </w:lvl>
    <w:lvl w:ilvl="1">
      <w:lvlJc w:val="left"/>
      <w:lvlText w:val="%2"/>
      <w:numFmt w:val="lowerLetter"/>
      <w:start w:val="1"/>
    </w:lvl>
  </w:abstractNum>
  <w:abstractNum w:abstractNumId="19">
    <w:nsid w:val="2D517796"/>
    <w:multiLevelType w:val="hybridMultilevel"/>
    <w:lvl w:ilvl="0">
      <w:lvlJc w:val="left"/>
      <w:lvlText w:val="(%1)"/>
      <w:numFmt w:val="lowerLetter"/>
      <w:start w:val="3"/>
    </w:lvl>
  </w:abstractNum>
  <w:abstractNum w:abstractNumId="20">
    <w:nsid w:val="580BD78F"/>
    <w:multiLevelType w:val="hybridMultilevel"/>
    <w:lvl w:ilvl="0">
      <w:lvlJc w:val="left"/>
      <w:lvlText w:val="(%1)"/>
      <w:numFmt w:val="lowerLetter"/>
      <w:start w:val="5"/>
    </w:lvl>
  </w:abstractNum>
  <w:abstractNum w:abstractNumId="21">
    <w:nsid w:val="153EA438"/>
    <w:multiLevelType w:val="hybridMultilevel"/>
    <w:lvl w:ilvl="0">
      <w:lvlJc w:val="left"/>
      <w:lvlText w:val="(%1)"/>
      <w:numFmt w:val="lowerRoman"/>
      <w:start w:val="3"/>
    </w:lvl>
    <w:lvl w:ilvl="1">
      <w:lvlJc w:val="left"/>
      <w:lvlText w:val="%2."/>
      <w:numFmt w:val="decimal"/>
      <w:start w:val="3"/>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2"/>
    </w:lvl>
  </w:abstractNum>
  <w:abstractNum w:abstractNumId="24">
    <w:nsid w:val="6A2342EC"/>
    <w:multiLevelType w:val="hybridMultilevel"/>
    <w:lvl w:ilvl="0">
      <w:lvlJc w:val="left"/>
      <w:lvlText w:val="%1."/>
      <w:numFmt w:val="decimal"/>
      <w:start w:val="4"/>
    </w:lvl>
  </w:abstractNum>
  <w:abstractNum w:abstractNumId="25">
    <w:nsid w:val="2A487CB0"/>
    <w:multiLevelType w:val="hybridMultilevel"/>
    <w:lvl w:ilvl="0">
      <w:lvlJc w:val="left"/>
      <w:lvlText w:val="%1."/>
      <w:numFmt w:val="decimal"/>
      <w:start w:val="5"/>
    </w:lvl>
  </w:abstractNum>
  <w:abstractNum w:abstractNumId="26">
    <w:nsid w:val="1D4ED43B"/>
    <w:multiLevelType w:val="hybridMultilevel"/>
    <w:lvl w:ilvl="0">
      <w:lvlJc w:val="left"/>
      <w:lvlText w:val="%1."/>
      <w:numFmt w:val="decimal"/>
      <w:start w:val="6"/>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upperLetter"/>
      <w:start w:val="1"/>
    </w:lvl>
    <w:lvl w:ilvl="1">
      <w:lvlJc w:val="left"/>
      <w:lvlText w:val="(%2)"/>
      <w:numFmt w:val="lowerLetter"/>
      <w:start w:val="4"/>
    </w:lvl>
  </w:abstractNum>
  <w:abstractNum w:abstractNumId="29">
    <w:nsid w:val="57E4CCAF"/>
    <w:multiLevelType w:val="hybridMultilevel"/>
    <w:lvl w:ilvl="0">
      <w:lvlJc w:val="left"/>
      <w:lvlText w:val="(%1)"/>
      <w:numFmt w:val="upperLetter"/>
      <w:start w:val="6"/>
    </w:lvl>
    <w:lvl w:ilvl="1">
      <w:lvlJc w:val="left"/>
      <w:lvlText w:val="%2"/>
      <w:numFmt w:val="lowerLetter"/>
      <w:start w:val="1"/>
    </w:lvl>
  </w:abstractNum>
  <w:abstractNum w:abstractNumId="30">
    <w:nsid w:val="7A6D8D3C"/>
    <w:multiLevelType w:val="hybridMultilevel"/>
    <w:lvl w:ilvl="0">
      <w:lvlJc w:val="left"/>
      <w:lvlText w:val="(%1)"/>
      <w:numFmt w:val="lowerLetter"/>
      <w:start w:val="10"/>
    </w:lvl>
  </w:abstractNum>
  <w:abstractNum w:abstractNumId="31">
    <w:nsid w:val="4B588F54"/>
    <w:multiLevelType w:val="hybridMultilevel"/>
    <w:lvl w:ilvl="0">
      <w:lvlJc w:val="left"/>
      <w:lvlText w:val="(%1)"/>
      <w:numFmt w:val="lowerLetter"/>
      <w:start w:val="13"/>
    </w:lvl>
  </w:abstractNum>
  <w:abstractNum w:abstractNumId="32">
    <w:nsid w:val="542289EC"/>
    <w:multiLevelType w:val="hybridMultilevel"/>
    <w:lvl w:ilvl="0">
      <w:lvlJc w:val="left"/>
      <w:lvlText w:val="%1."/>
      <w:numFmt w:val="decimal"/>
      <w:start w:val="7"/>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decimal"/>
      <w:start w:val="8"/>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lowerLetter"/>
      <w:start w:val="1"/>
    </w:lvl>
    <w:lvl w:ilvl="1">
      <w:lvlJc w:val="left"/>
      <w:lvlText w:val="(%2)"/>
      <w:numFmt w:val="lowerRoman"/>
      <w:start w:val="2"/>
    </w:lvl>
  </w:abstractNum>
  <w:abstractNum w:abstractNumId="37">
    <w:nsid w:val="684A481A"/>
    <w:multiLevelType w:val="hybridMultilevel"/>
    <w:lvl w:ilvl="0">
      <w:lvlJc w:val="left"/>
      <w:lvlText w:val="(%1)"/>
      <w:numFmt w:val="lowerLetter"/>
      <w:start w:val="3"/>
    </w:lvl>
    <w:lvl w:ilvl="1">
      <w:lvlJc w:val="left"/>
      <w:lvlText w:val="%2"/>
      <w:numFmt w:val="lowerRoman"/>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lowerLetter"/>
      <w:start w:val="5"/>
    </w:lvl>
    <w:lvl w:ilvl="1">
      <w:lvlJc w:val="left"/>
      <w:lvlText w:val="(%2)"/>
      <w:numFmt w:val="decimal"/>
      <w:start w:val="1"/>
    </w:lvl>
  </w:abstractNum>
  <w:abstractNum w:abstractNumId="40">
    <w:nsid w:val="3DC240FB"/>
    <w:multiLevelType w:val="hybridMultilevel"/>
    <w:lvl w:ilvl="0">
      <w:lvlJc w:val="left"/>
      <w:lvlText w:val="(%1)"/>
      <w:numFmt w:val="lowerLetter"/>
      <w:start w:val="10"/>
    </w:lvl>
  </w:abstractNum>
  <w:abstractNum w:abstractNumId="41">
    <w:nsid w:val="1BA026FA"/>
    <w:multiLevelType w:val="hybridMultilevel"/>
    <w:lvl w:ilvl="0">
      <w:lvlJc w:val="left"/>
      <w:lvlText w:val="%1."/>
      <w:numFmt w:val="decimal"/>
      <w:start w:val="9"/>
    </w:lvl>
  </w:abstractNum>
  <w:abstractNum w:abstractNumId="42">
    <w:nsid w:val="79A1DEAA"/>
    <w:multiLevelType w:val="hybridMultilevel"/>
    <w:lvl w:ilvl="0">
      <w:lvlJc w:val="left"/>
      <w:lvlText w:val="%1."/>
      <w:numFmt w:val="decimal"/>
      <w:start w:val="10"/>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3"/>
    </w:lvl>
  </w:abstractNum>
  <w:abstractNum w:abstractNumId="45">
    <w:nsid w:val="70C6A529"/>
    <w:multiLevelType w:val="hybridMultilevel"/>
    <w:lvl w:ilvl="0">
      <w:lvlJc w:val="left"/>
      <w:lvlText w:val="(%1)"/>
      <w:numFmt w:val="lowerLetter"/>
      <w:start w:val="5"/>
    </w:lvl>
  </w:abstractNum>
  <w:abstractNum w:abstractNumId="46">
    <w:nsid w:val="520EEDD1"/>
    <w:multiLevelType w:val="hybridMultilevel"/>
    <w:lvl w:ilvl="0">
      <w:lvlJc w:val="left"/>
      <w:lvlText w:val="%1."/>
      <w:numFmt w:val="decimal"/>
      <w:start w:val="11"/>
    </w:lvl>
  </w:abstractNum>
  <w:abstractNum w:abstractNumId="47">
    <w:nsid w:val="374A3FE6"/>
    <w:multiLevelType w:val="hybridMultilevel"/>
    <w:lvl w:ilvl="0">
      <w:lvlJc w:val="left"/>
      <w:lvlText w:val="%1."/>
      <w:numFmt w:val="decimal"/>
      <w:start w:val="12"/>
    </w:lvl>
  </w:abstractNum>
  <w:abstractNum w:abstractNumId="48">
    <w:nsid w:val="4F4EF005"/>
    <w:multiLevelType w:val="hybridMultilevel"/>
    <w:lvl w:ilvl="0">
      <w:lvlJc w:val="left"/>
      <w:lvlText w:val="%1."/>
      <w:numFmt w:val="decimal"/>
      <w:start w:val="15"/>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decimal"/>
      <w:start w:val="17"/>
    </w:lvl>
  </w:abstractNum>
  <w:abstractNum w:abstractNumId="51">
    <w:nsid w:val="275AC794"/>
    <w:multiLevelType w:val="hybridMultilevel"/>
    <w:lvl w:ilvl="0">
      <w:lvlJc w:val="left"/>
      <w:lvlText w:val="%1."/>
      <w:numFmt w:val="decimal"/>
      <w:start w:val="22"/>
    </w:lvl>
  </w:abstractNum>
  <w:abstractNum w:abstractNumId="52">
    <w:nsid w:val="39386575"/>
    <w:multiLevelType w:val="hybridMultilevel"/>
    <w:lvl w:ilvl="0">
      <w:lvlJc w:val="left"/>
      <w:lvlText w:val="(%1)"/>
      <w:numFmt w:val="lowerRoman"/>
      <w:start w:val="2"/>
    </w:lvl>
  </w:abstractNum>
  <w:abstractNum w:abstractNumId="53">
    <w:nsid w:val="1CF10FD8"/>
    <w:multiLevelType w:val="hybridMultilevel"/>
    <w:lvl w:ilvl="0">
      <w:lvlJc w:val="left"/>
      <w:lvlText w:val="%1."/>
      <w:numFmt w:val="decimal"/>
      <w:start w:val="26"/>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lowerRoman"/>
      <w:start w:val="1"/>
    </w:lvl>
  </w:abstractNum>
  <w:abstractNum w:abstractNumId="57">
    <w:nsid w:val="354FE9F9"/>
    <w:multiLevelType w:val="hybridMultilevel"/>
    <w:lvl w:ilvl="0">
      <w:lvlJc w:val="left"/>
      <w:lvlText w:val="(%1)"/>
      <w:numFmt w:val="lowerRoman"/>
      <w:start w:val="8"/>
    </w:lvl>
  </w:abstractNum>
  <w:abstractNum w:abstractNumId="58">
    <w:nsid w:val="15B5AF5C"/>
    <w:multiLevelType w:val="hybridMultilevel"/>
    <w:lvl w:ilvl="0">
      <w:lvlJc w:val="left"/>
      <w:lvlText w:val="(%1)"/>
      <w:numFmt w:val="lowerRoman"/>
      <w:start w:val="13"/>
    </w:lvl>
  </w:abstractNum>
  <w:abstractNum w:abstractNumId="59">
    <w:nsid w:val="741226B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2021-05-10T15:51:40Z</dcterms:created>
  <dcterms:modified xsi:type="dcterms:W3CDTF">2021-05-10T15:51:40Z</dcterms:modified>
</cp:coreProperties>
</file>