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887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87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Samuel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54.61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9,842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9,842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9,842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4,577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4,577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9,155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9,155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9,155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 (the "Plan").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time-based options vest in three equal installments beginning on the first anniversary of the grant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 common stock, par value $0.01 per share ("Common Stock").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time-based RSUs vest in three equal installments beginning on the first anniversary of the grant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December 5, 2023, the Reporting Person was granted 9,155 performance-based restricted stock units ("PRSUs"). These PRSUs vest if certain preestablished performance metrics related to the Company's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/>
        <w:spacing w:after="0" w:line="275" w:lineRule="auto"/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(i) adjusted pre-tax income, and (ii) return on invested capital over a 3-year period beginning on January 29, 2023 and ending on January 31, 2026, are achieved and certified by the Issuer's compensation committee (which, if any, may vary from 0% to 200% of the number shown above), subject to the Reporting Person's continued service with the Issuer through each applicable vesting date.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Gary Holland,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12/07/2023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2299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2023-12-07T16:11:41Z</dcterms:created>
  <dcterms:modified xsi:type="dcterms:W3CDTF">2023-12-07T16:11:41Z</dcterms:modified>
</cp:coreProperties>
</file>