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277495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4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93345</wp:posOffset>
            </wp:positionV>
            <wp:extent cx="18116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2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93345</wp:posOffset>
            </wp:positionV>
            <wp:extent cx="18116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2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April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2760980</wp:posOffset>
            </wp:positionH>
            <wp:positionV relativeFrom="paragraph">
              <wp:posOffset>98425</wp:posOffset>
            </wp:positionV>
            <wp:extent cx="1965960" cy="765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5960" cy="765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91440</wp:posOffset>
            </wp:positionV>
            <wp:extent cx="18116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248" w:lineRule="exact"/>
        <w:rPr>
          <w:sz w:val="24"/>
          <w:szCs w:val="24"/>
          <w:color w:val="auto"/>
        </w:rPr>
      </w:pPr>
    </w:p>
    <w:tbl>
      <w:tblPr>
        <w:tblLayout w:type="fixed"/>
        <w:tblInd w:w="1660" w:type="dxa"/>
        <w:tblCellMar>
          <w:top w:w="0" w:type="dxa"/>
          <w:left w:w="0" w:type="dxa"/>
          <w:bottom w:w="0" w:type="dxa"/>
          <w:right w:w="0" w:type="dxa"/>
        </w:tblCellMar>
      </w:tblPr>
      <w:tr>
        <w:trPr>
          <w:trHeight w:val="142"/>
        </w:trPr>
        <w:tc>
          <w:tcPr>
            <w:tcW w:w="214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4360" w:type="dxa"/>
            <w:vAlign w:val="bottom"/>
          </w:tcPr>
          <w:p>
            <w:pPr>
              <w:jc w:val="right"/>
              <w:ind w:right="1846"/>
              <w:spacing w:after="0"/>
              <w:rPr>
                <w:sz w:val="20"/>
                <w:szCs w:val="20"/>
                <w:color w:val="auto"/>
              </w:rPr>
            </w:pPr>
            <w:r>
              <w:rPr>
                <w:rFonts w:ascii="Times New Roman" w:cs="Times New Roman" w:eastAsia="Times New Roman" w:hAnsi="Times New Roman"/>
                <w:sz w:val="11"/>
                <w:szCs w:val="11"/>
                <w:b w:val="1"/>
                <w:bCs w:val="1"/>
                <w:color w:val="auto"/>
              </w:rPr>
              <w:t>001-39589</w:t>
            </w:r>
          </w:p>
        </w:tc>
        <w:tc>
          <w:tcPr>
            <w:tcW w:w="16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85-1800912</w:t>
            </w:r>
          </w:p>
        </w:tc>
      </w:tr>
      <w:tr>
        <w:trPr>
          <w:trHeight w:val="207"/>
        </w:trPr>
        <w:tc>
          <w:tcPr>
            <w:tcW w:w="2140" w:type="dxa"/>
            <w:vAlign w:val="bottom"/>
          </w:tcPr>
          <w:p>
            <w:pPr>
              <w:jc w:val="center"/>
              <w:ind w:right="828"/>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436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(Commission</w:t>
            </w:r>
          </w:p>
        </w:tc>
        <w:tc>
          <w:tcPr>
            <w:tcW w:w="1600" w:type="dxa"/>
            <w:vAlign w:val="bottom"/>
          </w:tcPr>
          <w:p>
            <w:pPr>
              <w:jc w:val="center"/>
              <w:ind w:left="768"/>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207"/>
        </w:trPr>
        <w:tc>
          <w:tcPr>
            <w:tcW w:w="2140" w:type="dxa"/>
            <w:vAlign w:val="bottom"/>
          </w:tcPr>
          <w:p>
            <w:pPr>
              <w:jc w:val="center"/>
              <w:ind w:right="828"/>
              <w:spacing w:after="0"/>
              <w:rPr>
                <w:sz w:val="20"/>
                <w:szCs w:val="20"/>
                <w:color w:val="auto"/>
              </w:rPr>
            </w:pPr>
            <w:r>
              <w:rPr>
                <w:rFonts w:ascii="Times New Roman" w:cs="Times New Roman" w:eastAsia="Times New Roman" w:hAnsi="Times New Roman"/>
                <w:sz w:val="11"/>
                <w:szCs w:val="11"/>
                <w:color w:val="auto"/>
              </w:rPr>
              <w:t>incorporation )</w:t>
            </w:r>
          </w:p>
        </w:tc>
        <w:tc>
          <w:tcPr>
            <w:tcW w:w="436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File No.)</w:t>
            </w:r>
          </w:p>
        </w:tc>
        <w:tc>
          <w:tcPr>
            <w:tcW w:w="1600" w:type="dxa"/>
            <w:vAlign w:val="bottom"/>
          </w:tcPr>
          <w:p>
            <w:pPr>
              <w:jc w:val="center"/>
              <w:ind w:left="748"/>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25"/>
        </w:trPr>
        <w:tc>
          <w:tcPr>
            <w:tcW w:w="2140" w:type="dxa"/>
            <w:vAlign w:val="bottom"/>
          </w:tcPr>
          <w:p>
            <w:pPr>
              <w:spacing w:after="0"/>
              <w:rPr>
                <w:sz w:val="19"/>
                <w:szCs w:val="19"/>
                <w:color w:val="auto"/>
              </w:rPr>
            </w:pPr>
          </w:p>
        </w:tc>
        <w:tc>
          <w:tcPr>
            <w:tcW w:w="436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1800 North Mason Road</w:t>
            </w:r>
          </w:p>
        </w:tc>
        <w:tc>
          <w:tcPr>
            <w:tcW w:w="1600" w:type="dxa"/>
            <w:vAlign w:val="bottom"/>
          </w:tcPr>
          <w:p>
            <w:pPr>
              <w:spacing w:after="0"/>
              <w:rPr>
                <w:sz w:val="19"/>
                <w:szCs w:val="19"/>
                <w:color w:val="auto"/>
              </w:rPr>
            </w:pPr>
          </w:p>
        </w:tc>
      </w:tr>
      <w:tr>
        <w:trPr>
          <w:trHeight w:val="162"/>
        </w:trPr>
        <w:tc>
          <w:tcPr>
            <w:tcW w:w="2140" w:type="dxa"/>
            <w:vAlign w:val="bottom"/>
          </w:tcPr>
          <w:p>
            <w:pPr>
              <w:spacing w:after="0"/>
              <w:rPr>
                <w:sz w:val="14"/>
                <w:szCs w:val="14"/>
                <w:color w:val="auto"/>
              </w:rPr>
            </w:pPr>
          </w:p>
        </w:tc>
        <w:tc>
          <w:tcPr>
            <w:tcW w:w="436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Katy, Texas 77449</w:t>
            </w:r>
          </w:p>
        </w:tc>
        <w:tc>
          <w:tcPr>
            <w:tcW w:w="160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4360" w:type="dxa"/>
            <w:vAlign w:val="bottom"/>
          </w:tcPr>
          <w:p>
            <w:pPr>
              <w:ind w:left="100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 including Zip Code)</w:t>
            </w:r>
          </w:p>
        </w:tc>
        <w:tc>
          <w:tcPr>
            <w:tcW w:w="1600" w:type="dxa"/>
            <w:vAlign w:val="bottom"/>
          </w:tcPr>
          <w:p>
            <w:pPr>
              <w:spacing w:after="0"/>
              <w:rPr>
                <w:sz w:val="14"/>
                <w:szCs w:val="14"/>
                <w:color w:val="auto"/>
              </w:rPr>
            </w:pPr>
          </w:p>
        </w:tc>
      </w:tr>
      <w:tr>
        <w:trPr>
          <w:trHeight w:val="225"/>
        </w:trPr>
        <w:tc>
          <w:tcPr>
            <w:tcW w:w="2140" w:type="dxa"/>
            <w:vAlign w:val="bottom"/>
          </w:tcPr>
          <w:p>
            <w:pPr>
              <w:spacing w:after="0"/>
              <w:rPr>
                <w:sz w:val="19"/>
                <w:szCs w:val="19"/>
                <w:color w:val="auto"/>
              </w:rPr>
            </w:pPr>
          </w:p>
        </w:tc>
        <w:tc>
          <w:tcPr>
            <w:tcW w:w="4360" w:type="dxa"/>
            <w:vAlign w:val="bottom"/>
          </w:tcPr>
          <w:p>
            <w:pPr>
              <w:jc w:val="right"/>
              <w:ind w:right="1746"/>
              <w:spacing w:after="0"/>
              <w:rPr>
                <w:sz w:val="20"/>
                <w:szCs w:val="20"/>
                <w:color w:val="auto"/>
              </w:rPr>
            </w:pPr>
            <w:r>
              <w:rPr>
                <w:rFonts w:ascii="Times New Roman" w:cs="Times New Roman" w:eastAsia="Times New Roman" w:hAnsi="Times New Roman"/>
                <w:sz w:val="11"/>
                <w:szCs w:val="11"/>
                <w:b w:val="1"/>
                <w:bCs w:val="1"/>
                <w:color w:val="auto"/>
              </w:rPr>
              <w:t>(281) 646-5200</w:t>
            </w:r>
          </w:p>
        </w:tc>
        <w:tc>
          <w:tcPr>
            <w:tcW w:w="1600" w:type="dxa"/>
            <w:vAlign w:val="bottom"/>
          </w:tcPr>
          <w:p>
            <w:pPr>
              <w:spacing w:after="0"/>
              <w:rPr>
                <w:sz w:val="19"/>
                <w:szCs w:val="19"/>
                <w:color w:val="auto"/>
              </w:rPr>
            </w:pPr>
          </w:p>
        </w:tc>
      </w:tr>
      <w:tr>
        <w:trPr>
          <w:trHeight w:val="198"/>
        </w:trPr>
        <w:tc>
          <w:tcPr>
            <w:tcW w:w="2140" w:type="dxa"/>
            <w:vAlign w:val="bottom"/>
          </w:tcPr>
          <w:p>
            <w:pPr>
              <w:spacing w:after="0"/>
              <w:rPr>
                <w:sz w:val="17"/>
                <w:szCs w:val="17"/>
                <w:color w:val="auto"/>
              </w:rPr>
            </w:pPr>
          </w:p>
        </w:tc>
        <w:tc>
          <w:tcPr>
            <w:tcW w:w="4360" w:type="dxa"/>
            <w:vAlign w:val="bottom"/>
          </w:tcPr>
          <w:p>
            <w:pPr>
              <w:jc w:val="center"/>
              <w:ind w:left="26"/>
              <w:spacing w:after="0"/>
              <w:rPr>
                <w:sz w:val="20"/>
                <w:szCs w:val="20"/>
                <w:color w:val="auto"/>
              </w:rPr>
            </w:pPr>
            <w:r>
              <w:rPr>
                <w:rFonts w:ascii="Times New Roman" w:cs="Times New Roman" w:eastAsia="Times New Roman" w:hAnsi="Times New Roman"/>
                <w:sz w:val="11"/>
                <w:szCs w:val="11"/>
                <w:i w:val="1"/>
                <w:iCs w:val="1"/>
                <w:color w:val="auto"/>
                <w:w w:val="96"/>
              </w:rPr>
              <w:t>(Registrant’s telephone number, including area code)</w:t>
            </w:r>
          </w:p>
        </w:tc>
        <w:tc>
          <w:tcPr>
            <w:tcW w:w="1600" w:type="dxa"/>
            <w:vAlign w:val="bottom"/>
          </w:tcPr>
          <w:p>
            <w:pPr>
              <w:spacing w:after="0"/>
              <w:rPr>
                <w:sz w:val="17"/>
                <w:szCs w:val="17"/>
                <w:color w:val="auto"/>
              </w:rPr>
            </w:pPr>
          </w:p>
        </w:tc>
      </w:tr>
      <w:tr>
        <w:trPr>
          <w:trHeight w:val="306"/>
        </w:trPr>
        <w:tc>
          <w:tcPr>
            <w:tcW w:w="2140" w:type="dxa"/>
            <w:vAlign w:val="bottom"/>
          </w:tcPr>
          <w:p>
            <w:pPr>
              <w:spacing w:after="0"/>
              <w:rPr>
                <w:sz w:val="24"/>
                <w:szCs w:val="24"/>
                <w:color w:val="auto"/>
              </w:rPr>
            </w:pPr>
          </w:p>
        </w:tc>
        <w:tc>
          <w:tcPr>
            <w:tcW w:w="436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Not Applicable</w:t>
            </w:r>
          </w:p>
        </w:tc>
        <w:tc>
          <w:tcPr>
            <w:tcW w:w="1600" w:type="dxa"/>
            <w:vAlign w:val="bottom"/>
          </w:tcPr>
          <w:p>
            <w:pPr>
              <w:spacing w:after="0"/>
              <w:rPr>
                <w:sz w:val="24"/>
                <w:szCs w:val="24"/>
                <w:color w:val="auto"/>
              </w:rPr>
            </w:pPr>
          </w:p>
        </w:tc>
      </w:tr>
      <w:tr>
        <w:trPr>
          <w:trHeight w:val="162"/>
        </w:trPr>
        <w:tc>
          <w:tcPr>
            <w:tcW w:w="2140" w:type="dxa"/>
            <w:vAlign w:val="bottom"/>
          </w:tcPr>
          <w:p>
            <w:pPr>
              <w:spacing w:after="0"/>
              <w:rPr>
                <w:sz w:val="14"/>
                <w:szCs w:val="14"/>
                <w:color w:val="auto"/>
              </w:rPr>
            </w:pPr>
          </w:p>
        </w:tc>
        <w:tc>
          <w:tcPr>
            <w:tcW w:w="436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7"/>
              </w:rPr>
              <w:t>(Former name or former address, if changed since last report)</w:t>
            </w:r>
          </w:p>
        </w:tc>
        <w:tc>
          <w:tcPr>
            <w:tcW w:w="16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76835</wp:posOffset>
            </wp:positionV>
            <wp:extent cx="18116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40" w:hanging="13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1320" w:type="dxa"/>
        <w:tblCellMar>
          <w:top w:w="0" w:type="dxa"/>
          <w:left w:w="0" w:type="dxa"/>
          <w:bottom w:w="0" w:type="dxa"/>
          <w:right w:w="0" w:type="dxa"/>
        </w:tblCellMar>
      </w:tblPr>
      <w:tr>
        <w:trPr>
          <w:trHeight w:val="142"/>
        </w:trPr>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58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000" w:type="dxa"/>
            <w:vAlign w:val="bottom"/>
          </w:tcPr>
          <w:p>
            <w:pPr>
              <w:spacing w:after="0"/>
              <w:rPr>
                <w:sz w:val="12"/>
                <w:szCs w:val="12"/>
                <w:color w:val="auto"/>
              </w:rPr>
            </w:pPr>
          </w:p>
        </w:tc>
      </w:tr>
      <w:tr>
        <w:trPr>
          <w:trHeight w:val="139"/>
        </w:trPr>
        <w:tc>
          <w:tcPr>
            <w:tcW w:w="5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10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780" w:type="dxa"/>
            <w:vAlign w:val="bottom"/>
            <w:gridSpan w:val="2"/>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46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8"/>
              </w:rPr>
              <w:t>Common Stock, $0.01 par value per share</w:t>
            </w:r>
          </w:p>
        </w:tc>
        <w:tc>
          <w:tcPr>
            <w:tcW w:w="1800" w:type="dxa"/>
            <w:vAlign w:val="bottom"/>
          </w:tcPr>
          <w:p>
            <w:pPr>
              <w:spacing w:after="0"/>
              <w:rPr>
                <w:sz w:val="14"/>
                <w:szCs w:val="14"/>
                <w:color w:val="auto"/>
              </w:rPr>
            </w:pPr>
          </w:p>
        </w:tc>
        <w:tc>
          <w:tcPr>
            <w:tcW w:w="2780" w:type="dxa"/>
            <w:vAlign w:val="bottom"/>
            <w:gridSpan w:val="2"/>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Nasdaq Global Select Market</w:t>
            </w:r>
          </w:p>
        </w:tc>
      </w:tr>
    </w:tbl>
    <w:p>
      <w:pPr>
        <w:spacing w:after="0" w:line="130" w:lineRule="exact"/>
        <w:rPr>
          <w:sz w:val="24"/>
          <w:szCs w:val="24"/>
          <w:color w:val="auto"/>
        </w:rPr>
      </w:pPr>
    </w:p>
    <w:p>
      <w:pPr>
        <w:ind w:right="600"/>
        <w:spacing w:after="0" w:line="15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4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295275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723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040"/>
          </w:cols>
          <w:pgMar w:left="300" w:top="542" w:right="55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9"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On April 7, 2026, Academy Sports and Outdoors, Inc. (the “Company”) issued a press release providing a preliminary first quarter sales update. A copy of the press release is attached to this Current Report on Form 8-K as Exhibit 99.1 and will be available on the Company’s website at investors.academy.com.</w:t>
      </w:r>
    </w:p>
    <w:p>
      <w:pPr>
        <w:spacing w:after="0" w:line="10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3"/>
          <w:szCs w:val="13"/>
          <w:color w:val="auto"/>
        </w:rPr>
        <w:t>Additionally, on April 7, 2026, the Company will conduct an in-person and webcast Analyst Day event, at which members of the Company’s management team will present and discuss the Company’s long-term strategy and updates on growth initiatives. The Company issued a press release announcing that the Analyst Day event presentation materials will be available on the Company’s website at investors.academy.com. A copy of the press release and the Analyst Day event presentation materials are attached to this Current Report on Form 8-K as Exhibit 99.2 and Exhibit 99.3, respectively, and will be available on the Company’s website at investors.academy.com. The Company undertakes no obligation to update, supplement or amend the Analyst Day event presentation materials attached hereto as Exhibit 99.3.</w:t>
      </w:r>
    </w:p>
    <w:p>
      <w:pPr>
        <w:spacing w:after="0" w:line="134" w:lineRule="exact"/>
        <w:rPr>
          <w:sz w:val="20"/>
          <w:szCs w:val="20"/>
          <w:color w:val="auto"/>
        </w:rPr>
      </w:pPr>
    </w:p>
    <w:p>
      <w:pPr>
        <w:jc w:val="both"/>
        <w:ind w:right="20" w:firstLine="432"/>
        <w:spacing w:after="0" w:line="263" w:lineRule="auto"/>
        <w:rPr>
          <w:sz w:val="20"/>
          <w:szCs w:val="20"/>
          <w:color w:val="auto"/>
        </w:rPr>
      </w:pPr>
      <w:r>
        <w:rPr>
          <w:rFonts w:ascii="Times New Roman" w:cs="Times New Roman" w:eastAsia="Times New Roman" w:hAnsi="Times New Roman"/>
          <w:sz w:val="13"/>
          <w:szCs w:val="13"/>
          <w:color w:val="auto"/>
        </w:rPr>
        <w:t>The information contained in this Current Report on Form 8-K Item 7.01, including Exhibit 99.1, Exhibit 99.2, and Exhibit 99.3, is being furnished and shall not be deemed to be “filed” for the purposes of Section 18 of the Securities Exchange Act of 1934, as amended (the “Exchange Act”), or otherwise subject to the liabilities of Section 18 thereof, nor shall information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770255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sectPr>
      </w:pPr>
    </w:p>
    <w:bookmarkStart w:id="2" w:name="page3"/>
    <w:bookmarkEnd w:id="2"/>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22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2"/>
          <w:szCs w:val="12"/>
          <w:b w:val="1"/>
          <w:bCs w:val="1"/>
          <w:color w:val="auto"/>
        </w:rPr>
        <w:t>Exhibit No.</w:t>
      </w:r>
    </w:p>
    <w:p>
      <w:pPr>
        <w:spacing w:after="0" w:line="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u w:val="single" w:color="auto"/>
          <w:color w:val="0000FF"/>
        </w:rPr>
        <w:t>99.1</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u w:val="single" w:color="auto"/>
          <w:color w:val="0000FF"/>
        </w:rPr>
        <w:t>99.2</w:t>
      </w:r>
    </w:p>
    <w:p>
      <w:pPr>
        <w:spacing w:after="0" w:line="49"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3"/>
          <w:szCs w:val="13"/>
          <w:u w:val="single" w:color="auto"/>
          <w:color w:val="0000FF"/>
        </w:rPr>
        <w:t>99.3</w:t>
      </w:r>
    </w:p>
    <w:p>
      <w:pPr>
        <w:spacing w:after="0" w:line="4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Academy Sports and Outdoors, Inc. Press Release, dated April 7, 2026.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Academy Sports and Outdoors, Inc. Press Release, dated April 7, 2026.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Academy Sports and Outdoors, Inc. 2026 Analyst Day event presentation materials.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643890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500" w:space="720"/>
            <w:col w:w="6939"/>
          </w:cols>
          <w:pgMar w:left="300" w:top="1151" w:right="1440" w:bottom="1440" w:gutter="0" w:footer="0" w:header="0"/>
        </w:sectPr>
      </w:pPr>
    </w:p>
    <w:bookmarkStart w:id="3" w:name="page4"/>
    <w:bookmarkEnd w:id="3"/>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tbl>
      <w:tblPr>
        <w:tblLayout w:type="fixed"/>
        <w:tblInd w:w="5500" w:type="dxa"/>
        <w:tblCellMar>
          <w:top w:w="0" w:type="dxa"/>
          <w:left w:w="0" w:type="dxa"/>
          <w:bottom w:w="0" w:type="dxa"/>
          <w:right w:w="0" w:type="dxa"/>
        </w:tblCellMar>
      </w:tblPr>
      <w:tr>
        <w:trPr>
          <w:trHeight w:val="155"/>
        </w:trPr>
        <w:tc>
          <w:tcPr>
            <w:tcW w:w="1460" w:type="dxa"/>
            <w:vAlign w:val="bottom"/>
          </w:tcPr>
          <w:p>
            <w:pPr>
              <w:spacing w:after="0"/>
              <w:rPr>
                <w:sz w:val="13"/>
                <w:szCs w:val="13"/>
                <w:color w:val="auto"/>
              </w:rPr>
            </w:pPr>
          </w:p>
        </w:tc>
        <w:tc>
          <w:tcPr>
            <w:tcW w:w="4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April 7, 2026</w:t>
            </w:r>
          </w:p>
        </w:tc>
        <w:tc>
          <w:tcPr>
            <w:tcW w:w="128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Brandy Treadway</w:t>
            </w:r>
          </w:p>
        </w:tc>
      </w:tr>
      <w:tr>
        <w:trPr>
          <w:trHeight w:val="160"/>
        </w:trPr>
        <w:tc>
          <w:tcPr>
            <w:tcW w:w="1460" w:type="dxa"/>
            <w:vAlign w:val="bottom"/>
          </w:tcPr>
          <w:p>
            <w:pPr>
              <w:spacing w:after="0"/>
              <w:rPr>
                <w:sz w:val="13"/>
                <w:szCs w:val="13"/>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Brandy Treadway</w:t>
            </w:r>
          </w:p>
        </w:tc>
      </w:tr>
      <w:tr>
        <w:trPr>
          <w:trHeight w:val="169"/>
        </w:trPr>
        <w:tc>
          <w:tcPr>
            <w:tcW w:w="1460" w:type="dxa"/>
            <w:vAlign w:val="bottom"/>
          </w:tcPr>
          <w:p>
            <w:pPr>
              <w:spacing w:after="0"/>
              <w:rPr>
                <w:sz w:val="14"/>
                <w:szCs w:val="14"/>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Chief Legal Officer, and</w:t>
            </w:r>
          </w:p>
        </w:tc>
      </w:tr>
      <w:tr>
        <w:trPr>
          <w:trHeight w:val="155"/>
        </w:trPr>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Corporate Secretary</w:t>
            </w:r>
          </w:p>
        </w:tc>
      </w:tr>
    </w:tbl>
    <w:p>
      <w:pPr>
        <w:sectPr>
          <w:pgSz w:w="11900" w:h="16838" w:orient="portrait"/>
          <w:cols w:equalWidth="0" w:num="1">
            <w:col w:w="11100"/>
          </w:cols>
          <w:pgMar w:left="500" w:top="1151"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349250</wp:posOffset>
            </wp:positionV>
            <wp:extent cx="150876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8"/>
          <w:szCs w:val="28"/>
          <w:b w:val="1"/>
          <w:bCs w:val="1"/>
          <w:color w:val="FF0000"/>
        </w:rPr>
        <w:t>PRESS RELEASE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FOR IMMEDIATE RELEASE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Academy Sports + Outdoors Announces Preliminary First Quarter Fiscal 2026 Sales Update Ahead of its Analyst Day</w:t>
      </w:r>
    </w:p>
    <w:p>
      <w:pPr>
        <w:spacing w:after="0" w:line="161" w:lineRule="exact"/>
        <w:rPr>
          <w:sz w:val="20"/>
          <w:szCs w:val="20"/>
          <w:color w:val="auto"/>
        </w:rPr>
      </w:pPr>
    </w:p>
    <w:p>
      <w:pPr>
        <w:ind w:right="500"/>
        <w:spacing w:after="0" w:line="285" w:lineRule="auto"/>
        <w:rPr>
          <w:sz w:val="20"/>
          <w:szCs w:val="20"/>
          <w:color w:val="auto"/>
        </w:rPr>
      </w:pPr>
      <w:r>
        <w:rPr>
          <w:rFonts w:ascii="Arial" w:cs="Arial" w:eastAsia="Arial" w:hAnsi="Arial"/>
          <w:sz w:val="13"/>
          <w:szCs w:val="13"/>
          <w:b w:val="1"/>
          <w:bCs w:val="1"/>
          <w:color w:val="auto"/>
        </w:rPr>
        <w:t xml:space="preserve">KATY, Texas, (April </w:t>
      </w:r>
      <w:r>
        <w:rPr>
          <w:rFonts w:ascii="Arial" w:cs="Arial" w:eastAsia="Arial" w:hAnsi="Arial"/>
          <w:sz w:val="14"/>
          <w:szCs w:val="14"/>
          <w:b w:val="1"/>
          <w:bCs w:val="1"/>
          <w:color w:val="auto"/>
        </w:rPr>
        <w:t>7</w:t>
      </w:r>
      <w:r>
        <w:rPr>
          <w:rFonts w:ascii="Arial" w:cs="Arial" w:eastAsia="Arial" w:hAnsi="Arial"/>
          <w:sz w:val="13"/>
          <w:szCs w:val="13"/>
          <w:b w:val="1"/>
          <w:bCs w:val="1"/>
          <w:color w:val="auto"/>
        </w:rPr>
        <w:t xml:space="preserve">, 2026) </w:t>
      </w:r>
      <w:r>
        <w:rPr>
          <w:rFonts w:ascii="Arial" w:cs="Arial" w:eastAsia="Arial" w:hAnsi="Arial"/>
          <w:sz w:val="13"/>
          <w:szCs w:val="13"/>
          <w:color w:val="auto"/>
        </w:rPr>
        <w:t>– Academy Sports + Outdoors (“Academy” or the “Company”) (Nasdaq: ASO), a</w:t>
      </w:r>
      <w:r>
        <w:rPr>
          <w:rFonts w:ascii="Arial" w:cs="Arial" w:eastAsia="Arial" w:hAnsi="Arial"/>
          <w:sz w:val="13"/>
          <w:szCs w:val="13"/>
          <w:b w:val="1"/>
          <w:bCs w:val="1"/>
          <w:color w:val="auto"/>
        </w:rPr>
        <w:t xml:space="preserve"> </w:t>
      </w:r>
      <w:r>
        <w:rPr>
          <w:rFonts w:ascii="Arial" w:cs="Arial" w:eastAsia="Arial" w:hAnsi="Arial"/>
          <w:sz w:val="14"/>
          <w:szCs w:val="14"/>
          <w:color w:val="auto"/>
        </w:rPr>
        <w:t>leading full-line sporting goods and outdoor recreation retailer, today</w:t>
      </w:r>
      <w:r>
        <w:rPr>
          <w:rFonts w:ascii="Arial" w:cs="Arial" w:eastAsia="Arial" w:hAnsi="Arial"/>
          <w:sz w:val="13"/>
          <w:szCs w:val="13"/>
          <w:b w:val="1"/>
          <w:bCs w:val="1"/>
          <w:color w:val="auto"/>
        </w:rPr>
        <w:t xml:space="preserve"> </w:t>
      </w:r>
      <w:r>
        <w:rPr>
          <w:rFonts w:ascii="Arial" w:cs="Arial" w:eastAsia="Arial" w:hAnsi="Arial"/>
          <w:sz w:val="14"/>
          <w:szCs w:val="14"/>
          <w:color w:val="auto"/>
        </w:rPr>
        <w:t xml:space="preserve">provided an update on its first quarter fiscal 2026 sales and comparable sales in advance of its Analyst Day event on April 7, 2026 at </w:t>
      </w:r>
      <w:r>
        <w:rPr>
          <w:rFonts w:ascii="Arial" w:cs="Arial" w:eastAsia="Arial" w:hAnsi="Arial"/>
          <w:sz w:val="13"/>
          <w:szCs w:val="13"/>
          <w:color w:val="auto"/>
        </w:rPr>
        <w:t>9:00 a.m. Eastern Time.</w:t>
      </w:r>
    </w:p>
    <w:p>
      <w:pPr>
        <w:spacing w:after="0" w:line="104" w:lineRule="exact"/>
        <w:rPr>
          <w:sz w:val="20"/>
          <w:szCs w:val="20"/>
          <w:color w:val="auto"/>
        </w:rPr>
      </w:pPr>
    </w:p>
    <w:p>
      <w:pPr>
        <w:ind w:right="280"/>
        <w:spacing w:after="0" w:line="286" w:lineRule="auto"/>
        <w:rPr>
          <w:sz w:val="20"/>
          <w:szCs w:val="20"/>
          <w:color w:val="auto"/>
        </w:rPr>
      </w:pPr>
      <w:r>
        <w:rPr>
          <w:rFonts w:ascii="Arial" w:cs="Arial" w:eastAsia="Arial" w:hAnsi="Arial"/>
          <w:sz w:val="13"/>
          <w:szCs w:val="13"/>
          <w:color w:val="auto"/>
        </w:rPr>
        <w:t xml:space="preserve">The Company expects sales for the first quarter to be up </w:t>
      </w:r>
      <w:r>
        <w:rPr>
          <w:rFonts w:ascii="Arial" w:cs="Arial" w:eastAsia="Arial" w:hAnsi="Arial"/>
          <w:sz w:val="14"/>
          <w:szCs w:val="14"/>
          <w:color w:val="auto"/>
        </w:rPr>
        <w:t>6% - 7%</w:t>
      </w:r>
      <w:r>
        <w:rPr>
          <w:rFonts w:ascii="Arial" w:cs="Arial" w:eastAsia="Arial" w:hAnsi="Arial"/>
          <w:sz w:val="13"/>
          <w:szCs w:val="13"/>
          <w:color w:val="auto"/>
        </w:rPr>
        <w:t xml:space="preserve">, with comparable sales up </w:t>
      </w:r>
      <w:r>
        <w:rPr>
          <w:rFonts w:ascii="Arial" w:cs="Arial" w:eastAsia="Arial" w:hAnsi="Arial"/>
          <w:sz w:val="14"/>
          <w:szCs w:val="14"/>
          <w:color w:val="auto"/>
        </w:rPr>
        <w:t>2% - 3%</w:t>
      </w:r>
      <w:r>
        <w:rPr>
          <w:rFonts w:ascii="Arial" w:cs="Arial" w:eastAsia="Arial" w:hAnsi="Arial"/>
          <w:sz w:val="13"/>
          <w:szCs w:val="13"/>
          <w:color w:val="auto"/>
        </w:rPr>
        <w:t>. The Company plans to communicate any changes to its fiscal 2026 guidance when it reports full first quarter fiscal 2026 financial results in June 2026.</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Academy Sports + Outdoors</w:t>
      </w:r>
    </w:p>
    <w:p>
      <w:pPr>
        <w:spacing w:after="0" w:line="7"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7"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U.S. Securities and Exchange Commission (the “SEC”), including the Annual Report on Form 10-K under the caption "Part 1A. Risk Factors," as may be updated from time to time in our periodic filings with the SEC. Any forward-looking statement in this press release speaks only as of the date of this release. Academy undertakes no obligation to publicly update or review any forward-looking</w:t>
      </w:r>
    </w:p>
    <w:p>
      <w:pPr>
        <w:sectPr>
          <w:pgSz w:w="11900" w:h="16838" w:orient="portrait"/>
          <w:cols w:equalWidth="0" w:num="1">
            <w:col w:w="11300"/>
          </w:cols>
          <w:pgMar w:left="300" w:top="292"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statement, whether as a result of new information, future developments or otherwise, except as may be required by any applicable securities laws.</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inquiries: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Meredith Klein, Vice President of Communications</w:t>
      </w:r>
    </w:p>
    <w:p>
      <w:pPr>
        <w:spacing w:after="0"/>
        <w:rPr>
          <w:sz w:val="20"/>
          <w:szCs w:val="20"/>
          <w:color w:val="auto"/>
        </w:rPr>
      </w:pPr>
      <w:r>
        <w:rPr>
          <w:rFonts w:ascii="Arial" w:cs="Arial" w:eastAsia="Arial" w:hAnsi="Arial"/>
          <w:sz w:val="13"/>
          <w:szCs w:val="13"/>
          <w:color w:val="auto"/>
        </w:rPr>
        <w:t>346.823.6615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meredith.klein@academy.com</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inquiries: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Dan Aldridge, Vice President of Investor Relations</w:t>
      </w:r>
    </w:p>
    <w:p>
      <w:pPr>
        <w:spacing w:after="0" w:line="231" w:lineRule="auto"/>
        <w:rPr>
          <w:sz w:val="20"/>
          <w:szCs w:val="20"/>
          <w:color w:val="auto"/>
        </w:rPr>
      </w:pPr>
      <w:r>
        <w:rPr>
          <w:rFonts w:ascii="Arial" w:cs="Arial" w:eastAsia="Arial" w:hAnsi="Arial"/>
          <w:sz w:val="13"/>
          <w:szCs w:val="13"/>
          <w:color w:val="auto"/>
        </w:rPr>
        <w:t>832.739.4102</w:t>
      </w:r>
    </w:p>
    <w:p>
      <w:pPr>
        <w:spacing w:after="0"/>
        <w:rPr>
          <w:sz w:val="20"/>
          <w:szCs w:val="20"/>
          <w:color w:val="auto"/>
        </w:rPr>
      </w:pPr>
      <w:r>
        <w:rPr>
          <w:rFonts w:ascii="Arial" w:cs="Arial" w:eastAsia="Arial" w:hAnsi="Arial"/>
          <w:sz w:val="13"/>
          <w:szCs w:val="13"/>
          <w:color w:val="auto"/>
        </w:rPr>
        <w:t>dan.aldridge@academy.com</w:t>
      </w:r>
    </w:p>
    <w:p>
      <w:pPr>
        <w:sectPr>
          <w:pgSz w:w="11900" w:h="16838" w:orient="portrait"/>
          <w:cols w:equalWidth="0" w:num="1">
            <w:col w:w="11300"/>
          </w:cols>
          <w:pgMar w:left="300" w:top="292"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554990</wp:posOffset>
            </wp:positionV>
            <wp:extent cx="13716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8"/>
          <w:szCs w:val="28"/>
          <w:b w:val="1"/>
          <w:bCs w:val="1"/>
          <w:color w:val="FF0000"/>
        </w:rPr>
        <w:t>PRESS RELEASE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FOR IMMEDIATE RELEASE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Academy Sports + Outdoors Hosts 2026 Analyst Day Event</w:t>
      </w:r>
    </w:p>
    <w:p>
      <w:pPr>
        <w:spacing w:after="0" w:line="161" w:lineRule="exact"/>
        <w:rPr>
          <w:sz w:val="20"/>
          <w:szCs w:val="20"/>
          <w:color w:val="auto"/>
        </w:rPr>
      </w:pPr>
    </w:p>
    <w:p>
      <w:pPr>
        <w:ind w:right="300"/>
        <w:spacing w:after="0" w:line="286" w:lineRule="auto"/>
        <w:rPr>
          <w:sz w:val="20"/>
          <w:szCs w:val="20"/>
          <w:color w:val="auto"/>
        </w:rPr>
      </w:pPr>
      <w:r>
        <w:rPr>
          <w:rFonts w:ascii="Arial" w:cs="Arial" w:eastAsia="Arial" w:hAnsi="Arial"/>
          <w:sz w:val="13"/>
          <w:szCs w:val="13"/>
          <w:b w:val="1"/>
          <w:bCs w:val="1"/>
          <w:color w:val="auto"/>
        </w:rPr>
        <w:t xml:space="preserve">KATY, Texas, (April </w:t>
      </w:r>
      <w:r>
        <w:rPr>
          <w:rFonts w:ascii="Arial" w:cs="Arial" w:eastAsia="Arial" w:hAnsi="Arial"/>
          <w:sz w:val="14"/>
          <w:szCs w:val="14"/>
          <w:b w:val="1"/>
          <w:bCs w:val="1"/>
          <w:color w:val="auto"/>
        </w:rPr>
        <w:t>7</w:t>
      </w:r>
      <w:r>
        <w:rPr>
          <w:rFonts w:ascii="Arial" w:cs="Arial" w:eastAsia="Arial" w:hAnsi="Arial"/>
          <w:sz w:val="13"/>
          <w:szCs w:val="13"/>
          <w:b w:val="1"/>
          <w:bCs w:val="1"/>
          <w:color w:val="auto"/>
        </w:rPr>
        <w:t xml:space="preserve">, 2026) </w:t>
      </w:r>
      <w:r>
        <w:rPr>
          <w:rFonts w:ascii="Arial" w:cs="Arial" w:eastAsia="Arial" w:hAnsi="Arial"/>
          <w:sz w:val="13"/>
          <w:szCs w:val="13"/>
          <w:color w:val="auto"/>
        </w:rPr>
        <w:t>– Academy Sports + Outdoors</w:t>
      </w:r>
      <w:r>
        <w:rPr>
          <w:rFonts w:ascii="Arial" w:cs="Arial" w:eastAsia="Arial" w:hAnsi="Arial"/>
          <w:sz w:val="13"/>
          <w:szCs w:val="13"/>
          <w:b w:val="1"/>
          <w:bCs w:val="1"/>
          <w:color w:val="auto"/>
        </w:rPr>
        <w:t xml:space="preserve"> </w:t>
      </w:r>
      <w:r>
        <w:rPr>
          <w:rFonts w:ascii="Arial" w:cs="Arial" w:eastAsia="Arial" w:hAnsi="Arial"/>
          <w:sz w:val="14"/>
          <w:szCs w:val="14"/>
          <w:color w:val="auto"/>
        </w:rPr>
        <w:t>(“Academy” or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(Nasdaq: ASO), a leading full-line sporting goods and outdoor recreation retailer, is hosting its</w:t>
      </w:r>
      <w:r>
        <w:rPr>
          <w:rFonts w:ascii="Arial" w:cs="Arial" w:eastAsia="Arial" w:hAnsi="Arial"/>
          <w:sz w:val="13"/>
          <w:szCs w:val="13"/>
          <w:b w:val="1"/>
          <w:bCs w:val="1"/>
          <w:color w:val="auto"/>
        </w:rPr>
        <w:t xml:space="preserve"> </w:t>
      </w:r>
      <w:r>
        <w:rPr>
          <w:rFonts w:ascii="Arial" w:cs="Arial" w:eastAsia="Arial" w:hAnsi="Arial"/>
          <w:sz w:val="13"/>
          <w:szCs w:val="13"/>
          <w:color w:val="auto"/>
        </w:rPr>
        <w:t>Analyst Day event today, April 7, 2026, beginning at 9:00 a.m. Eastern Time.</w:t>
      </w:r>
    </w:p>
    <w:p>
      <w:pPr>
        <w:spacing w:after="0" w:line="102" w:lineRule="exact"/>
        <w:rPr>
          <w:sz w:val="20"/>
          <w:szCs w:val="20"/>
          <w:color w:val="auto"/>
        </w:rPr>
      </w:pPr>
    </w:p>
    <w:p>
      <w:pPr>
        <w:ind w:right="220"/>
        <w:spacing w:after="0" w:line="284" w:lineRule="auto"/>
        <w:rPr>
          <w:sz w:val="20"/>
          <w:szCs w:val="20"/>
          <w:color w:val="auto"/>
        </w:rPr>
      </w:pPr>
      <w:r>
        <w:rPr>
          <w:rFonts w:ascii="Arial" w:cs="Arial" w:eastAsia="Arial" w:hAnsi="Arial"/>
          <w:sz w:val="13"/>
          <w:szCs w:val="13"/>
          <w:color w:val="auto"/>
        </w:rPr>
        <w:t>Steve Lawrence, Chief Executive Officer, Carl Ford, Chief Financial Officer, and Chad Fox, Chief Customer Officer, are presenting and discussing the Company's long-term strategy as well as providing updates on growth initiatives.</w:t>
      </w:r>
    </w:p>
    <w:p>
      <w:pPr>
        <w:spacing w:after="0" w:line="105" w:lineRule="exact"/>
        <w:rPr>
          <w:sz w:val="20"/>
          <w:szCs w:val="20"/>
          <w:color w:val="auto"/>
        </w:rPr>
      </w:pPr>
    </w:p>
    <w:p>
      <w:pPr>
        <w:ind w:right="200"/>
        <w:spacing w:after="0" w:line="269" w:lineRule="auto"/>
        <w:rPr>
          <w:sz w:val="20"/>
          <w:szCs w:val="20"/>
          <w:color w:val="auto"/>
        </w:rPr>
      </w:pPr>
      <w:r>
        <w:rPr>
          <w:rFonts w:ascii="Arial" w:cs="Arial" w:eastAsia="Arial" w:hAnsi="Arial"/>
          <w:sz w:val="13"/>
          <w:szCs w:val="13"/>
          <w:color w:val="auto"/>
        </w:rPr>
        <w:t>A live webcast of the management presentation is accessible through this link or on the Company's website at investors.academy.com from the “News and Events” dropdown menu, under the “Events” tab.</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Presentation materials are available on the Company's website at investors.academy.com and a replay of the webcast will be archived at investors.academy.com for approximately 30 days.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Academy Sports + Outdoors</w:t>
      </w:r>
    </w:p>
    <w:p>
      <w:pPr>
        <w:spacing w:after="0" w:line="16"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6"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w:t>
      </w:r>
    </w:p>
    <w:p>
      <w:pPr>
        <w:sectPr>
          <w:pgSz w:w="11900" w:h="16838" w:orient="portrait"/>
          <w:cols w:equalWidth="0" w:num="1">
            <w:col w:w="11300"/>
          </w:cols>
          <w:pgMar w:left="300" w:top="130"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other important factors that could cause actual results to differ materially from those in the forward-looking statements are set forth in Academy's filings with the U.S. Securities and Exchange Commission (the “SEC”), including the Annual Report on Form 10-K under the caption "Part 1A.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inquiries: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Meredith Klein, Vice President of Communications</w:t>
      </w:r>
    </w:p>
    <w:p>
      <w:pPr>
        <w:spacing w:after="0" w:line="236" w:lineRule="auto"/>
        <w:rPr>
          <w:sz w:val="20"/>
          <w:szCs w:val="20"/>
          <w:color w:val="auto"/>
        </w:rPr>
      </w:pPr>
      <w:r>
        <w:rPr>
          <w:rFonts w:ascii="Arial" w:cs="Arial" w:eastAsia="Arial" w:hAnsi="Arial"/>
          <w:sz w:val="13"/>
          <w:szCs w:val="13"/>
          <w:color w:val="auto"/>
        </w:rPr>
        <w:t>346.823.6615</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meredith.klein@academy.com</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inquiries: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Dan Aldridge, Vice President of Investor Relations</w:t>
      </w:r>
    </w:p>
    <w:p>
      <w:pPr>
        <w:spacing w:after="0"/>
        <w:rPr>
          <w:sz w:val="20"/>
          <w:szCs w:val="20"/>
          <w:color w:val="auto"/>
        </w:rPr>
      </w:pPr>
      <w:r>
        <w:rPr>
          <w:rFonts w:ascii="Arial" w:cs="Arial" w:eastAsia="Arial" w:hAnsi="Arial"/>
          <w:sz w:val="13"/>
          <w:szCs w:val="13"/>
          <w:color w:val="auto"/>
        </w:rPr>
        <w:t>832.739.4102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dan.aldridge@academy.com</w:t>
      </w:r>
    </w:p>
    <w:p>
      <w:pPr>
        <w:sectPr>
          <w:pgSz w:w="11900" w:h="16838" w:orient="portrait"/>
          <w:cols w:equalWidth="0" w:num="1">
            <w:col w:w="11300"/>
          </w:cols>
          <w:pgMar w:left="300" w:top="130" w:right="29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2026-04-07T08:08:15Z</dcterms:created>
  <dcterms:modified xsi:type="dcterms:W3CDTF">2026-04-07T08:08:15Z</dcterms:modified>
</cp:coreProperties>
</file>