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2701290</wp:posOffset>
            </wp:positionH>
            <wp:positionV relativeFrom="paragraph">
              <wp:posOffset>139700</wp:posOffset>
            </wp:positionV>
            <wp:extent cx="16884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3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2701290</wp:posOffset>
            </wp:positionH>
            <wp:positionV relativeFrom="paragraph">
              <wp:posOffset>144145</wp:posOffset>
            </wp:positionV>
            <wp:extent cx="16884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3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17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June 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2701290</wp:posOffset>
            </wp:positionH>
            <wp:positionV relativeFrom="paragraph">
              <wp:posOffset>145415</wp:posOffset>
            </wp:positionV>
            <wp:extent cx="1688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88465" cy="8255"/>
                    </a:xfrm>
                    <a:prstGeom prst="rect">
                      <a:avLst/>
                    </a:prstGeom>
                    <a:noFill/>
                  </pic:spPr>
                </pic:pic>
              </a:graphicData>
            </a:graphic>
          </wp:anchor>
        </w:drawing>
        <w:drawing>
          <wp:anchor simplePos="0" relativeHeight="251657728" behindDoc="1" locked="0" layoutInCell="0" allowOverlap="1">
            <wp:simplePos x="0" y="0"/>
            <wp:positionH relativeFrom="column">
              <wp:posOffset>2564130</wp:posOffset>
            </wp:positionH>
            <wp:positionV relativeFrom="paragraph">
              <wp:posOffset>248285</wp:posOffset>
            </wp:positionV>
            <wp:extent cx="1988820" cy="608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88820" cy="608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Academy Sports and Outdoors, Inc.</w:t>
      </w:r>
    </w:p>
    <w:p>
      <w:pPr>
        <w:spacing w:after="0" w:line="9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2701290</wp:posOffset>
            </wp:positionH>
            <wp:positionV relativeFrom="paragraph">
              <wp:posOffset>140335</wp:posOffset>
            </wp:positionV>
            <wp:extent cx="1688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sectPr>
      </w:pPr>
    </w:p>
    <w:p>
      <w:pPr>
        <w:spacing w:after="0" w:line="200" w:lineRule="exact"/>
        <w:rPr>
          <w:sz w:val="24"/>
          <w:szCs w:val="24"/>
          <w:color w:val="auto"/>
        </w:rPr>
      </w:pPr>
    </w:p>
    <w:p>
      <w:pPr>
        <w:spacing w:after="0" w:line="213"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6"/>
          <w:szCs w:val="16"/>
          <w:b w:val="1"/>
          <w:bCs w:val="1"/>
          <w:color w:val="auto"/>
        </w:rPr>
        <w:t>001-39589</w:t>
      </w:r>
    </w:p>
    <w:p>
      <w:pPr>
        <w:spacing w:after="0" w:line="20" w:lineRule="exact"/>
        <w:rPr>
          <w:sz w:val="24"/>
          <w:szCs w:val="24"/>
          <w:color w:val="auto"/>
        </w:rPr>
      </w:pPr>
      <w:r>
        <w:rPr>
          <w:sz w:val="24"/>
          <w:szCs w:val="24"/>
          <w:color w:val="auto"/>
        </w:rPr>
        <w:br w:type="column"/>
      </w:r>
    </w:p>
    <w:p>
      <w:pPr>
        <w:spacing w:after="0" w:line="39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85-1800912</w:t>
      </w:r>
    </w:p>
    <w:p>
      <w:pPr>
        <w:spacing w:after="0" w:line="147" w:lineRule="exact"/>
        <w:rPr>
          <w:sz w:val="24"/>
          <w:szCs w:val="24"/>
          <w:color w:val="auto"/>
        </w:rPr>
      </w:pPr>
    </w:p>
    <w:p>
      <w:pPr>
        <w:sectPr>
          <w:pgSz w:w="11900" w:h="16838" w:orient="portrait"/>
          <w:cols w:equalWidth="0" w:num="3">
            <w:col w:w="4520" w:space="720"/>
            <w:col w:w="2800" w:space="720"/>
            <w:col w:w="2400"/>
          </w:cols>
          <w:pgMar w:left="340" w:top="743" w:right="399" w:bottom="1440" w:gutter="0" w:footer="0" w:header="0"/>
          <w:type w:val="continuous"/>
        </w:sectPr>
      </w:pPr>
    </w:p>
    <w:p>
      <w:pPr>
        <w:ind w:left="118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w:t>
      </w:r>
    </w:p>
    <w:p>
      <w:pPr>
        <w:spacing w:after="0" w:line="127" w:lineRule="exact"/>
        <w:rPr>
          <w:sz w:val="24"/>
          <w:szCs w:val="24"/>
          <w:color w:val="auto"/>
        </w:rPr>
      </w:pPr>
    </w:p>
    <w:p>
      <w:pPr>
        <w:sectPr>
          <w:pgSz w:w="11900" w:h="16838" w:orient="portrait"/>
          <w:cols w:equalWidth="0" w:num="3">
            <w:col w:w="4420" w:space="720"/>
            <w:col w:w="2640" w:space="720"/>
            <w:col w:w="2660"/>
          </w:cols>
          <w:pgMar w:left="340" w:top="743" w:right="399" w:bottom="1440" w:gutter="0" w:footer="0" w:header="0"/>
          <w:type w:val="continuous"/>
        </w:sectPr>
      </w:pPr>
    </w:p>
    <w:p>
      <w:pPr>
        <w:ind w:left="1660"/>
        <w:spacing w:after="0"/>
        <w:rPr>
          <w:sz w:val="20"/>
          <w:szCs w:val="20"/>
          <w:color w:val="auto"/>
        </w:rPr>
      </w:pPr>
      <w:r>
        <w:rPr>
          <w:rFonts w:ascii="Times New Roman" w:cs="Times New Roman" w:eastAsia="Times New Roman" w:hAnsi="Times New Roman"/>
          <w:sz w:val="16"/>
          <w:szCs w:val="16"/>
          <w:color w:val="auto"/>
        </w:rPr>
        <w:t>incorporation)</w:t>
      </w:r>
    </w:p>
    <w:p>
      <w:pPr>
        <w:spacing w:after="0" w:line="20" w:lineRule="exact"/>
        <w:rPr>
          <w:sz w:val="24"/>
          <w:szCs w:val="24"/>
          <w:color w:val="auto"/>
        </w:rPr>
      </w:pPr>
      <w:r>
        <w:rPr>
          <w:sz w:val="24"/>
          <w:szCs w:val="24"/>
          <w:color w:val="auto"/>
        </w:rPr>
        <w:br w:type="column"/>
      </w:r>
    </w:p>
    <w:p>
      <w:pPr>
        <w:jc w:val="center"/>
        <w:ind w:right="1860"/>
        <w:spacing w:after="0"/>
        <w:rPr>
          <w:sz w:val="20"/>
          <w:szCs w:val="20"/>
          <w:color w:val="auto"/>
        </w:rPr>
      </w:pPr>
      <w:r>
        <w:rPr>
          <w:rFonts w:ascii="Times New Roman" w:cs="Times New Roman" w:eastAsia="Times New Roman" w:hAnsi="Times New Roman"/>
          <w:sz w:val="16"/>
          <w:szCs w:val="16"/>
          <w:color w:val="auto"/>
        </w:rPr>
        <w:t>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52" w:lineRule="exact"/>
        <w:rPr>
          <w:sz w:val="24"/>
          <w:szCs w:val="24"/>
          <w:color w:val="auto"/>
        </w:rPr>
      </w:pPr>
    </w:p>
    <w:p>
      <w:pPr>
        <w:sectPr>
          <w:pgSz w:w="11900" w:h="16838" w:orient="portrait"/>
          <w:cols w:equalWidth="0" w:num="3">
            <w:col w:w="4580" w:space="720"/>
            <w:col w:w="2440" w:space="720"/>
            <w:col w:w="2700"/>
          </w:cols>
          <w:pgMar w:left="340" w:top="743" w:right="399" w:bottom="1440" w:gutter="0" w:footer="0" w:header="0"/>
          <w:type w:val="continuous"/>
        </w:sectPr>
      </w:pPr>
    </w:p>
    <w:p>
      <w:pPr>
        <w:ind w:left="4740"/>
        <w:spacing w:after="0"/>
        <w:rPr>
          <w:sz w:val="20"/>
          <w:szCs w:val="20"/>
          <w:color w:val="auto"/>
        </w:rPr>
      </w:pPr>
      <w:r>
        <w:rPr>
          <w:rFonts w:ascii="Times New Roman" w:cs="Times New Roman" w:eastAsia="Times New Roman" w:hAnsi="Times New Roman"/>
          <w:sz w:val="16"/>
          <w:szCs w:val="16"/>
          <w:b w:val="1"/>
          <w:bCs w:val="1"/>
          <w:color w:val="auto"/>
        </w:rPr>
        <w:t>1800 North Mason Road</w:t>
      </w:r>
    </w:p>
    <w:p>
      <w:pPr>
        <w:spacing w:after="0" w:line="59"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6"/>
          <w:szCs w:val="16"/>
          <w:b w:val="1"/>
          <w:bCs w:val="1"/>
          <w:color w:val="auto"/>
        </w:rPr>
        <w:t>Katy, Texas 77449</w:t>
      </w:r>
    </w:p>
    <w:p>
      <w:pPr>
        <w:spacing w:after="0" w:line="59"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including Zip Code)</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(281) 646-5200</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2701290</wp:posOffset>
            </wp:positionH>
            <wp:positionV relativeFrom="paragraph">
              <wp:posOffset>133350</wp:posOffset>
            </wp:positionV>
            <wp:extent cx="1688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type w:val="continuous"/>
        </w:sectPr>
      </w:pPr>
    </w:p>
    <w:p>
      <w:pPr>
        <w:spacing w:after="0" w:line="3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9"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53" w:lineRule="exact"/>
        <w:rPr>
          <w:sz w:val="24"/>
          <w:szCs w:val="24"/>
          <w:color w:val="auto"/>
        </w:rPr>
      </w:pPr>
    </w:p>
    <w:tbl>
      <w:tblPr>
        <w:tblLayout w:type="fixed"/>
        <w:tblInd w:w="68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3420" w:type="dxa"/>
            <w:vAlign w:val="bottom"/>
            <w:gridSpan w:val="2"/>
          </w:tcPr>
          <w:p>
            <w:pPr>
              <w:jc w:val="center"/>
              <w:ind w:right="222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1960" w:type="dxa"/>
            <w:vAlign w:val="bottom"/>
            <w:gridSpan w:val="2"/>
          </w:tcPr>
          <w:p>
            <w:pPr>
              <w:jc w:val="center"/>
              <w:ind w:right="68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660" w:type="dxa"/>
            <w:vAlign w:val="bottom"/>
            <w:gridSpan w:val="2"/>
          </w:tcPr>
          <w:p>
            <w:pPr>
              <w:jc w:val="center"/>
              <w:ind w:left="57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57"/>
        </w:trPr>
        <w:tc>
          <w:tcPr>
            <w:tcW w:w="4260" w:type="dxa"/>
            <w:vAlign w:val="bottom"/>
            <w:gridSpan w:val="3"/>
          </w:tcPr>
          <w:p>
            <w:pPr>
              <w:jc w:val="center"/>
              <w:ind w:right="1380"/>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1960" w:type="dxa"/>
            <w:vAlign w:val="bottom"/>
            <w:gridSpan w:val="2"/>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ASO</w:t>
            </w:r>
          </w:p>
        </w:tc>
        <w:tc>
          <w:tcPr>
            <w:tcW w:w="660" w:type="dxa"/>
            <w:vAlign w:val="bottom"/>
          </w:tcPr>
          <w:p>
            <w:pPr>
              <w:spacing w:after="0"/>
              <w:rPr>
                <w:sz w:val="22"/>
                <w:szCs w:val="2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195" w:lineRule="exact"/>
        <w:rPr>
          <w:sz w:val="24"/>
          <w:szCs w:val="24"/>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0" w:lineRule="exact"/>
        <w:rPr>
          <w:sz w:val="24"/>
          <w:szCs w:val="24"/>
          <w:color w:val="auto"/>
        </w:rPr>
      </w:pPr>
    </w:p>
    <w:p>
      <w:pPr>
        <w:ind w:right="50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400050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95250</wp:posOffset>
            </wp:positionV>
            <wp:extent cx="7123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121285</wp:posOffset>
            </wp:positionV>
            <wp:extent cx="71234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43" w:lineRule="exact"/>
        <w:rPr>
          <w:sz w:val="20"/>
          <w:szCs w:val="20"/>
          <w:color w:val="auto"/>
        </w:rPr>
      </w:pPr>
    </w:p>
    <w:p>
      <w:pPr>
        <w:jc w:val="both"/>
        <w:ind w:firstLine="401"/>
        <w:spacing w:after="0" w:line="282" w:lineRule="auto"/>
        <w:rPr>
          <w:sz w:val="20"/>
          <w:szCs w:val="20"/>
          <w:color w:val="auto"/>
        </w:rPr>
      </w:pPr>
      <w:r>
        <w:rPr>
          <w:rFonts w:ascii="Times New Roman" w:cs="Times New Roman" w:eastAsia="Times New Roman" w:hAnsi="Times New Roman"/>
          <w:sz w:val="18"/>
          <w:szCs w:val="18"/>
          <w:color w:val="auto"/>
        </w:rPr>
        <w:t>On June 7, 2022, Academy Sports and Outdoors, Inc. (the “Company”) issued a press release announcing financial results for the quarter ended April 30, 2022. A copy of the release is furnished herewith as Exhibit 99.1 and incorporated by reference herein.</w:t>
      </w:r>
    </w:p>
    <w:p>
      <w:pPr>
        <w:spacing w:after="0" w:line="175" w:lineRule="exact"/>
        <w:rPr>
          <w:sz w:val="20"/>
          <w:szCs w:val="20"/>
          <w:color w:val="auto"/>
        </w:rPr>
      </w:pPr>
    </w:p>
    <w:p>
      <w:pPr>
        <w:jc w:val="both"/>
        <w:ind w:firstLine="401"/>
        <w:spacing w:after="0" w:line="246"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exhibits, is being furnished to the U.S.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the Company’s filings with the SEC under the Securities Act of 1933, as amended (the “Securities Act”), or the Exchange Act, except as shall be expressly set forth by specific reference in such a filing.</w:t>
      </w:r>
    </w:p>
    <w:p>
      <w:pPr>
        <w:spacing w:after="0" w:line="200" w:lineRule="exact"/>
        <w:rPr>
          <w:sz w:val="20"/>
          <w:szCs w:val="20"/>
          <w:color w:val="auto"/>
        </w:rPr>
      </w:pPr>
    </w:p>
    <w:p>
      <w:pPr>
        <w:spacing w:after="0" w:line="26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4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June 2, 2022, the Board of Directors (the “Board”) of the Company authorized a new share repurchase program under which the Company may purchase up to $600 million of its outstanding shares during the three-year period ending June 2, 2025.</w:t>
      </w:r>
    </w:p>
    <w:p>
      <w:pPr>
        <w:spacing w:after="0" w:line="20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the share repurchase program, repurchases can be made using a variety of methods, which may include open market purchases, block trades, accelerated share repurchase programs, privately negotiated transactions and/or a non-discretionary trading plan, all in compliance with the rules of the SEC and other applicable legal requirements. The timing, manner, price and amount of any common share repurchases will be determined by the Company in its discretion and will depend on a variety of factors, including legal requirements, price and economic and market conditions. The share repurchase program does not obligate the Company to acquire any particular number of common shares, and the program may be suspended, extended, modified or discontinued at any time.</w:t>
      </w:r>
    </w:p>
    <w:p>
      <w:pPr>
        <w:spacing w:after="0" w:line="200" w:lineRule="exact"/>
        <w:rPr>
          <w:sz w:val="20"/>
          <w:szCs w:val="20"/>
          <w:color w:val="auto"/>
        </w:rPr>
      </w:pPr>
    </w:p>
    <w:p>
      <w:pPr>
        <w:spacing w:after="0" w:line="25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the Exhibit Index immediately preceding the signature page hereto, which is incorporated herein by reference.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4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660" w:type="dxa"/>
            <w:vAlign w:val="bottom"/>
            <w:gridSpan w:val="2"/>
          </w:tcPr>
          <w:p>
            <w:pPr>
              <w:ind w:left="39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7"/>
        </w:trPr>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60" w:type="dxa"/>
            <w:vAlign w:val="bottom"/>
            <w:gridSpan w:val="2"/>
          </w:tcPr>
          <w:p>
            <w:pPr>
              <w:spacing w:after="0"/>
              <w:rPr>
                <w:sz w:val="2"/>
                <w:szCs w:val="2"/>
                <w:color w:val="auto"/>
              </w:rPr>
            </w:pPr>
          </w:p>
        </w:tc>
      </w:tr>
      <w:tr>
        <w:trPr>
          <w:trHeight w:val="243"/>
        </w:trPr>
        <w:tc>
          <w:tcPr>
            <w:tcW w:w="18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80" w:type="dxa"/>
            <w:vAlign w:val="bottom"/>
            <w:tcBorders>
              <w:top w:val="single" w:sz="8" w:color="CCEEFF"/>
            </w:tcBorders>
            <w:shd w:val="clear" w:color="auto" w:fill="CCEEFF"/>
          </w:tcPr>
          <w:p>
            <w:pPr>
              <w:spacing w:after="0"/>
              <w:rPr>
                <w:sz w:val="21"/>
                <w:szCs w:val="21"/>
                <w:color w:val="auto"/>
              </w:rPr>
            </w:pPr>
          </w:p>
        </w:tc>
        <w:tc>
          <w:tcPr>
            <w:tcW w:w="9540" w:type="dxa"/>
            <w:vAlign w:val="bottom"/>
            <w:tcBorders>
              <w:top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Academy Sports and Outdoors, Inc. Press Release, dated June 7, 2022.</w:t>
            </w:r>
          </w:p>
        </w:tc>
        <w:tc>
          <w:tcPr>
            <w:tcW w:w="120" w:type="dxa"/>
            <w:vAlign w:val="bottom"/>
          </w:tcPr>
          <w:p>
            <w:pPr>
              <w:spacing w:after="0"/>
              <w:rPr>
                <w:sz w:val="21"/>
                <w:szCs w:val="21"/>
                <w:color w:val="auto"/>
              </w:rPr>
            </w:pPr>
          </w:p>
        </w:tc>
      </w:tr>
      <w:tr>
        <w:trPr>
          <w:trHeight w:val="243"/>
        </w:trPr>
        <w:tc>
          <w:tcPr>
            <w:tcW w:w="180" w:type="dxa"/>
            <w:vAlign w:val="bottom"/>
            <w:tcBorders>
              <w:top w:val="single" w:sz="8" w:color="CCEEFF"/>
            </w:tcBorders>
          </w:tcPr>
          <w:p>
            <w:pPr>
              <w:spacing w:after="0"/>
              <w:rPr>
                <w:sz w:val="21"/>
                <w:szCs w:val="21"/>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0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95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20" w:type="dxa"/>
            <w:vAlign w:val="bottom"/>
          </w:tcPr>
          <w:p>
            <w:pPr>
              <w:spacing w:after="0"/>
              <w:rPr>
                <w:sz w:val="21"/>
                <w:szCs w:val="21"/>
                <w:color w:val="auto"/>
              </w:rPr>
            </w:pPr>
          </w:p>
        </w:tc>
      </w:tr>
      <w:tr>
        <w:trPr>
          <w:trHeight w:val="1519"/>
        </w:trPr>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on Form 8-K on its behalf by the undersigned, thereto duly authorized.</w:t>
      </w:r>
    </w:p>
    <w:p>
      <w:pPr>
        <w:spacing w:after="0" w:line="200" w:lineRule="exact"/>
        <w:rPr>
          <w:sz w:val="20"/>
          <w:szCs w:val="20"/>
          <w:color w:val="auto"/>
        </w:rPr>
      </w:pPr>
    </w:p>
    <w:p>
      <w:pPr>
        <w:spacing w:after="0" w:line="28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ACADEMY SPORTS AND OUTDOORS, INC.</w:t>
      </w:r>
    </w:p>
    <w:p>
      <w:pPr>
        <w:spacing w:after="0" w:line="200" w:lineRule="exact"/>
        <w:rPr>
          <w:sz w:val="20"/>
          <w:szCs w:val="20"/>
          <w:color w:val="auto"/>
        </w:rPr>
      </w:pPr>
    </w:p>
    <w:p>
      <w:pPr>
        <w:spacing w:after="0" w:line="228" w:lineRule="exact"/>
        <w:rPr>
          <w:sz w:val="20"/>
          <w:szCs w:val="20"/>
          <w:color w:val="auto"/>
        </w:rPr>
      </w:pPr>
    </w:p>
    <w:p>
      <w:pPr>
        <w:ind w:left="2840"/>
        <w:spacing w:after="0"/>
        <w:tabs>
          <w:tab w:leader="none" w:pos="6240" w:val="left"/>
          <w:tab w:leader="none" w:pos="6940" w:val="left"/>
          <w:tab w:leader="none" w:pos="7280" w:val="left"/>
        </w:tabs>
        <w:rPr>
          <w:sz w:val="20"/>
          <w:szCs w:val="20"/>
          <w:color w:val="auto"/>
        </w:rPr>
      </w:pPr>
      <w:r>
        <w:rPr>
          <w:rFonts w:ascii="Times New Roman" w:cs="Times New Roman" w:eastAsia="Times New Roman" w:hAnsi="Times New Roman"/>
          <w:sz w:val="18"/>
          <w:szCs w:val="18"/>
          <w:color w:val="auto"/>
        </w:rPr>
        <w:t>Date: June 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34290</wp:posOffset>
            </wp:positionV>
            <wp:extent cx="27260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57" w:lineRule="exact"/>
        <w:rPr>
          <w:sz w:val="20"/>
          <w:szCs w:val="20"/>
          <w:color w:val="auto"/>
        </w:rPr>
      </w:pPr>
    </w:p>
    <w:p>
      <w:pPr>
        <w:ind w:left="6260"/>
        <w:spacing w:after="0"/>
        <w:tabs>
          <w:tab w:leader="none" w:pos="6940" w:val="left"/>
        </w:tabs>
        <w:rPr>
          <w:sz w:val="20"/>
          <w:szCs w:val="20"/>
          <w:color w:val="auto"/>
        </w:rPr>
      </w:pPr>
      <w:r>
        <w:rPr>
          <w:rFonts w:ascii="Times New Roman" w:cs="Times New Roman" w:eastAsia="Times New Roman" w:hAnsi="Times New Roman"/>
          <w:sz w:val="18"/>
          <w:szCs w:val="18"/>
          <w:color w:val="auto"/>
        </w:rPr>
        <w:t>Name:</w:t>
        <w:tab/>
        <w:t>Rene G. Casares</w:t>
      </w:r>
    </w:p>
    <w:p>
      <w:pPr>
        <w:spacing w:after="0" w:line="63" w:lineRule="exact"/>
        <w:rPr>
          <w:sz w:val="20"/>
          <w:szCs w:val="20"/>
          <w:color w:val="auto"/>
        </w:rPr>
      </w:pPr>
    </w:p>
    <w:p>
      <w:pPr>
        <w:ind w:left="6260"/>
        <w:spacing w:after="0"/>
        <w:tabs>
          <w:tab w:leader="none" w:pos="69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Senior Vice President, General Counsel and Secretary</w:t>
      </w:r>
    </w:p>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36830</wp:posOffset>
            </wp:positionV>
            <wp:extent cx="1894205" cy="591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9420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Academy Sports + Outdoors Reports First Quarter 2022 Results</w:t>
      </w:r>
    </w:p>
    <w:p>
      <w:pPr>
        <w:spacing w:after="0" w:line="236" w:lineRule="exact"/>
        <w:rPr>
          <w:sz w:val="20"/>
          <w:szCs w:val="20"/>
          <w:color w:val="auto"/>
        </w:rPr>
      </w:pPr>
    </w:p>
    <w:p>
      <w:pPr>
        <w:jc w:val="center"/>
        <w:ind w:right="-339"/>
        <w:spacing w:after="0"/>
        <w:rPr>
          <w:sz w:val="20"/>
          <w:szCs w:val="20"/>
          <w:color w:val="auto"/>
        </w:rPr>
      </w:pPr>
      <w:r>
        <w:rPr>
          <w:rFonts w:ascii="Arial" w:cs="Arial" w:eastAsia="Arial" w:hAnsi="Arial"/>
          <w:sz w:val="16"/>
          <w:szCs w:val="16"/>
          <w:i w:val="1"/>
          <w:iCs w:val="1"/>
          <w:color w:val="auto"/>
        </w:rPr>
        <w:t>First Quarter Diluted EPS of $1.69, or $1.73 Adjusted EPS</w:t>
      </w: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6"/>
          <w:szCs w:val="16"/>
          <w:i w:val="1"/>
          <w:iCs w:val="1"/>
          <w:color w:val="auto"/>
        </w:rPr>
        <w:t>Returned $95 Million to Shareholders Through Share Repurchases and Dividend Payout; New Repurchase Program Announced</w:t>
      </w:r>
    </w:p>
    <w:p>
      <w:pPr>
        <w:spacing w:after="0" w:line="235" w:lineRule="exact"/>
        <w:rPr>
          <w:sz w:val="20"/>
          <w:szCs w:val="20"/>
          <w:color w:val="auto"/>
        </w:rPr>
      </w:pPr>
    </w:p>
    <w:p>
      <w:pPr>
        <w:ind w:left="2800"/>
        <w:spacing w:after="0"/>
        <w:rPr>
          <w:sz w:val="20"/>
          <w:szCs w:val="20"/>
          <w:color w:val="auto"/>
        </w:rPr>
      </w:pPr>
      <w:r>
        <w:rPr>
          <w:rFonts w:ascii="Arial" w:cs="Arial" w:eastAsia="Arial" w:hAnsi="Arial"/>
          <w:sz w:val="16"/>
          <w:szCs w:val="16"/>
          <w:i w:val="1"/>
          <w:iCs w:val="1"/>
          <w:color w:val="auto"/>
        </w:rPr>
        <w:t>Company Opens First New Store Since 2019; Plans to Open at Least Eight in 2022</w:t>
      </w:r>
    </w:p>
    <w:p>
      <w:pPr>
        <w:spacing w:after="0" w:line="200" w:lineRule="exact"/>
        <w:rPr>
          <w:sz w:val="20"/>
          <w:szCs w:val="20"/>
          <w:color w:val="auto"/>
        </w:rPr>
      </w:pPr>
    </w:p>
    <w:p>
      <w:pPr>
        <w:spacing w:after="0" w:line="2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KATY, TEXAS (Globe Newswire — June 7, 2022) </w:t>
      </w:r>
      <w:r>
        <w:rPr>
          <w:rFonts w:ascii="Arial" w:cs="Arial" w:eastAsia="Arial" w:hAnsi="Arial"/>
          <w:sz w:val="18"/>
          <w:szCs w:val="18"/>
          <w:color w:val="auto"/>
        </w:rPr>
        <w:t>– Academy Sports and Outdoors, Inc. (Nasdaq: ASO) ("Academy" or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today announced its financial results for the first quarter ended April 30, 2022. Unless otherwise indicated, comparisons are to the same period in the prior fiscal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 Quarter 2022 Results</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"We are satisfied with our first quarter results as the Company continued to position itself for long-term growth and expansion as we executed effectively in a highly dynamic environment and against a very strong prior year quarter," said Ken Hicks, Chairman, President and Chief</w:t>
      </w:r>
    </w:p>
    <w:p>
      <w:pPr>
        <w:spacing w:after="0" w:line="2"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Executive Officer. "In April, we opened our first new store in over two years and are excited and proud of its early performance. We expect to open at least eight new stores in 2022 as part of our plan to open 80 to 100 stores over the next five years. Looking ahead, the team is focused on executing our 2022 priorities which will help drive long-term growth and sustainable profitability."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Net sales were $1.47 billion, a decrease of 7.1%, compared to $1.58 billion. E-commerce sales grew 18.8%. Comparable sales declined</w:t>
      </w:r>
    </w:p>
    <w:p>
      <w:pPr>
        <w:spacing w:after="0" w:line="219" w:lineRule="auto"/>
        <w:rPr>
          <w:sz w:val="20"/>
          <w:szCs w:val="20"/>
          <w:color w:val="auto"/>
        </w:rPr>
      </w:pPr>
      <w:r>
        <w:rPr>
          <w:rFonts w:ascii="Arial" w:cs="Arial" w:eastAsia="Arial" w:hAnsi="Arial"/>
          <w:sz w:val="18"/>
          <w:szCs w:val="18"/>
          <w:color w:val="auto"/>
        </w:rPr>
        <w:t>7.5%. The decline in sales was primarily due to lapping 38.9% comparable sales in the prior year quarter, partially driven by the first quarter</w:t>
      </w:r>
    </w:p>
    <w:p>
      <w:pPr>
        <w:spacing w:after="0"/>
        <w:rPr>
          <w:sz w:val="20"/>
          <w:szCs w:val="20"/>
          <w:color w:val="auto"/>
        </w:rPr>
      </w:pPr>
      <w:r>
        <w:rPr>
          <w:rFonts w:ascii="Arial" w:cs="Arial" w:eastAsia="Arial" w:hAnsi="Arial"/>
          <w:sz w:val="18"/>
          <w:szCs w:val="18"/>
          <w:color w:val="auto"/>
        </w:rPr>
        <w:t>2021 release of government stimulus payments. When compared to the first quarter of 2019, net sales increased 36.3%.</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Gross margin was $521.4 million, or 35.5% of net sales, compared to gross margin of $563.7 million, or 35.7% of net sales in the prior year quarter. An increase in merchandise margins and a decrease in freight costs were offset by an increase in inventory and e-commerce shipping costs.</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the first quarter, pre-tax income was $195.3 million compared to $224.9 million. This is the second highest reported first quarter pre-tax income in the Company's history. When compared to the first quarter of 2019, it is an increase of more than 650%.</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GAAP net income decreased 15.7% to $149.8 million compared to $177.8 million. Diluted earnings per share were $ 1.69 compared to $1.84 per share. Adjusted net income, which excludes the impact of certain non-cash and extraordinary items, was $153.2 million. Adjusted diluted earnings per share were $1.73 compared to $1.89 per share.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Balance Sheet and Capital Allocation Update</w:t>
      </w:r>
    </w:p>
    <w:p>
      <w:pPr>
        <w:spacing w:after="0" w:line="14"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At the end of the first quarter, the Company’s cash and cash equivalents totaled $472.4 million with no borrowings under the $1 billion credit facility. Adjusted free cash flow was $ 79.8 million during the first quarter. Merchandise inventories were $1.3 billion, an increase of 22.5% compared to the first quarter 2021 and 8.8% higher than the first quarter of 2019.</w:t>
      </w:r>
    </w:p>
    <w:p>
      <w:pPr>
        <w:spacing w:after="0" w:line="19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During the first quarter, Academy returned $95.0 million in cash to stockholders through a combination of share repurchases and a dividend payout. The Company repurchased 2.3 million shares for $88.5 million. On April 14, 2022, the Company paid its first quarterly cash dividend of $0.075 per share, or $6.5 million, to stockholders of record as of the close of business on March 17, 2022.</w:t>
      </w:r>
    </w:p>
    <w:p>
      <w:pPr>
        <w:spacing w:after="0" w:line="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Subsequent to the end of the first quarter, on June 2, 2022, Academy announced that its Board of Directors ("Board") declared a quarterly cash dividend with respect to the quarter ended April 30, 2022, of $0.075 per share of common stock. The dividend is payable on July 14, 2022, to stockholders of record as of the close of business on June 16, 2022. The Board also approved a new, three year $600 million share repurchase program, bringing the total amount currently available under both share repurchase programs to $700 million.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2022 Outlook</w:t>
      </w:r>
    </w:p>
    <w:p>
      <w:pPr>
        <w:jc w:val="both"/>
        <w:spacing w:after="0"/>
        <w:rPr>
          <w:sz w:val="20"/>
          <w:szCs w:val="20"/>
          <w:color w:val="auto"/>
        </w:rPr>
      </w:pPr>
      <w:r>
        <w:rPr>
          <w:rFonts w:ascii="Arial" w:cs="Arial" w:eastAsia="Arial" w:hAnsi="Arial"/>
          <w:sz w:val="18"/>
          <w:szCs w:val="18"/>
          <w:color w:val="auto"/>
        </w:rPr>
        <w:t>Michael Mullican, Executive Vice President and Chief Financial Officer said, “Academy continues to effectively manage costs through this inflationary environment and generate strong cash flow, allowing us to fund investments in our strategic initiatives and new store growth. While our internal initiatives continue to drive operational improvements and consistent execution, we believe it is prudent to revise our full year outlook to reflect the current macroeconomic challenges."</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089"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t>Academy is revising its initial guidance for fiscal 2022 for the following metrics:</w:t>
      </w:r>
    </w:p>
    <w:p>
      <w:pPr>
        <w:spacing w:after="0" w:line="23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net sales of $6.43 to $6.63 billion and comparable sales of -6.0% to -3.0%</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Income before taxes of $725 to $805 million</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net income of $550 to $615 million</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diluted EPS of $6.30 to $7.00 from $6.55 to $7.10 based on 88.0 million diluted weighted average shares outstanding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diluted EPS of $6.55 to $7.25 from $6.70 to $7.25</w:t>
      </w:r>
    </w:p>
    <w:p>
      <w:pPr>
        <w:spacing w:after="0" w:line="23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earnings per share estimate reflects a tax rate of 24.0% and the share repurchase activity in the first quarter, but does not include any potential future share repurchases.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w:t>
      </w:r>
    </w:p>
    <w:p>
      <w:pPr>
        <w:spacing w:after="0" w:line="1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Academy will host a conference call today at 10:00 a.m. Eastern Time to discuss its financial results. Listeners may access the call by dialing 1-877-407-3982 (U.S.) or 1-201-493-6780 (International). The passcode is 13730017. A webcast of the call can be accessed at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E32E1"/>
        </w:rPr>
        <w:t>investors.academy.com</w:t>
      </w:r>
      <w:r>
        <w:rPr>
          <w:rFonts w:ascii="Arial" w:cs="Arial" w:eastAsia="Arial" w:hAnsi="Arial"/>
          <w:sz w:val="18"/>
          <w:szCs w:val="18"/>
          <w:color w:val="000000"/>
        </w:rPr>
        <w:t>.</w:t>
      </w:r>
    </w:p>
    <w:p>
      <w:pPr>
        <w:spacing w:after="0" w:line="22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A telephonic replay of the conference call will be available for approximately 30 days, by dialing 1-844-512-2921 (U.S.) or 1-412-317-6671 (International) and entering passcode 13730017. An archive of the webcast will be available at </w:t>
      </w:r>
      <w:r>
        <w:rPr>
          <w:rFonts w:ascii="Arial" w:cs="Arial" w:eastAsia="Arial" w:hAnsi="Arial"/>
          <w:sz w:val="18"/>
          <w:szCs w:val="18"/>
          <w:u w:val="single" w:color="auto"/>
          <w:color w:val="0E32E1"/>
        </w:rPr>
        <w:t>investors.academy.com</w:t>
      </w:r>
      <w:r>
        <w:rPr>
          <w:rFonts w:ascii="Arial" w:cs="Arial" w:eastAsia="Arial" w:hAnsi="Arial"/>
          <w:sz w:val="18"/>
          <w:szCs w:val="18"/>
          <w:color w:val="auto"/>
        </w:rPr>
        <w:t xml:space="preserve"> for 30 days.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Academy Sports + Outdoors</w:t>
      </w:r>
    </w:p>
    <w:p>
      <w:pPr>
        <w:spacing w:after="0" w:line="1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Academy is a leading full-line sporting goods and outdoor recreation retailer in the United States. Originally founded in 1938 as a family business in Texas, Academy has grown to 260 stores across 16 states. Academy’s mission is to provide “Fun for All” and Academy fulfills this mission with a localized merchandising strategy and value proposition that strongly connects with a broad range of consumers. Academy’s product assortment focuses on key categories of outdoor, apparel, footwear and sports &amp; recreation through both leading national brands and a portfolio of private label brands.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Measures</w:t>
      </w:r>
    </w:p>
    <w:p>
      <w:pPr>
        <w:spacing w:after="0" w:line="1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Adjusted EBITDA, Adjusted EBIT, Adjusted Net Income and Adjusted Free Cash Flow have been presented in this press release as supplemental measures of financial performance that are not required by, or presented in accordance with, generally accepted accounting principles (“GAAP”). These non-GAAP measures have limitations as analytical tools. For information on these limitations, as well as information on why management believes these non-GAAP measures are useful, please see our Quarterly Report for the thirteen weeks ended April 30, 2022 (the “Quarterly Report”), as such limitations and information may be updated from time to time in our periodic filings with the Securities and Exchange commission (the "SEC"), which are accessible on the SEC's website at </w:t>
      </w:r>
      <w:r>
        <w:rPr>
          <w:rFonts w:ascii="Arial" w:cs="Arial" w:eastAsia="Arial" w:hAnsi="Arial"/>
          <w:sz w:val="18"/>
          <w:szCs w:val="18"/>
          <w:u w:val="single" w:color="auto"/>
          <w:color w:val="0E32E1"/>
        </w:rPr>
        <w:t>www.sec.gov</w:t>
      </w:r>
      <w:r>
        <w:rPr>
          <w:rFonts w:ascii="Arial" w:cs="Arial" w:eastAsia="Arial" w:hAnsi="Arial"/>
          <w:sz w:val="18"/>
          <w:szCs w:val="18"/>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 compensate for these limitations by primarily relying on our GAAP results in addition to using these non-GAAP measures supplementally.</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i w:val="1"/>
          <w:iCs w:val="1"/>
          <w:color w:val="auto"/>
        </w:rPr>
        <w:t>See “Reconciliations of Non-GAAP to GAAP Financial Measures” below for reconciliations of non-GAAP financial measures used in this press release to their most directly comparable GAAP financial measures.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jc w:val="both"/>
        <w:spacing w:after="0" w:line="234" w:lineRule="auto"/>
        <w:rPr>
          <w:sz w:val="20"/>
          <w:szCs w:val="20"/>
          <w:color w:val="auto"/>
        </w:rPr>
      </w:pPr>
      <w:r>
        <w:rPr>
          <w:rFonts w:ascii="Arial" w:cs="Arial" w:eastAsia="Arial" w:hAnsi="Arial"/>
          <w:sz w:val="18"/>
          <w:szCs w:val="18"/>
          <w:color w:val="404040"/>
        </w:rPr>
        <w:t>This press release contains forward-looking statements within the meaning of Section 27A of the Securities Act of 1933, as amended, and Section 21E of the Securities Exchange Act of 1934, as amended. These forward-looking statements are based on Academy's current expectations and are not guarantees of future performance. You can identify these forward-looking statements by the use of words such as "outlook," "guidance," "believes," "expects," "potential," "continues," "may," "will," "should," "could," "seeks," "projects," "predicts," "intends," "plans," "estimates," "anticipates" or the negative version of these words or other comparable words. The forward-looking statements include, among other things, statements regarding the payment of the dividend and declaration of future dividends, including the timing and amount thereof, the Company's expectations regarding its future performance, and the Company's future financial condition to support future</w:t>
      </w:r>
    </w:p>
    <w:p>
      <w:pPr>
        <w:spacing w:after="0" w:line="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404040"/>
        </w:rPr>
        <w:t>dividend growth and are subject to various risks, uncertainties, assumptions, or changes in circumstances that are difficult to predict or quantify. Actual results may differ materially from these expectations due to changes in global, regional, or local economic, business,</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04040"/>
        </w:rPr>
        <w:t>competitive, market, regulatory and other factors, many of which are beyond Academy's control. Important factors that could cause actual results to differ materially from those in the forward-looking statements are set forth in Academy's filings with the U.S. Securities and Exchange Commission (the "SEC"), including the Company's Annual Report on Form 10-K, under the caption "Risk Factors," as may be updated from time to time in our periodic filings with the SEC. Any forward-looking statement in this press release speaks only as of the date of this release. Academy undertakes no obligation to publicly update or review any forward-looking statement, whether as a result of new information, future developments or otherwise, except as may be required by any applicable securities laws.</w:t>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445"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Investor Contact</w:t>
            </w:r>
          </w:p>
        </w:tc>
        <w:tc>
          <w:tcPr>
            <w:tcW w:w="3460" w:type="dxa"/>
            <w:vAlign w:val="bottom"/>
            <w:gridSpan w:val="3"/>
          </w:tcPr>
          <w:p>
            <w:pPr>
              <w:ind w:left="1000"/>
              <w:spacing w:after="0"/>
              <w:rPr>
                <w:sz w:val="20"/>
                <w:szCs w:val="20"/>
                <w:color w:val="auto"/>
              </w:rPr>
            </w:pPr>
            <w:r>
              <w:rPr>
                <w:rFonts w:ascii="Arial" w:cs="Arial" w:eastAsia="Arial" w:hAnsi="Arial"/>
                <w:sz w:val="18"/>
                <w:szCs w:val="18"/>
                <w:b w:val="1"/>
                <w:bCs w:val="1"/>
                <w:color w:val="auto"/>
              </w:rPr>
              <w:t>Media Contact</w:t>
            </w:r>
          </w:p>
        </w:tc>
      </w:tr>
      <w:tr>
        <w:trPr>
          <w:trHeight w:val="288"/>
        </w:trPr>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 Hodges</w:t>
            </w:r>
          </w:p>
        </w:tc>
        <w:tc>
          <w:tcPr>
            <w:tcW w:w="1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Elise Hasbrook</w:t>
            </w:r>
          </w:p>
        </w:tc>
        <w:tc>
          <w:tcPr>
            <w:tcW w:w="1220" w:type="dxa"/>
            <w:vAlign w:val="bottom"/>
          </w:tcPr>
          <w:p>
            <w:pPr>
              <w:spacing w:after="0"/>
              <w:rPr>
                <w:sz w:val="24"/>
                <w:szCs w:val="24"/>
                <w:color w:val="auto"/>
              </w:rPr>
            </w:pPr>
          </w:p>
        </w:tc>
      </w:tr>
      <w:tr>
        <w:trPr>
          <w:trHeight w:val="270"/>
        </w:trPr>
        <w:tc>
          <w:tcPr>
            <w:tcW w:w="3280" w:type="dxa"/>
            <w:vAlign w:val="bottom"/>
            <w:gridSpan w:val="2"/>
          </w:tcPr>
          <w:p>
            <w:pPr>
              <w:spacing w:after="0"/>
              <w:rPr>
                <w:sz w:val="20"/>
                <w:szCs w:val="20"/>
                <w:color w:val="auto"/>
              </w:rPr>
            </w:pPr>
            <w:r>
              <w:rPr>
                <w:rFonts w:ascii="Arial" w:cs="Arial" w:eastAsia="Arial" w:hAnsi="Arial"/>
                <w:sz w:val="18"/>
                <w:szCs w:val="18"/>
                <w:color w:val="auto"/>
              </w:rPr>
              <w:t>VP, Investor Relations</w:t>
            </w:r>
          </w:p>
        </w:tc>
        <w:tc>
          <w:tcPr>
            <w:tcW w:w="3460" w:type="dxa"/>
            <w:vAlign w:val="bottom"/>
            <w:gridSpan w:val="3"/>
          </w:tcPr>
          <w:p>
            <w:pPr>
              <w:ind w:left="1000"/>
              <w:spacing w:after="0"/>
              <w:rPr>
                <w:sz w:val="20"/>
                <w:szCs w:val="20"/>
                <w:color w:val="auto"/>
              </w:rPr>
            </w:pPr>
            <w:r>
              <w:rPr>
                <w:rFonts w:ascii="Arial" w:cs="Arial" w:eastAsia="Arial" w:hAnsi="Arial"/>
                <w:sz w:val="18"/>
                <w:szCs w:val="18"/>
                <w:color w:val="auto"/>
              </w:rPr>
              <w:t>VP, Communications</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281-646-5362</w:t>
            </w:r>
          </w:p>
        </w:tc>
        <w:tc>
          <w:tcPr>
            <w:tcW w:w="1860" w:type="dxa"/>
            <w:vAlign w:val="bottom"/>
          </w:tcPr>
          <w:p>
            <w:pPr>
              <w:spacing w:after="0"/>
              <w:rPr>
                <w:sz w:val="23"/>
                <w:szCs w:val="23"/>
                <w:color w:val="auto"/>
              </w:rPr>
            </w:pPr>
          </w:p>
        </w:tc>
        <w:tc>
          <w:tcPr>
            <w:tcW w:w="2240" w:type="dxa"/>
            <w:vAlign w:val="bottom"/>
            <w:gridSpan w:val="2"/>
          </w:tcPr>
          <w:p>
            <w:pPr>
              <w:ind w:left="1000"/>
              <w:spacing w:after="0"/>
              <w:rPr>
                <w:sz w:val="20"/>
                <w:szCs w:val="20"/>
                <w:color w:val="auto"/>
              </w:rPr>
            </w:pPr>
            <w:r>
              <w:rPr>
                <w:rFonts w:ascii="Arial" w:cs="Arial" w:eastAsia="Arial" w:hAnsi="Arial"/>
                <w:sz w:val="18"/>
                <w:szCs w:val="18"/>
                <w:color w:val="auto"/>
              </w:rPr>
              <w:t>281-944-6041</w:t>
            </w:r>
          </w:p>
        </w:tc>
        <w:tc>
          <w:tcPr>
            <w:tcW w:w="1220" w:type="dxa"/>
            <w:vAlign w:val="bottom"/>
          </w:tcPr>
          <w:p>
            <w:pPr>
              <w:spacing w:after="0"/>
              <w:rPr>
                <w:sz w:val="23"/>
                <w:szCs w:val="23"/>
                <w:color w:val="auto"/>
              </w:rPr>
            </w:pPr>
          </w:p>
        </w:tc>
      </w:tr>
      <w:tr>
        <w:trPr>
          <w:trHeight w:val="270"/>
        </w:trPr>
        <w:tc>
          <w:tcPr>
            <w:tcW w:w="3280" w:type="dxa"/>
            <w:vAlign w:val="bottom"/>
            <w:gridSpan w:val="2"/>
          </w:tcPr>
          <w:p>
            <w:pPr>
              <w:spacing w:after="0"/>
              <w:rPr>
                <w:sz w:val="20"/>
                <w:szCs w:val="20"/>
                <w:color w:val="auto"/>
              </w:rPr>
            </w:pPr>
            <w:r>
              <w:rPr>
                <w:rFonts w:ascii="Arial" w:cs="Arial" w:eastAsia="Arial" w:hAnsi="Arial"/>
                <w:sz w:val="18"/>
                <w:szCs w:val="18"/>
                <w:color w:val="auto"/>
              </w:rPr>
              <w:t>matt.hodges@academy.com</w:t>
            </w:r>
          </w:p>
        </w:tc>
        <w:tc>
          <w:tcPr>
            <w:tcW w:w="3460" w:type="dxa"/>
            <w:vAlign w:val="bottom"/>
            <w:gridSpan w:val="3"/>
          </w:tcPr>
          <w:p>
            <w:pPr>
              <w:ind w:left="1000"/>
              <w:spacing w:after="0"/>
              <w:rPr>
                <w:sz w:val="20"/>
                <w:szCs w:val="20"/>
                <w:color w:val="auto"/>
              </w:rPr>
            </w:pPr>
            <w:r>
              <w:rPr>
                <w:rFonts w:ascii="Arial" w:cs="Arial" w:eastAsia="Arial" w:hAnsi="Arial"/>
                <w:sz w:val="18"/>
                <w:szCs w:val="18"/>
                <w:color w:val="auto"/>
                <w:w w:val="99"/>
              </w:rPr>
              <w:t>elise.hasbrook@academy.com</w:t>
            </w:r>
          </w:p>
        </w:tc>
      </w:tr>
      <w:tr>
        <w:trPr>
          <w:trHeight w:val="528"/>
        </w:trPr>
        <w:tc>
          <w:tcPr>
            <w:tcW w:w="1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60" w:type="dxa"/>
            <w:vAlign w:val="bottom"/>
            <w:gridSpan w:val="3"/>
          </w:tcPr>
          <w:p>
            <w:pPr>
              <w:jc w:val="right"/>
              <w:ind w:right="1100"/>
              <w:spacing w:after="0"/>
              <w:rPr>
                <w:sz w:val="20"/>
                <w:szCs w:val="20"/>
                <w:color w:val="auto"/>
              </w:rPr>
            </w:pPr>
            <w:r>
              <w:rPr>
                <w:rFonts w:ascii="Arial" w:cs="Arial" w:eastAsia="Arial" w:hAnsi="Arial"/>
                <w:sz w:val="14"/>
                <w:szCs w:val="14"/>
                <w:color w:val="auto"/>
              </w:rPr>
              <w:t>3</w:t>
            </w:r>
          </w:p>
        </w:tc>
      </w:tr>
    </w:tbl>
    <w:p>
      <w:pPr>
        <w:sectPr>
          <w:pgSz w:w="11900" w:h="16838" w:orient="portrait"/>
          <w:cols w:equalWidth="0" w:num="1">
            <w:col w:w="10119"/>
          </w:cols>
          <w:pgMar w:left="340" w:top="466"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Thirteen Weeks Ended</w:t>
            </w:r>
          </w:p>
        </w:tc>
        <w:tc>
          <w:tcPr>
            <w:tcW w:w="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r>
      <w:tr>
        <w:trPr>
          <w:trHeight w:val="220"/>
        </w:trPr>
        <w:tc>
          <w:tcPr>
            <w:tcW w:w="4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gridSpan w:val="2"/>
          </w:tcPr>
          <w:p>
            <w:pPr>
              <w:ind w:left="280"/>
              <w:spacing w:after="0"/>
              <w:rPr>
                <w:sz w:val="20"/>
                <w:szCs w:val="20"/>
                <w:color w:val="auto"/>
              </w:rPr>
            </w:pPr>
            <w:r>
              <w:rPr>
                <w:rFonts w:ascii="Arial" w:cs="Arial" w:eastAsia="Arial" w:hAnsi="Arial"/>
                <w:sz w:val="18"/>
                <w:szCs w:val="18"/>
                <w:b w:val="1"/>
                <w:bCs w:val="1"/>
                <w:color w:val="auto"/>
              </w:rPr>
              <w:t>Percentage of</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b w:val="1"/>
                <w:bCs w:val="1"/>
                <w:color w:val="auto"/>
              </w:rPr>
              <w:t>Percentage of</w:t>
            </w:r>
          </w:p>
        </w:tc>
      </w:tr>
      <w:tr>
        <w:trPr>
          <w:trHeight w:val="266"/>
        </w:trPr>
        <w:tc>
          <w:tcPr>
            <w:tcW w:w="40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April 30, 2022</w:t>
            </w:r>
          </w:p>
        </w:tc>
        <w:tc>
          <w:tcPr>
            <w:tcW w:w="80" w:type="dxa"/>
            <w:vAlign w:val="bottom"/>
            <w:tcBorders>
              <w:bottom w:val="single" w:sz="8" w:color="CCEEFF"/>
            </w:tcBorders>
          </w:tcPr>
          <w:p>
            <w:pPr>
              <w:spacing w:after="0"/>
              <w:rPr>
                <w:sz w:val="23"/>
                <w:szCs w:val="23"/>
                <w:color w:val="auto"/>
              </w:rPr>
            </w:pPr>
          </w:p>
        </w:tc>
        <w:tc>
          <w:tcPr>
            <w:tcW w:w="17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 xml:space="preserve">Sales </w:t>
            </w:r>
            <w:r>
              <w:rPr>
                <w:rFonts w:ascii="Arial" w:cs="Arial" w:eastAsia="Arial" w:hAnsi="Arial"/>
                <w:sz w:val="23"/>
                <w:szCs w:val="23"/>
                <w:b w:val="1"/>
                <w:bCs w:val="1"/>
                <w:color w:val="auto"/>
                <w:vertAlign w:val="superscript"/>
              </w:rPr>
              <w:t>(1)</w:t>
            </w: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May 1, 2021</w:t>
            </w:r>
          </w:p>
        </w:tc>
        <w:tc>
          <w:tcPr>
            <w:tcW w:w="80" w:type="dxa"/>
            <w:vAlign w:val="bottom"/>
            <w:tcBorders>
              <w:bottom w:val="single" w:sz="8" w:color="CCEEFF"/>
            </w:tcBorders>
          </w:tcPr>
          <w:p>
            <w:pPr>
              <w:spacing w:after="0"/>
              <w:rPr>
                <w:sz w:val="23"/>
                <w:szCs w:val="23"/>
                <w:color w:val="auto"/>
              </w:rPr>
            </w:pPr>
          </w:p>
        </w:tc>
        <w:tc>
          <w:tcPr>
            <w:tcW w:w="16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 xml:space="preserve">Sales </w:t>
            </w:r>
            <w:r>
              <w:rPr>
                <w:rFonts w:ascii="Arial" w:cs="Arial" w:eastAsia="Arial" w:hAnsi="Arial"/>
                <w:sz w:val="23"/>
                <w:szCs w:val="23"/>
                <w:b w:val="1"/>
                <w:bCs w:val="1"/>
                <w:color w:val="auto"/>
                <w:vertAlign w:val="superscript"/>
              </w:rPr>
              <w:t>(1)</w:t>
            </w:r>
          </w:p>
        </w:tc>
      </w:tr>
      <w:tr>
        <w:trPr>
          <w:trHeight w:val="26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1,467,730</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1,580,333</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6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946,306</w:t>
            </w:r>
          </w:p>
        </w:tc>
        <w:tc>
          <w:tcPr>
            <w:tcW w:w="1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rPr>
              <w:t>64.5 %</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1,016,632</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64.3 %</w:t>
            </w:r>
          </w:p>
        </w:tc>
      </w:tr>
      <w:tr>
        <w:trPr>
          <w:trHeight w:val="270"/>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521,424</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35.5 %</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563,701</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35.7 %</w:t>
            </w:r>
          </w:p>
        </w:tc>
      </w:tr>
      <w:tr>
        <w:trPr>
          <w:trHeight w:val="26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315,931</w:t>
            </w:r>
          </w:p>
        </w:tc>
        <w:tc>
          <w:tcPr>
            <w:tcW w:w="1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rPr>
              <w:t>21.5 %</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324,627</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20.5 %</w:t>
            </w:r>
          </w:p>
        </w:tc>
      </w:tr>
      <w:tr>
        <w:trPr>
          <w:trHeight w:val="270"/>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205,493</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14.0 %</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239,074</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15.1 %</w:t>
            </w:r>
          </w:p>
        </w:tc>
      </w:tr>
      <w:tr>
        <w:trPr>
          <w:trHeight w:val="263"/>
        </w:trPr>
        <w:tc>
          <w:tcPr>
            <w:tcW w:w="40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10,920</w:t>
            </w:r>
          </w:p>
        </w:tc>
        <w:tc>
          <w:tcPr>
            <w:tcW w:w="1820" w:type="dxa"/>
            <w:vAlign w:val="bottom"/>
            <w:gridSpan w:val="2"/>
          </w:tcPr>
          <w:p>
            <w:pPr>
              <w:jc w:val="right"/>
              <w:spacing w:after="0"/>
              <w:rPr>
                <w:sz w:val="20"/>
                <w:szCs w:val="20"/>
                <w:color w:val="auto"/>
              </w:rPr>
            </w:pPr>
            <w:r>
              <w:rPr>
                <w:rFonts w:ascii="Arial" w:cs="Arial" w:eastAsia="Arial" w:hAnsi="Arial"/>
                <w:sz w:val="18"/>
                <w:szCs w:val="18"/>
                <w:b w:val="1"/>
                <w:bCs w:val="1"/>
                <w:color w:val="auto"/>
              </w:rPr>
              <w:t>0.7 %</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14,549</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0.9 %</w:t>
            </w:r>
          </w:p>
        </w:tc>
      </w:tr>
      <w:tr>
        <w:trPr>
          <w:trHeight w:val="278"/>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(697)</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0.0 %</w:t>
            </w:r>
          </w:p>
        </w:tc>
        <w:tc>
          <w:tcPr>
            <w:tcW w:w="8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56"/>
        </w:trPr>
        <w:tc>
          <w:tcPr>
            <w:tcW w:w="4040" w:type="dxa"/>
            <w:vAlign w:val="bottom"/>
          </w:tcPr>
          <w:p>
            <w:pPr>
              <w:ind w:left="24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195,270</w:t>
            </w:r>
          </w:p>
        </w:tc>
        <w:tc>
          <w:tcPr>
            <w:tcW w:w="1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13.3 %</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224,922</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14.2 %</w:t>
            </w:r>
          </w:p>
        </w:tc>
      </w:tr>
      <w:tr>
        <w:trPr>
          <w:trHeight w:val="271"/>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45,464</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3.1 %</w:t>
            </w:r>
          </w:p>
        </w:tc>
        <w:tc>
          <w:tcPr>
            <w:tcW w:w="8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47,126</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70"/>
        </w:trPr>
        <w:tc>
          <w:tcPr>
            <w:tcW w:w="40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149,806</w:t>
            </w:r>
          </w:p>
        </w:tc>
        <w:tc>
          <w:tcPr>
            <w:tcW w:w="1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10.2 %</w:t>
            </w:r>
          </w:p>
        </w:tc>
        <w:tc>
          <w:tcPr>
            <w:tcW w:w="8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177,796</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11.3 %</w:t>
            </w: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r>
      <w:tr>
        <w:trPr>
          <w:trHeight w:val="224"/>
        </w:trPr>
        <w:tc>
          <w:tcPr>
            <w:tcW w:w="4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47"/>
        </w:trPr>
        <w:tc>
          <w:tcPr>
            <w:tcW w:w="4040" w:type="dxa"/>
            <w:vAlign w:val="bottom"/>
          </w:tcPr>
          <w:p>
            <w:pPr>
              <w:ind w:left="20"/>
              <w:spacing w:after="0"/>
              <w:rPr>
                <w:sz w:val="20"/>
                <w:szCs w:val="20"/>
                <w:color w:val="auto"/>
              </w:rPr>
            </w:pPr>
            <w:r>
              <w:rPr>
                <w:rFonts w:ascii="Arial" w:cs="Arial" w:eastAsia="Arial" w:hAnsi="Arial"/>
                <w:sz w:val="18"/>
                <w:szCs w:val="18"/>
                <w:color w:val="auto"/>
              </w:rPr>
              <w:t>Earnings Per Common Share:</w:t>
            </w: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3"/>
        </w:trPr>
        <w:tc>
          <w:tcPr>
            <w:tcW w:w="4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w:t>
            </w:r>
          </w:p>
        </w:tc>
        <w:tc>
          <w:tcPr>
            <w:tcW w:w="8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r>
      <w:tr>
        <w:trPr>
          <w:trHeight w:val="262"/>
        </w:trPr>
        <w:tc>
          <w:tcPr>
            <w:tcW w:w="4040" w:type="dxa"/>
            <w:vAlign w:val="bottom"/>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1.69</w:t>
            </w:r>
          </w:p>
        </w:tc>
        <w:tc>
          <w:tcPr>
            <w:tcW w:w="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64"/>
        </w:trPr>
        <w:tc>
          <w:tcPr>
            <w:tcW w:w="40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r>
      <w:tr>
        <w:trPr>
          <w:trHeight w:val="247"/>
        </w:trPr>
        <w:tc>
          <w:tcPr>
            <w:tcW w:w="404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3"/>
        </w:trPr>
        <w:tc>
          <w:tcPr>
            <w:tcW w:w="4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86,658</w:t>
            </w:r>
          </w:p>
        </w:tc>
        <w:tc>
          <w:tcPr>
            <w:tcW w:w="8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92,088</w:t>
            </w:r>
          </w:p>
        </w:tc>
        <w:tc>
          <w:tcPr>
            <w:tcW w:w="8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r>
      <w:tr>
        <w:trPr>
          <w:trHeight w:val="255"/>
        </w:trPr>
        <w:tc>
          <w:tcPr>
            <w:tcW w:w="4040" w:type="dxa"/>
            <w:vAlign w:val="bottom"/>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88,614</w:t>
            </w:r>
          </w:p>
        </w:tc>
        <w:tc>
          <w:tcPr>
            <w:tcW w:w="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96,472</w:t>
            </w: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r>
    </w:tbl>
    <w:p>
      <w:pPr>
        <w:spacing w:after="0" w:line="51"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1"/>
          <w:szCs w:val="11"/>
          <w:color w:val="auto"/>
        </w:rPr>
        <w:t>Column may not add due to rounding</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01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30, 2022</w:t>
            </w:r>
          </w:p>
        </w:tc>
        <w:tc>
          <w:tcPr>
            <w:tcW w:w="180" w:type="dxa"/>
            <w:vAlign w:val="bottom"/>
          </w:tcPr>
          <w:p>
            <w:pPr>
              <w:spacing w:after="0"/>
              <w:rPr>
                <w:sz w:val="22"/>
                <w:szCs w:val="22"/>
                <w:color w:val="auto"/>
              </w:rPr>
            </w:pPr>
          </w:p>
        </w:tc>
        <w:tc>
          <w:tcPr>
            <w:tcW w:w="180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29, 2022</w:t>
            </w:r>
          </w:p>
        </w:tc>
        <w:tc>
          <w:tcPr>
            <w:tcW w:w="260" w:type="dxa"/>
            <w:vAlign w:val="bottom"/>
          </w:tcPr>
          <w:p>
            <w:pPr>
              <w:spacing w:after="0"/>
              <w:rPr>
                <w:sz w:val="22"/>
                <w:szCs w:val="22"/>
                <w:color w:val="auto"/>
              </w:rPr>
            </w:pPr>
          </w:p>
        </w:tc>
        <w:tc>
          <w:tcPr>
            <w:tcW w:w="1520" w:type="dxa"/>
            <w:vAlign w:val="bottom"/>
          </w:tcPr>
          <w:p>
            <w:pPr>
              <w:jc w:val="right"/>
              <w:ind w:right="310"/>
              <w:spacing w:after="0"/>
              <w:rPr>
                <w:sz w:val="20"/>
                <w:szCs w:val="20"/>
                <w:color w:val="auto"/>
              </w:rPr>
            </w:pPr>
            <w:r>
              <w:rPr>
                <w:rFonts w:ascii="Arial" w:cs="Arial" w:eastAsia="Arial" w:hAnsi="Arial"/>
                <w:sz w:val="18"/>
                <w:szCs w:val="18"/>
                <w:b w:val="1"/>
                <w:bCs w:val="1"/>
                <w:color w:val="auto"/>
              </w:rPr>
              <w:t>May 1, 2021</w:t>
            </w:r>
          </w:p>
        </w:tc>
      </w:tr>
      <w:tr>
        <w:trPr>
          <w:trHeight w:val="257"/>
        </w:trPr>
        <w:tc>
          <w:tcPr>
            <w:tcW w:w="5640" w:type="dxa"/>
            <w:vAlign w:val="bottom"/>
            <w:tcBorders>
              <w:top w:val="single" w:sz="8" w:color="CCEEFF"/>
            </w:tcBorders>
            <w:shd w:val="clear" w:color="auto" w:fill="CCEEFF"/>
          </w:tcPr>
          <w:p>
            <w:pPr>
              <w:ind w:left="24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22"/>
                <w:szCs w:val="22"/>
                <w:color w:val="auto"/>
              </w:rPr>
            </w:pPr>
          </w:p>
        </w:tc>
        <w:tc>
          <w:tcPr>
            <w:tcW w:w="156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72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spacing w:after="0"/>
              <w:rPr>
                <w:sz w:val="22"/>
                <w:szCs w:val="22"/>
                <w:color w:val="auto"/>
              </w:rPr>
            </w:pPr>
          </w:p>
        </w:tc>
      </w:tr>
      <w:tr>
        <w:trPr>
          <w:trHeight w:val="263"/>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8"/>
        </w:trPr>
        <w:tc>
          <w:tcPr>
            <w:tcW w:w="5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472,395</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485,998</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593,288</w:t>
            </w:r>
          </w:p>
        </w:tc>
      </w:tr>
      <w:tr>
        <w:trPr>
          <w:trHeight w:val="224"/>
        </w:trPr>
        <w:tc>
          <w:tcPr>
            <w:tcW w:w="5640" w:type="dxa"/>
            <w:vAlign w:val="bottom"/>
          </w:tcPr>
          <w:p>
            <w:pPr>
              <w:ind w:left="240"/>
              <w:spacing w:after="0"/>
              <w:rPr>
                <w:sz w:val="20"/>
                <w:szCs w:val="20"/>
                <w:color w:val="auto"/>
              </w:rPr>
            </w:pPr>
            <w:r>
              <w:rPr>
                <w:rFonts w:ascii="Arial" w:cs="Arial" w:eastAsia="Arial" w:hAnsi="Arial"/>
                <w:sz w:val="18"/>
                <w:szCs w:val="18"/>
                <w:color w:val="auto"/>
              </w:rPr>
              <w:t>Accounts receivable - less allowance for doubtful accounts of</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54"/>
        </w:trPr>
        <w:tc>
          <w:tcPr>
            <w:tcW w:w="5640" w:type="dxa"/>
            <w:vAlign w:val="bottom"/>
          </w:tcPr>
          <w:p>
            <w:pPr>
              <w:ind w:left="240"/>
              <w:spacing w:after="0"/>
              <w:rPr>
                <w:sz w:val="20"/>
                <w:szCs w:val="20"/>
                <w:color w:val="auto"/>
              </w:rPr>
            </w:pPr>
            <w:r>
              <w:rPr>
                <w:rFonts w:ascii="Arial" w:cs="Arial" w:eastAsia="Arial" w:hAnsi="Arial"/>
                <w:sz w:val="18"/>
                <w:szCs w:val="18"/>
                <w:color w:val="auto"/>
              </w:rPr>
              <w:t>$808, $732 and $1,450, respectively</w:t>
            </w:r>
          </w:p>
        </w:tc>
        <w:tc>
          <w:tcPr>
            <w:tcW w:w="2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12,666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19,718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10,831</w:t>
            </w:r>
          </w:p>
        </w:tc>
      </w:tr>
      <w:tr>
        <w:trPr>
          <w:trHeight w:val="278"/>
        </w:trPr>
        <w:tc>
          <w:tcPr>
            <w:tcW w:w="5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Merchandise inventories, net</w:t>
            </w:r>
          </w:p>
        </w:tc>
        <w:tc>
          <w:tcPr>
            <w:tcW w:w="2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1,323,886</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1,171,808</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1,080,804</w:t>
            </w:r>
          </w:p>
        </w:tc>
      </w:tr>
      <w:tr>
        <w:trPr>
          <w:trHeight w:val="263"/>
        </w:trPr>
        <w:tc>
          <w:tcPr>
            <w:tcW w:w="564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39,578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36,460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30,369</w:t>
            </w:r>
          </w:p>
        </w:tc>
      </w:tr>
      <w:tr>
        <w:trPr>
          <w:trHeight w:val="278"/>
        </w:trPr>
        <w:tc>
          <w:tcPr>
            <w:tcW w:w="5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Assets held for sale</w:t>
            </w:r>
          </w:p>
        </w:tc>
        <w:tc>
          <w:tcPr>
            <w:tcW w:w="20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1,763</w:t>
            </w:r>
          </w:p>
        </w:tc>
        <w:tc>
          <w:tcPr>
            <w:tcW w:w="8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8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r>
      <w:tr>
        <w:trPr>
          <w:trHeight w:val="256"/>
        </w:trPr>
        <w:tc>
          <w:tcPr>
            <w:tcW w:w="5640" w:type="dxa"/>
            <w:vAlign w:val="bottom"/>
          </w:tcPr>
          <w:p>
            <w:pPr>
              <w:ind w:left="460"/>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1,850,288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1,715,747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1,717,055</w:t>
            </w:r>
          </w:p>
        </w:tc>
      </w:tr>
      <w:tr>
        <w:trPr>
          <w:trHeight w:val="223"/>
        </w:trPr>
        <w:tc>
          <w:tcPr>
            <w:tcW w:w="5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63"/>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2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339,529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345,836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366,005</w:t>
            </w:r>
          </w:p>
        </w:tc>
      </w:tr>
      <w:tr>
        <w:trPr>
          <w:trHeight w:val="278"/>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RIGHT-OF-USE ASSETS</w:t>
            </w:r>
          </w:p>
        </w:tc>
        <w:tc>
          <w:tcPr>
            <w:tcW w:w="2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1,085,805</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1,079,546</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1,127,645</w:t>
            </w:r>
          </w:p>
        </w:tc>
      </w:tr>
      <w:tr>
        <w:trPr>
          <w:trHeight w:val="263"/>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TRADE NAME</w:t>
            </w:r>
          </w:p>
        </w:tc>
        <w:tc>
          <w:tcPr>
            <w:tcW w:w="2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577,246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577,215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577,000</w:t>
            </w:r>
          </w:p>
        </w:tc>
      </w:tr>
      <w:tr>
        <w:trPr>
          <w:trHeight w:val="278"/>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GOODWILL</w:t>
            </w:r>
          </w:p>
        </w:tc>
        <w:tc>
          <w:tcPr>
            <w:tcW w:w="2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861,920</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861,920</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861,920</w:t>
            </w:r>
          </w:p>
        </w:tc>
      </w:tr>
      <w:tr>
        <w:trPr>
          <w:trHeight w:val="263"/>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OTHER NONCURRENT ASSETS</w:t>
            </w: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4,368</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4,676</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7,685</w:t>
            </w:r>
          </w:p>
        </w:tc>
      </w:tr>
      <w:tr>
        <w:trPr>
          <w:trHeight w:val="295"/>
        </w:trPr>
        <w:tc>
          <w:tcPr>
            <w:tcW w:w="56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4,719,156</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4,584,940</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4,657,310</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70"/>
        </w:trPr>
        <w:tc>
          <w:tcPr>
            <w:tcW w:w="564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63"/>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8"/>
        </w:trPr>
        <w:tc>
          <w:tcPr>
            <w:tcW w:w="5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825,456</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737,826</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864,966</w:t>
            </w:r>
          </w:p>
        </w:tc>
      </w:tr>
      <w:tr>
        <w:trPr>
          <w:trHeight w:val="263"/>
        </w:trPr>
        <w:tc>
          <w:tcPr>
            <w:tcW w:w="5640" w:type="dxa"/>
            <w:vAlign w:val="bottom"/>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274,399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303,207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287,592</w:t>
            </w:r>
          </w:p>
        </w:tc>
      </w:tr>
      <w:tr>
        <w:trPr>
          <w:trHeight w:val="278"/>
        </w:trPr>
        <w:tc>
          <w:tcPr>
            <w:tcW w:w="5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lease liabilities</w:t>
            </w:r>
          </w:p>
        </w:tc>
        <w:tc>
          <w:tcPr>
            <w:tcW w:w="2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85,719</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83,077</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82,676</w:t>
            </w:r>
          </w:p>
        </w:tc>
      </w:tr>
      <w:tr>
        <w:trPr>
          <w:trHeight w:val="264"/>
        </w:trPr>
        <w:tc>
          <w:tcPr>
            <w:tcW w:w="56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Current maturities of long-term debt</w:t>
            </w: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3,000</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r>
      <w:tr>
        <w:trPr>
          <w:trHeight w:val="270"/>
        </w:trPr>
        <w:tc>
          <w:tcPr>
            <w:tcW w:w="564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1,188,574</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1,127,110</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1,239,234</w:t>
            </w:r>
          </w:p>
        </w:tc>
      </w:tr>
      <w:tr>
        <w:trPr>
          <w:trHeight w:val="216"/>
        </w:trPr>
        <w:tc>
          <w:tcPr>
            <w:tcW w:w="5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7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 NET</w:t>
            </w:r>
          </w:p>
        </w:tc>
        <w:tc>
          <w:tcPr>
            <w:tcW w:w="2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683,325</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683,585</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781,035</w:t>
            </w:r>
          </w:p>
        </w:tc>
      </w:tr>
      <w:tr>
        <w:trPr>
          <w:trHeight w:val="263"/>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LONG-TERM LEASE LIABILITIES</w:t>
            </w:r>
          </w:p>
        </w:tc>
        <w:tc>
          <w:tcPr>
            <w:tcW w:w="2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1,081,871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1,077,667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1,132,196</w:t>
            </w:r>
          </w:p>
        </w:tc>
      </w:tr>
      <w:tr>
        <w:trPr>
          <w:trHeight w:val="278"/>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 NET</w:t>
            </w:r>
          </w:p>
        </w:tc>
        <w:tc>
          <w:tcPr>
            <w:tcW w:w="2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224,366</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217,212</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164,038</w:t>
            </w:r>
          </w:p>
        </w:tc>
      </w:tr>
      <w:tr>
        <w:trPr>
          <w:trHeight w:val="263"/>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OTHER LONG-TERM LIABILITIES</w:t>
            </w: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12,512</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12,420</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26,932</w:t>
            </w:r>
          </w:p>
        </w:tc>
      </w:tr>
      <w:tr>
        <w:trPr>
          <w:trHeight w:val="270"/>
        </w:trPr>
        <w:tc>
          <w:tcPr>
            <w:tcW w:w="564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3,190,648</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3,117,994</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3,343,435</w:t>
            </w:r>
          </w:p>
        </w:tc>
      </w:tr>
      <w:tr>
        <w:trPr>
          <w:trHeight w:val="216"/>
        </w:trPr>
        <w:tc>
          <w:tcPr>
            <w:tcW w:w="5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7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2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16"/>
        </w:trPr>
        <w:tc>
          <w:tcPr>
            <w:tcW w:w="5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7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 :</w:t>
            </w:r>
          </w:p>
        </w:tc>
        <w:tc>
          <w:tcPr>
            <w:tcW w:w="2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24"/>
        </w:trPr>
        <w:tc>
          <w:tcPr>
            <w:tcW w:w="5640" w:type="dxa"/>
            <w:vAlign w:val="bottom"/>
          </w:tcPr>
          <w:p>
            <w:pPr>
              <w:ind w:left="240"/>
              <w:spacing w:after="0"/>
              <w:rPr>
                <w:sz w:val="20"/>
                <w:szCs w:val="20"/>
                <w:color w:val="auto"/>
              </w:rPr>
            </w:pPr>
            <w:r>
              <w:rPr>
                <w:rFonts w:ascii="Arial" w:cs="Arial" w:eastAsia="Arial" w:hAnsi="Arial"/>
                <w:sz w:val="18"/>
                <w:szCs w:val="18"/>
                <w:color w:val="auto"/>
              </w:rPr>
              <w:t>Preferred stock, $0.01 par value, authorized 50,000,000 shares;</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54"/>
        </w:trPr>
        <w:tc>
          <w:tcPr>
            <w:tcW w:w="5640" w:type="dxa"/>
            <w:vAlign w:val="bottom"/>
          </w:tcPr>
          <w:p>
            <w:pPr>
              <w:ind w:left="240"/>
              <w:spacing w:after="0"/>
              <w:rPr>
                <w:sz w:val="20"/>
                <w:szCs w:val="20"/>
                <w:color w:val="auto"/>
              </w:rPr>
            </w:pPr>
            <w:r>
              <w:rPr>
                <w:rFonts w:ascii="Arial" w:cs="Arial" w:eastAsia="Arial" w:hAnsi="Arial"/>
                <w:sz w:val="18"/>
                <w:szCs w:val="18"/>
                <w:color w:val="auto"/>
              </w:rPr>
              <w:t>none issued and outstanding</w:t>
            </w:r>
          </w:p>
        </w:tc>
        <w:tc>
          <w:tcPr>
            <w:tcW w:w="200" w:type="dxa"/>
            <w:vAlign w:val="bottom"/>
          </w:tcPr>
          <w:p>
            <w:pPr>
              <w:spacing w:after="0"/>
              <w:rPr>
                <w:sz w:val="22"/>
                <w:szCs w:val="22"/>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2"/>
                <w:szCs w:val="22"/>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2"/>
        </w:trPr>
        <w:tc>
          <w:tcPr>
            <w:tcW w:w="5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Common stock, $0.01 par value, authorized 300,000,000 shares;</w:t>
            </w: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16"/>
        </w:trPr>
        <w:tc>
          <w:tcPr>
            <w:tcW w:w="5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85,071,234; 87,079,394; and 93,887,109 issued and outstanding</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5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 of April 30, 2022, January 29, 2022, and May 1, 2021,</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62"/>
        </w:trPr>
        <w:tc>
          <w:tcPr>
            <w:tcW w:w="5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r>
      <w:tr>
        <w:trPr>
          <w:trHeight w:val="263"/>
        </w:trPr>
        <w:tc>
          <w:tcPr>
            <w:tcW w:w="564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199,559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198,016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150,370</w:t>
            </w:r>
          </w:p>
        </w:tc>
      </w:tr>
      <w:tr>
        <w:trPr>
          <w:trHeight w:val="278"/>
        </w:trPr>
        <w:tc>
          <w:tcPr>
            <w:tcW w:w="5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1,328,099</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1,268,060</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1,164,964</w:t>
            </w:r>
          </w:p>
        </w:tc>
      </w:tr>
      <w:tr>
        <w:trPr>
          <w:trHeight w:val="263"/>
        </w:trPr>
        <w:tc>
          <w:tcPr>
            <w:tcW w:w="5640" w:type="dxa"/>
            <w:vAlign w:val="bottom"/>
          </w:tcPr>
          <w:p>
            <w:pPr>
              <w:ind w:left="24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2"/>
                <w:szCs w:val="22"/>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2"/>
                <w:szCs w:val="22"/>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(2,398)</w:t>
            </w:r>
          </w:p>
        </w:tc>
      </w:tr>
      <w:tr>
        <w:trPr>
          <w:trHeight w:val="264"/>
        </w:trPr>
        <w:tc>
          <w:tcPr>
            <w:tcW w:w="564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1,528,508</w:t>
            </w: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1,466,946</w:t>
            </w:r>
          </w:p>
        </w:tc>
        <w:tc>
          <w:tcPr>
            <w:tcW w:w="8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1,313,875</w:t>
            </w:r>
          </w:p>
        </w:tc>
      </w:tr>
      <w:tr>
        <w:trPr>
          <w:trHeight w:val="270"/>
        </w:trPr>
        <w:tc>
          <w:tcPr>
            <w:tcW w:w="5640" w:type="dxa"/>
            <w:vAlign w:val="bottom"/>
          </w:tcPr>
          <w:p>
            <w:pPr>
              <w:ind w:left="460"/>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4,719,156</w:t>
            </w:r>
          </w:p>
        </w:tc>
        <w:tc>
          <w:tcPr>
            <w:tcW w:w="8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4,584,940</w:t>
            </w:r>
          </w:p>
        </w:tc>
        <w:tc>
          <w:tcPr>
            <w:tcW w:w="8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4,657,310</w:t>
            </w:r>
          </w:p>
        </w:tc>
      </w:tr>
      <w:tr>
        <w:trPr>
          <w:trHeight w:val="20"/>
        </w:trPr>
        <w:tc>
          <w:tcPr>
            <w:tcW w:w="5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9" w:right="339" w:bottom="1440"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769"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6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38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Thirteen Weeks Ended</w:t>
            </w:r>
          </w:p>
        </w:tc>
        <w:tc>
          <w:tcPr>
            <w:tcW w:w="0" w:type="dxa"/>
            <w:vAlign w:val="bottom"/>
          </w:tcPr>
          <w:p>
            <w:pPr>
              <w:spacing w:after="0"/>
              <w:rPr>
                <w:sz w:val="1"/>
                <w:szCs w:val="1"/>
                <w:color w:val="auto"/>
              </w:rPr>
            </w:pPr>
          </w:p>
        </w:tc>
      </w:tr>
      <w:tr>
        <w:trPr>
          <w:trHeight w:val="263"/>
        </w:trPr>
        <w:tc>
          <w:tcPr>
            <w:tcW w:w="7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30, 2022</w:t>
            </w:r>
          </w:p>
        </w:tc>
        <w:tc>
          <w:tcPr>
            <w:tcW w:w="260" w:type="dxa"/>
            <w:vAlign w:val="bottom"/>
          </w:tcPr>
          <w:p>
            <w:pPr>
              <w:spacing w:after="0"/>
              <w:rPr>
                <w:sz w:val="22"/>
                <w:szCs w:val="22"/>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b w:val="1"/>
                <w:bCs w:val="1"/>
                <w:color w:val="auto"/>
              </w:rPr>
              <w:t>May 1, 2021</w:t>
            </w:r>
          </w:p>
        </w:tc>
        <w:tc>
          <w:tcPr>
            <w:tcW w:w="0" w:type="dxa"/>
            <w:vAlign w:val="bottom"/>
          </w:tcPr>
          <w:p>
            <w:pPr>
              <w:spacing w:after="0"/>
              <w:rPr>
                <w:sz w:val="1"/>
                <w:szCs w:val="1"/>
                <w:color w:val="auto"/>
              </w:rPr>
            </w:pPr>
          </w:p>
        </w:tc>
      </w:tr>
      <w:tr>
        <w:trPr>
          <w:trHeight w:val="237"/>
        </w:trPr>
        <w:tc>
          <w:tcPr>
            <w:tcW w:w="7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76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149,806</w:t>
            </w:r>
          </w:p>
        </w:tc>
        <w:tc>
          <w:tcPr>
            <w:tcW w:w="8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177,796</w:t>
            </w:r>
          </w:p>
        </w:tc>
        <w:tc>
          <w:tcPr>
            <w:tcW w:w="0" w:type="dxa"/>
            <w:vAlign w:val="bottom"/>
          </w:tcPr>
          <w:p>
            <w:pPr>
              <w:spacing w:after="0"/>
              <w:rPr>
                <w:sz w:val="1"/>
                <w:szCs w:val="1"/>
                <w:color w:val="auto"/>
              </w:rPr>
            </w:pPr>
          </w:p>
        </w:tc>
      </w:tr>
      <w:tr>
        <w:trPr>
          <w:trHeight w:val="258"/>
        </w:trPr>
        <w:tc>
          <w:tcPr>
            <w:tcW w:w="7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64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25,578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25,298</w:t>
            </w:r>
          </w:p>
        </w:tc>
        <w:tc>
          <w:tcPr>
            <w:tcW w:w="0" w:type="dxa"/>
            <w:vAlign w:val="bottom"/>
          </w:tcPr>
          <w:p>
            <w:pPr>
              <w:spacing w:after="0"/>
              <w:rPr>
                <w:sz w:val="1"/>
                <w:szCs w:val="1"/>
                <w:color w:val="auto"/>
              </w:rPr>
            </w:pPr>
          </w:p>
        </w:tc>
      </w:tr>
      <w:tr>
        <w:trPr>
          <w:trHeight w:val="278"/>
        </w:trPr>
        <w:tc>
          <w:tcPr>
            <w:tcW w:w="7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Non-cash lease expense</w:t>
            </w: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586</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63"/>
        </w:trPr>
        <w:tc>
          <w:tcPr>
            <w:tcW w:w="7640" w:type="dxa"/>
            <w:vAlign w:val="bottom"/>
          </w:tcPr>
          <w:p>
            <w:pPr>
              <w:ind w:left="460"/>
              <w:spacing w:after="0"/>
              <w:rPr>
                <w:sz w:val="20"/>
                <w:szCs w:val="20"/>
                <w:color w:val="auto"/>
              </w:rPr>
            </w:pPr>
            <w:r>
              <w:rPr>
                <w:rFonts w:ascii="Arial" w:cs="Arial" w:eastAsia="Arial" w:hAnsi="Arial"/>
                <w:sz w:val="18"/>
                <w:szCs w:val="18"/>
                <w:color w:val="auto"/>
              </w:rPr>
              <w:t>Equity compensation</w:t>
            </w: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3,499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5,874</w:t>
            </w:r>
          </w:p>
        </w:tc>
        <w:tc>
          <w:tcPr>
            <w:tcW w:w="0" w:type="dxa"/>
            <w:vAlign w:val="bottom"/>
          </w:tcPr>
          <w:p>
            <w:pPr>
              <w:spacing w:after="0"/>
              <w:rPr>
                <w:sz w:val="1"/>
                <w:szCs w:val="1"/>
                <w:color w:val="auto"/>
              </w:rPr>
            </w:pPr>
          </w:p>
        </w:tc>
      </w:tr>
      <w:tr>
        <w:trPr>
          <w:trHeight w:val="278"/>
        </w:trPr>
        <w:tc>
          <w:tcPr>
            <w:tcW w:w="7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Amortization of terminated interest rate swaps, deferred loan and other costs</w:t>
            </w: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777</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63"/>
        </w:trPr>
        <w:tc>
          <w:tcPr>
            <w:tcW w:w="7640" w:type="dxa"/>
            <w:vAlign w:val="bottom"/>
          </w:tcPr>
          <w:p>
            <w:pPr>
              <w:ind w:left="46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7,154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25,064</w:t>
            </w:r>
          </w:p>
        </w:tc>
        <w:tc>
          <w:tcPr>
            <w:tcW w:w="0" w:type="dxa"/>
            <w:vAlign w:val="bottom"/>
          </w:tcPr>
          <w:p>
            <w:pPr>
              <w:spacing w:after="0"/>
              <w:rPr>
                <w:sz w:val="1"/>
                <w:szCs w:val="1"/>
                <w:color w:val="auto"/>
              </w:rPr>
            </w:pPr>
          </w:p>
        </w:tc>
      </w:tr>
      <w:tr>
        <w:trPr>
          <w:trHeight w:val="258"/>
        </w:trPr>
        <w:tc>
          <w:tcPr>
            <w:tcW w:w="76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640" w:type="dxa"/>
            <w:vAlign w:val="bottom"/>
          </w:tcPr>
          <w:p>
            <w:pPr>
              <w:ind w:left="68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7,052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6,474</w:t>
            </w:r>
          </w:p>
        </w:tc>
        <w:tc>
          <w:tcPr>
            <w:tcW w:w="0" w:type="dxa"/>
            <w:vAlign w:val="bottom"/>
          </w:tcPr>
          <w:p>
            <w:pPr>
              <w:spacing w:after="0"/>
              <w:rPr>
                <w:sz w:val="1"/>
                <w:szCs w:val="1"/>
                <w:color w:val="auto"/>
              </w:rPr>
            </w:pPr>
          </w:p>
        </w:tc>
      </w:tr>
      <w:tr>
        <w:trPr>
          <w:trHeight w:val="278"/>
        </w:trPr>
        <w:tc>
          <w:tcPr>
            <w:tcW w:w="7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Merchandise inventories, net</w:t>
            </w: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(152,078)</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(90,769)</w:t>
            </w:r>
          </w:p>
        </w:tc>
        <w:tc>
          <w:tcPr>
            <w:tcW w:w="0" w:type="dxa"/>
            <w:vAlign w:val="bottom"/>
          </w:tcPr>
          <w:p>
            <w:pPr>
              <w:spacing w:after="0"/>
              <w:rPr>
                <w:sz w:val="1"/>
                <w:szCs w:val="1"/>
                <w:color w:val="auto"/>
              </w:rPr>
            </w:pPr>
          </w:p>
        </w:tc>
      </w:tr>
      <w:tr>
        <w:trPr>
          <w:trHeight w:val="263"/>
        </w:trPr>
        <w:tc>
          <w:tcPr>
            <w:tcW w:w="7640" w:type="dxa"/>
            <w:vAlign w:val="bottom"/>
          </w:tcPr>
          <w:p>
            <w:pPr>
              <w:ind w:left="6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(3,118)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278"/>
        </w:trPr>
        <w:tc>
          <w:tcPr>
            <w:tcW w:w="7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noncurrent assets</w:t>
            </w: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63"/>
        </w:trPr>
        <w:tc>
          <w:tcPr>
            <w:tcW w:w="7640" w:type="dxa"/>
            <w:vAlign w:val="bottom"/>
          </w:tcPr>
          <w:p>
            <w:pPr>
              <w:ind w:left="68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85,640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77,326</w:t>
            </w:r>
          </w:p>
        </w:tc>
        <w:tc>
          <w:tcPr>
            <w:tcW w:w="0" w:type="dxa"/>
            <w:vAlign w:val="bottom"/>
          </w:tcPr>
          <w:p>
            <w:pPr>
              <w:spacing w:after="0"/>
              <w:rPr>
                <w:sz w:val="1"/>
                <w:szCs w:val="1"/>
                <w:color w:val="auto"/>
              </w:rPr>
            </w:pPr>
          </w:p>
        </w:tc>
      </w:tr>
      <w:tr>
        <w:trPr>
          <w:trHeight w:val="278"/>
        </w:trPr>
        <w:tc>
          <w:tcPr>
            <w:tcW w:w="7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(66,475)</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(29,039)</w:t>
            </w:r>
          </w:p>
        </w:tc>
        <w:tc>
          <w:tcPr>
            <w:tcW w:w="0" w:type="dxa"/>
            <w:vAlign w:val="bottom"/>
          </w:tcPr>
          <w:p>
            <w:pPr>
              <w:spacing w:after="0"/>
              <w:rPr>
                <w:sz w:val="1"/>
                <w:szCs w:val="1"/>
                <w:color w:val="auto"/>
              </w:rPr>
            </w:pPr>
          </w:p>
        </w:tc>
      </w:tr>
      <w:tr>
        <w:trPr>
          <w:trHeight w:val="262"/>
        </w:trPr>
        <w:tc>
          <w:tcPr>
            <w:tcW w:w="7640" w:type="dxa"/>
            <w:vAlign w:val="bottom"/>
          </w:tcPr>
          <w:p>
            <w:pPr>
              <w:ind w:left="68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38,561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21,357</w:t>
            </w:r>
          </w:p>
        </w:tc>
        <w:tc>
          <w:tcPr>
            <w:tcW w:w="0" w:type="dxa"/>
            <w:vAlign w:val="bottom"/>
          </w:tcPr>
          <w:p>
            <w:pPr>
              <w:spacing w:after="0"/>
              <w:rPr>
                <w:sz w:val="1"/>
                <w:szCs w:val="1"/>
                <w:color w:val="auto"/>
              </w:rPr>
            </w:pPr>
          </w:p>
        </w:tc>
      </w:tr>
      <w:tr>
        <w:trPr>
          <w:trHeight w:val="278"/>
        </w:trPr>
        <w:tc>
          <w:tcPr>
            <w:tcW w:w="7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8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57"/>
        </w:trPr>
        <w:tc>
          <w:tcPr>
            <w:tcW w:w="7640" w:type="dxa"/>
            <w:vAlign w:val="bottom"/>
            <w:tcBorders>
              <w:bottom w:val="single" w:sz="8" w:color="CCEEFF"/>
            </w:tcBorders>
          </w:tcPr>
          <w:p>
            <w:pPr>
              <w:ind w:left="90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97,097</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219,228</w:t>
            </w:r>
          </w:p>
        </w:tc>
        <w:tc>
          <w:tcPr>
            <w:tcW w:w="0" w:type="dxa"/>
            <w:vAlign w:val="bottom"/>
          </w:tcPr>
          <w:p>
            <w:pPr>
              <w:spacing w:after="0"/>
              <w:rPr>
                <w:sz w:val="1"/>
                <w:szCs w:val="1"/>
                <w:color w:val="auto"/>
              </w:rPr>
            </w:pPr>
          </w:p>
        </w:tc>
      </w:tr>
      <w:tr>
        <w:trPr>
          <w:trHeight w:val="243"/>
        </w:trPr>
        <w:tc>
          <w:tcPr>
            <w:tcW w:w="76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764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(17,280)</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(16,808)</w:t>
            </w:r>
          </w:p>
        </w:tc>
        <w:tc>
          <w:tcPr>
            <w:tcW w:w="0" w:type="dxa"/>
            <w:vAlign w:val="bottom"/>
          </w:tcPr>
          <w:p>
            <w:pPr>
              <w:spacing w:after="0"/>
              <w:rPr>
                <w:sz w:val="1"/>
                <w:szCs w:val="1"/>
                <w:color w:val="auto"/>
              </w:rPr>
            </w:pPr>
          </w:p>
        </w:tc>
      </w:tr>
      <w:tr>
        <w:trPr>
          <w:trHeight w:val="263"/>
        </w:trPr>
        <w:tc>
          <w:tcPr>
            <w:tcW w:w="76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Purchases of intangible assets</w:t>
            </w: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76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(17,312)</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(16,808)</w:t>
            </w:r>
          </w:p>
        </w:tc>
        <w:tc>
          <w:tcPr>
            <w:tcW w:w="0" w:type="dxa"/>
            <w:vAlign w:val="bottom"/>
          </w:tcPr>
          <w:p>
            <w:pPr>
              <w:spacing w:after="0"/>
              <w:rPr>
                <w:sz w:val="1"/>
                <w:szCs w:val="1"/>
                <w:color w:val="auto"/>
              </w:rPr>
            </w:pPr>
          </w:p>
        </w:tc>
      </w:tr>
      <w:tr>
        <w:trPr>
          <w:trHeight w:val="243"/>
        </w:trPr>
        <w:tc>
          <w:tcPr>
            <w:tcW w:w="7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640" w:type="dxa"/>
            <w:vAlign w:val="bottom"/>
          </w:tcPr>
          <w:p>
            <w:pPr>
              <w:ind w:left="240"/>
              <w:spacing w:after="0"/>
              <w:rPr>
                <w:sz w:val="20"/>
                <w:szCs w:val="20"/>
                <w:color w:val="auto"/>
              </w:rPr>
            </w:pPr>
            <w:r>
              <w:rPr>
                <w:rFonts w:ascii="Arial" w:cs="Arial" w:eastAsia="Arial" w:hAnsi="Arial"/>
                <w:sz w:val="18"/>
                <w:szCs w:val="18"/>
                <w:color w:val="auto"/>
              </w:rPr>
              <w:t>Repayment of Term Loan</w:t>
            </w: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(750)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8"/>
        </w:trPr>
        <w:tc>
          <w:tcPr>
            <w:tcW w:w="7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Share-Based Award Payments</w:t>
            </w:r>
          </w:p>
        </w:tc>
        <w:tc>
          <w:tcPr>
            <w:tcW w:w="220" w:type="dxa"/>
            <w:vAlign w:val="bottom"/>
            <w:shd w:val="clear" w:color="auto" w:fill="CCEEFF"/>
          </w:tcPr>
          <w:p>
            <w:pPr>
              <w:spacing w:after="0"/>
              <w:rPr>
                <w:sz w:val="24"/>
                <w:szCs w:val="24"/>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0" w:type="dxa"/>
            <w:vAlign w:val="bottom"/>
          </w:tcPr>
          <w:p>
            <w:pPr>
              <w:spacing w:after="0"/>
              <w:rPr>
                <w:sz w:val="1"/>
                <w:szCs w:val="1"/>
                <w:color w:val="auto"/>
              </w:rPr>
            </w:pPr>
          </w:p>
        </w:tc>
      </w:tr>
      <w:tr>
        <w:trPr>
          <w:trHeight w:val="262"/>
        </w:trPr>
        <w:tc>
          <w:tcPr>
            <w:tcW w:w="7640" w:type="dxa"/>
            <w:vAlign w:val="bottom"/>
          </w:tcPr>
          <w:p>
            <w:pPr>
              <w:ind w:left="240"/>
              <w:spacing w:after="0"/>
              <w:rPr>
                <w:sz w:val="20"/>
                <w:szCs w:val="20"/>
                <w:color w:val="auto"/>
              </w:rPr>
            </w:pPr>
            <w:r>
              <w:rPr>
                <w:rFonts w:ascii="Arial" w:cs="Arial" w:eastAsia="Arial" w:hAnsi="Arial"/>
                <w:sz w:val="18"/>
                <w:szCs w:val="18"/>
                <w:color w:val="auto"/>
              </w:rPr>
              <w:t>Proceeds from exercise of stock options</w:t>
            </w: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3,294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17,257</w:t>
            </w:r>
          </w:p>
        </w:tc>
        <w:tc>
          <w:tcPr>
            <w:tcW w:w="0" w:type="dxa"/>
            <w:vAlign w:val="bottom"/>
          </w:tcPr>
          <w:p>
            <w:pPr>
              <w:spacing w:after="0"/>
              <w:rPr>
                <w:sz w:val="1"/>
                <w:szCs w:val="1"/>
                <w:color w:val="auto"/>
              </w:rPr>
            </w:pPr>
          </w:p>
        </w:tc>
      </w:tr>
      <w:tr>
        <w:trPr>
          <w:trHeight w:val="278"/>
        </w:trPr>
        <w:tc>
          <w:tcPr>
            <w:tcW w:w="7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Taxes paid related to net share settlement of equity awards</w:t>
            </w: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(895)</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640" w:type="dxa"/>
            <w:vAlign w:val="bottom"/>
          </w:tcPr>
          <w:p>
            <w:pPr>
              <w:ind w:left="240"/>
              <w:spacing w:after="0"/>
              <w:rPr>
                <w:sz w:val="20"/>
                <w:szCs w:val="20"/>
                <w:color w:val="auto"/>
              </w:rPr>
            </w:pPr>
            <w:r>
              <w:rPr>
                <w:rFonts w:ascii="Arial" w:cs="Arial" w:eastAsia="Arial" w:hAnsi="Arial"/>
                <w:sz w:val="18"/>
                <w:szCs w:val="18"/>
                <w:color w:val="auto"/>
              </w:rPr>
              <w:t>Repurchase of common stock for retirement</w:t>
            </w: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(88,501)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7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Dividends paid</w:t>
            </w:r>
          </w:p>
        </w:tc>
        <w:tc>
          <w:tcPr>
            <w:tcW w:w="22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(6,536)</w:t>
            </w:r>
          </w:p>
        </w:tc>
        <w:tc>
          <w:tcPr>
            <w:tcW w:w="8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640" w:type="dxa"/>
            <w:vAlign w:val="bottom"/>
            <w:tcBorders>
              <w:bottom w:val="single" w:sz="8" w:color="CCEEFF"/>
            </w:tcBorders>
          </w:tcPr>
          <w:p>
            <w:pPr>
              <w:ind w:left="90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(93,388)</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13,264</w:t>
            </w:r>
          </w:p>
        </w:tc>
        <w:tc>
          <w:tcPr>
            <w:tcW w:w="0" w:type="dxa"/>
            <w:vAlign w:val="bottom"/>
          </w:tcPr>
          <w:p>
            <w:pPr>
              <w:spacing w:after="0"/>
              <w:rPr>
                <w:sz w:val="1"/>
                <w:szCs w:val="1"/>
                <w:color w:val="auto"/>
              </w:rPr>
            </w:pPr>
          </w:p>
        </w:tc>
      </w:tr>
      <w:tr>
        <w:trPr>
          <w:trHeight w:val="243"/>
        </w:trPr>
        <w:tc>
          <w:tcPr>
            <w:tcW w:w="76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4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(13,603)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215,684</w:t>
            </w:r>
          </w:p>
        </w:tc>
        <w:tc>
          <w:tcPr>
            <w:tcW w:w="0" w:type="dxa"/>
            <w:vAlign w:val="bottom"/>
          </w:tcPr>
          <w:p>
            <w:pPr>
              <w:spacing w:after="0"/>
              <w:rPr>
                <w:sz w:val="1"/>
                <w:szCs w:val="1"/>
                <w:color w:val="auto"/>
              </w:rPr>
            </w:pPr>
          </w:p>
        </w:tc>
      </w:tr>
      <w:tr>
        <w:trPr>
          <w:trHeight w:val="271"/>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485,998</w:t>
            </w:r>
          </w:p>
        </w:tc>
        <w:tc>
          <w:tcPr>
            <w:tcW w:w="8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377,604</w:t>
            </w:r>
          </w:p>
        </w:tc>
        <w:tc>
          <w:tcPr>
            <w:tcW w:w="0" w:type="dxa"/>
            <w:vAlign w:val="bottom"/>
          </w:tcPr>
          <w:p>
            <w:pPr>
              <w:spacing w:after="0"/>
              <w:rPr>
                <w:sz w:val="1"/>
                <w:szCs w:val="1"/>
                <w:color w:val="auto"/>
              </w:rPr>
            </w:pPr>
          </w:p>
        </w:tc>
      </w:tr>
      <w:tr>
        <w:trPr>
          <w:trHeight w:val="270"/>
        </w:trPr>
        <w:tc>
          <w:tcPr>
            <w:tcW w:w="764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472,395</w:t>
            </w:r>
          </w:p>
        </w:tc>
        <w:tc>
          <w:tcPr>
            <w:tcW w:w="8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593,288</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5580"/>
              <w:spacing w:after="0"/>
              <w:rPr>
                <w:sz w:val="20"/>
                <w:szCs w:val="20"/>
                <w:color w:val="auto"/>
              </w:rPr>
            </w:pPr>
            <w:r>
              <w:rPr>
                <w:rFonts w:ascii="Arial" w:cs="Arial" w:eastAsia="Arial" w:hAnsi="Arial"/>
                <w:sz w:val="14"/>
                <w:szCs w:val="14"/>
                <w:color w:val="auto"/>
              </w:rPr>
              <w:t>6</w:t>
            </w: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2"/>
        </w:trPr>
        <w:tc>
          <w:tcPr>
            <w:tcW w:w="7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9"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RECONCILIATIONS OF NON-GAAP TO 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w:t>
      </w:r>
    </w:p>
    <w:p>
      <w:pPr>
        <w:spacing w:after="0" w:line="12"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We define “Adjusted EBITDA” as net income (loss) before interest expense, net, income tax expense and depreciation, amortization, and impairment, further adjusted to exclude consulting fees, private equity sponsor monitoring fees, equity compensation expense, (gain) loss on early retirement of debt, net, severance and executive transition costs, costs related to the COVID-19 pandemic, pre-opening expenses and other adjustments. We define “Adjusted EBIT” as net income (loss) before interest expense, net, and income tax expense, further adjusted to exclude consulting fees, private equity sponsor monitoring fees, equity compensation expense, (gain) loss on early retirement of debt, net, severance and executive transition costs, costs related to the COVID-19 pandemic, pre-opening expenses and other adjustments. We describe these adjustments reconciling net income (loss) to Adjusted EBITDA and Adjusted EBIT in the following table.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7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Thirteen Weeks Ended</w:t>
            </w:r>
          </w:p>
        </w:tc>
      </w:tr>
      <w:tr>
        <w:trPr>
          <w:trHeight w:val="236"/>
        </w:trPr>
        <w:tc>
          <w:tcPr>
            <w:tcW w:w="7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ind w:left="100"/>
              <w:spacing w:after="0"/>
              <w:rPr>
                <w:sz w:val="20"/>
                <w:szCs w:val="20"/>
                <w:color w:val="auto"/>
              </w:rPr>
            </w:pPr>
            <w:r>
              <w:rPr>
                <w:rFonts w:ascii="Arial" w:cs="Arial" w:eastAsia="Arial" w:hAnsi="Arial"/>
                <w:sz w:val="16"/>
                <w:szCs w:val="16"/>
                <w:b w:val="1"/>
                <w:bCs w:val="1"/>
                <w:color w:val="auto"/>
              </w:rPr>
              <w:t>April 30, 2022</w:t>
            </w:r>
          </w:p>
        </w:tc>
        <w:tc>
          <w:tcPr>
            <w:tcW w:w="240" w:type="dxa"/>
            <w:vAlign w:val="bottom"/>
          </w:tcPr>
          <w:p>
            <w:pPr>
              <w:spacing w:after="0"/>
              <w:rPr>
                <w:sz w:val="20"/>
                <w:szCs w:val="20"/>
                <w:color w:val="auto"/>
              </w:rPr>
            </w:pPr>
          </w:p>
        </w:tc>
        <w:tc>
          <w:tcPr>
            <w:tcW w:w="1440" w:type="dxa"/>
            <w:vAlign w:val="bottom"/>
          </w:tcPr>
          <w:p>
            <w:pPr>
              <w:jc w:val="right"/>
              <w:ind w:right="319"/>
              <w:spacing w:after="0"/>
              <w:rPr>
                <w:sz w:val="20"/>
                <w:szCs w:val="20"/>
                <w:color w:val="auto"/>
              </w:rPr>
            </w:pPr>
            <w:r>
              <w:rPr>
                <w:rFonts w:ascii="Arial" w:cs="Arial" w:eastAsia="Arial" w:hAnsi="Arial"/>
                <w:sz w:val="16"/>
                <w:szCs w:val="16"/>
                <w:b w:val="1"/>
                <w:bCs w:val="1"/>
                <w:color w:val="auto"/>
              </w:rPr>
              <w:t>May 1, 2021</w:t>
            </w:r>
          </w:p>
        </w:tc>
      </w:tr>
      <w:tr>
        <w:trPr>
          <w:trHeight w:val="240"/>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149,806</w:t>
            </w: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177,796</w:t>
            </w:r>
          </w:p>
        </w:tc>
      </w:tr>
      <w:tr>
        <w:trPr>
          <w:trHeight w:val="239"/>
        </w:trPr>
        <w:tc>
          <w:tcPr>
            <w:tcW w:w="77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10,920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14,549</w:t>
            </w:r>
          </w:p>
        </w:tc>
      </w:tr>
      <w:tr>
        <w:trPr>
          <w:trHeight w:val="24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45,464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47,126</w:t>
            </w:r>
          </w:p>
        </w:tc>
      </w:tr>
      <w:tr>
        <w:trPr>
          <w:trHeight w:val="239"/>
        </w:trPr>
        <w:tc>
          <w:tcPr>
            <w:tcW w:w="778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25,578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25,298</w:t>
            </w:r>
          </w:p>
        </w:tc>
      </w:tr>
      <w:tr>
        <w:trPr>
          <w:trHeight w:val="24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compensation (a)</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3,499</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5,874</w:t>
            </w:r>
          </w:p>
        </w:tc>
      </w:tr>
      <w:tr>
        <w:trPr>
          <w:trHeight w:val="239"/>
        </w:trPr>
        <w:tc>
          <w:tcPr>
            <w:tcW w:w="7780" w:type="dxa"/>
            <w:vAlign w:val="bottom"/>
          </w:tcPr>
          <w:p>
            <w:pPr>
              <w:ind w:left="20"/>
              <w:spacing w:after="0"/>
              <w:rPr>
                <w:sz w:val="20"/>
                <w:szCs w:val="20"/>
                <w:color w:val="auto"/>
              </w:rPr>
            </w:pPr>
            <w:r>
              <w:rPr>
                <w:rFonts w:ascii="Arial" w:cs="Arial" w:eastAsia="Arial" w:hAnsi="Arial"/>
                <w:sz w:val="16"/>
                <w:szCs w:val="16"/>
                <w:color w:val="auto"/>
              </w:rPr>
              <w:t>Pre-opening expenses (b)</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962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r>
      <w:tr>
        <w:trPr>
          <w:trHeight w:val="236"/>
        </w:trPr>
        <w:tc>
          <w:tcPr>
            <w:tcW w:w="77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Adjusted EBITDA</w:t>
            </w:r>
          </w:p>
        </w:tc>
        <w:tc>
          <w:tcPr>
            <w:tcW w:w="2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236,229</w:t>
            </w:r>
          </w:p>
        </w:tc>
        <w:tc>
          <w:tcPr>
            <w:tcW w:w="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270,993</w:t>
            </w:r>
          </w:p>
        </w:tc>
      </w:tr>
      <w:tr>
        <w:trPr>
          <w:trHeight w:val="23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Depreciation and amortization</w:t>
            </w:r>
          </w:p>
        </w:tc>
        <w:tc>
          <w:tcPr>
            <w:tcW w:w="22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(25,578)</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(25,298)</w:t>
            </w:r>
          </w:p>
        </w:tc>
      </w:tr>
      <w:tr>
        <w:trPr>
          <w:trHeight w:val="213"/>
        </w:trPr>
        <w:tc>
          <w:tcPr>
            <w:tcW w:w="7780" w:type="dxa"/>
            <w:vAlign w:val="bottom"/>
          </w:tcPr>
          <w:p>
            <w:pPr>
              <w:ind w:left="240"/>
              <w:spacing w:after="0"/>
              <w:rPr>
                <w:sz w:val="20"/>
                <w:szCs w:val="20"/>
                <w:color w:val="auto"/>
              </w:rPr>
            </w:pPr>
            <w:r>
              <w:rPr>
                <w:rFonts w:ascii="Arial" w:cs="Arial" w:eastAsia="Arial" w:hAnsi="Arial"/>
                <w:sz w:val="16"/>
                <w:szCs w:val="16"/>
                <w:color w:val="auto"/>
              </w:rPr>
              <w:t>Adjusted EBIT</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210,651</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245,695</w:t>
            </w: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ind w:left="400" w:right="20" w:hanging="374"/>
        <w:spacing w:after="0" w:line="281" w:lineRule="auto"/>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non-cash charges related to equity based compensation, which vary from period to period depending on certain factors such as timing and valuation of awards, achievement of performance targets and equity award forfeitures.</w:t>
      </w:r>
    </w:p>
    <w:p>
      <w:pPr>
        <w:ind w:left="400" w:right="20" w:hanging="374"/>
        <w:spacing w:after="0" w:line="281" w:lineRule="auto"/>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pre-opening expenses which are non-capital expenditures associated with opening new stores and incurred prior to the store opening and generating sales. These costs consist primarily of occupancy costs, marketing, payroll and recruiting costs. These costs are expensed as incurred.</w:t>
      </w:r>
    </w:p>
    <w:p>
      <w:pPr>
        <w:jc w:val="both"/>
        <w:ind w:left="400" w:right="20" w:hanging="374"/>
        <w:spacing w:after="0" w:line="262" w:lineRule="auto"/>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Other adjustments include (representing deductions or additions to Adjusted EBITDA and Adjusted EBIT) amounts that management believes are not representative of our operating performance, such as costs associated with secondary offerings, installation costs for energy savings associated with our profitability initiatives and other costs associated with business optimization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012"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Adjusted Net Income and Adjusted Earnings Per Share</w:t>
      </w:r>
    </w:p>
    <w:p>
      <w:pPr>
        <w:spacing w:after="0" w:line="22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We define “Adjusted Net Income (Loss)” as net income (loss), plus consulting fees, private equity sponsor monitoring fees, equity compensation expense, (gain) loss on early retirement of debt, net, severance and executive transition costs, costs related to the COVID-19 pandemic, pre-opening expenses and other adjustments, less the tax effect of these adjustments. We define “Adjusted Earnings per Share, Basic” as Adjusted Net Income divided by the basic weighted average common shares outstanding during the period and “Adjusted Earnings per Share, Diluted” as Adjusted Net Income divided by the diluted weighted average common shares outstanding during the period. We describe these adjustments reconciling net income (loss) to Adjusted Net Income, and Adjusted Earnings Per Share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7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Thirteen Weeks Ended</w:t>
            </w:r>
          </w:p>
        </w:tc>
      </w:tr>
      <w:tr>
        <w:trPr>
          <w:trHeight w:val="237"/>
        </w:trPr>
        <w:tc>
          <w:tcPr>
            <w:tcW w:w="7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ind w:left="100"/>
              <w:spacing w:after="0"/>
              <w:rPr>
                <w:sz w:val="20"/>
                <w:szCs w:val="20"/>
                <w:color w:val="auto"/>
              </w:rPr>
            </w:pPr>
            <w:r>
              <w:rPr>
                <w:rFonts w:ascii="Arial" w:cs="Arial" w:eastAsia="Arial" w:hAnsi="Arial"/>
                <w:sz w:val="16"/>
                <w:szCs w:val="16"/>
                <w:b w:val="1"/>
                <w:bCs w:val="1"/>
                <w:color w:val="auto"/>
              </w:rPr>
              <w:t>April 30, 2022</w:t>
            </w:r>
          </w:p>
        </w:tc>
        <w:tc>
          <w:tcPr>
            <w:tcW w:w="240" w:type="dxa"/>
            <w:vAlign w:val="bottom"/>
          </w:tcPr>
          <w:p>
            <w:pPr>
              <w:spacing w:after="0"/>
              <w:rPr>
                <w:sz w:val="20"/>
                <w:szCs w:val="20"/>
                <w:color w:val="auto"/>
              </w:rPr>
            </w:pPr>
          </w:p>
        </w:tc>
        <w:tc>
          <w:tcPr>
            <w:tcW w:w="1440" w:type="dxa"/>
            <w:vAlign w:val="bottom"/>
          </w:tcPr>
          <w:p>
            <w:pPr>
              <w:jc w:val="right"/>
              <w:ind w:right="319"/>
              <w:spacing w:after="0"/>
              <w:rPr>
                <w:sz w:val="20"/>
                <w:szCs w:val="20"/>
                <w:color w:val="auto"/>
              </w:rPr>
            </w:pPr>
            <w:r>
              <w:rPr>
                <w:rFonts w:ascii="Arial" w:cs="Arial" w:eastAsia="Arial" w:hAnsi="Arial"/>
                <w:sz w:val="16"/>
                <w:szCs w:val="16"/>
                <w:b w:val="1"/>
                <w:bCs w:val="1"/>
                <w:color w:val="auto"/>
              </w:rPr>
              <w:t>May 1, 2021</w:t>
            </w:r>
          </w:p>
        </w:tc>
      </w:tr>
      <w:tr>
        <w:trPr>
          <w:trHeight w:val="240"/>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149,806</w:t>
            </w: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177,796</w:t>
            </w:r>
          </w:p>
        </w:tc>
      </w:tr>
      <w:tr>
        <w:trPr>
          <w:trHeight w:val="239"/>
        </w:trPr>
        <w:tc>
          <w:tcPr>
            <w:tcW w:w="7780" w:type="dxa"/>
            <w:vAlign w:val="bottom"/>
          </w:tcPr>
          <w:p>
            <w:pPr>
              <w:ind w:left="20"/>
              <w:spacing w:after="0"/>
              <w:rPr>
                <w:sz w:val="20"/>
                <w:szCs w:val="20"/>
                <w:color w:val="auto"/>
              </w:rPr>
            </w:pPr>
            <w:r>
              <w:rPr>
                <w:rFonts w:ascii="Arial" w:cs="Arial" w:eastAsia="Arial" w:hAnsi="Arial"/>
                <w:sz w:val="16"/>
                <w:szCs w:val="16"/>
                <w:color w:val="auto"/>
              </w:rPr>
              <w:t>Equity compensation (a)</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3,499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5,874</w:t>
            </w:r>
          </w:p>
        </w:tc>
      </w:tr>
      <w:tr>
        <w:trPr>
          <w:trHeight w:val="24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Pre-opening expenses (b)</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962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9"/>
        </w:trPr>
        <w:tc>
          <w:tcPr>
            <w:tcW w:w="7780" w:type="dxa"/>
            <w:vAlign w:val="bottom"/>
          </w:tcPr>
          <w:p>
            <w:pPr>
              <w:ind w:left="20"/>
              <w:spacing w:after="0"/>
              <w:rPr>
                <w:sz w:val="20"/>
                <w:szCs w:val="20"/>
                <w:color w:val="auto"/>
              </w:rPr>
            </w:pPr>
            <w:r>
              <w:rPr>
                <w:rFonts w:ascii="Arial" w:cs="Arial" w:eastAsia="Arial" w:hAnsi="Arial"/>
                <w:sz w:val="16"/>
                <w:szCs w:val="16"/>
                <w:color w:val="auto"/>
              </w:rPr>
              <w:t>Other (c)</w:t>
            </w:r>
          </w:p>
        </w:tc>
        <w:tc>
          <w:tcPr>
            <w:tcW w:w="220" w:type="dxa"/>
            <w:vAlign w:val="bottom"/>
          </w:tcPr>
          <w:p>
            <w:pPr>
              <w:spacing w:after="0"/>
              <w:rPr>
                <w:sz w:val="20"/>
                <w:szCs w:val="20"/>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243"/>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effects of these adjustments (d)</w:t>
            </w:r>
          </w:p>
        </w:tc>
        <w:tc>
          <w:tcPr>
            <w:tcW w:w="22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(1,040)</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(1,489)</w:t>
            </w:r>
          </w:p>
        </w:tc>
      </w:tr>
      <w:tr>
        <w:trPr>
          <w:trHeight w:val="237"/>
        </w:trPr>
        <w:tc>
          <w:tcPr>
            <w:tcW w:w="7780" w:type="dxa"/>
            <w:vAlign w:val="bottom"/>
          </w:tcPr>
          <w:p>
            <w:pPr>
              <w:ind w:left="240"/>
              <w:spacing w:after="0"/>
              <w:rPr>
                <w:sz w:val="20"/>
                <w:szCs w:val="20"/>
                <w:color w:val="auto"/>
              </w:rPr>
            </w:pPr>
            <w:r>
              <w:rPr>
                <w:rFonts w:ascii="Arial" w:cs="Arial" w:eastAsia="Arial" w:hAnsi="Arial"/>
                <w:sz w:val="16"/>
                <w:szCs w:val="16"/>
                <w:color w:val="auto"/>
              </w:rPr>
              <w:t>Adjusted Net Income</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153,227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182,531</w:t>
            </w:r>
          </w:p>
        </w:tc>
      </w:tr>
      <w:tr>
        <w:trPr>
          <w:trHeight w:val="152"/>
        </w:trPr>
        <w:tc>
          <w:tcPr>
            <w:tcW w:w="7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235"/>
        </w:trPr>
        <w:tc>
          <w:tcPr>
            <w:tcW w:w="7780" w:type="dxa"/>
            <w:vAlign w:val="bottom"/>
          </w:tcPr>
          <w:p>
            <w:pPr>
              <w:ind w:left="20"/>
              <w:spacing w:after="0"/>
              <w:rPr>
                <w:sz w:val="20"/>
                <w:szCs w:val="20"/>
                <w:color w:val="auto"/>
              </w:rPr>
            </w:pPr>
            <w:r>
              <w:rPr>
                <w:rFonts w:ascii="Arial" w:cs="Arial" w:eastAsia="Arial" w:hAnsi="Arial"/>
                <w:sz w:val="16"/>
                <w:szCs w:val="16"/>
                <w:color w:val="auto"/>
              </w:rPr>
              <w:t>Adjusted Earnings per Share:</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51"/>
        </w:trPr>
        <w:tc>
          <w:tcPr>
            <w:tcW w:w="7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r>
      <w:tr>
        <w:trPr>
          <w:trHeight w:val="239"/>
        </w:trPr>
        <w:tc>
          <w:tcPr>
            <w:tcW w:w="7780" w:type="dxa"/>
            <w:vAlign w:val="bottom"/>
          </w:tcPr>
          <w:p>
            <w:pPr>
              <w:ind w:left="240"/>
              <w:spacing w:after="0"/>
              <w:rPr>
                <w:sz w:val="20"/>
                <w:szCs w:val="20"/>
                <w:color w:val="auto"/>
              </w:rPr>
            </w:pPr>
            <w:r>
              <w:rPr>
                <w:rFonts w:ascii="Arial" w:cs="Arial" w:eastAsia="Arial" w:hAnsi="Arial"/>
                <w:sz w:val="16"/>
                <w:szCs w:val="16"/>
                <w:color w:val="auto"/>
              </w:rPr>
              <w:t>Diluted</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1.73</w:t>
            </w:r>
          </w:p>
        </w:tc>
        <w:tc>
          <w:tcPr>
            <w:tcW w:w="8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1.89</w:t>
            </w:r>
          </w:p>
        </w:tc>
      </w:tr>
      <w:tr>
        <w:trPr>
          <w:trHeight w:val="24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39"/>
        </w:trPr>
        <w:tc>
          <w:tcPr>
            <w:tcW w:w="7780" w:type="dxa"/>
            <w:vAlign w:val="bottom"/>
          </w:tcPr>
          <w:p>
            <w:pPr>
              <w:ind w:left="240"/>
              <w:spacing w:after="0"/>
              <w:rPr>
                <w:sz w:val="20"/>
                <w:szCs w:val="20"/>
                <w:color w:val="auto"/>
              </w:rPr>
            </w:pPr>
            <w:r>
              <w:rPr>
                <w:rFonts w:ascii="Arial" w:cs="Arial" w:eastAsia="Arial" w:hAnsi="Arial"/>
                <w:sz w:val="16"/>
                <w:szCs w:val="16"/>
                <w:color w:val="auto"/>
              </w:rPr>
              <w:t>Basic</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86,658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92,088</w:t>
            </w:r>
          </w:p>
        </w:tc>
      </w:tr>
      <w:tr>
        <w:trPr>
          <w:trHeight w:val="247"/>
        </w:trPr>
        <w:tc>
          <w:tcPr>
            <w:tcW w:w="7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88,614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96,472</w:t>
            </w:r>
          </w:p>
        </w:tc>
      </w:tr>
    </w:tbl>
    <w:p>
      <w:pPr>
        <w:spacing w:after="0" w:line="117" w:lineRule="exact"/>
        <w:rPr>
          <w:sz w:val="20"/>
          <w:szCs w:val="20"/>
          <w:color w:val="auto"/>
        </w:rPr>
      </w:pPr>
    </w:p>
    <w:p>
      <w:pPr>
        <w:ind w:left="440" w:right="20" w:hanging="414"/>
        <w:spacing w:after="0" w:line="281" w:lineRule="auto"/>
        <w:tabs>
          <w:tab w:leader="none" w:pos="44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Represents non-cash charges related to equity based compensation, which vary from period to period depending on certain factors such as timing and valuation of awards, achievement of performance targets and equity award forfeitures.</w:t>
      </w:r>
    </w:p>
    <w:p>
      <w:pPr>
        <w:ind w:left="440" w:right="20" w:hanging="414"/>
        <w:spacing w:after="0" w:line="281" w:lineRule="auto"/>
        <w:tabs>
          <w:tab w:leader="none" w:pos="44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Represents pre-opening expenses which are non-capital expenditures associated with opening new stores and incurred prior to the store opening and generating sales. These costs consist primarily of occupancy costs, marketing, payroll and recruiting costs. These costs are expensed as incurred.</w:t>
      </w:r>
    </w:p>
    <w:p>
      <w:pPr>
        <w:ind w:left="440" w:right="40" w:hanging="414"/>
        <w:spacing w:after="0" w:line="281" w:lineRule="auto"/>
        <w:tabs>
          <w:tab w:leader="none" w:pos="440" w:val="left"/>
        </w:tabs>
        <w:numPr>
          <w:ilvl w:val="0"/>
          <w:numId w:val="5"/>
        </w:numPr>
        <w:rPr>
          <w:rFonts w:ascii="Arial" w:cs="Arial" w:eastAsia="Arial" w:hAnsi="Arial"/>
          <w:sz w:val="13"/>
          <w:szCs w:val="13"/>
          <w:color w:val="auto"/>
        </w:rPr>
      </w:pPr>
      <w:r>
        <w:rPr>
          <w:rFonts w:ascii="Arial" w:cs="Arial" w:eastAsia="Arial" w:hAnsi="Arial"/>
          <w:sz w:val="13"/>
          <w:szCs w:val="13"/>
          <w:color w:val="auto"/>
        </w:rPr>
        <w:t>Other adjustments include (representing deductions or additions to Adjusted Net Income) amounts that management believes are not representative of our operating performance, such as costs associated with secondary offerings, installation costs for energy savings associated with our profitability initiatives and other costs associated with business optimization initiatives.</w:t>
      </w:r>
    </w:p>
    <w:p>
      <w:pPr>
        <w:ind w:left="440" w:right="40" w:hanging="414"/>
        <w:spacing w:after="0" w:line="286" w:lineRule="auto"/>
        <w:tabs>
          <w:tab w:leader="none" w:pos="440" w:val="left"/>
        </w:tabs>
        <w:numPr>
          <w:ilvl w:val="0"/>
          <w:numId w:val="5"/>
        </w:numPr>
        <w:rPr>
          <w:rFonts w:ascii="Arial" w:cs="Arial" w:eastAsia="Arial" w:hAnsi="Arial"/>
          <w:sz w:val="13"/>
          <w:szCs w:val="13"/>
          <w:color w:val="auto"/>
        </w:rPr>
      </w:pPr>
      <w:r>
        <w:rPr>
          <w:rFonts w:ascii="Arial" w:cs="Arial" w:eastAsia="Arial" w:hAnsi="Arial"/>
          <w:sz w:val="13"/>
          <w:szCs w:val="13"/>
          <w:color w:val="auto"/>
        </w:rPr>
        <w:t>For the thirteen weeks ended April 30, 2022 and May 1, 2021, this represents the tax effect of the total adjustments made to arrive at Adjusted Net Income at the estimated effective tax rate for the fiscal year ended January 28, 2023 and January 29, 2022, respectively.</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98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23"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We define “Adjusted Free Cash Flow” as net cash provided by (used in) operating activities less net cash used in investing activities. We describe these adjustments reconciling net cash provided by operating activities to Adjusted Free Cash Flow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2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b w:val="1"/>
                <w:bCs w:val="1"/>
                <w:color w:val="auto"/>
              </w:rPr>
              <w:t>Thirteen Weeks Ended</w:t>
            </w:r>
          </w:p>
        </w:tc>
        <w:tc>
          <w:tcPr>
            <w:tcW w:w="0" w:type="dxa"/>
            <w:vAlign w:val="bottom"/>
          </w:tcPr>
          <w:p>
            <w:pPr>
              <w:spacing w:after="0"/>
              <w:rPr>
                <w:sz w:val="1"/>
                <w:szCs w:val="1"/>
                <w:color w:val="auto"/>
              </w:rPr>
            </w:pPr>
          </w:p>
        </w:tc>
      </w:tr>
      <w:tr>
        <w:trPr>
          <w:trHeight w:val="237"/>
        </w:trPr>
        <w:tc>
          <w:tcPr>
            <w:tcW w:w="4260" w:type="dxa"/>
            <w:vAlign w:val="bottom"/>
            <w:tcBorders>
              <w:bottom w:val="single" w:sz="8" w:color="CCEEFF"/>
            </w:tcBorders>
          </w:tcPr>
          <w:p>
            <w:pPr>
              <w:spacing w:after="0"/>
              <w:rPr>
                <w:sz w:val="20"/>
                <w:szCs w:val="20"/>
                <w:color w:val="auto"/>
              </w:rPr>
            </w:pPr>
          </w:p>
        </w:tc>
        <w:tc>
          <w:tcPr>
            <w:tcW w:w="33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April 30, 2022</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May 1, 2021</w:t>
            </w:r>
          </w:p>
        </w:tc>
        <w:tc>
          <w:tcPr>
            <w:tcW w:w="0" w:type="dxa"/>
            <w:vAlign w:val="bottom"/>
          </w:tcPr>
          <w:p>
            <w:pPr>
              <w:spacing w:after="0"/>
              <w:rPr>
                <w:sz w:val="1"/>
                <w:szCs w:val="1"/>
                <w:color w:val="auto"/>
              </w:rPr>
            </w:pPr>
          </w:p>
        </w:tc>
      </w:tr>
      <w:tr>
        <w:trPr>
          <w:trHeight w:val="240"/>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EFF"/>
          </w:tcPr>
          <w:p>
            <w:pPr>
              <w:jc w:val="center"/>
              <w:ind w:left="859"/>
              <w:spacing w:after="0"/>
              <w:rPr>
                <w:sz w:val="20"/>
                <w:szCs w:val="20"/>
                <w:color w:val="auto"/>
              </w:rPr>
            </w:pPr>
            <w:r>
              <w:rPr>
                <w:rFonts w:ascii="Arial" w:cs="Arial" w:eastAsia="Arial" w:hAnsi="Arial"/>
                <w:sz w:val="16"/>
                <w:szCs w:val="16"/>
                <w:b w:val="1"/>
                <w:bCs w:val="1"/>
                <w:color w:val="auto"/>
              </w:rPr>
              <w:t>97,097</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219,228</w:t>
            </w:r>
          </w:p>
        </w:tc>
        <w:tc>
          <w:tcPr>
            <w:tcW w:w="0" w:type="dxa"/>
            <w:vAlign w:val="bottom"/>
          </w:tcPr>
          <w:p>
            <w:pPr>
              <w:spacing w:after="0"/>
              <w:rPr>
                <w:sz w:val="1"/>
                <w:szCs w:val="1"/>
                <w:color w:val="auto"/>
              </w:rPr>
            </w:pPr>
          </w:p>
        </w:tc>
      </w:tr>
      <w:tr>
        <w:trPr>
          <w:trHeight w:val="239"/>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33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left="839"/>
              <w:spacing w:after="0"/>
              <w:rPr>
                <w:sz w:val="20"/>
                <w:szCs w:val="20"/>
                <w:color w:val="auto"/>
              </w:rPr>
            </w:pPr>
            <w:r>
              <w:rPr>
                <w:rFonts w:ascii="Arial" w:cs="Arial" w:eastAsia="Arial" w:hAnsi="Arial"/>
                <w:sz w:val="16"/>
                <w:szCs w:val="16"/>
                <w:b w:val="1"/>
                <w:bCs w:val="1"/>
                <w:color w:val="auto"/>
              </w:rPr>
              <w:t>(17,312)</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(16,808)</w:t>
            </w:r>
          </w:p>
        </w:tc>
        <w:tc>
          <w:tcPr>
            <w:tcW w:w="0" w:type="dxa"/>
            <w:vAlign w:val="bottom"/>
          </w:tcPr>
          <w:p>
            <w:pPr>
              <w:spacing w:after="0"/>
              <w:rPr>
                <w:sz w:val="1"/>
                <w:szCs w:val="1"/>
                <w:color w:val="auto"/>
              </w:rPr>
            </w:pPr>
          </w:p>
        </w:tc>
      </w:tr>
      <w:tr>
        <w:trPr>
          <w:trHeight w:val="260"/>
        </w:trPr>
        <w:tc>
          <w:tcPr>
            <w:tcW w:w="4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Adjusted Free Cash Flow</w:t>
            </w:r>
          </w:p>
        </w:tc>
        <w:tc>
          <w:tcPr>
            <w:tcW w:w="3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EFF"/>
          </w:tcPr>
          <w:p>
            <w:pPr>
              <w:jc w:val="center"/>
              <w:ind w:left="859"/>
              <w:spacing w:after="0"/>
              <w:rPr>
                <w:sz w:val="20"/>
                <w:szCs w:val="20"/>
                <w:color w:val="auto"/>
              </w:rPr>
            </w:pPr>
            <w:r>
              <w:rPr>
                <w:rFonts w:ascii="Arial" w:cs="Arial" w:eastAsia="Arial" w:hAnsi="Arial"/>
                <w:sz w:val="16"/>
                <w:szCs w:val="16"/>
                <w:b w:val="1"/>
                <w:bCs w:val="1"/>
                <w:color w:val="auto"/>
              </w:rPr>
              <w:t>79,785</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202,420</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bottom w:val="single" w:sz="8" w:color="CCEEFF"/>
            </w:tcBorders>
            <w:vMerge w:val="restart"/>
          </w:tcPr>
          <w:p>
            <w:pPr>
              <w:jc w:val="right"/>
              <w:ind w:right="1862"/>
              <w:spacing w:after="0"/>
              <w:rPr>
                <w:sz w:val="20"/>
                <w:szCs w:val="20"/>
                <w:color w:val="auto"/>
              </w:rPr>
            </w:pPr>
            <w:r>
              <w:rPr>
                <w:rFonts w:ascii="Arial" w:cs="Arial" w:eastAsia="Arial" w:hAnsi="Arial"/>
                <w:sz w:val="14"/>
                <w:szCs w:val="14"/>
                <w:color w:val="auto"/>
              </w:rPr>
              <w:t>9</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5"/>
        </w:trPr>
        <w:tc>
          <w:tcPr>
            <w:tcW w:w="426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2022-06-07T07:16:23Z</dcterms:created>
  <dcterms:modified xsi:type="dcterms:W3CDTF">2022-06-07T07:16:23Z</dcterms:modified>
</cp:coreProperties>
</file>