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Harriman Sherry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Logistics &amp; Supply Chain</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1,069</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Arial" w:cs="Arial" w:eastAsia="Arial" w:hAnsi="Arial"/>
                <w:sz w:val="17"/>
                <w:szCs w:val="17"/>
                <w:color w:val="0000FF"/>
              </w:rPr>
              <w:t>13,428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317</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321"/>
              <w:spacing w:after="0"/>
              <w:rPr>
                <w:sz w:val="20"/>
                <w:szCs w:val="20"/>
                <w:color w:val="auto"/>
              </w:rPr>
            </w:pPr>
            <w:r>
              <w:rPr>
                <w:rFonts w:ascii="Arial" w:cs="Arial" w:eastAsia="Arial" w:hAnsi="Arial"/>
                <w:sz w:val="17"/>
                <w:szCs w:val="17"/>
                <w:color w:val="0000FF"/>
              </w:rPr>
              <w:t>13,111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1,069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1,069</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3,210</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jc w:val="both"/>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4,279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Gary Holland, Power of</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1620" w:type="dxa"/>
            <w:vAlign w:val="bottom"/>
            <w:tcBorders>
              <w:top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Attorney</w:t>
            </w: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20" w:type="dxa"/>
            <w:vAlign w:val="bottom"/>
            <w:tcBorders>
              <w:top w:val="single" w:sz="8" w:color="auto"/>
            </w:tcBorders>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2022-03-04T16:19:33Z</dcterms:created>
  <dcterms:modified xsi:type="dcterms:W3CDTF">2022-03-04T16:19:33Z</dcterms:modified>
</cp:coreProperties>
</file>