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7132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1329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Johnson Samuel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68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EVP, Retail Operations</w:t>
            </w: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09/13/2022</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00" w:space="14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jc w:val="center"/>
              <w:ind w:left="586"/>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6"/>
              <w:spacing w:after="0"/>
              <w:rPr>
                <w:sz w:val="20"/>
                <w:szCs w:val="20"/>
                <w:color w:val="auto"/>
              </w:rPr>
            </w:pPr>
            <w:r>
              <w:rPr>
                <w:rFonts w:ascii="Times New Roman" w:cs="Times New Roman" w:eastAsia="Times New Roman" w:hAnsi="Times New Roman"/>
                <w:sz w:val="17"/>
                <w:szCs w:val="17"/>
                <w:color w:val="0000FF"/>
                <w:w w:val="98"/>
              </w:rPr>
              <w:t>09/13/2022</w:t>
            </w:r>
          </w:p>
        </w:tc>
        <w:tc>
          <w:tcPr>
            <w:tcW w:w="1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6"/>
              </w:rPr>
              <w:t>M</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47,805</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17.3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180,344</w:t>
            </w:r>
            <w:r>
              <w:rPr>
                <w:rFonts w:ascii="Times New Roman" w:cs="Times New Roman" w:eastAsia="Times New Roman" w:hAnsi="Times New Roman"/>
                <w:sz w:val="21"/>
                <w:szCs w:val="21"/>
                <w:color w:val="008000"/>
                <w:w w:val="92"/>
                <w:vertAlign w:val="superscript"/>
              </w:rPr>
              <w:t>(1)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86"/>
              <w:spacing w:after="0"/>
              <w:rPr>
                <w:sz w:val="20"/>
                <w:szCs w:val="20"/>
                <w:color w:val="auto"/>
              </w:rPr>
            </w:pPr>
            <w:r>
              <w:rPr>
                <w:rFonts w:ascii="Times New Roman" w:cs="Times New Roman" w:eastAsia="Times New Roman" w:hAnsi="Times New Roman"/>
                <w:sz w:val="17"/>
                <w:szCs w:val="17"/>
                <w:color w:val="0000FF"/>
                <w:w w:val="98"/>
              </w:rPr>
              <w:t>09/13/2022</w:t>
            </w:r>
          </w:p>
        </w:tc>
        <w:tc>
          <w:tcPr>
            <w:tcW w:w="1100" w:type="dxa"/>
            <w:vAlign w:val="bottom"/>
          </w:tcPr>
          <w:p>
            <w:pPr>
              <w:spacing w:after="0"/>
              <w:rPr>
                <w:sz w:val="22"/>
                <w:szCs w:val="22"/>
                <w:color w:val="auto"/>
              </w:rPr>
            </w:pPr>
          </w:p>
        </w:tc>
        <w:tc>
          <w:tcPr>
            <w:tcW w:w="76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w w:val="86"/>
              </w:rPr>
              <w:t>M</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38,572</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16.57</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218,916</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86"/>
              <w:spacing w:after="0"/>
              <w:rPr>
                <w:sz w:val="20"/>
                <w:szCs w:val="20"/>
                <w:color w:val="auto"/>
              </w:rPr>
            </w:pPr>
            <w:r>
              <w:rPr>
                <w:rFonts w:ascii="Times New Roman" w:cs="Times New Roman" w:eastAsia="Times New Roman" w:hAnsi="Times New Roman"/>
                <w:sz w:val="17"/>
                <w:szCs w:val="17"/>
                <w:color w:val="0000FF"/>
                <w:w w:val="98"/>
              </w:rPr>
              <w:t>09/13/2022</w:t>
            </w:r>
          </w:p>
        </w:tc>
        <w:tc>
          <w:tcPr>
            <w:tcW w:w="1100" w:type="dxa"/>
            <w:vAlign w:val="bottom"/>
          </w:tcPr>
          <w:p>
            <w:pPr>
              <w:spacing w:after="0"/>
              <w:rPr>
                <w:sz w:val="22"/>
                <w:szCs w:val="22"/>
                <w:color w:val="auto"/>
              </w:rPr>
            </w:pPr>
          </w:p>
        </w:tc>
        <w:tc>
          <w:tcPr>
            <w:tcW w:w="76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w w:val="86"/>
              </w:rPr>
              <w:t>M</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18,998</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16.57</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237,914</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86"/>
              <w:spacing w:after="0"/>
              <w:rPr>
                <w:sz w:val="20"/>
                <w:szCs w:val="20"/>
                <w:color w:val="auto"/>
              </w:rPr>
            </w:pPr>
            <w:r>
              <w:rPr>
                <w:rFonts w:ascii="Times New Roman" w:cs="Times New Roman" w:eastAsia="Times New Roman" w:hAnsi="Times New Roman"/>
                <w:sz w:val="17"/>
                <w:szCs w:val="17"/>
                <w:color w:val="0000FF"/>
                <w:w w:val="98"/>
              </w:rPr>
              <w:t>09/13/2022</w:t>
            </w:r>
          </w:p>
        </w:tc>
        <w:tc>
          <w:tcPr>
            <w:tcW w:w="1100" w:type="dxa"/>
            <w:vAlign w:val="bottom"/>
          </w:tcPr>
          <w:p>
            <w:pPr>
              <w:spacing w:after="0"/>
              <w:rPr>
                <w:sz w:val="22"/>
                <w:szCs w:val="22"/>
                <w:color w:val="auto"/>
              </w:rPr>
            </w:pPr>
          </w:p>
        </w:tc>
        <w:tc>
          <w:tcPr>
            <w:tcW w:w="76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w w:val="86"/>
              </w:rPr>
              <w:t>M</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6,625</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16.7</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244,539</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6"/>
              <w:spacing w:after="0"/>
              <w:rPr>
                <w:sz w:val="20"/>
                <w:szCs w:val="20"/>
                <w:color w:val="auto"/>
              </w:rPr>
            </w:pPr>
            <w:r>
              <w:rPr>
                <w:rFonts w:ascii="Times New Roman" w:cs="Times New Roman" w:eastAsia="Times New Roman" w:hAnsi="Times New Roman"/>
                <w:sz w:val="17"/>
                <w:szCs w:val="17"/>
                <w:color w:val="0000FF"/>
                <w:w w:val="98"/>
              </w:rPr>
              <w:t>09/13/2022</w:t>
            </w:r>
          </w:p>
        </w:tc>
        <w:tc>
          <w:tcPr>
            <w:tcW w:w="1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112,000</w:t>
            </w:r>
            <w:r>
              <w:rPr>
                <w:rFonts w:ascii="Times New Roman" w:cs="Times New Roman" w:eastAsia="Times New Roman" w:hAnsi="Times New Roman"/>
                <w:sz w:val="21"/>
                <w:szCs w:val="21"/>
                <w:color w:val="008000"/>
                <w:w w:val="92"/>
                <w:vertAlign w:val="superscript"/>
              </w:rPr>
              <w:t>(2)</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48.46</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132,539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17.3</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09/13/2022</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47,805</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03/05/2030</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1"/>
              <w:spacing w:after="0" w:line="194" w:lineRule="exact"/>
              <w:rPr>
                <w:sz w:val="20"/>
                <w:szCs w:val="20"/>
                <w:color w:val="auto"/>
              </w:rPr>
            </w:pPr>
            <w:r>
              <w:rPr>
                <w:rFonts w:ascii="Times New Roman" w:cs="Times New Roman" w:eastAsia="Times New Roman" w:hAnsi="Times New Roman"/>
                <w:sz w:val="17"/>
                <w:szCs w:val="17"/>
                <w:color w:val="0000FF"/>
                <w:w w:val="98"/>
              </w:rPr>
              <w:t>47,805</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1,952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16.57</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09/13/2022</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38,572</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03/07/2029</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1"/>
              <w:spacing w:after="0" w:line="194" w:lineRule="exact"/>
              <w:rPr>
                <w:sz w:val="20"/>
                <w:szCs w:val="20"/>
                <w:color w:val="auto"/>
              </w:rPr>
            </w:pPr>
            <w:r>
              <w:rPr>
                <w:rFonts w:ascii="Times New Roman" w:cs="Times New Roman" w:eastAsia="Times New Roman" w:hAnsi="Times New Roman"/>
                <w:sz w:val="17"/>
                <w:szCs w:val="17"/>
                <w:color w:val="0000FF"/>
                <w:w w:val="98"/>
              </w:rPr>
              <w:t>38,572</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16.57</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09/13/2022</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18,998</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03/07/2029</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1"/>
              <w:spacing w:after="0" w:line="194" w:lineRule="exact"/>
              <w:rPr>
                <w:sz w:val="20"/>
                <w:szCs w:val="20"/>
                <w:color w:val="auto"/>
              </w:rPr>
            </w:pPr>
            <w:r>
              <w:rPr>
                <w:rFonts w:ascii="Times New Roman" w:cs="Times New Roman" w:eastAsia="Times New Roman" w:hAnsi="Times New Roman"/>
                <w:sz w:val="17"/>
                <w:szCs w:val="17"/>
                <w:color w:val="0000FF"/>
                <w:w w:val="98"/>
              </w:rPr>
              <w:t>18,998</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09/13/2022</w:t>
            </w:r>
          </w:p>
        </w:tc>
        <w:tc>
          <w:tcPr>
            <w:tcW w:w="1100" w:type="dxa"/>
            <w:vAlign w:val="bottom"/>
          </w:tcPr>
          <w:p>
            <w:pPr>
              <w:spacing w:after="0"/>
              <w:rPr>
                <w:sz w:val="12"/>
                <w:szCs w:val="12"/>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rPr>
              <w:t>6,625</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06/06/2027</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9"/>
              </w:rPr>
              <w:t>6,625</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5,103</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Common Stock acquired under the Issuer's employee stock purchase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of shares to cover the cost of exercise and withholding tax obligations arising from the stock option exercise reported above and the sale of 100% of the net shares acquired from this exercise.</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$48.26 to $48.96,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time-based options previously granted under the Issuer's 2011 Unit Incentive Plan, or the 2011 Equity Plan, are fully vested due to a Change of Control (as defined in the 2011 Equity Plan) that resulted from the Issuer's secondary public offering that closed on May 10, 2021.</w:t>
      </w:r>
    </w:p>
    <w:p>
      <w:pPr>
        <w:spacing w:after="0" w:line="17"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performance-based options previously granted under the Issuer's 2011 Unit Incentive Plan, or the 2011 Equity Plan, are fully vested due to a Change of Control (as defined in the 2011 Equity Plan) that resulted from the Issuer's secondary public offering that closed on May 10, 2021.</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09/14/2022</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2299"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2022-09-14T16:11:32Z</dcterms:created>
  <dcterms:modified xsi:type="dcterms:W3CDTF">2022-09-14T16:11:32Z</dcterms:modified>
</cp:coreProperties>
</file>