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21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1208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Harriman Sherry 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20" w:type="dxa"/>
            <w:vAlign w:val="bottom"/>
            <w:tcBorders>
              <w:top w:val="single" w:sz="8" w:color="0000EE"/>
            </w:tcBorders>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8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720" w:type="dxa"/>
            <w:vAlign w:val="bottom"/>
            <w:tcBorders>
              <w:bottom w:val="single" w:sz="8" w:color="808080"/>
            </w:tcBorders>
          </w:tcPr>
          <w:p>
            <w:pPr>
              <w:spacing w:after="0"/>
              <w:rPr>
                <w:sz w:val="15"/>
                <w:szCs w:val="15"/>
                <w:color w:val="auto"/>
              </w:rPr>
            </w:pPr>
          </w:p>
        </w:tc>
        <w:tc>
          <w:tcPr>
            <w:tcW w:w="920" w:type="dxa"/>
            <w:vAlign w:val="bottom"/>
            <w:tcBorders>
              <w:bottom w:val="single" w:sz="8" w:color="808080"/>
            </w:tcBorders>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restart"/>
          </w:tcPr>
          <w:p>
            <w:pPr>
              <w:ind w:left="100"/>
              <w:spacing w:after="0" w:line="126"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SVP, Logistics &amp; Supply Chain</w:t>
            </w:r>
          </w:p>
        </w:tc>
        <w:tc>
          <w:tcPr>
            <w:tcW w:w="0" w:type="dxa"/>
            <w:vAlign w:val="bottom"/>
          </w:tcPr>
          <w:p>
            <w:pPr>
              <w:spacing w:after="0"/>
              <w:rPr>
                <w:sz w:val="1"/>
                <w:szCs w:val="1"/>
                <w:color w:val="auto"/>
              </w:rPr>
            </w:pPr>
          </w:p>
        </w:tc>
      </w:tr>
      <w:tr>
        <w:trPr>
          <w:trHeight w:val="218"/>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03/01/2023</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03/01/2023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1,194</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3,936</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03/01/2023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291</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59.15</w:t>
            </w: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3,645</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1,194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03/01/2023</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1,194</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03/30/2032</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line="143" w:lineRule="exact"/>
              <w:rPr>
                <w:sz w:val="20"/>
                <w:szCs w:val="20"/>
                <w:color w:val="auto"/>
              </w:rPr>
            </w:pPr>
            <w:r>
              <w:rPr>
                <w:rFonts w:ascii="Times New Roman" w:cs="Times New Roman" w:eastAsia="Times New Roman" w:hAnsi="Times New Roman"/>
                <w:sz w:val="13"/>
                <w:szCs w:val="13"/>
                <w:color w:val="0000FF"/>
              </w:rPr>
              <w:t>3,906</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-2122805</wp:posOffset>
            </wp:positionV>
            <wp:extent cx="29210" cy="2127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278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ind w:left="40" w:right="22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3/30/22, the Reporting Person was granted 5,100 performance-based restricted stock units ("RSUs"). These RSUs vest if certain performance criteria and/or Issuer stock price conditions are met and certified by the Issuer's compensation committee. On 3/1/23, the Issuer's compensation committee certified achievement of 93.7% of the performance criteria during fiscal 2022 meaning that 4,776 RSUs were deemed earned. Of this earned amount, 25% of the earned amount of this grant vested on 3/1/23, and the remaining 75% will vest in three equal annual installments beginning on 1/30/24, subject to the Reporting Person's continued service with the Issuer through each applicable vesting date. The remaining unearned amount of this grant (i.e., 324 RSUs) may vest upon certification by the Issuer's compensation committee of achievement of certain Issuer stock price conditions as of the fourth anniversary of the Vesting Commencement Date (i.e., 1/30/22).</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Gary Holland, Power of</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03/03/2023</w:t>
            </w:r>
          </w:p>
        </w:tc>
        <w:tc>
          <w:tcPr>
            <w:tcW w:w="0" w:type="dxa"/>
            <w:vAlign w:val="bottom"/>
          </w:tcPr>
          <w:p>
            <w:pPr>
              <w:spacing w:after="0"/>
              <w:rPr>
                <w:sz w:val="1"/>
                <w:szCs w:val="1"/>
                <w:color w:val="auto"/>
              </w:rPr>
            </w:pPr>
          </w:p>
        </w:tc>
      </w:tr>
      <w:tr>
        <w:trPr>
          <w:trHeight w:val="84"/>
        </w:trPr>
        <w:tc>
          <w:tcPr>
            <w:tcW w:w="1820" w:type="dxa"/>
            <w:vAlign w:val="bottom"/>
            <w:tcBorders>
              <w:top w:val="single" w:sz="8" w:color="auto"/>
            </w:tcBorders>
            <w:gridSpan w:val="2"/>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Attorney</w:t>
            </w:r>
          </w:p>
        </w:tc>
        <w:tc>
          <w:tcPr>
            <w:tcW w:w="2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820" w:type="dxa"/>
            <w:vAlign w:val="bottom"/>
            <w:tcBorders>
              <w:top w:val="single" w:sz="8" w:color="auto"/>
            </w:tcBorders>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2532"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2023-03-03T17:57:22Z</dcterms:created>
  <dcterms:modified xsi:type="dcterms:W3CDTF">2023-03-03T17:57:22Z</dcterms:modified>
</cp:coreProperties>
</file>