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KKR 2006 Allstar Blocker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05/10/2021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gridSpan w:val="2"/>
          </w:tcPr>
          <w:p>
            <w:pPr>
              <w:jc w:val="center"/>
              <w:ind w:right="108"/>
              <w:spacing w:after="0"/>
              <w:rPr>
                <w:sz w:val="20"/>
                <w:szCs w:val="20"/>
                <w:color w:val="auto"/>
              </w:rPr>
            </w:pPr>
            <w:r>
              <w:rPr>
                <w:rFonts w:ascii="Arial" w:cs="Arial" w:eastAsia="Arial" w:hAnsi="Arial"/>
                <w:sz w:val="12"/>
                <w:szCs w:val="12"/>
                <w:b w:val="1"/>
                <w:bCs w:val="1"/>
                <w:color w:val="auto"/>
                <w:w w:val="98"/>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4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Pr>
          <w:p>
            <w:pPr>
              <w:spacing w:after="0"/>
              <w:rPr>
                <w:sz w:val="22"/>
                <w:szCs w:val="22"/>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05/10/2021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w w:val="97"/>
              </w:rPr>
              <w:t>2,361,566</w:t>
            </w:r>
          </w:p>
        </w:tc>
        <w:tc>
          <w:tcPr>
            <w:tcW w:w="340" w:type="dxa"/>
            <w:vAlign w:val="bottom"/>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30.96</w:t>
            </w:r>
            <w:r>
              <w:rPr>
                <w:rFonts w:ascii="Arial" w:cs="Arial" w:eastAsia="Arial" w:hAnsi="Arial"/>
                <w:sz w:val="22"/>
                <w:szCs w:val="22"/>
                <w:color w:val="008000"/>
                <w:w w:val="88"/>
                <w:vertAlign w:val="superscript"/>
              </w:rPr>
              <w:t>(1)</w:t>
            </w:r>
          </w:p>
        </w:tc>
        <w:tc>
          <w:tcPr>
            <w:tcW w:w="1520" w:type="dxa"/>
            <w:vAlign w:val="bottom"/>
            <w:gridSpan w:val="3"/>
            <w:vMerge w:val="restart"/>
          </w:tcPr>
          <w:p>
            <w:pPr>
              <w:jc w:val="center"/>
              <w:ind w:right="340"/>
              <w:spacing w:after="0"/>
              <w:rPr>
                <w:sz w:val="20"/>
                <w:szCs w:val="20"/>
                <w:color w:val="auto"/>
              </w:rPr>
            </w:pPr>
            <w:r>
              <w:rPr>
                <w:rFonts w:ascii="Arial" w:cs="Arial" w:eastAsia="Arial" w:hAnsi="Arial"/>
                <w:sz w:val="17"/>
                <w:szCs w:val="17"/>
                <w:color w:val="0000FF"/>
                <w:w w:val="89"/>
              </w:rPr>
              <w:t>5,182,031</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05/10/2021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w w:val="97"/>
              </w:rPr>
              <w:t>4,686,289</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30.96</w:t>
            </w:r>
            <w:r>
              <w:rPr>
                <w:rFonts w:ascii="Arial" w:cs="Arial" w:eastAsia="Arial" w:hAnsi="Arial"/>
                <w:sz w:val="22"/>
                <w:szCs w:val="22"/>
                <w:color w:val="008000"/>
                <w:w w:val="88"/>
                <w:vertAlign w:val="superscript"/>
              </w:rPr>
              <w:t>(1)</w:t>
            </w:r>
          </w:p>
        </w:tc>
        <w:tc>
          <w:tcPr>
            <w:tcW w:w="1520" w:type="dxa"/>
            <w:vAlign w:val="bottom"/>
            <w:tcBorders>
              <w:top w:val="single" w:sz="8" w:color="2C2C2C"/>
            </w:tcBorders>
            <w:gridSpan w:val="3"/>
            <w:vMerge w:val="restart"/>
          </w:tcPr>
          <w:p>
            <w:pPr>
              <w:jc w:val="center"/>
              <w:ind w:right="320"/>
              <w:spacing w:after="0"/>
              <w:rPr>
                <w:sz w:val="20"/>
                <w:szCs w:val="20"/>
                <w:color w:val="auto"/>
              </w:rPr>
            </w:pPr>
            <w:r>
              <w:rPr>
                <w:rFonts w:ascii="Arial" w:cs="Arial" w:eastAsia="Arial" w:hAnsi="Arial"/>
                <w:sz w:val="17"/>
                <w:szCs w:val="17"/>
                <w:color w:val="0000FF"/>
                <w:w w:val="91"/>
              </w:rPr>
              <w:t>10,283,220</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(3)(5)(6)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05/10/2021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w w:val="97"/>
              </w:rPr>
              <w:t>6,052,145</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30.96</w:t>
            </w:r>
            <w:r>
              <w:rPr>
                <w:rFonts w:ascii="Arial" w:cs="Arial" w:eastAsia="Arial" w:hAnsi="Arial"/>
                <w:sz w:val="22"/>
                <w:szCs w:val="22"/>
                <w:color w:val="008000"/>
                <w:w w:val="88"/>
                <w:vertAlign w:val="superscript"/>
              </w:rPr>
              <w:t>(1)</w:t>
            </w:r>
          </w:p>
        </w:tc>
        <w:tc>
          <w:tcPr>
            <w:tcW w:w="1520" w:type="dxa"/>
            <w:vAlign w:val="bottom"/>
            <w:tcBorders>
              <w:top w:val="single" w:sz="8" w:color="2C2C2C"/>
            </w:tcBorders>
            <w:gridSpan w:val="3"/>
            <w:vMerge w:val="restart"/>
          </w:tcPr>
          <w:p>
            <w:pPr>
              <w:jc w:val="center"/>
              <w:ind w:right="320"/>
              <w:spacing w:after="0"/>
              <w:rPr>
                <w:sz w:val="20"/>
                <w:szCs w:val="20"/>
                <w:color w:val="auto"/>
              </w:rPr>
            </w:pPr>
            <w:r>
              <w:rPr>
                <w:rFonts w:ascii="Arial" w:cs="Arial" w:eastAsia="Arial" w:hAnsi="Arial"/>
                <w:sz w:val="17"/>
                <w:szCs w:val="17"/>
                <w:color w:val="0000FF"/>
                <w:w w:val="91"/>
              </w:rPr>
              <w:t>13,280,351</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(4)(5)(6)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0" w:type="dxa"/>
            <w:vAlign w:val="bottom"/>
            <w:gridSpan w:val="17"/>
          </w:tcPr>
          <w:p>
            <w:pPr>
              <w:jc w:val="center"/>
              <w:ind w:left="20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20" w:type="dxa"/>
            <w:vAlign w:val="bottom"/>
            <w:gridSpan w:val="14"/>
          </w:tcPr>
          <w:p>
            <w:pPr>
              <w:jc w:val="center"/>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jc w:val="center"/>
              <w:ind w:right="88"/>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jc w:val="right"/>
              <w:ind w:right="24"/>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KKR 2006 Allstar Blocker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980" w:type="dxa"/>
            <w:vAlign w:val="bottom"/>
          </w:tcPr>
          <w:p>
            <w:pPr>
              <w:jc w:val="center"/>
              <w:ind w:right="1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tcPr>
          <w:p>
            <w:pPr>
              <w:ind w:left="2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jc w:val="center"/>
              <w:ind w:right="148"/>
              <w:spacing w:after="0"/>
              <w:rPr>
                <w:sz w:val="20"/>
                <w:szCs w:val="20"/>
                <w:color w:val="auto"/>
              </w:rPr>
            </w:pPr>
            <w:r>
              <w:rPr>
                <w:rFonts w:ascii="Arial" w:cs="Arial" w:eastAsia="Arial" w:hAnsi="Arial"/>
                <w:sz w:val="17"/>
                <w:szCs w:val="17"/>
                <w:color w:val="0000FF"/>
                <w:w w:val="92"/>
              </w:rPr>
              <w:t>10001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Allstar Co-Invest Blocker L.P.</w:t>
              </w:r>
            </w:hyperlink>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980" w:type="dxa"/>
            <w:vAlign w:val="bottom"/>
          </w:tcPr>
          <w:p>
            <w:pPr>
              <w:jc w:val="center"/>
              <w:ind w:right="1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tcPr>
          <w:p>
            <w:pPr>
              <w:ind w:left="2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jc w:val="center"/>
              <w:ind w:right="148"/>
              <w:spacing w:after="0"/>
              <w:rPr>
                <w:sz w:val="20"/>
                <w:szCs w:val="20"/>
                <w:color w:val="auto"/>
              </w:rPr>
            </w:pPr>
            <w:r>
              <w:rPr>
                <w:rFonts w:ascii="Arial" w:cs="Arial" w:eastAsia="Arial" w:hAnsi="Arial"/>
                <w:sz w:val="17"/>
                <w:szCs w:val="17"/>
                <w:color w:val="0000FF"/>
                <w:w w:val="92"/>
              </w:rPr>
              <w:t>10001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90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89058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Allstar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Allstar Co-Invest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19">
              <w:r>
                <w:rPr>
                  <w:rFonts w:ascii="Arial" w:cs="Arial" w:eastAsia="Arial" w:hAnsi="Arial"/>
                  <w:sz w:val="21"/>
                  <w:szCs w:val="21"/>
                  <w:color w:val="0000EE"/>
                  <w:w w:val="98"/>
                </w:rPr>
                <w:t>KKR 2006 Fund (Allstar)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tcPr>
          <w:p>
            <w:pPr>
              <w:ind w:left="220"/>
              <w:spacing w:after="0"/>
              <w:rPr>
                <w:sz w:val="20"/>
                <w:szCs w:val="20"/>
                <w:color w:val="auto"/>
              </w:rPr>
            </w:pPr>
            <w:r>
              <w:rPr>
                <w:rFonts w:ascii="Arial" w:cs="Arial" w:eastAsia="Arial" w:hAnsi="Arial"/>
                <w:sz w:val="17"/>
                <w:szCs w:val="17"/>
                <w:color w:val="0000FF"/>
              </w:rPr>
              <w:t>NY</w:t>
            </w:r>
          </w:p>
        </w:tc>
        <w:tc>
          <w:tcPr>
            <w:tcW w:w="1440" w:type="dxa"/>
            <w:vAlign w:val="bottom"/>
          </w:tcPr>
          <w:p>
            <w:pPr>
              <w:ind w:left="8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tcBorders>
              <w:bottom w:val="single" w:sz="8" w:color="0000EE"/>
            </w:tcBorders>
            <w:gridSpan w:val="2"/>
          </w:tcPr>
          <w:p>
            <w:pPr>
              <w:spacing w:after="0" w:line="221" w:lineRule="exact"/>
              <w:rPr>
                <w:rFonts w:ascii="Arial" w:cs="Arial" w:eastAsia="Arial" w:hAnsi="Arial"/>
                <w:sz w:val="21"/>
                <w:szCs w:val="21"/>
                <w:color w:val="0000EE"/>
                <w:w w:val="94"/>
              </w:rPr>
            </w:pPr>
            <w:hyperlink r:id="rId20">
              <w:r>
                <w:rPr>
                  <w:rFonts w:ascii="Arial" w:cs="Arial" w:eastAsia="Arial" w:hAnsi="Arial"/>
                  <w:sz w:val="21"/>
                  <w:szCs w:val="21"/>
                  <w:color w:val="0000EE"/>
                  <w:w w:val="94"/>
                </w:rPr>
                <w:t>KKR Associates 2006 AIV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KKR 2006 AIV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represents the $32.00 secondary public offering price per share of common stock of Academy Sports and Outdoors, Inc. ("Common Stock") less the underwriting discount of $1.04 per share for shares sold pursuant to an underwritten public offering.</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3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ectPr>
          <w:pgSz w:w="11900" w:h="16840" w:orient="portrait"/>
          <w:cols w:equalWidth="0" w:num="1">
            <w:col w:w="10740"/>
          </w:cols>
          <w:pgMar w:left="480" w:top="110" w:right="679" w:bottom="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40" w:orient="portrait"/>
          <w:cols w:equalWidth="0" w:num="1">
            <w:col w:w="10740"/>
          </w:cols>
          <w:pgMar w:left="480" w:top="110" w:right="679" w:bottom="0" w:gutter="0" w:footer="0" w:header="0"/>
          <w:type w:val="continuous"/>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680"/>
          </w:cols>
          <w:pgMar w:left="500" w:top="131" w:right="71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93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8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2006 AIV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6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4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5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Co-Invest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39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2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06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2006 AIV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8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By: KKR 2006 AIV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5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ASSOCIATES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61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AIV L.P. By: KKR 2006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AIV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2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8700" w:space="40"/>
            <w:col w:w="1940"/>
          </w:cols>
          <w:pgMar w:left="500" w:top="131" w:right="7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31"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12" Type="http://schemas.openxmlformats.org/officeDocument/2006/relationships/hyperlink" Target="http://www.sec.gov/cgi-bin/browse-edgar?action=getcompany&amp;CIK=0001826518" TargetMode="External"/><Relationship Id="rId13" Type="http://schemas.openxmlformats.org/officeDocument/2006/relationships/hyperlink" Target="http://www.sec.gov/cgi-bin/browse-edgar?action=getcompany&amp;CIK=0001817358" TargetMode="External"/><Relationship Id="rId14" Type="http://schemas.openxmlformats.org/officeDocument/2006/relationships/hyperlink" Target="http://www.sec.gov/cgi-bin/browse-edgar?action=getcompany&amp;CIK=0001826601" TargetMode="External"/><Relationship Id="rId17" Type="http://schemas.openxmlformats.org/officeDocument/2006/relationships/hyperlink" Target="http://www.sec.gov/cgi-bin/browse-edgar?action=getcompany&amp;CIK=0001826524" TargetMode="External"/><Relationship Id="rId18" Type="http://schemas.openxmlformats.org/officeDocument/2006/relationships/hyperlink" Target="http://www.sec.gov/cgi-bin/browse-edgar?action=getcompany&amp;CIK=0001826555" TargetMode="External"/><Relationship Id="rId19" Type="http://schemas.openxmlformats.org/officeDocument/2006/relationships/hyperlink" Target="http://www.sec.gov/cgi-bin/browse-edgar?action=getcompany&amp;CIK=0001826505" TargetMode="External"/><Relationship Id="rId20" Type="http://schemas.openxmlformats.org/officeDocument/2006/relationships/hyperlink" Target="http://www.sec.gov/cgi-bin/browse-edgar?action=getcompany&amp;CIK=0001637625" TargetMode="External"/><Relationship Id="rId21" Type="http://schemas.openxmlformats.org/officeDocument/2006/relationships/hyperlink" Target="http://www.sec.gov/cgi-bin/browse-edgar?action=getcompany&amp;CIK=00016376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2021-05-12T20:36:21Z</dcterms:created>
  <dcterms:modified xsi:type="dcterms:W3CDTF">2021-05-12T20:36:21Z</dcterms:modified>
</cp:coreProperties>
</file>