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139700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145415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205105</wp:posOffset>
            </wp:positionV>
            <wp:extent cx="137160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500" w:space="720"/>
            <w:col w:w="2820" w:space="720"/>
            <w:col w:w="2400"/>
          </w:cols>
          <w:pgMar w:left="340" w:top="743" w:right="39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420" w:space="720"/>
            <w:col w:w="2640" w:space="720"/>
            <w:col w:w="2660"/>
          </w:cols>
          <w:pgMar w:left="340" w:top="743" w:right="39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560" w:space="720"/>
            <w:col w:w="2460" w:space="720"/>
            <w:col w:w="2700"/>
          </w:cols>
          <w:pgMar w:left="340" w:top="743" w:right="399" w:bottom="1440" w:gutter="0" w:footer="0" w:header="0"/>
          <w:type w:val="continuous"/>
        </w:sectPr>
      </w:pPr>
    </w:p>
    <w:p>
      <w:pPr>
        <w:ind w:left="474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133350</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340" w:type="dxa"/>
            <w:vAlign w:val="bottom"/>
            <w:gridSpan w:val="2"/>
          </w:tcPr>
          <w:p>
            <w:pPr>
              <w:jc w:val="center"/>
              <w:ind w:left="12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On March 20, 2025, Academy Sports and Outdoors, Inc. (the “Company”) issued a press release announcing financial results for the fiscal year ended February 1, 2025. A copy of the release is furnished herewith as Exhibit 99.1 and incorporated by reference herein.</w:t>
      </w:r>
    </w:p>
    <w:p>
      <w:pPr>
        <w:spacing w:after="0" w:line="175" w:lineRule="exact"/>
        <w:rPr>
          <w:sz w:val="20"/>
          <w:szCs w:val="20"/>
          <w:color w:val="auto"/>
        </w:rPr>
      </w:pPr>
    </w:p>
    <w:p>
      <w:pPr>
        <w:jc w:val="both"/>
        <w:ind w:firstLine="401"/>
        <w:spacing w:after="0" w:line="24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(the “Securities Act”), or the Exchange Act, except as shall be expressly set forth by specific reference in such a filing.</w:t>
      </w:r>
    </w:p>
    <w:p>
      <w:pPr>
        <w:spacing w:after="0" w:line="200" w:lineRule="exact"/>
        <w:rPr>
          <w:sz w:val="20"/>
          <w:szCs w:val="20"/>
          <w:color w:val="auto"/>
        </w:rPr>
      </w:pPr>
    </w:p>
    <w:p>
      <w:pPr>
        <w:spacing w:after="0" w:line="2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hereto, which is incorporated herein by reference.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60" w:type="dxa"/>
            <w:vAlign w:val="bottom"/>
            <w:gridSpan w:val="2"/>
          </w:tcPr>
          <w:p>
            <w:pPr>
              <w:spacing w:after="0"/>
              <w:rPr>
                <w:sz w:val="2"/>
                <w:szCs w:val="2"/>
                <w:color w:val="auto"/>
              </w:rPr>
            </w:pPr>
          </w:p>
        </w:tc>
      </w:tr>
      <w:tr>
        <w:trPr>
          <w:trHeight w:val="244"/>
        </w:trPr>
        <w:tc>
          <w:tcPr>
            <w:tcW w:w="18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0" w:type="dxa"/>
            <w:vAlign w:val="bottom"/>
            <w:tcBorders>
              <w:top w:val="single" w:sz="8" w:color="CCEEFF"/>
            </w:tcBorders>
            <w:shd w:val="clear" w:color="auto" w:fill="CCEEFF"/>
          </w:tcPr>
          <w:p>
            <w:pPr>
              <w:spacing w:after="0"/>
              <w:rPr>
                <w:sz w:val="21"/>
                <w:szCs w:val="21"/>
                <w:color w:val="auto"/>
              </w:rPr>
            </w:pPr>
          </w:p>
        </w:tc>
        <w:tc>
          <w:tcPr>
            <w:tcW w:w="9540" w:type="dxa"/>
            <w:vAlign w:val="bottom"/>
            <w:tcBorders>
              <w:top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Academy Sports and Outdoors, Inc. Press Release, dated March 20, 2025.</w:t>
            </w:r>
          </w:p>
        </w:tc>
        <w:tc>
          <w:tcPr>
            <w:tcW w:w="120" w:type="dxa"/>
            <w:vAlign w:val="bottom"/>
          </w:tcPr>
          <w:p>
            <w:pPr>
              <w:spacing w:after="0"/>
              <w:rPr>
                <w:sz w:val="21"/>
                <w:szCs w:val="21"/>
                <w:color w:val="auto"/>
              </w:rPr>
            </w:pPr>
          </w:p>
        </w:tc>
      </w:tr>
      <w:tr>
        <w:trPr>
          <w:trHeight w:val="243"/>
        </w:trPr>
        <w:tc>
          <w:tcPr>
            <w:tcW w:w="18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95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1"/>
                <w:szCs w:val="21"/>
                <w:color w:val="auto"/>
              </w:rPr>
            </w:pPr>
          </w:p>
        </w:tc>
      </w:tr>
      <w:tr>
        <w:trPr>
          <w:trHeight w:val="151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96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w w:val="98"/>
              </w:rPr>
              <w:t>ACADEMY SPORTS AND OUTDOORS, INC.</w:t>
            </w:r>
          </w:p>
        </w:tc>
      </w:tr>
      <w:tr>
        <w:trPr>
          <w:trHeight w:val="39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2025</w:t>
            </w: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By:</w:t>
            </w:r>
          </w:p>
        </w:tc>
        <w:tc>
          <w:tcPr>
            <w:tcW w:w="6960" w:type="dxa"/>
            <w:vAlign w:val="bottom"/>
            <w:gridSpan w:val="2"/>
          </w:tcPr>
          <w:p>
            <w:pPr>
              <w:jc w:val="right"/>
              <w:ind w:right="5360"/>
              <w:spacing w:after="0"/>
              <w:rPr>
                <w:sz w:val="20"/>
                <w:szCs w:val="20"/>
                <w:color w:val="auto"/>
              </w:rPr>
            </w:pPr>
            <w:r>
              <w:rPr>
                <w:rFonts w:ascii="Times New Roman" w:cs="Times New Roman" w:eastAsia="Times New Roman" w:hAnsi="Times New Roman"/>
                <w:sz w:val="18"/>
                <w:szCs w:val="18"/>
                <w:color w:val="auto"/>
              </w:rPr>
              <w:t>/s/  Rene G. Casares</w:t>
            </w:r>
          </w:p>
        </w:tc>
      </w:tr>
      <w:tr>
        <w:trPr>
          <w:trHeight w:val="27"/>
        </w:trPr>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1880" w:type="dxa"/>
            <w:vAlign w:val="bottom"/>
          </w:tcPr>
          <w:p>
            <w:pPr>
              <w:spacing w:after="0"/>
              <w:rPr>
                <w:sz w:val="20"/>
                <w:szCs w:val="20"/>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Name:</w:t>
            </w:r>
          </w:p>
        </w:tc>
        <w:tc>
          <w:tcPr>
            <w:tcW w:w="6960" w:type="dxa"/>
            <w:vAlign w:val="bottom"/>
            <w:gridSpan w:val="2"/>
          </w:tcPr>
          <w:p>
            <w:pPr>
              <w:jc w:val="right"/>
              <w:ind w:right="5360"/>
              <w:spacing w:after="0"/>
              <w:rPr>
                <w:sz w:val="20"/>
                <w:szCs w:val="20"/>
                <w:color w:val="auto"/>
              </w:rPr>
            </w:pPr>
            <w:r>
              <w:rPr>
                <w:rFonts w:ascii="Times New Roman" w:cs="Times New Roman" w:eastAsia="Times New Roman" w:hAnsi="Times New Roman"/>
                <w:sz w:val="18"/>
                <w:szCs w:val="18"/>
                <w:color w:val="auto"/>
              </w:rPr>
              <w:t>Rene G. Casares</w:t>
            </w:r>
          </w:p>
        </w:tc>
      </w:tr>
      <w:tr>
        <w:trPr>
          <w:trHeight w:val="270"/>
        </w:trPr>
        <w:tc>
          <w:tcPr>
            <w:tcW w:w="1880" w:type="dxa"/>
            <w:vAlign w:val="bottom"/>
          </w:tcPr>
          <w:p>
            <w:pPr>
              <w:spacing w:after="0"/>
              <w:rPr>
                <w:sz w:val="23"/>
                <w:szCs w:val="23"/>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Title:</w:t>
            </w:r>
          </w:p>
        </w:tc>
        <w:tc>
          <w:tcPr>
            <w:tcW w:w="6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 Secretary</w:t>
            </w:r>
          </w:p>
        </w:tc>
      </w:tr>
    </w:tbl>
    <w:p>
      <w:pPr>
        <w:sectPr>
          <w:pgSz w:w="11900" w:h="16838" w:orient="portrait"/>
          <w:cols w:equalWidth="0" w:num="1">
            <w:col w:w="11240"/>
          </w:cols>
          <w:pgMar w:left="320" w:top="141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44450</wp:posOffset>
            </wp:positionV>
            <wp:extent cx="189420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9420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80"/>
        <w:spacing w:after="0"/>
        <w:rPr>
          <w:sz w:val="20"/>
          <w:szCs w:val="20"/>
          <w:color w:val="auto"/>
        </w:rPr>
      </w:pPr>
      <w:r>
        <w:rPr>
          <w:rFonts w:ascii="Arial" w:cs="Arial" w:eastAsia="Arial" w:hAnsi="Arial"/>
          <w:sz w:val="22"/>
          <w:szCs w:val="22"/>
          <w:b w:val="1"/>
          <w:bCs w:val="1"/>
          <w:color w:val="auto"/>
        </w:rPr>
        <w:t>Academy Sports + Outdoors Reports Fourth Quarter and Fiscal 2024 Results</w:t>
      </w: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 xml:space="preserve">Fourth Quarter Comparable Sales Declined (3.0)%: a +190 Basis Point Improvement vs.Third Quarter </w:t>
      </w:r>
      <w:r>
        <w:rPr>
          <w:rFonts w:ascii="Arial" w:cs="Arial" w:eastAsia="Arial" w:hAnsi="Arial"/>
          <w:sz w:val="16"/>
          <w:szCs w:val="16"/>
          <w:color w:val="auto"/>
        </w:rPr>
        <w:t>2024</w:t>
      </w:r>
    </w:p>
    <w:p>
      <w:pPr>
        <w:spacing w:after="0" w:line="250" w:lineRule="exact"/>
        <w:rPr>
          <w:sz w:val="20"/>
          <w:szCs w:val="20"/>
          <w:color w:val="auto"/>
        </w:rPr>
      </w:pPr>
    </w:p>
    <w:p>
      <w:pPr>
        <w:ind w:left="2360"/>
        <w:spacing w:after="0"/>
        <w:rPr>
          <w:sz w:val="20"/>
          <w:szCs w:val="20"/>
          <w:color w:val="auto"/>
        </w:rPr>
      </w:pPr>
      <w:r>
        <w:rPr>
          <w:rFonts w:ascii="Arial" w:cs="Arial" w:eastAsia="Arial" w:hAnsi="Arial"/>
          <w:sz w:val="16"/>
          <w:szCs w:val="16"/>
          <w:i w:val="1"/>
          <w:iCs w:val="1"/>
          <w:color w:val="auto"/>
        </w:rPr>
        <w:t>Fourth Quarter Diluted GAAP EPS of $1.89: Above the Midpoint of Updated Guidance Provided</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Company Announces Launch of Jordan Brand in 145 Stores and Online Beginning in Late April</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i w:val="1"/>
          <w:iCs w:val="1"/>
          <w:color w:val="auto"/>
        </w:rPr>
        <w:t>Quarterly Dividend Increased by 18%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b w:val="1"/>
          <w:bCs w:val="1"/>
          <w:color w:val="auto"/>
        </w:rPr>
        <w:t xml:space="preserve">KATY, TEXAS (Globe Newswire — March 20, 2025)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financial results for the fourth quarter and fiscal year ended February 1, 2025. Fourth quarter and fiscal year 2024 included 13 and 52 weeks, respectively, compared to 14 and 53 weeks in fourth quarter and fiscal year 2023, respectively.</w:t>
      </w:r>
    </w:p>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“Looking back on 2024, our team made significant strides toward achieving our long-term goals, all while thoughtfully navigating a challenging macroeconomic environment. As we head into 2025, we’re energized by the opportunities that lie ahead. The foundation for growth that we’ve built over the past year should yield meaningful results this year and into the future.” said Steve Lawrence, Chief Executive Officer. “This year, we are introducing an exciting slate of new brands, including the launch of the Jordan brand with a focus on sport, with shops in men's, women's and kids. We're also bolstering our targeted marketing capabilities, and rolling out new technology across our stores, all designed to elevate our ability to serve our core customers. These innovations, combined with our unwavering commitment to value leadership, position us for a pivotal year in which we anticipate a return to topline sales growth.”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40" w:type="dxa"/>
            <w:vAlign w:val="bottom"/>
            <w:vMerge w:val="restart"/>
            <w:shd w:val="clear" w:color="auto" w:fill="0E32E1"/>
          </w:tcPr>
          <w:p>
            <w:pPr>
              <w:ind w:left="20"/>
              <w:spacing w:after="0"/>
              <w:rPr>
                <w:sz w:val="20"/>
                <w:szCs w:val="20"/>
                <w:color w:val="auto"/>
              </w:rPr>
            </w:pPr>
            <w:r>
              <w:rPr>
                <w:rFonts w:ascii="Calibri" w:cs="Calibri" w:eastAsia="Calibri" w:hAnsi="Calibri"/>
                <w:sz w:val="20"/>
                <w:szCs w:val="20"/>
                <w:color w:val="FFFFFF"/>
              </w:rPr>
              <w:t xml:space="preserve">Fourth Quarter Operatng Results </w:t>
            </w:r>
            <w:r>
              <w:rPr>
                <w:rFonts w:ascii="Calibri" w:cs="Calibri" w:eastAsia="Calibri" w:hAnsi="Calibri"/>
                <w:sz w:val="14"/>
                <w:szCs w:val="14"/>
                <w:color w:val="FFFFFF"/>
              </w:rPr>
              <w:t>($ in millions, except per share</w:t>
            </w:r>
          </w:p>
        </w:tc>
        <w:tc>
          <w:tcPr>
            <w:tcW w:w="1360" w:type="dxa"/>
            <w:vAlign w:val="bottom"/>
            <w:shd w:val="clear" w:color="auto" w:fill="0E32E1"/>
          </w:tcPr>
          <w:p>
            <w:pPr>
              <w:spacing w:after="0"/>
              <w:rPr>
                <w:sz w:val="22"/>
                <w:szCs w:val="22"/>
                <w:color w:val="auto"/>
              </w:rPr>
            </w:pPr>
          </w:p>
        </w:tc>
        <w:tc>
          <w:tcPr>
            <w:tcW w:w="2020" w:type="dxa"/>
            <w:vAlign w:val="bottom"/>
            <w:gridSpan w:val="2"/>
            <w:shd w:val="clear" w:color="auto" w:fill="0E32E1"/>
          </w:tcPr>
          <w:p>
            <w:pPr>
              <w:jc w:val="right"/>
              <w:ind w:right="621"/>
              <w:spacing w:after="0"/>
              <w:rPr>
                <w:sz w:val="20"/>
                <w:szCs w:val="20"/>
                <w:color w:val="auto"/>
              </w:rPr>
            </w:pPr>
            <w:r>
              <w:rPr>
                <w:rFonts w:ascii="Calibri" w:cs="Calibri" w:eastAsia="Calibri" w:hAnsi="Calibri"/>
                <w:sz w:val="20"/>
                <w:szCs w:val="20"/>
                <w:color w:val="FFFFFF"/>
              </w:rPr>
              <w:t>Quarter Ended</w:t>
            </w:r>
          </w:p>
        </w:tc>
        <w:tc>
          <w:tcPr>
            <w:tcW w:w="1140" w:type="dxa"/>
            <w:vAlign w:val="bottom"/>
            <w:shd w:val="clear" w:color="auto" w:fill="0E32E1"/>
          </w:tcPr>
          <w:p>
            <w:pPr>
              <w:spacing w:after="0"/>
              <w:rPr>
                <w:sz w:val="22"/>
                <w:szCs w:val="22"/>
                <w:color w:val="auto"/>
              </w:rPr>
            </w:pPr>
          </w:p>
        </w:tc>
        <w:tc>
          <w:tcPr>
            <w:tcW w:w="2080" w:type="dxa"/>
            <w:vAlign w:val="bottom"/>
            <w:shd w:val="clear" w:color="auto" w:fill="0E32E1"/>
          </w:tcPr>
          <w:p>
            <w:pPr>
              <w:ind w:left="500"/>
              <w:spacing w:after="0"/>
              <w:rPr>
                <w:sz w:val="20"/>
                <w:szCs w:val="20"/>
                <w:color w:val="auto"/>
              </w:rPr>
            </w:pPr>
            <w:r>
              <w:rPr>
                <w:rFonts w:ascii="Calibri" w:cs="Calibri" w:eastAsia="Calibri" w:hAnsi="Calibri"/>
                <w:sz w:val="20"/>
                <w:szCs w:val="20"/>
                <w:color w:val="FFFFFF"/>
              </w:rPr>
              <w:t>Change</w:t>
            </w:r>
          </w:p>
        </w:tc>
        <w:tc>
          <w:tcPr>
            <w:tcW w:w="0" w:type="dxa"/>
            <w:vAlign w:val="bottom"/>
          </w:tcPr>
          <w:p>
            <w:pPr>
              <w:spacing w:after="0"/>
              <w:rPr>
                <w:sz w:val="1"/>
                <w:szCs w:val="1"/>
                <w:color w:val="auto"/>
              </w:rPr>
            </w:pPr>
          </w:p>
        </w:tc>
      </w:tr>
      <w:tr>
        <w:trPr>
          <w:trHeight w:val="158"/>
        </w:trPr>
        <w:tc>
          <w:tcPr>
            <w:tcW w:w="4640" w:type="dxa"/>
            <w:vAlign w:val="bottom"/>
            <w:vMerge w:val="continue"/>
            <w:shd w:val="clear" w:color="auto" w:fill="0E32E1"/>
          </w:tcPr>
          <w:p>
            <w:pPr>
              <w:spacing w:after="0"/>
              <w:rPr>
                <w:sz w:val="13"/>
                <w:szCs w:val="13"/>
                <w:color w:val="auto"/>
              </w:rPr>
            </w:pPr>
          </w:p>
        </w:tc>
        <w:tc>
          <w:tcPr>
            <w:tcW w:w="2040" w:type="dxa"/>
            <w:vAlign w:val="bottom"/>
            <w:gridSpan w:val="2"/>
            <w:vMerge w:val="restart"/>
            <w:shd w:val="clear" w:color="auto" w:fill="0E32E1"/>
          </w:tcPr>
          <w:p>
            <w:pPr>
              <w:jc w:val="center"/>
              <w:spacing w:after="0"/>
              <w:rPr>
                <w:sz w:val="20"/>
                <w:szCs w:val="20"/>
                <w:color w:val="auto"/>
              </w:rPr>
            </w:pPr>
            <w:r>
              <w:rPr>
                <w:rFonts w:ascii="Calibri" w:cs="Calibri" w:eastAsia="Calibri" w:hAnsi="Calibri"/>
                <w:sz w:val="20"/>
                <w:szCs w:val="20"/>
                <w:color w:val="FFFFFF"/>
              </w:rPr>
              <w:t>February 1, 2025 (13</w:t>
            </w:r>
          </w:p>
        </w:tc>
        <w:tc>
          <w:tcPr>
            <w:tcW w:w="2480" w:type="dxa"/>
            <w:vAlign w:val="bottom"/>
            <w:gridSpan w:val="2"/>
            <w:vMerge w:val="restart"/>
            <w:shd w:val="clear" w:color="auto" w:fill="0E32E1"/>
          </w:tcPr>
          <w:p>
            <w:pPr>
              <w:jc w:val="right"/>
              <w:ind w:right="521"/>
              <w:spacing w:after="0"/>
              <w:rPr>
                <w:sz w:val="20"/>
                <w:szCs w:val="20"/>
                <w:color w:val="auto"/>
              </w:rPr>
            </w:pPr>
            <w:r>
              <w:rPr>
                <w:rFonts w:ascii="Calibri" w:cs="Calibri" w:eastAsia="Calibri" w:hAnsi="Calibri"/>
                <w:sz w:val="20"/>
                <w:szCs w:val="20"/>
                <w:color w:val="FFFFFF"/>
              </w:rPr>
              <w:t>February 3, 2024 (14</w:t>
            </w:r>
          </w:p>
        </w:tc>
        <w:tc>
          <w:tcPr>
            <w:tcW w:w="2080" w:type="dxa"/>
            <w:vAlign w:val="bottom"/>
            <w:shd w:val="clear" w:color="auto" w:fill="0E32E1"/>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640" w:type="dxa"/>
            <w:vAlign w:val="bottom"/>
            <w:vMerge w:val="restart"/>
            <w:shd w:val="clear" w:color="auto" w:fill="0E32E1"/>
          </w:tcPr>
          <w:p>
            <w:pPr>
              <w:ind w:left="20"/>
              <w:spacing w:after="0"/>
              <w:rPr>
                <w:sz w:val="20"/>
                <w:szCs w:val="20"/>
                <w:color w:val="auto"/>
              </w:rPr>
            </w:pPr>
            <w:r>
              <w:rPr>
                <w:rFonts w:ascii="Calibri" w:cs="Calibri" w:eastAsia="Calibri" w:hAnsi="Calibri"/>
                <w:sz w:val="14"/>
                <w:szCs w:val="14"/>
                <w:color w:val="FFFFFF"/>
              </w:rPr>
              <w:t>data)</w:t>
            </w:r>
          </w:p>
        </w:tc>
        <w:tc>
          <w:tcPr>
            <w:tcW w:w="2040" w:type="dxa"/>
            <w:vAlign w:val="bottom"/>
            <w:gridSpan w:val="2"/>
            <w:vMerge w:val="continue"/>
            <w:shd w:val="clear" w:color="auto" w:fill="0E32E1"/>
          </w:tcPr>
          <w:p>
            <w:pPr>
              <w:spacing w:after="0"/>
              <w:rPr>
                <w:sz w:val="10"/>
                <w:szCs w:val="10"/>
                <w:color w:val="auto"/>
              </w:rPr>
            </w:pPr>
          </w:p>
        </w:tc>
        <w:tc>
          <w:tcPr>
            <w:tcW w:w="2480" w:type="dxa"/>
            <w:vAlign w:val="bottom"/>
            <w:gridSpan w:val="2"/>
            <w:vMerge w:val="continue"/>
            <w:shd w:val="clear" w:color="auto" w:fill="0E32E1"/>
          </w:tcPr>
          <w:p>
            <w:pPr>
              <w:spacing w:after="0"/>
              <w:rPr>
                <w:sz w:val="10"/>
                <w:szCs w:val="10"/>
                <w:color w:val="auto"/>
              </w:rPr>
            </w:pPr>
          </w:p>
        </w:tc>
        <w:tc>
          <w:tcPr>
            <w:tcW w:w="2080" w:type="dxa"/>
            <w:vAlign w:val="bottom"/>
            <w:vMerge w:val="restart"/>
            <w:shd w:val="clear" w:color="auto" w:fill="0E32E1"/>
          </w:tcPr>
          <w:p>
            <w:pPr>
              <w:jc w:val="center"/>
              <w:ind w:right="361"/>
              <w:spacing w:after="0"/>
              <w:rPr>
                <w:sz w:val="20"/>
                <w:szCs w:val="20"/>
                <w:color w:val="auto"/>
              </w:rPr>
            </w:pPr>
            <w:r>
              <w:rPr>
                <w:rFonts w:ascii="Calibri" w:cs="Calibri" w:eastAsia="Calibri" w:hAnsi="Calibri"/>
                <w:sz w:val="20"/>
                <w:szCs w:val="20"/>
                <w:color w:val="FFFFFF"/>
                <w:w w:val="97"/>
              </w:rPr>
              <w:t>%</w:t>
            </w:r>
          </w:p>
        </w:tc>
        <w:tc>
          <w:tcPr>
            <w:tcW w:w="0" w:type="dxa"/>
            <w:vAlign w:val="bottom"/>
          </w:tcPr>
          <w:p>
            <w:pPr>
              <w:spacing w:after="0"/>
              <w:rPr>
                <w:sz w:val="1"/>
                <w:szCs w:val="1"/>
                <w:color w:val="auto"/>
              </w:rPr>
            </w:pPr>
          </w:p>
        </w:tc>
      </w:tr>
      <w:tr>
        <w:trPr>
          <w:trHeight w:val="54"/>
        </w:trPr>
        <w:tc>
          <w:tcPr>
            <w:tcW w:w="4640" w:type="dxa"/>
            <w:vAlign w:val="bottom"/>
            <w:vMerge w:val="continue"/>
            <w:shd w:val="clear" w:color="auto" w:fill="0E32E1"/>
          </w:tcPr>
          <w:p>
            <w:pPr>
              <w:spacing w:after="0"/>
              <w:rPr>
                <w:sz w:val="4"/>
                <w:szCs w:val="4"/>
                <w:color w:val="auto"/>
              </w:rPr>
            </w:pPr>
          </w:p>
        </w:tc>
        <w:tc>
          <w:tcPr>
            <w:tcW w:w="1360" w:type="dxa"/>
            <w:vAlign w:val="bottom"/>
            <w:vMerge w:val="restart"/>
            <w:shd w:val="clear" w:color="auto" w:fill="0E32E1"/>
          </w:tcPr>
          <w:p>
            <w:pPr>
              <w:jc w:val="center"/>
              <w:ind w:left="641"/>
              <w:spacing w:after="0" w:line="243" w:lineRule="exact"/>
              <w:rPr>
                <w:sz w:val="20"/>
                <w:szCs w:val="20"/>
                <w:color w:val="auto"/>
              </w:rPr>
            </w:pPr>
            <w:r>
              <w:rPr>
                <w:rFonts w:ascii="Calibri" w:cs="Calibri" w:eastAsia="Calibri" w:hAnsi="Calibri"/>
                <w:sz w:val="20"/>
                <w:szCs w:val="20"/>
                <w:color w:val="FFFFFF"/>
              </w:rPr>
              <w:t>weeks)</w:t>
            </w:r>
          </w:p>
        </w:tc>
        <w:tc>
          <w:tcPr>
            <w:tcW w:w="680" w:type="dxa"/>
            <w:vAlign w:val="bottom"/>
            <w:shd w:val="clear" w:color="auto" w:fill="0E32E1"/>
          </w:tcPr>
          <w:p>
            <w:pPr>
              <w:spacing w:after="0"/>
              <w:rPr>
                <w:sz w:val="4"/>
                <w:szCs w:val="4"/>
                <w:color w:val="auto"/>
              </w:rPr>
            </w:pPr>
          </w:p>
        </w:tc>
        <w:tc>
          <w:tcPr>
            <w:tcW w:w="1340" w:type="dxa"/>
            <w:vAlign w:val="bottom"/>
            <w:vMerge w:val="restart"/>
            <w:shd w:val="clear" w:color="auto" w:fill="0E32E1"/>
          </w:tcPr>
          <w:p>
            <w:pPr>
              <w:jc w:val="right"/>
              <w:spacing w:after="0" w:line="243" w:lineRule="exact"/>
              <w:rPr>
                <w:sz w:val="20"/>
                <w:szCs w:val="20"/>
                <w:color w:val="auto"/>
              </w:rPr>
            </w:pPr>
            <w:r>
              <w:rPr>
                <w:rFonts w:ascii="Calibri" w:cs="Calibri" w:eastAsia="Calibri" w:hAnsi="Calibri"/>
                <w:sz w:val="20"/>
                <w:szCs w:val="20"/>
                <w:color w:val="FFFFFF"/>
              </w:rPr>
              <w:t>weeks)</w:t>
            </w:r>
          </w:p>
        </w:tc>
        <w:tc>
          <w:tcPr>
            <w:tcW w:w="1140" w:type="dxa"/>
            <w:vAlign w:val="bottom"/>
            <w:shd w:val="clear" w:color="auto" w:fill="0E32E1"/>
          </w:tcPr>
          <w:p>
            <w:pPr>
              <w:spacing w:after="0"/>
              <w:rPr>
                <w:sz w:val="4"/>
                <w:szCs w:val="4"/>
                <w:color w:val="auto"/>
              </w:rPr>
            </w:pPr>
          </w:p>
        </w:tc>
        <w:tc>
          <w:tcPr>
            <w:tcW w:w="2080" w:type="dxa"/>
            <w:vAlign w:val="bottom"/>
            <w:vMerge w:val="continue"/>
            <w:shd w:val="clear" w:color="auto" w:fill="0E32E1"/>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0E32E1"/>
            </w:tcBorders>
            <w:shd w:val="clear" w:color="auto" w:fill="0E32E1"/>
          </w:tcPr>
          <w:p>
            <w:pPr>
              <w:spacing w:after="0"/>
              <w:rPr>
                <w:sz w:val="18"/>
                <w:szCs w:val="18"/>
                <w:color w:val="auto"/>
              </w:rPr>
            </w:pPr>
          </w:p>
        </w:tc>
        <w:tc>
          <w:tcPr>
            <w:tcW w:w="1360" w:type="dxa"/>
            <w:vAlign w:val="bottom"/>
            <w:tcBorders>
              <w:bottom w:val="single" w:sz="8" w:color="0E32E1"/>
            </w:tcBorders>
            <w:vMerge w:val="continue"/>
            <w:shd w:val="clear" w:color="auto" w:fill="0E32E1"/>
          </w:tcPr>
          <w:p>
            <w:pPr>
              <w:spacing w:after="0"/>
              <w:rPr>
                <w:sz w:val="18"/>
                <w:szCs w:val="18"/>
                <w:color w:val="auto"/>
              </w:rPr>
            </w:pPr>
          </w:p>
        </w:tc>
        <w:tc>
          <w:tcPr>
            <w:tcW w:w="680" w:type="dxa"/>
            <w:vAlign w:val="bottom"/>
            <w:tcBorders>
              <w:bottom w:val="single" w:sz="8" w:color="0E32E1"/>
            </w:tcBorders>
            <w:shd w:val="clear" w:color="auto" w:fill="0E32E1"/>
          </w:tcPr>
          <w:p>
            <w:pPr>
              <w:spacing w:after="0"/>
              <w:rPr>
                <w:sz w:val="18"/>
                <w:szCs w:val="18"/>
                <w:color w:val="auto"/>
              </w:rPr>
            </w:pPr>
          </w:p>
        </w:tc>
        <w:tc>
          <w:tcPr>
            <w:tcW w:w="1340" w:type="dxa"/>
            <w:vAlign w:val="bottom"/>
            <w:tcBorders>
              <w:bottom w:val="single" w:sz="8" w:color="0E32E1"/>
            </w:tcBorders>
            <w:vMerge w:val="continue"/>
            <w:shd w:val="clear" w:color="auto" w:fill="0E32E1"/>
          </w:tcPr>
          <w:p>
            <w:pPr>
              <w:spacing w:after="0"/>
              <w:rPr>
                <w:sz w:val="18"/>
                <w:szCs w:val="18"/>
                <w:color w:val="auto"/>
              </w:rPr>
            </w:pPr>
          </w:p>
        </w:tc>
        <w:tc>
          <w:tcPr>
            <w:tcW w:w="1140" w:type="dxa"/>
            <w:vAlign w:val="bottom"/>
            <w:tcBorders>
              <w:bottom w:val="single" w:sz="8" w:color="0E32E1"/>
            </w:tcBorders>
            <w:shd w:val="clear" w:color="auto" w:fill="0E32E1"/>
          </w:tcPr>
          <w:p>
            <w:pPr>
              <w:spacing w:after="0"/>
              <w:rPr>
                <w:sz w:val="18"/>
                <w:szCs w:val="18"/>
                <w:color w:val="auto"/>
              </w:rPr>
            </w:pPr>
          </w:p>
        </w:tc>
        <w:tc>
          <w:tcPr>
            <w:tcW w:w="2080" w:type="dxa"/>
            <w:vAlign w:val="bottom"/>
            <w:tcBorders>
              <w:bottom w:val="single" w:sz="8" w:color="0E32E1"/>
            </w:tcBorders>
            <w:vMerge w:val="continue"/>
            <w:shd w:val="clear" w:color="auto" w:fill="0E32E1"/>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Net sales</w:t>
            </w:r>
          </w:p>
        </w:tc>
        <w:tc>
          <w:tcPr>
            <w:tcW w:w="1360" w:type="dxa"/>
            <w:vAlign w:val="bottom"/>
            <w:tcBorders>
              <w:bottom w:val="single" w:sz="8" w:color="DBDBDB"/>
            </w:tcBorders>
            <w:shd w:val="clear" w:color="auto" w:fill="DBDBDB"/>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w w:val="98"/>
              </w:rPr>
              <w:t>1,676.9</w:t>
            </w:r>
          </w:p>
        </w:tc>
        <w:tc>
          <w:tcPr>
            <w:tcW w:w="1340" w:type="dxa"/>
            <w:vAlign w:val="bottom"/>
            <w:tcBorders>
              <w:bottom w:val="single" w:sz="8" w:color="DBDBDB"/>
            </w:tcBorders>
            <w:shd w:val="clear" w:color="auto" w:fill="DBDBDB"/>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DBDBDB"/>
            </w:tcBorders>
            <w:shd w:val="clear" w:color="auto" w:fill="DBDBDB"/>
          </w:tcPr>
          <w:p>
            <w:pPr>
              <w:jc w:val="right"/>
              <w:ind w:right="441"/>
              <w:spacing w:after="0" w:line="236" w:lineRule="exact"/>
              <w:rPr>
                <w:sz w:val="20"/>
                <w:szCs w:val="20"/>
                <w:color w:val="auto"/>
              </w:rPr>
            </w:pPr>
            <w:r>
              <w:rPr>
                <w:rFonts w:ascii="Calibri" w:cs="Calibri" w:eastAsia="Calibri" w:hAnsi="Calibri"/>
                <w:sz w:val="20"/>
                <w:szCs w:val="20"/>
                <w:color w:val="auto"/>
                <w:w w:val="95"/>
              </w:rPr>
              <w:t>1,794.8</w:t>
            </w:r>
          </w:p>
        </w:tc>
        <w:tc>
          <w:tcPr>
            <w:tcW w:w="2080" w:type="dxa"/>
            <w:vAlign w:val="bottom"/>
            <w:tcBorders>
              <w:bottom w:val="single" w:sz="8" w:color="DBDBDB"/>
            </w:tcBorders>
            <w:shd w:val="clear" w:color="auto" w:fill="DBDBDB"/>
          </w:tcPr>
          <w:p>
            <w:pPr>
              <w:jc w:val="center"/>
              <w:ind w:right="381"/>
              <w:spacing w:after="0" w:line="236" w:lineRule="exact"/>
              <w:rPr>
                <w:sz w:val="20"/>
                <w:szCs w:val="20"/>
                <w:color w:val="auto"/>
              </w:rPr>
            </w:pPr>
            <w:r>
              <w:rPr>
                <w:rFonts w:ascii="Calibri" w:cs="Calibri" w:eastAsia="Calibri" w:hAnsi="Calibri"/>
                <w:sz w:val="20"/>
                <w:szCs w:val="20"/>
                <w:color w:val="auto"/>
              </w:rPr>
              <w:t>(6.6)%</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line="236" w:lineRule="exact"/>
              <w:rPr>
                <w:sz w:val="20"/>
                <w:szCs w:val="20"/>
                <w:color w:val="auto"/>
              </w:rPr>
            </w:pPr>
            <w:r>
              <w:rPr>
                <w:rFonts w:ascii="Calibri" w:cs="Calibri" w:eastAsia="Calibri" w:hAnsi="Calibri"/>
                <w:sz w:val="20"/>
                <w:szCs w:val="20"/>
                <w:color w:val="auto"/>
              </w:rPr>
              <w:t>Comparable sales</w:t>
            </w:r>
          </w:p>
        </w:tc>
        <w:tc>
          <w:tcPr>
            <w:tcW w:w="1360" w:type="dxa"/>
            <w:vAlign w:val="bottom"/>
          </w:tcPr>
          <w:p>
            <w:pPr>
              <w:spacing w:after="0"/>
              <w:rPr>
                <w:sz w:val="20"/>
                <w:szCs w:val="20"/>
                <w:color w:val="auto"/>
              </w:rPr>
            </w:pPr>
          </w:p>
        </w:tc>
        <w:tc>
          <w:tcPr>
            <w:tcW w:w="680" w:type="dxa"/>
            <w:vAlign w:val="bottom"/>
          </w:tcPr>
          <w:p>
            <w:pPr>
              <w:jc w:val="right"/>
              <w:ind w:right="21"/>
              <w:spacing w:after="0" w:line="236" w:lineRule="exact"/>
              <w:rPr>
                <w:sz w:val="20"/>
                <w:szCs w:val="20"/>
                <w:color w:val="auto"/>
              </w:rPr>
            </w:pPr>
            <w:r>
              <w:rPr>
                <w:rFonts w:ascii="Calibri" w:cs="Calibri" w:eastAsia="Calibri" w:hAnsi="Calibri"/>
                <w:sz w:val="20"/>
                <w:szCs w:val="20"/>
                <w:color w:val="auto"/>
              </w:rPr>
              <w:t>(3.0)%</w:t>
            </w:r>
          </w:p>
        </w:tc>
        <w:tc>
          <w:tcPr>
            <w:tcW w:w="1340" w:type="dxa"/>
            <w:vAlign w:val="bottom"/>
          </w:tcPr>
          <w:p>
            <w:pPr>
              <w:spacing w:after="0"/>
              <w:rPr>
                <w:sz w:val="20"/>
                <w:szCs w:val="20"/>
                <w:color w:val="auto"/>
              </w:rPr>
            </w:pPr>
          </w:p>
        </w:tc>
        <w:tc>
          <w:tcPr>
            <w:tcW w:w="1140" w:type="dxa"/>
            <w:vAlign w:val="bottom"/>
          </w:tcPr>
          <w:p>
            <w:pPr>
              <w:jc w:val="right"/>
              <w:ind w:right="481"/>
              <w:spacing w:after="0" w:line="236" w:lineRule="exact"/>
              <w:rPr>
                <w:sz w:val="20"/>
                <w:szCs w:val="20"/>
                <w:color w:val="auto"/>
              </w:rPr>
            </w:pPr>
            <w:r>
              <w:rPr>
                <w:rFonts w:ascii="Calibri" w:cs="Calibri" w:eastAsia="Calibri" w:hAnsi="Calibri"/>
                <w:sz w:val="20"/>
                <w:szCs w:val="20"/>
                <w:color w:val="auto"/>
              </w:rPr>
              <w:t>(3.6)%</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46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Income before income tax</w:t>
            </w:r>
          </w:p>
        </w:tc>
        <w:tc>
          <w:tcPr>
            <w:tcW w:w="1360" w:type="dxa"/>
            <w:vAlign w:val="bottom"/>
            <w:tcBorders>
              <w:bottom w:val="single" w:sz="8" w:color="DBDBDB"/>
            </w:tcBorders>
            <w:shd w:val="clear" w:color="auto" w:fill="DBDBDB"/>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165.3</w:t>
            </w:r>
          </w:p>
        </w:tc>
        <w:tc>
          <w:tcPr>
            <w:tcW w:w="1340" w:type="dxa"/>
            <w:vAlign w:val="bottom"/>
            <w:tcBorders>
              <w:bottom w:val="single" w:sz="8" w:color="DBDBDB"/>
            </w:tcBorders>
            <w:shd w:val="clear" w:color="auto" w:fill="DBDBDB"/>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DBDBDB"/>
            </w:tcBorders>
            <w:shd w:val="clear" w:color="auto" w:fill="DBDBDB"/>
          </w:tcPr>
          <w:p>
            <w:pPr>
              <w:jc w:val="right"/>
              <w:ind w:right="441"/>
              <w:spacing w:after="0" w:line="236" w:lineRule="exact"/>
              <w:rPr>
                <w:sz w:val="20"/>
                <w:szCs w:val="20"/>
                <w:color w:val="auto"/>
              </w:rPr>
            </w:pPr>
            <w:r>
              <w:rPr>
                <w:rFonts w:ascii="Calibri" w:cs="Calibri" w:eastAsia="Calibri" w:hAnsi="Calibri"/>
                <w:sz w:val="20"/>
                <w:szCs w:val="20"/>
                <w:color w:val="auto"/>
              </w:rPr>
              <w:t>211.3</w:t>
            </w:r>
          </w:p>
        </w:tc>
        <w:tc>
          <w:tcPr>
            <w:tcW w:w="2080" w:type="dxa"/>
            <w:vAlign w:val="bottom"/>
            <w:tcBorders>
              <w:bottom w:val="single" w:sz="8" w:color="DBDBDB"/>
            </w:tcBorders>
            <w:shd w:val="clear" w:color="auto" w:fill="DBDBDB"/>
          </w:tcPr>
          <w:p>
            <w:pPr>
              <w:jc w:val="center"/>
              <w:ind w:right="361"/>
              <w:spacing w:after="0" w:line="236" w:lineRule="exact"/>
              <w:rPr>
                <w:sz w:val="20"/>
                <w:szCs w:val="20"/>
                <w:color w:val="auto"/>
              </w:rPr>
            </w:pPr>
            <w:r>
              <w:rPr>
                <w:rFonts w:ascii="Calibri" w:cs="Calibri" w:eastAsia="Calibri" w:hAnsi="Calibri"/>
                <w:sz w:val="20"/>
                <w:szCs w:val="20"/>
                <w:color w:val="auto"/>
              </w:rPr>
              <w:t>(21.8)%</w:t>
            </w:r>
          </w:p>
        </w:tc>
        <w:tc>
          <w:tcPr>
            <w:tcW w:w="0" w:type="dxa"/>
            <w:vAlign w:val="bottom"/>
          </w:tcPr>
          <w:p>
            <w:pPr>
              <w:spacing w:after="0"/>
              <w:rPr>
                <w:sz w:val="1"/>
                <w:szCs w:val="1"/>
                <w:color w:val="auto"/>
              </w:rPr>
            </w:pPr>
          </w:p>
        </w:tc>
      </w:tr>
      <w:tr>
        <w:trPr>
          <w:trHeight w:val="297"/>
        </w:trPr>
        <w:tc>
          <w:tcPr>
            <w:tcW w:w="4640" w:type="dxa"/>
            <w:vAlign w:val="bottom"/>
          </w:tcPr>
          <w:p>
            <w:pPr>
              <w:ind w:left="20"/>
              <w:spacing w:after="0" w:line="297" w:lineRule="exact"/>
              <w:rPr>
                <w:sz w:val="20"/>
                <w:szCs w:val="20"/>
                <w:color w:val="auto"/>
              </w:rPr>
            </w:pPr>
            <w:r>
              <w:rPr>
                <w:rFonts w:ascii="Calibri" w:cs="Calibri" w:eastAsia="Calibri" w:hAnsi="Calibri"/>
                <w:sz w:val="20"/>
                <w:szCs w:val="20"/>
                <w:color w:val="auto"/>
              </w:rPr>
              <w:t xml:space="preserve">Net income </w:t>
            </w:r>
            <w:r>
              <w:rPr>
                <w:rFonts w:ascii="Calibri" w:cs="Calibri" w:eastAsia="Calibri" w:hAnsi="Calibri"/>
                <w:sz w:val="25"/>
                <w:szCs w:val="25"/>
                <w:color w:val="auto"/>
                <w:vertAlign w:val="superscript"/>
              </w:rPr>
              <w:t>(1)</w:t>
            </w:r>
          </w:p>
        </w:tc>
        <w:tc>
          <w:tcPr>
            <w:tcW w:w="1360" w:type="dxa"/>
            <w:vAlign w:val="bottom"/>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Pr>
          <w:p>
            <w:pPr>
              <w:jc w:val="right"/>
              <w:spacing w:after="0" w:line="236" w:lineRule="exact"/>
              <w:rPr>
                <w:sz w:val="20"/>
                <w:szCs w:val="20"/>
                <w:color w:val="auto"/>
              </w:rPr>
            </w:pPr>
            <w:r>
              <w:rPr>
                <w:rFonts w:ascii="Calibri" w:cs="Calibri" w:eastAsia="Calibri" w:hAnsi="Calibri"/>
                <w:sz w:val="20"/>
                <w:szCs w:val="20"/>
                <w:color w:val="auto"/>
              </w:rPr>
              <w:t>133.6</w:t>
            </w:r>
          </w:p>
        </w:tc>
        <w:tc>
          <w:tcPr>
            <w:tcW w:w="1340" w:type="dxa"/>
            <w:vAlign w:val="bottom"/>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Pr>
          <w:p>
            <w:pPr>
              <w:jc w:val="right"/>
              <w:ind w:right="441"/>
              <w:spacing w:after="0" w:line="236" w:lineRule="exact"/>
              <w:rPr>
                <w:sz w:val="20"/>
                <w:szCs w:val="20"/>
                <w:color w:val="auto"/>
              </w:rPr>
            </w:pPr>
            <w:r>
              <w:rPr>
                <w:rFonts w:ascii="Calibri" w:cs="Calibri" w:eastAsia="Calibri" w:hAnsi="Calibri"/>
                <w:sz w:val="20"/>
                <w:szCs w:val="20"/>
                <w:color w:val="auto"/>
              </w:rPr>
              <w:t>168.2</w:t>
            </w:r>
          </w:p>
        </w:tc>
        <w:tc>
          <w:tcPr>
            <w:tcW w:w="2080" w:type="dxa"/>
            <w:vAlign w:val="bottom"/>
          </w:tcPr>
          <w:p>
            <w:pPr>
              <w:jc w:val="center"/>
              <w:ind w:right="361"/>
              <w:spacing w:after="0" w:line="236" w:lineRule="exact"/>
              <w:rPr>
                <w:sz w:val="20"/>
                <w:szCs w:val="20"/>
                <w:color w:val="auto"/>
              </w:rPr>
            </w:pPr>
            <w:r>
              <w:rPr>
                <w:rFonts w:ascii="Calibri" w:cs="Calibri" w:eastAsia="Calibri" w:hAnsi="Calibri"/>
                <w:sz w:val="20"/>
                <w:szCs w:val="20"/>
                <w:color w:val="auto"/>
              </w:rPr>
              <w:t>(20.6)%</w:t>
            </w:r>
          </w:p>
        </w:tc>
        <w:tc>
          <w:tcPr>
            <w:tcW w:w="0" w:type="dxa"/>
            <w:vAlign w:val="bottom"/>
          </w:tcPr>
          <w:p>
            <w:pPr>
              <w:spacing w:after="0"/>
              <w:rPr>
                <w:sz w:val="1"/>
                <w:szCs w:val="1"/>
                <w:color w:val="auto"/>
              </w:rPr>
            </w:pPr>
          </w:p>
        </w:tc>
      </w:tr>
      <w:tr>
        <w:trPr>
          <w:trHeight w:val="297"/>
        </w:trPr>
        <w:tc>
          <w:tcPr>
            <w:tcW w:w="464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net income </w:t>
            </w:r>
            <w:r>
              <w:rPr>
                <w:rFonts w:ascii="Calibri" w:cs="Calibri" w:eastAsia="Calibri" w:hAnsi="Calibri"/>
                <w:sz w:val="25"/>
                <w:szCs w:val="25"/>
                <w:color w:val="auto"/>
                <w:vertAlign w:val="superscript"/>
              </w:rPr>
              <w:t>(2)</w:t>
            </w:r>
          </w:p>
        </w:tc>
        <w:tc>
          <w:tcPr>
            <w:tcW w:w="1360" w:type="dxa"/>
            <w:vAlign w:val="bottom"/>
            <w:shd w:val="clear" w:color="auto" w:fill="DBDBDB"/>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138.8</w:t>
            </w:r>
          </w:p>
        </w:tc>
        <w:tc>
          <w:tcPr>
            <w:tcW w:w="1340" w:type="dxa"/>
            <w:vAlign w:val="bottom"/>
            <w:shd w:val="clear" w:color="auto" w:fill="DBDBDB"/>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DBDBDB"/>
          </w:tcPr>
          <w:p>
            <w:pPr>
              <w:jc w:val="right"/>
              <w:ind w:right="441"/>
              <w:spacing w:after="0" w:line="236" w:lineRule="exact"/>
              <w:rPr>
                <w:sz w:val="20"/>
                <w:szCs w:val="20"/>
                <w:color w:val="auto"/>
              </w:rPr>
            </w:pPr>
            <w:r>
              <w:rPr>
                <w:rFonts w:ascii="Calibri" w:cs="Calibri" w:eastAsia="Calibri" w:hAnsi="Calibri"/>
                <w:sz w:val="20"/>
                <w:szCs w:val="20"/>
                <w:color w:val="auto"/>
              </w:rPr>
              <w:t>168.2</w:t>
            </w:r>
          </w:p>
        </w:tc>
        <w:tc>
          <w:tcPr>
            <w:tcW w:w="2080" w:type="dxa"/>
            <w:vAlign w:val="bottom"/>
            <w:shd w:val="clear" w:color="auto" w:fill="DBDBDB"/>
          </w:tcPr>
          <w:p>
            <w:pPr>
              <w:jc w:val="center"/>
              <w:ind w:right="361"/>
              <w:spacing w:after="0" w:line="236" w:lineRule="exact"/>
              <w:rPr>
                <w:sz w:val="20"/>
                <w:szCs w:val="20"/>
                <w:color w:val="auto"/>
              </w:rPr>
            </w:pPr>
            <w:r>
              <w:rPr>
                <w:rFonts w:ascii="Calibri" w:cs="Calibri" w:eastAsia="Calibri" w:hAnsi="Calibri"/>
                <w:sz w:val="20"/>
                <w:szCs w:val="20"/>
                <w:color w:val="auto"/>
              </w:rPr>
              <w:t>(17.5)%</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line="236" w:lineRule="exact"/>
              <w:rPr>
                <w:sz w:val="20"/>
                <w:szCs w:val="20"/>
                <w:color w:val="auto"/>
              </w:rPr>
            </w:pPr>
            <w:r>
              <w:rPr>
                <w:rFonts w:ascii="Calibri" w:cs="Calibri" w:eastAsia="Calibri" w:hAnsi="Calibri"/>
                <w:sz w:val="20"/>
                <w:szCs w:val="20"/>
                <w:color w:val="auto"/>
              </w:rPr>
              <w:t>Earnings per common share, diluted</w:t>
            </w:r>
          </w:p>
        </w:tc>
        <w:tc>
          <w:tcPr>
            <w:tcW w:w="1360" w:type="dxa"/>
            <w:vAlign w:val="bottom"/>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Pr>
          <w:p>
            <w:pPr>
              <w:jc w:val="right"/>
              <w:spacing w:after="0" w:line="236" w:lineRule="exact"/>
              <w:rPr>
                <w:sz w:val="20"/>
                <w:szCs w:val="20"/>
                <w:color w:val="auto"/>
              </w:rPr>
            </w:pPr>
            <w:r>
              <w:rPr>
                <w:rFonts w:ascii="Calibri" w:cs="Calibri" w:eastAsia="Calibri" w:hAnsi="Calibri"/>
                <w:sz w:val="20"/>
                <w:szCs w:val="20"/>
                <w:color w:val="auto"/>
              </w:rPr>
              <w:t>1.89</w:t>
            </w:r>
          </w:p>
        </w:tc>
        <w:tc>
          <w:tcPr>
            <w:tcW w:w="1340" w:type="dxa"/>
            <w:vAlign w:val="bottom"/>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Pr>
          <w:p>
            <w:pPr>
              <w:jc w:val="right"/>
              <w:ind w:right="441"/>
              <w:spacing w:after="0" w:line="236" w:lineRule="exact"/>
              <w:rPr>
                <w:sz w:val="20"/>
                <w:szCs w:val="20"/>
                <w:color w:val="auto"/>
              </w:rPr>
            </w:pPr>
            <w:r>
              <w:rPr>
                <w:rFonts w:ascii="Calibri" w:cs="Calibri" w:eastAsia="Calibri" w:hAnsi="Calibri"/>
                <w:sz w:val="20"/>
                <w:szCs w:val="20"/>
                <w:color w:val="auto"/>
              </w:rPr>
              <w:t>2.21</w:t>
            </w:r>
          </w:p>
        </w:tc>
        <w:tc>
          <w:tcPr>
            <w:tcW w:w="2080" w:type="dxa"/>
            <w:vAlign w:val="bottom"/>
          </w:tcPr>
          <w:p>
            <w:pPr>
              <w:jc w:val="center"/>
              <w:ind w:right="361"/>
              <w:spacing w:after="0" w:line="236" w:lineRule="exact"/>
              <w:rPr>
                <w:sz w:val="20"/>
                <w:szCs w:val="20"/>
                <w:color w:val="auto"/>
              </w:rPr>
            </w:pPr>
            <w:r>
              <w:rPr>
                <w:rFonts w:ascii="Calibri" w:cs="Calibri" w:eastAsia="Calibri" w:hAnsi="Calibri"/>
                <w:sz w:val="20"/>
                <w:szCs w:val="20"/>
                <w:color w:val="auto"/>
              </w:rPr>
              <w:t>(14.5)%</w:t>
            </w:r>
          </w:p>
        </w:tc>
        <w:tc>
          <w:tcPr>
            <w:tcW w:w="0" w:type="dxa"/>
            <w:vAlign w:val="bottom"/>
          </w:tcPr>
          <w:p>
            <w:pPr>
              <w:spacing w:after="0"/>
              <w:rPr>
                <w:sz w:val="1"/>
                <w:szCs w:val="1"/>
                <w:color w:val="auto"/>
              </w:rPr>
            </w:pPr>
          </w:p>
        </w:tc>
      </w:tr>
      <w:tr>
        <w:trPr>
          <w:trHeight w:val="60"/>
        </w:trPr>
        <w:tc>
          <w:tcPr>
            <w:tcW w:w="46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4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earnings per common share, diluted </w:t>
            </w:r>
            <w:r>
              <w:rPr>
                <w:rFonts w:ascii="Calibri" w:cs="Calibri" w:eastAsia="Calibri" w:hAnsi="Calibri"/>
                <w:sz w:val="25"/>
                <w:szCs w:val="25"/>
                <w:color w:val="auto"/>
                <w:vertAlign w:val="superscript"/>
              </w:rPr>
              <w:t>(2)</w:t>
            </w:r>
          </w:p>
        </w:tc>
        <w:tc>
          <w:tcPr>
            <w:tcW w:w="1360" w:type="dxa"/>
            <w:vAlign w:val="bottom"/>
            <w:shd w:val="clear" w:color="auto" w:fill="DBDBDB"/>
          </w:tcPr>
          <w:p>
            <w:pPr>
              <w:jc w:val="right"/>
              <w:ind w:right="110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1.96</w:t>
            </w:r>
          </w:p>
        </w:tc>
        <w:tc>
          <w:tcPr>
            <w:tcW w:w="1340" w:type="dxa"/>
            <w:vAlign w:val="bottom"/>
            <w:shd w:val="clear" w:color="auto" w:fill="DBDBDB"/>
          </w:tcPr>
          <w:p>
            <w:pPr>
              <w:jc w:val="right"/>
              <w:ind w:right="1121"/>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DBDBDB"/>
          </w:tcPr>
          <w:p>
            <w:pPr>
              <w:jc w:val="right"/>
              <w:ind w:right="441"/>
              <w:spacing w:after="0" w:line="236" w:lineRule="exact"/>
              <w:rPr>
                <w:sz w:val="20"/>
                <w:szCs w:val="20"/>
                <w:color w:val="auto"/>
              </w:rPr>
            </w:pPr>
            <w:r>
              <w:rPr>
                <w:rFonts w:ascii="Calibri" w:cs="Calibri" w:eastAsia="Calibri" w:hAnsi="Calibri"/>
                <w:sz w:val="20"/>
                <w:szCs w:val="20"/>
                <w:color w:val="auto"/>
              </w:rPr>
              <w:t>2.21</w:t>
            </w:r>
          </w:p>
        </w:tc>
        <w:tc>
          <w:tcPr>
            <w:tcW w:w="2080" w:type="dxa"/>
            <w:vAlign w:val="bottom"/>
            <w:shd w:val="clear" w:color="auto" w:fill="DBDBDB"/>
          </w:tcPr>
          <w:p>
            <w:pPr>
              <w:jc w:val="center"/>
              <w:ind w:right="361"/>
              <w:spacing w:after="0" w:line="236" w:lineRule="exact"/>
              <w:rPr>
                <w:sz w:val="20"/>
                <w:szCs w:val="20"/>
                <w:color w:val="auto"/>
              </w:rPr>
            </w:pPr>
            <w:r>
              <w:rPr>
                <w:rFonts w:ascii="Calibri" w:cs="Calibri" w:eastAsia="Calibri" w:hAnsi="Calibri"/>
                <w:sz w:val="20"/>
                <w:szCs w:val="20"/>
                <w:color w:val="auto"/>
              </w:rPr>
              <w:t>(11.3)%</w:t>
            </w:r>
          </w:p>
        </w:tc>
        <w:tc>
          <w:tcPr>
            <w:tcW w:w="0" w:type="dxa"/>
            <w:vAlign w:val="bottom"/>
          </w:tcPr>
          <w:p>
            <w:pPr>
              <w:spacing w:after="0"/>
              <w:rPr>
                <w:sz w:val="1"/>
                <w:szCs w:val="1"/>
                <w:color w:val="auto"/>
              </w:rPr>
            </w:pPr>
          </w:p>
        </w:tc>
      </w:tr>
      <w:tr>
        <w:trPr>
          <w:trHeight w:val="473"/>
        </w:trPr>
        <w:tc>
          <w:tcPr>
            <w:tcW w:w="4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40" w:type="dxa"/>
            <w:vAlign w:val="bottom"/>
            <w:shd w:val="clear" w:color="auto" w:fill="0E32E1"/>
          </w:tcPr>
          <w:p>
            <w:pPr>
              <w:spacing w:after="0"/>
              <w:rPr>
                <w:sz w:val="20"/>
                <w:szCs w:val="20"/>
                <w:color w:val="auto"/>
              </w:rPr>
            </w:pPr>
          </w:p>
        </w:tc>
        <w:tc>
          <w:tcPr>
            <w:tcW w:w="1360" w:type="dxa"/>
            <w:vAlign w:val="bottom"/>
            <w:shd w:val="clear" w:color="auto" w:fill="0E32E1"/>
          </w:tcPr>
          <w:p>
            <w:pPr>
              <w:spacing w:after="0"/>
              <w:rPr>
                <w:sz w:val="20"/>
                <w:szCs w:val="20"/>
                <w:color w:val="auto"/>
              </w:rPr>
            </w:pPr>
          </w:p>
        </w:tc>
        <w:tc>
          <w:tcPr>
            <w:tcW w:w="2020" w:type="dxa"/>
            <w:vAlign w:val="bottom"/>
            <w:gridSpan w:val="2"/>
            <w:shd w:val="clear" w:color="auto" w:fill="0E32E1"/>
          </w:tcPr>
          <w:p>
            <w:pPr>
              <w:jc w:val="right"/>
              <w:ind w:right="501"/>
              <w:spacing w:after="0" w:line="236" w:lineRule="exact"/>
              <w:rPr>
                <w:sz w:val="20"/>
                <w:szCs w:val="20"/>
                <w:color w:val="auto"/>
              </w:rPr>
            </w:pPr>
            <w:r>
              <w:rPr>
                <w:rFonts w:ascii="Calibri" w:cs="Calibri" w:eastAsia="Calibri" w:hAnsi="Calibri"/>
                <w:sz w:val="20"/>
                <w:szCs w:val="20"/>
                <w:color w:val="FFFFFF"/>
                <w:w w:val="99"/>
              </w:rPr>
              <w:t>Fiscal Year Ended</w:t>
            </w:r>
          </w:p>
        </w:tc>
        <w:tc>
          <w:tcPr>
            <w:tcW w:w="1140" w:type="dxa"/>
            <w:vAlign w:val="bottom"/>
            <w:shd w:val="clear" w:color="auto" w:fill="0E32E1"/>
          </w:tcPr>
          <w:p>
            <w:pPr>
              <w:spacing w:after="0"/>
              <w:rPr>
                <w:sz w:val="20"/>
                <w:szCs w:val="20"/>
                <w:color w:val="auto"/>
              </w:rPr>
            </w:pPr>
          </w:p>
        </w:tc>
        <w:tc>
          <w:tcPr>
            <w:tcW w:w="2080" w:type="dxa"/>
            <w:vAlign w:val="bottom"/>
            <w:shd w:val="clear" w:color="auto" w:fill="0E32E1"/>
          </w:tcPr>
          <w:p>
            <w:pPr>
              <w:ind w:left="520"/>
              <w:spacing w:after="0" w:line="236" w:lineRule="exact"/>
              <w:rPr>
                <w:sz w:val="20"/>
                <w:szCs w:val="20"/>
                <w:color w:val="auto"/>
              </w:rPr>
            </w:pPr>
            <w:r>
              <w:rPr>
                <w:rFonts w:ascii="Calibri" w:cs="Calibri" w:eastAsia="Calibri" w:hAnsi="Calibri"/>
                <w:sz w:val="20"/>
                <w:szCs w:val="20"/>
                <w:color w:val="FFFFFF"/>
              </w:rPr>
              <w:t>Change</w:t>
            </w:r>
          </w:p>
        </w:tc>
        <w:tc>
          <w:tcPr>
            <w:tcW w:w="0" w:type="dxa"/>
            <w:vAlign w:val="bottom"/>
          </w:tcPr>
          <w:p>
            <w:pPr>
              <w:spacing w:after="0"/>
              <w:rPr>
                <w:sz w:val="1"/>
                <w:szCs w:val="1"/>
                <w:color w:val="auto"/>
              </w:rPr>
            </w:pPr>
          </w:p>
        </w:tc>
      </w:tr>
      <w:tr>
        <w:trPr>
          <w:trHeight w:val="297"/>
        </w:trPr>
        <w:tc>
          <w:tcPr>
            <w:tcW w:w="4640" w:type="dxa"/>
            <w:vAlign w:val="bottom"/>
            <w:vMerge w:val="restart"/>
            <w:shd w:val="clear" w:color="auto" w:fill="0E32E1"/>
          </w:tcPr>
          <w:p>
            <w:pPr>
              <w:ind w:left="20"/>
              <w:spacing w:after="0"/>
              <w:rPr>
                <w:sz w:val="20"/>
                <w:szCs w:val="20"/>
                <w:color w:val="auto"/>
              </w:rPr>
            </w:pPr>
            <w:r>
              <w:rPr>
                <w:rFonts w:ascii="Calibri" w:cs="Calibri" w:eastAsia="Calibri" w:hAnsi="Calibri"/>
                <w:sz w:val="20"/>
                <w:szCs w:val="20"/>
                <w:color w:val="FFFFFF"/>
              </w:rPr>
              <w:t xml:space="preserve">Fiscal 2024 Operatng Results </w:t>
            </w:r>
            <w:r>
              <w:rPr>
                <w:rFonts w:ascii="Calibri" w:cs="Calibri" w:eastAsia="Calibri" w:hAnsi="Calibri"/>
                <w:sz w:val="14"/>
                <w:szCs w:val="14"/>
                <w:color w:val="FFFFFF"/>
              </w:rPr>
              <w:t>($ in millions, except per share data)</w:t>
            </w:r>
          </w:p>
        </w:tc>
        <w:tc>
          <w:tcPr>
            <w:tcW w:w="2040" w:type="dxa"/>
            <w:vAlign w:val="bottom"/>
            <w:gridSpan w:val="2"/>
            <w:shd w:val="clear" w:color="auto" w:fill="0E32E1"/>
          </w:tcPr>
          <w:p>
            <w:pPr>
              <w:jc w:val="center"/>
              <w:ind w:left="1"/>
              <w:spacing w:after="0"/>
              <w:rPr>
                <w:sz w:val="20"/>
                <w:szCs w:val="20"/>
                <w:color w:val="auto"/>
              </w:rPr>
            </w:pPr>
            <w:r>
              <w:rPr>
                <w:rFonts w:ascii="Calibri" w:cs="Calibri" w:eastAsia="Calibri" w:hAnsi="Calibri"/>
                <w:sz w:val="20"/>
                <w:szCs w:val="20"/>
                <w:color w:val="FFFFFF"/>
              </w:rPr>
              <w:t>February 1, 2025 (52</w:t>
            </w:r>
          </w:p>
        </w:tc>
        <w:tc>
          <w:tcPr>
            <w:tcW w:w="2480" w:type="dxa"/>
            <w:vAlign w:val="bottom"/>
            <w:gridSpan w:val="2"/>
            <w:shd w:val="clear" w:color="auto" w:fill="0E32E1"/>
          </w:tcPr>
          <w:p>
            <w:pPr>
              <w:jc w:val="right"/>
              <w:ind w:right="481"/>
              <w:spacing w:after="0"/>
              <w:rPr>
                <w:sz w:val="20"/>
                <w:szCs w:val="20"/>
                <w:color w:val="auto"/>
              </w:rPr>
            </w:pPr>
            <w:r>
              <w:rPr>
                <w:rFonts w:ascii="Calibri" w:cs="Calibri" w:eastAsia="Calibri" w:hAnsi="Calibri"/>
                <w:sz w:val="20"/>
                <w:szCs w:val="20"/>
                <w:color w:val="FFFFFF"/>
              </w:rPr>
              <w:t>February 3, 2024 (53</w:t>
            </w:r>
          </w:p>
        </w:tc>
        <w:tc>
          <w:tcPr>
            <w:tcW w:w="2080" w:type="dxa"/>
            <w:vAlign w:val="bottom"/>
            <w:vMerge w:val="restart"/>
            <w:shd w:val="clear" w:color="auto" w:fill="0E32E1"/>
          </w:tcPr>
          <w:p>
            <w:pPr>
              <w:jc w:val="center"/>
              <w:ind w:right="321"/>
              <w:spacing w:after="0"/>
              <w:rPr>
                <w:sz w:val="20"/>
                <w:szCs w:val="20"/>
                <w:color w:val="auto"/>
              </w:rPr>
            </w:pPr>
            <w:r>
              <w:rPr>
                <w:rFonts w:ascii="Calibri" w:cs="Calibri" w:eastAsia="Calibri" w:hAnsi="Calibri"/>
                <w:sz w:val="20"/>
                <w:szCs w:val="20"/>
                <w:color w:val="FFFFFF"/>
                <w:w w:val="97"/>
              </w:rPr>
              <w:t>%</w:t>
            </w:r>
          </w:p>
        </w:tc>
        <w:tc>
          <w:tcPr>
            <w:tcW w:w="0" w:type="dxa"/>
            <w:vAlign w:val="bottom"/>
          </w:tcPr>
          <w:p>
            <w:pPr>
              <w:spacing w:after="0"/>
              <w:rPr>
                <w:sz w:val="1"/>
                <w:szCs w:val="1"/>
                <w:color w:val="auto"/>
              </w:rPr>
            </w:pPr>
          </w:p>
        </w:tc>
      </w:tr>
      <w:tr>
        <w:trPr>
          <w:trHeight w:val="270"/>
        </w:trPr>
        <w:tc>
          <w:tcPr>
            <w:tcW w:w="4640" w:type="dxa"/>
            <w:vAlign w:val="bottom"/>
            <w:tcBorders>
              <w:bottom w:val="single" w:sz="8" w:color="0E32E1"/>
            </w:tcBorders>
            <w:vMerge w:val="continue"/>
            <w:shd w:val="clear" w:color="auto" w:fill="0E32E1"/>
          </w:tcPr>
          <w:p>
            <w:pPr>
              <w:spacing w:after="0"/>
              <w:rPr>
                <w:sz w:val="23"/>
                <w:szCs w:val="23"/>
                <w:color w:val="auto"/>
              </w:rPr>
            </w:pPr>
          </w:p>
        </w:tc>
        <w:tc>
          <w:tcPr>
            <w:tcW w:w="1360" w:type="dxa"/>
            <w:vAlign w:val="bottom"/>
            <w:tcBorders>
              <w:bottom w:val="single" w:sz="8" w:color="0E32E1"/>
            </w:tcBorders>
            <w:shd w:val="clear" w:color="auto" w:fill="0E32E1"/>
          </w:tcPr>
          <w:p>
            <w:pPr>
              <w:jc w:val="center"/>
              <w:ind w:left="681"/>
              <w:spacing w:after="0" w:line="243" w:lineRule="exact"/>
              <w:rPr>
                <w:sz w:val="20"/>
                <w:szCs w:val="20"/>
                <w:color w:val="auto"/>
              </w:rPr>
            </w:pPr>
            <w:r>
              <w:rPr>
                <w:rFonts w:ascii="Calibri" w:cs="Calibri" w:eastAsia="Calibri" w:hAnsi="Calibri"/>
                <w:sz w:val="20"/>
                <w:szCs w:val="20"/>
                <w:color w:val="FFFFFF"/>
              </w:rPr>
              <w:t>weeks)</w:t>
            </w:r>
          </w:p>
        </w:tc>
        <w:tc>
          <w:tcPr>
            <w:tcW w:w="680" w:type="dxa"/>
            <w:vAlign w:val="bottom"/>
            <w:tcBorders>
              <w:bottom w:val="single" w:sz="8" w:color="0E32E1"/>
            </w:tcBorders>
            <w:shd w:val="clear" w:color="auto" w:fill="0E32E1"/>
          </w:tcPr>
          <w:p>
            <w:pPr>
              <w:spacing w:after="0"/>
              <w:rPr>
                <w:sz w:val="23"/>
                <w:szCs w:val="23"/>
                <w:color w:val="auto"/>
              </w:rPr>
            </w:pPr>
          </w:p>
        </w:tc>
        <w:tc>
          <w:tcPr>
            <w:tcW w:w="1340" w:type="dxa"/>
            <w:vAlign w:val="bottom"/>
            <w:tcBorders>
              <w:bottom w:val="single" w:sz="8" w:color="0E32E1"/>
            </w:tcBorders>
            <w:shd w:val="clear" w:color="auto" w:fill="0E32E1"/>
          </w:tcPr>
          <w:p>
            <w:pPr>
              <w:jc w:val="right"/>
              <w:spacing w:after="0" w:line="243" w:lineRule="exact"/>
              <w:rPr>
                <w:sz w:val="20"/>
                <w:szCs w:val="20"/>
                <w:color w:val="auto"/>
              </w:rPr>
            </w:pPr>
            <w:r>
              <w:rPr>
                <w:rFonts w:ascii="Calibri" w:cs="Calibri" w:eastAsia="Calibri" w:hAnsi="Calibri"/>
                <w:sz w:val="20"/>
                <w:szCs w:val="20"/>
                <w:color w:val="FFFFFF"/>
              </w:rPr>
              <w:t>weeks)</w:t>
            </w:r>
          </w:p>
        </w:tc>
        <w:tc>
          <w:tcPr>
            <w:tcW w:w="1140" w:type="dxa"/>
            <w:vAlign w:val="bottom"/>
            <w:tcBorders>
              <w:bottom w:val="single" w:sz="8" w:color="0E32E1"/>
            </w:tcBorders>
            <w:shd w:val="clear" w:color="auto" w:fill="0E32E1"/>
          </w:tcPr>
          <w:p>
            <w:pPr>
              <w:spacing w:after="0"/>
              <w:rPr>
                <w:sz w:val="23"/>
                <w:szCs w:val="23"/>
                <w:color w:val="auto"/>
              </w:rPr>
            </w:pPr>
          </w:p>
        </w:tc>
        <w:tc>
          <w:tcPr>
            <w:tcW w:w="2080" w:type="dxa"/>
            <w:vAlign w:val="bottom"/>
            <w:tcBorders>
              <w:bottom w:val="single" w:sz="8" w:color="0E32E1"/>
            </w:tcBorders>
            <w:vMerge w:val="continue"/>
            <w:shd w:val="clear" w:color="auto" w:fill="0E32E1"/>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40" w:type="dxa"/>
            <w:vAlign w:val="bottom"/>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Net sales</w:t>
            </w:r>
          </w:p>
        </w:tc>
        <w:tc>
          <w:tcPr>
            <w:tcW w:w="136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5,933.4</w:t>
            </w:r>
          </w:p>
        </w:tc>
        <w:tc>
          <w:tcPr>
            <w:tcW w:w="134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DBDBDB"/>
          </w:tcPr>
          <w:p>
            <w:pPr>
              <w:jc w:val="right"/>
              <w:ind w:right="401"/>
              <w:spacing w:after="0" w:line="236" w:lineRule="exact"/>
              <w:rPr>
                <w:sz w:val="20"/>
                <w:szCs w:val="20"/>
                <w:color w:val="auto"/>
              </w:rPr>
            </w:pPr>
            <w:r>
              <w:rPr>
                <w:rFonts w:ascii="Calibri" w:cs="Calibri" w:eastAsia="Calibri" w:hAnsi="Calibri"/>
                <w:sz w:val="20"/>
                <w:szCs w:val="20"/>
                <w:color w:val="auto"/>
              </w:rPr>
              <w:t>6,159.3</w:t>
            </w:r>
          </w:p>
        </w:tc>
        <w:tc>
          <w:tcPr>
            <w:tcW w:w="2080" w:type="dxa"/>
            <w:vAlign w:val="bottom"/>
            <w:shd w:val="clear" w:color="auto" w:fill="DBDBDB"/>
          </w:tcPr>
          <w:p>
            <w:pPr>
              <w:jc w:val="center"/>
              <w:ind w:right="321"/>
              <w:spacing w:after="0" w:line="236" w:lineRule="exact"/>
              <w:rPr>
                <w:sz w:val="20"/>
                <w:szCs w:val="20"/>
                <w:color w:val="auto"/>
              </w:rPr>
            </w:pPr>
            <w:r>
              <w:rPr>
                <w:rFonts w:ascii="Calibri" w:cs="Calibri" w:eastAsia="Calibri" w:hAnsi="Calibri"/>
                <w:sz w:val="20"/>
                <w:szCs w:val="20"/>
                <w:color w:val="auto"/>
              </w:rPr>
              <w:t>(3.7)%</w:t>
            </w:r>
          </w:p>
        </w:tc>
        <w:tc>
          <w:tcPr>
            <w:tcW w:w="0" w:type="dxa"/>
            <w:vAlign w:val="bottom"/>
          </w:tcPr>
          <w:p>
            <w:pPr>
              <w:spacing w:after="0"/>
              <w:rPr>
                <w:sz w:val="1"/>
                <w:szCs w:val="1"/>
                <w:color w:val="auto"/>
              </w:rPr>
            </w:pPr>
          </w:p>
        </w:tc>
      </w:tr>
      <w:tr>
        <w:trPr>
          <w:trHeight w:val="60"/>
        </w:trPr>
        <w:tc>
          <w:tcPr>
            <w:tcW w:w="4640" w:type="dxa"/>
            <w:vAlign w:val="bottom"/>
            <w:shd w:val="clear" w:color="auto" w:fill="DBDBDB"/>
          </w:tcPr>
          <w:p>
            <w:pPr>
              <w:spacing w:after="0"/>
              <w:rPr>
                <w:sz w:val="5"/>
                <w:szCs w:val="5"/>
                <w:color w:val="auto"/>
              </w:rPr>
            </w:pPr>
          </w:p>
        </w:tc>
        <w:tc>
          <w:tcPr>
            <w:tcW w:w="1360" w:type="dxa"/>
            <w:vAlign w:val="bottom"/>
            <w:shd w:val="clear" w:color="auto" w:fill="DBDBDB"/>
          </w:tcPr>
          <w:p>
            <w:pPr>
              <w:spacing w:after="0"/>
              <w:rPr>
                <w:sz w:val="5"/>
                <w:szCs w:val="5"/>
                <w:color w:val="auto"/>
              </w:rPr>
            </w:pPr>
          </w:p>
        </w:tc>
        <w:tc>
          <w:tcPr>
            <w:tcW w:w="680" w:type="dxa"/>
            <w:vAlign w:val="bottom"/>
            <w:shd w:val="clear" w:color="auto" w:fill="DBDBDB"/>
          </w:tcPr>
          <w:p>
            <w:pPr>
              <w:spacing w:after="0"/>
              <w:rPr>
                <w:sz w:val="5"/>
                <w:szCs w:val="5"/>
                <w:color w:val="auto"/>
              </w:rPr>
            </w:pPr>
          </w:p>
        </w:tc>
        <w:tc>
          <w:tcPr>
            <w:tcW w:w="1340" w:type="dxa"/>
            <w:vAlign w:val="bottom"/>
            <w:shd w:val="clear" w:color="auto" w:fill="DBDBDB"/>
          </w:tcPr>
          <w:p>
            <w:pPr>
              <w:spacing w:after="0"/>
              <w:rPr>
                <w:sz w:val="5"/>
                <w:szCs w:val="5"/>
                <w:color w:val="auto"/>
              </w:rPr>
            </w:pPr>
          </w:p>
        </w:tc>
        <w:tc>
          <w:tcPr>
            <w:tcW w:w="1140" w:type="dxa"/>
            <w:vAlign w:val="bottom"/>
            <w:shd w:val="clear" w:color="auto" w:fill="DBDBDB"/>
          </w:tcPr>
          <w:p>
            <w:pPr>
              <w:spacing w:after="0"/>
              <w:rPr>
                <w:sz w:val="5"/>
                <w:szCs w:val="5"/>
                <w:color w:val="auto"/>
              </w:rPr>
            </w:pPr>
          </w:p>
        </w:tc>
        <w:tc>
          <w:tcPr>
            <w:tcW w:w="20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line="236" w:lineRule="exact"/>
              <w:rPr>
                <w:sz w:val="20"/>
                <w:szCs w:val="20"/>
                <w:color w:val="auto"/>
              </w:rPr>
            </w:pPr>
            <w:r>
              <w:rPr>
                <w:rFonts w:ascii="Calibri" w:cs="Calibri" w:eastAsia="Calibri" w:hAnsi="Calibri"/>
                <w:sz w:val="20"/>
                <w:szCs w:val="20"/>
                <w:color w:val="auto"/>
              </w:rPr>
              <w:t>Comparable sales</w:t>
            </w:r>
          </w:p>
        </w:tc>
        <w:tc>
          <w:tcPr>
            <w:tcW w:w="1360" w:type="dxa"/>
            <w:vAlign w:val="bottom"/>
          </w:tcPr>
          <w:p>
            <w:pPr>
              <w:spacing w:after="0"/>
              <w:rPr>
                <w:sz w:val="20"/>
                <w:szCs w:val="20"/>
                <w:color w:val="auto"/>
              </w:rPr>
            </w:pPr>
          </w:p>
        </w:tc>
        <w:tc>
          <w:tcPr>
            <w:tcW w:w="680" w:type="dxa"/>
            <w:vAlign w:val="bottom"/>
          </w:tcPr>
          <w:p>
            <w:pPr>
              <w:jc w:val="right"/>
              <w:spacing w:after="0" w:line="236" w:lineRule="exact"/>
              <w:rPr>
                <w:sz w:val="20"/>
                <w:szCs w:val="20"/>
                <w:color w:val="auto"/>
              </w:rPr>
            </w:pPr>
            <w:r>
              <w:rPr>
                <w:rFonts w:ascii="Calibri" w:cs="Calibri" w:eastAsia="Calibri" w:hAnsi="Calibri"/>
                <w:sz w:val="20"/>
                <w:szCs w:val="20"/>
                <w:color w:val="auto"/>
              </w:rPr>
              <w:t>(5.1)%</w:t>
            </w:r>
          </w:p>
        </w:tc>
        <w:tc>
          <w:tcPr>
            <w:tcW w:w="1340" w:type="dxa"/>
            <w:vAlign w:val="bottom"/>
          </w:tcPr>
          <w:p>
            <w:pPr>
              <w:spacing w:after="0"/>
              <w:rPr>
                <w:sz w:val="20"/>
                <w:szCs w:val="20"/>
                <w:color w:val="auto"/>
              </w:rPr>
            </w:pPr>
          </w:p>
        </w:tc>
        <w:tc>
          <w:tcPr>
            <w:tcW w:w="1140" w:type="dxa"/>
            <w:vAlign w:val="bottom"/>
          </w:tcPr>
          <w:p>
            <w:pPr>
              <w:jc w:val="right"/>
              <w:ind w:right="401"/>
              <w:spacing w:after="0" w:line="236" w:lineRule="exact"/>
              <w:rPr>
                <w:sz w:val="20"/>
                <w:szCs w:val="20"/>
                <w:color w:val="auto"/>
              </w:rPr>
            </w:pPr>
            <w:r>
              <w:rPr>
                <w:rFonts w:ascii="Calibri" w:cs="Calibri" w:eastAsia="Calibri" w:hAnsi="Calibri"/>
                <w:sz w:val="20"/>
                <w:szCs w:val="20"/>
                <w:color w:val="auto"/>
              </w:rPr>
              <w:t>(6.5)%</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46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4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Income before income tax</w:t>
            </w:r>
          </w:p>
        </w:tc>
        <w:tc>
          <w:tcPr>
            <w:tcW w:w="1360" w:type="dxa"/>
            <w:vAlign w:val="bottom"/>
            <w:tcBorders>
              <w:bottom w:val="single" w:sz="8" w:color="DBDBDB"/>
            </w:tcBorders>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538.2</w:t>
            </w:r>
          </w:p>
        </w:tc>
        <w:tc>
          <w:tcPr>
            <w:tcW w:w="1340" w:type="dxa"/>
            <w:vAlign w:val="bottom"/>
            <w:tcBorders>
              <w:bottom w:val="single" w:sz="8" w:color="DBDBDB"/>
            </w:tcBorders>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tcBorders>
              <w:bottom w:val="single" w:sz="8" w:color="DBDBDB"/>
            </w:tcBorders>
            <w:shd w:val="clear" w:color="auto" w:fill="DBDBDB"/>
          </w:tcPr>
          <w:p>
            <w:pPr>
              <w:jc w:val="right"/>
              <w:ind w:right="401"/>
              <w:spacing w:after="0" w:line="236" w:lineRule="exact"/>
              <w:rPr>
                <w:sz w:val="20"/>
                <w:szCs w:val="20"/>
                <w:color w:val="auto"/>
              </w:rPr>
            </w:pPr>
            <w:r>
              <w:rPr>
                <w:rFonts w:ascii="Calibri" w:cs="Calibri" w:eastAsia="Calibri" w:hAnsi="Calibri"/>
                <w:sz w:val="20"/>
                <w:szCs w:val="20"/>
                <w:color w:val="auto"/>
              </w:rPr>
              <w:t>663.2</w:t>
            </w:r>
          </w:p>
        </w:tc>
        <w:tc>
          <w:tcPr>
            <w:tcW w:w="2080" w:type="dxa"/>
            <w:vAlign w:val="bottom"/>
            <w:tcBorders>
              <w:bottom w:val="single" w:sz="8" w:color="DBDBDB"/>
            </w:tcBorders>
            <w:shd w:val="clear" w:color="auto" w:fill="DBDBDB"/>
          </w:tcPr>
          <w:p>
            <w:pPr>
              <w:jc w:val="center"/>
              <w:ind w:right="321"/>
              <w:spacing w:after="0" w:line="236" w:lineRule="exact"/>
              <w:rPr>
                <w:sz w:val="20"/>
                <w:szCs w:val="20"/>
                <w:color w:val="auto"/>
              </w:rPr>
            </w:pPr>
            <w:r>
              <w:rPr>
                <w:rFonts w:ascii="Calibri" w:cs="Calibri" w:eastAsia="Calibri" w:hAnsi="Calibri"/>
                <w:sz w:val="20"/>
                <w:szCs w:val="20"/>
                <w:color w:val="auto"/>
              </w:rPr>
              <w:t>(18.8)%</w:t>
            </w:r>
          </w:p>
        </w:tc>
        <w:tc>
          <w:tcPr>
            <w:tcW w:w="0" w:type="dxa"/>
            <w:vAlign w:val="bottom"/>
          </w:tcPr>
          <w:p>
            <w:pPr>
              <w:spacing w:after="0"/>
              <w:rPr>
                <w:sz w:val="1"/>
                <w:szCs w:val="1"/>
                <w:color w:val="auto"/>
              </w:rPr>
            </w:pPr>
          </w:p>
        </w:tc>
      </w:tr>
      <w:tr>
        <w:trPr>
          <w:trHeight w:val="297"/>
        </w:trPr>
        <w:tc>
          <w:tcPr>
            <w:tcW w:w="4640" w:type="dxa"/>
            <w:vAlign w:val="bottom"/>
          </w:tcPr>
          <w:p>
            <w:pPr>
              <w:ind w:left="20"/>
              <w:spacing w:after="0" w:line="297" w:lineRule="exact"/>
              <w:rPr>
                <w:sz w:val="20"/>
                <w:szCs w:val="20"/>
                <w:color w:val="auto"/>
              </w:rPr>
            </w:pPr>
            <w:r>
              <w:rPr>
                <w:rFonts w:ascii="Calibri" w:cs="Calibri" w:eastAsia="Calibri" w:hAnsi="Calibri"/>
                <w:sz w:val="20"/>
                <w:szCs w:val="20"/>
                <w:color w:val="auto"/>
              </w:rPr>
              <w:t xml:space="preserve">Net income </w:t>
            </w:r>
            <w:r>
              <w:rPr>
                <w:rFonts w:ascii="Calibri" w:cs="Calibri" w:eastAsia="Calibri" w:hAnsi="Calibri"/>
                <w:sz w:val="25"/>
                <w:szCs w:val="25"/>
                <w:color w:val="auto"/>
                <w:vertAlign w:val="superscript"/>
              </w:rPr>
              <w:t>(1)</w:t>
            </w:r>
          </w:p>
        </w:tc>
        <w:tc>
          <w:tcPr>
            <w:tcW w:w="1360" w:type="dxa"/>
            <w:vAlign w:val="bottom"/>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Pr>
          <w:p>
            <w:pPr>
              <w:jc w:val="right"/>
              <w:spacing w:after="0" w:line="236" w:lineRule="exact"/>
              <w:rPr>
                <w:sz w:val="20"/>
                <w:szCs w:val="20"/>
                <w:color w:val="auto"/>
              </w:rPr>
            </w:pPr>
            <w:r>
              <w:rPr>
                <w:rFonts w:ascii="Calibri" w:cs="Calibri" w:eastAsia="Calibri" w:hAnsi="Calibri"/>
                <w:sz w:val="20"/>
                <w:szCs w:val="20"/>
                <w:color w:val="auto"/>
              </w:rPr>
              <w:t>418.4</w:t>
            </w:r>
          </w:p>
        </w:tc>
        <w:tc>
          <w:tcPr>
            <w:tcW w:w="1340" w:type="dxa"/>
            <w:vAlign w:val="bottom"/>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ind w:right="401"/>
              <w:spacing w:after="0" w:line="236" w:lineRule="exact"/>
              <w:rPr>
                <w:sz w:val="20"/>
                <w:szCs w:val="20"/>
                <w:color w:val="auto"/>
              </w:rPr>
            </w:pPr>
            <w:r>
              <w:rPr>
                <w:rFonts w:ascii="Calibri" w:cs="Calibri" w:eastAsia="Calibri" w:hAnsi="Calibri"/>
                <w:sz w:val="20"/>
                <w:szCs w:val="20"/>
                <w:color w:val="auto"/>
              </w:rPr>
              <w:t>519.2</w:t>
            </w:r>
          </w:p>
        </w:tc>
        <w:tc>
          <w:tcPr>
            <w:tcW w:w="2080" w:type="dxa"/>
            <w:vAlign w:val="bottom"/>
          </w:tcPr>
          <w:p>
            <w:pPr>
              <w:jc w:val="center"/>
              <w:ind w:right="321"/>
              <w:spacing w:after="0" w:line="236" w:lineRule="exact"/>
              <w:rPr>
                <w:sz w:val="20"/>
                <w:szCs w:val="20"/>
                <w:color w:val="auto"/>
              </w:rPr>
            </w:pPr>
            <w:r>
              <w:rPr>
                <w:rFonts w:ascii="Calibri" w:cs="Calibri" w:eastAsia="Calibri" w:hAnsi="Calibri"/>
                <w:sz w:val="20"/>
                <w:szCs w:val="20"/>
                <w:color w:val="auto"/>
              </w:rPr>
              <w:t>(19.4)%</w:t>
            </w:r>
          </w:p>
        </w:tc>
        <w:tc>
          <w:tcPr>
            <w:tcW w:w="0" w:type="dxa"/>
            <w:vAlign w:val="bottom"/>
          </w:tcPr>
          <w:p>
            <w:pPr>
              <w:spacing w:after="0"/>
              <w:rPr>
                <w:sz w:val="1"/>
                <w:szCs w:val="1"/>
                <w:color w:val="auto"/>
              </w:rPr>
            </w:pPr>
          </w:p>
        </w:tc>
      </w:tr>
      <w:tr>
        <w:trPr>
          <w:trHeight w:val="297"/>
        </w:trPr>
        <w:tc>
          <w:tcPr>
            <w:tcW w:w="464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net income </w:t>
            </w:r>
            <w:r>
              <w:rPr>
                <w:rFonts w:ascii="Calibri" w:cs="Calibri" w:eastAsia="Calibri" w:hAnsi="Calibri"/>
                <w:sz w:val="25"/>
                <w:szCs w:val="25"/>
                <w:color w:val="auto"/>
                <w:vertAlign w:val="superscript"/>
              </w:rPr>
              <w:t>(2)</w:t>
            </w:r>
          </w:p>
        </w:tc>
        <w:tc>
          <w:tcPr>
            <w:tcW w:w="136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439.5</w:t>
            </w:r>
          </w:p>
        </w:tc>
        <w:tc>
          <w:tcPr>
            <w:tcW w:w="134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DBDBDB"/>
          </w:tcPr>
          <w:p>
            <w:pPr>
              <w:jc w:val="right"/>
              <w:ind w:right="401"/>
              <w:spacing w:after="0" w:line="236" w:lineRule="exact"/>
              <w:rPr>
                <w:sz w:val="20"/>
                <w:szCs w:val="20"/>
                <w:color w:val="auto"/>
              </w:rPr>
            </w:pPr>
            <w:r>
              <w:rPr>
                <w:rFonts w:ascii="Calibri" w:cs="Calibri" w:eastAsia="Calibri" w:hAnsi="Calibri"/>
                <w:sz w:val="20"/>
                <w:szCs w:val="20"/>
                <w:color w:val="auto"/>
              </w:rPr>
              <w:t>539.5</w:t>
            </w:r>
          </w:p>
        </w:tc>
        <w:tc>
          <w:tcPr>
            <w:tcW w:w="2080" w:type="dxa"/>
            <w:vAlign w:val="bottom"/>
            <w:shd w:val="clear" w:color="auto" w:fill="DBDBDB"/>
          </w:tcPr>
          <w:p>
            <w:pPr>
              <w:jc w:val="center"/>
              <w:ind w:right="321"/>
              <w:spacing w:after="0" w:line="236" w:lineRule="exact"/>
              <w:rPr>
                <w:sz w:val="20"/>
                <w:szCs w:val="20"/>
                <w:color w:val="auto"/>
              </w:rPr>
            </w:pPr>
            <w:r>
              <w:rPr>
                <w:rFonts w:ascii="Calibri" w:cs="Calibri" w:eastAsia="Calibri" w:hAnsi="Calibri"/>
                <w:sz w:val="20"/>
                <w:szCs w:val="20"/>
                <w:color w:val="auto"/>
              </w:rPr>
              <w:t>(18.5)%</w:t>
            </w:r>
          </w:p>
        </w:tc>
        <w:tc>
          <w:tcPr>
            <w:tcW w:w="0" w:type="dxa"/>
            <w:vAlign w:val="bottom"/>
          </w:tcPr>
          <w:p>
            <w:pPr>
              <w:spacing w:after="0"/>
              <w:rPr>
                <w:sz w:val="1"/>
                <w:szCs w:val="1"/>
                <w:color w:val="auto"/>
              </w:rPr>
            </w:pPr>
          </w:p>
        </w:tc>
      </w:tr>
      <w:tr>
        <w:trPr>
          <w:trHeight w:val="237"/>
        </w:trPr>
        <w:tc>
          <w:tcPr>
            <w:tcW w:w="4640" w:type="dxa"/>
            <w:vAlign w:val="bottom"/>
          </w:tcPr>
          <w:p>
            <w:pPr>
              <w:ind w:left="20"/>
              <w:spacing w:after="0" w:line="236" w:lineRule="exact"/>
              <w:rPr>
                <w:sz w:val="20"/>
                <w:szCs w:val="20"/>
                <w:color w:val="auto"/>
              </w:rPr>
            </w:pPr>
            <w:r>
              <w:rPr>
                <w:rFonts w:ascii="Calibri" w:cs="Calibri" w:eastAsia="Calibri" w:hAnsi="Calibri"/>
                <w:sz w:val="20"/>
                <w:szCs w:val="20"/>
                <w:color w:val="auto"/>
              </w:rPr>
              <w:t>Earnings per common share, diluted</w:t>
            </w:r>
          </w:p>
        </w:tc>
        <w:tc>
          <w:tcPr>
            <w:tcW w:w="1360" w:type="dxa"/>
            <w:vAlign w:val="bottom"/>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tcPr>
          <w:p>
            <w:pPr>
              <w:jc w:val="right"/>
              <w:spacing w:after="0" w:line="236" w:lineRule="exact"/>
              <w:rPr>
                <w:sz w:val="20"/>
                <w:szCs w:val="20"/>
                <w:color w:val="auto"/>
              </w:rPr>
            </w:pPr>
            <w:r>
              <w:rPr>
                <w:rFonts w:ascii="Calibri" w:cs="Calibri" w:eastAsia="Calibri" w:hAnsi="Calibri"/>
                <w:sz w:val="20"/>
                <w:szCs w:val="20"/>
                <w:color w:val="auto"/>
              </w:rPr>
              <w:t>5.73</w:t>
            </w:r>
          </w:p>
        </w:tc>
        <w:tc>
          <w:tcPr>
            <w:tcW w:w="1340" w:type="dxa"/>
            <w:vAlign w:val="bottom"/>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tcPr>
          <w:p>
            <w:pPr>
              <w:jc w:val="right"/>
              <w:ind w:right="401"/>
              <w:spacing w:after="0" w:line="236" w:lineRule="exact"/>
              <w:rPr>
                <w:sz w:val="20"/>
                <w:szCs w:val="20"/>
                <w:color w:val="auto"/>
              </w:rPr>
            </w:pPr>
            <w:r>
              <w:rPr>
                <w:rFonts w:ascii="Calibri" w:cs="Calibri" w:eastAsia="Calibri" w:hAnsi="Calibri"/>
                <w:sz w:val="20"/>
                <w:szCs w:val="20"/>
                <w:color w:val="auto"/>
              </w:rPr>
              <w:t>6.70</w:t>
            </w:r>
          </w:p>
        </w:tc>
        <w:tc>
          <w:tcPr>
            <w:tcW w:w="2080" w:type="dxa"/>
            <w:vAlign w:val="bottom"/>
          </w:tcPr>
          <w:p>
            <w:pPr>
              <w:jc w:val="center"/>
              <w:ind w:right="321"/>
              <w:spacing w:after="0" w:line="236" w:lineRule="exact"/>
              <w:rPr>
                <w:sz w:val="20"/>
                <w:szCs w:val="20"/>
                <w:color w:val="auto"/>
              </w:rPr>
            </w:pPr>
            <w:r>
              <w:rPr>
                <w:rFonts w:ascii="Calibri" w:cs="Calibri" w:eastAsia="Calibri" w:hAnsi="Calibri"/>
                <w:sz w:val="20"/>
                <w:szCs w:val="20"/>
                <w:color w:val="auto"/>
              </w:rPr>
              <w:t>(14.5)%</w:t>
            </w:r>
          </w:p>
        </w:tc>
        <w:tc>
          <w:tcPr>
            <w:tcW w:w="0" w:type="dxa"/>
            <w:vAlign w:val="bottom"/>
          </w:tcPr>
          <w:p>
            <w:pPr>
              <w:spacing w:after="0"/>
              <w:rPr>
                <w:sz w:val="1"/>
                <w:szCs w:val="1"/>
                <w:color w:val="auto"/>
              </w:rPr>
            </w:pPr>
          </w:p>
        </w:tc>
      </w:tr>
      <w:tr>
        <w:trPr>
          <w:trHeight w:val="60"/>
        </w:trPr>
        <w:tc>
          <w:tcPr>
            <w:tcW w:w="46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40" w:type="dxa"/>
            <w:vAlign w:val="bottom"/>
            <w:shd w:val="clear" w:color="auto" w:fill="DBDBDB"/>
          </w:tcPr>
          <w:p>
            <w:pPr>
              <w:ind w:left="20"/>
              <w:spacing w:after="0" w:line="297" w:lineRule="exact"/>
              <w:rPr>
                <w:sz w:val="20"/>
                <w:szCs w:val="20"/>
                <w:color w:val="auto"/>
              </w:rPr>
            </w:pPr>
            <w:r>
              <w:rPr>
                <w:rFonts w:ascii="Calibri" w:cs="Calibri" w:eastAsia="Calibri" w:hAnsi="Calibri"/>
                <w:sz w:val="20"/>
                <w:szCs w:val="20"/>
                <w:color w:val="auto"/>
              </w:rPr>
              <w:t xml:space="preserve">Adjusted earnings per common share, diluted </w:t>
            </w:r>
            <w:r>
              <w:rPr>
                <w:rFonts w:ascii="Calibri" w:cs="Calibri" w:eastAsia="Calibri" w:hAnsi="Calibri"/>
                <w:sz w:val="25"/>
                <w:szCs w:val="25"/>
                <w:color w:val="auto"/>
                <w:vertAlign w:val="superscript"/>
              </w:rPr>
              <w:t>(2)</w:t>
            </w:r>
          </w:p>
        </w:tc>
        <w:tc>
          <w:tcPr>
            <w:tcW w:w="136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680" w:type="dxa"/>
            <w:vAlign w:val="bottom"/>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6.02</w:t>
            </w:r>
          </w:p>
        </w:tc>
        <w:tc>
          <w:tcPr>
            <w:tcW w:w="1340" w:type="dxa"/>
            <w:vAlign w:val="bottom"/>
            <w:shd w:val="clear" w:color="auto" w:fill="DBDBDB"/>
          </w:tcPr>
          <w:p>
            <w:pPr>
              <w:jc w:val="right"/>
              <w:ind w:right="1081"/>
              <w:spacing w:after="0" w:line="236"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DBDBDB"/>
          </w:tcPr>
          <w:p>
            <w:pPr>
              <w:jc w:val="right"/>
              <w:ind w:right="401"/>
              <w:spacing w:after="0" w:line="236" w:lineRule="exact"/>
              <w:rPr>
                <w:sz w:val="20"/>
                <w:szCs w:val="20"/>
                <w:color w:val="auto"/>
              </w:rPr>
            </w:pPr>
            <w:r>
              <w:rPr>
                <w:rFonts w:ascii="Calibri" w:cs="Calibri" w:eastAsia="Calibri" w:hAnsi="Calibri"/>
                <w:sz w:val="20"/>
                <w:szCs w:val="20"/>
                <w:color w:val="auto"/>
              </w:rPr>
              <w:t>6.96</w:t>
            </w:r>
          </w:p>
        </w:tc>
        <w:tc>
          <w:tcPr>
            <w:tcW w:w="2080" w:type="dxa"/>
            <w:vAlign w:val="bottom"/>
            <w:shd w:val="clear" w:color="auto" w:fill="DBDBDB"/>
          </w:tcPr>
          <w:p>
            <w:pPr>
              <w:jc w:val="center"/>
              <w:ind w:right="321"/>
              <w:spacing w:after="0" w:line="236" w:lineRule="exact"/>
              <w:rPr>
                <w:sz w:val="20"/>
                <w:szCs w:val="20"/>
                <w:color w:val="auto"/>
              </w:rPr>
            </w:pPr>
            <w:r>
              <w:rPr>
                <w:rFonts w:ascii="Calibri" w:cs="Calibri" w:eastAsia="Calibri" w:hAnsi="Calibri"/>
                <w:sz w:val="20"/>
                <w:szCs w:val="20"/>
                <w:color w:val="auto"/>
              </w:rPr>
              <w:t>(13.5)%</w:t>
            </w:r>
          </w:p>
        </w:tc>
        <w:tc>
          <w:tcPr>
            <w:tcW w:w="0" w:type="dxa"/>
            <w:vAlign w:val="bottom"/>
          </w:tcPr>
          <w:p>
            <w:pPr>
              <w:spacing w:after="0"/>
              <w:rPr>
                <w:sz w:val="1"/>
                <w:szCs w:val="1"/>
                <w:color w:val="auto"/>
              </w:rPr>
            </w:pPr>
          </w:p>
        </w:tc>
      </w:tr>
    </w:tbl>
    <w:p>
      <w:pPr>
        <w:spacing w:after="0" w:line="77" w:lineRule="exact"/>
        <w:rPr>
          <w:sz w:val="20"/>
          <w:szCs w:val="20"/>
          <w:color w:val="auto"/>
        </w:rPr>
      </w:pPr>
    </w:p>
    <w:p>
      <w:pPr>
        <w:jc w:val="both"/>
        <w:ind w:firstLine="8"/>
        <w:spacing w:after="0"/>
        <w:tabs>
          <w:tab w:leader="none" w:pos="19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Net income for the fiscal year ended February 1, 2025, includes a $15.0 million gain pertaining to a credit card fee litigation settlement and a $7.1 million gain on a sale-leaseback transaction, both of which occurred in the fourth quarter of fiscal 2024. Net income for the fiscal year ended February 3, 2024, includes a $15.9 million net gain from a credit card fee litigation settlement which occurred in the fourth quarter of fiscal 2023.</w:t>
      </w:r>
    </w:p>
    <w:p>
      <w:pPr>
        <w:spacing w:after="0" w:line="226" w:lineRule="exact"/>
        <w:rPr>
          <w:rFonts w:ascii="Arial" w:cs="Arial" w:eastAsia="Arial" w:hAnsi="Arial"/>
          <w:sz w:val="13"/>
          <w:szCs w:val="13"/>
          <w:color w:val="auto"/>
        </w:rPr>
      </w:pPr>
    </w:p>
    <w:p>
      <w:pPr>
        <w:ind w:firstLine="8"/>
        <w:spacing w:after="0" w:line="264" w:lineRule="auto"/>
        <w:tabs>
          <w:tab w:leader="none" w:pos="215"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net income and adjusted earnings per common share (EPS), diluted are non-GAAP measures. See "Non-GAAP Measures" and "Reconciliations of GAAP to Non-GAAP Financial Measures" below for reconciliations of non-GAAP financial measures to their most directly comparable GAAP financial measures.</w:t>
      </w:r>
    </w:p>
    <w:p>
      <w:pPr>
        <w:sectPr>
          <w:pgSz w:w="11900" w:h="16838" w:orient="portrait"/>
          <w:cols w:equalWidth="0" w:num="1">
            <w:col w:w="11240"/>
          </w:cols>
          <w:pgMar w:left="320" w:top="1089" w:right="339" w:bottom="322"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089" w:right="339" w:bottom="322" w:gutter="0" w:footer="0" w:header="0"/>
          <w:type w:val="continuous"/>
        </w:sectPr>
      </w:pPr>
    </w:p>
    <w:bookmarkStart w:id="4" w:name="page5"/>
    <w:bookmarkEnd w:id="4"/>
    <w:p>
      <w:pPr>
        <w:spacing w:after="0"/>
        <w:rPr>
          <w:sz w:val="20"/>
          <w:szCs w:val="20"/>
          <w:color w:val="auto"/>
        </w:rPr>
      </w:pPr>
      <w:r>
        <w:rPr>
          <w:rFonts w:ascii="Arial" w:cs="Arial" w:eastAsia="Arial" w:hAnsi="Arial"/>
          <w:sz w:val="12"/>
          <w:szCs w:val="12"/>
          <w:color w:val="auto"/>
        </w:rPr>
        <w:t>Note: Fourth quarter and full year 2024 included 13 and 52 weeks, compared to 14 and 53 weeks in fourth quarter and fiscal year 2023, respectively. The extra week in 2023 added $73.3 million to net</w:t>
      </w:r>
    </w:p>
    <w:p>
      <w:pPr>
        <w:spacing w:after="0" w:line="23" w:lineRule="exact"/>
        <w:rPr>
          <w:sz w:val="20"/>
          <w:szCs w:val="20"/>
          <w:color w:val="auto"/>
        </w:rPr>
      </w:pPr>
    </w:p>
    <w:p>
      <w:pPr>
        <w:jc w:val="both"/>
        <w:spacing w:after="0" w:line="231" w:lineRule="auto"/>
        <w:rPr>
          <w:sz w:val="20"/>
          <w:szCs w:val="20"/>
          <w:color w:val="auto"/>
        </w:rPr>
      </w:pPr>
      <w:r>
        <w:rPr>
          <w:rFonts w:ascii="Arial" w:cs="Arial" w:eastAsia="Arial" w:hAnsi="Arial"/>
          <w:sz w:val="13"/>
          <w:szCs w:val="13"/>
          <w:color w:val="auto"/>
        </w:rPr>
        <w:t>sales and $0.08 to GAAP EPS. We define comparable sales as the percentage of period-over-period net sales increase or decrease, in the aggregate, for stores open after thirteen full fiscal months, as well as for all e-commerce sales.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60" w:type="dxa"/>
            <w:vAlign w:val="bottom"/>
            <w:shd w:val="clear" w:color="auto" w:fill="0E32E1"/>
          </w:tcPr>
          <w:p>
            <w:pPr>
              <w:spacing w:after="0"/>
              <w:rPr>
                <w:sz w:val="22"/>
                <w:szCs w:val="22"/>
                <w:color w:val="auto"/>
              </w:rPr>
            </w:pPr>
          </w:p>
        </w:tc>
        <w:tc>
          <w:tcPr>
            <w:tcW w:w="1300" w:type="dxa"/>
            <w:vAlign w:val="bottom"/>
            <w:shd w:val="clear" w:color="auto" w:fill="0E32E1"/>
          </w:tcPr>
          <w:p>
            <w:pPr>
              <w:spacing w:after="0"/>
              <w:rPr>
                <w:sz w:val="22"/>
                <w:szCs w:val="22"/>
                <w:color w:val="auto"/>
              </w:rPr>
            </w:pPr>
          </w:p>
        </w:tc>
        <w:tc>
          <w:tcPr>
            <w:tcW w:w="2280" w:type="dxa"/>
            <w:vAlign w:val="bottom"/>
            <w:gridSpan w:val="2"/>
            <w:shd w:val="clear" w:color="auto" w:fill="0E32E1"/>
          </w:tcPr>
          <w:p>
            <w:pPr>
              <w:jc w:val="right"/>
              <w:ind w:right="1"/>
              <w:spacing w:after="0"/>
              <w:rPr>
                <w:sz w:val="20"/>
                <w:szCs w:val="20"/>
                <w:color w:val="auto"/>
              </w:rPr>
            </w:pPr>
            <w:r>
              <w:rPr>
                <w:rFonts w:ascii="Calibri" w:cs="Calibri" w:eastAsia="Calibri" w:hAnsi="Calibri"/>
                <w:sz w:val="20"/>
                <w:szCs w:val="20"/>
                <w:color w:val="FFFFFF"/>
              </w:rPr>
              <w:t>As of</w:t>
            </w:r>
          </w:p>
        </w:tc>
        <w:tc>
          <w:tcPr>
            <w:tcW w:w="2320" w:type="dxa"/>
            <w:vAlign w:val="bottom"/>
            <w:shd w:val="clear" w:color="auto" w:fill="0E32E1"/>
          </w:tcPr>
          <w:p>
            <w:pPr>
              <w:spacing w:after="0"/>
              <w:rPr>
                <w:sz w:val="22"/>
                <w:szCs w:val="22"/>
                <w:color w:val="auto"/>
              </w:rPr>
            </w:pPr>
          </w:p>
        </w:tc>
        <w:tc>
          <w:tcPr>
            <w:tcW w:w="1880" w:type="dxa"/>
            <w:vAlign w:val="bottom"/>
            <w:shd w:val="clear" w:color="auto" w:fill="0E32E1"/>
          </w:tcPr>
          <w:p>
            <w:pPr>
              <w:ind w:left="440"/>
              <w:spacing w:after="0"/>
              <w:rPr>
                <w:sz w:val="20"/>
                <w:szCs w:val="20"/>
                <w:color w:val="auto"/>
              </w:rPr>
            </w:pPr>
            <w:r>
              <w:rPr>
                <w:rFonts w:ascii="Calibri" w:cs="Calibri" w:eastAsia="Calibri" w:hAnsi="Calibri"/>
                <w:sz w:val="20"/>
                <w:szCs w:val="20"/>
                <w:color w:val="FFFFFF"/>
              </w:rPr>
              <w:t>Change</w:t>
            </w:r>
          </w:p>
        </w:tc>
      </w:tr>
      <w:tr>
        <w:trPr>
          <w:trHeight w:val="320"/>
        </w:trPr>
        <w:tc>
          <w:tcPr>
            <w:tcW w:w="346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20"/>
                <w:szCs w:val="20"/>
                <w:color w:val="FFFFFF"/>
              </w:rPr>
              <w:t xml:space="preserve">Balance Sheet </w:t>
            </w:r>
            <w:r>
              <w:rPr>
                <w:rFonts w:ascii="Calibri" w:cs="Calibri" w:eastAsia="Calibri" w:hAnsi="Calibri"/>
                <w:sz w:val="14"/>
                <w:szCs w:val="14"/>
                <w:color w:val="FFFFFF"/>
              </w:rPr>
              <w:t>($ in millions)</w:t>
            </w:r>
          </w:p>
        </w:tc>
        <w:tc>
          <w:tcPr>
            <w:tcW w:w="1300" w:type="dxa"/>
            <w:vAlign w:val="bottom"/>
            <w:tcBorders>
              <w:bottom w:val="single" w:sz="8" w:color="0E32E1"/>
            </w:tcBorders>
            <w:shd w:val="clear" w:color="auto" w:fill="0E32E1"/>
          </w:tcPr>
          <w:p>
            <w:pPr>
              <w:spacing w:after="0"/>
              <w:rPr>
                <w:sz w:val="24"/>
                <w:szCs w:val="24"/>
                <w:color w:val="auto"/>
              </w:rPr>
            </w:pPr>
          </w:p>
        </w:tc>
        <w:tc>
          <w:tcPr>
            <w:tcW w:w="1940" w:type="dxa"/>
            <w:vAlign w:val="bottom"/>
            <w:tcBorders>
              <w:bottom w:val="single" w:sz="8" w:color="0E32E1"/>
            </w:tcBorders>
            <w:shd w:val="clear" w:color="auto" w:fill="0E32E1"/>
          </w:tcPr>
          <w:p>
            <w:pPr>
              <w:jc w:val="right"/>
              <w:ind w:right="301"/>
              <w:spacing w:after="0"/>
              <w:rPr>
                <w:sz w:val="20"/>
                <w:szCs w:val="20"/>
                <w:color w:val="auto"/>
              </w:rPr>
            </w:pPr>
            <w:r>
              <w:rPr>
                <w:rFonts w:ascii="Calibri" w:cs="Calibri" w:eastAsia="Calibri" w:hAnsi="Calibri"/>
                <w:sz w:val="20"/>
                <w:szCs w:val="20"/>
                <w:color w:val="FFFFFF"/>
              </w:rPr>
              <w:t>February 1, 2025</w:t>
            </w:r>
          </w:p>
        </w:tc>
        <w:tc>
          <w:tcPr>
            <w:tcW w:w="340" w:type="dxa"/>
            <w:vAlign w:val="bottom"/>
            <w:tcBorders>
              <w:bottom w:val="single" w:sz="8" w:color="0E32E1"/>
            </w:tcBorders>
            <w:shd w:val="clear" w:color="auto" w:fill="0E32E1"/>
          </w:tcPr>
          <w:p>
            <w:pPr>
              <w:spacing w:after="0"/>
              <w:rPr>
                <w:sz w:val="24"/>
                <w:szCs w:val="24"/>
                <w:color w:val="auto"/>
              </w:rPr>
            </w:pPr>
          </w:p>
        </w:tc>
        <w:tc>
          <w:tcPr>
            <w:tcW w:w="2320" w:type="dxa"/>
            <w:vAlign w:val="bottom"/>
            <w:tcBorders>
              <w:bottom w:val="single" w:sz="8" w:color="0E32E1"/>
            </w:tcBorders>
            <w:shd w:val="clear" w:color="auto" w:fill="0E32E1"/>
          </w:tcPr>
          <w:p>
            <w:pPr>
              <w:jc w:val="right"/>
              <w:ind w:right="701"/>
              <w:spacing w:after="0"/>
              <w:rPr>
                <w:sz w:val="20"/>
                <w:szCs w:val="20"/>
                <w:color w:val="auto"/>
              </w:rPr>
            </w:pPr>
            <w:r>
              <w:rPr>
                <w:rFonts w:ascii="Calibri" w:cs="Calibri" w:eastAsia="Calibri" w:hAnsi="Calibri"/>
                <w:sz w:val="20"/>
                <w:szCs w:val="20"/>
                <w:color w:val="FFFFFF"/>
              </w:rPr>
              <w:t>February 3, 2024</w:t>
            </w:r>
          </w:p>
        </w:tc>
        <w:tc>
          <w:tcPr>
            <w:tcW w:w="1880" w:type="dxa"/>
            <w:vAlign w:val="bottom"/>
            <w:tcBorders>
              <w:bottom w:val="single" w:sz="8" w:color="0E32E1"/>
            </w:tcBorders>
            <w:shd w:val="clear" w:color="auto" w:fill="0E32E1"/>
          </w:tcPr>
          <w:p>
            <w:pPr>
              <w:jc w:val="center"/>
              <w:ind w:right="281"/>
              <w:spacing w:after="0"/>
              <w:rPr>
                <w:sz w:val="20"/>
                <w:szCs w:val="20"/>
                <w:color w:val="auto"/>
              </w:rPr>
            </w:pPr>
            <w:r>
              <w:rPr>
                <w:rFonts w:ascii="Calibri" w:cs="Calibri" w:eastAsia="Calibri" w:hAnsi="Calibri"/>
                <w:sz w:val="20"/>
                <w:szCs w:val="20"/>
                <w:color w:val="FFFFFF"/>
                <w:w w:val="97"/>
              </w:rPr>
              <w:t>%</w:t>
            </w:r>
          </w:p>
        </w:tc>
      </w:tr>
      <w:tr>
        <w:trPr>
          <w:trHeight w:val="277"/>
        </w:trPr>
        <w:tc>
          <w:tcPr>
            <w:tcW w:w="346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Cash and cash equivalents</w:t>
            </w:r>
          </w:p>
        </w:tc>
        <w:tc>
          <w:tcPr>
            <w:tcW w:w="1300" w:type="dxa"/>
            <w:vAlign w:val="bottom"/>
            <w:tcBorders>
              <w:bottom w:val="single" w:sz="8" w:color="DBDBDB"/>
            </w:tcBorders>
            <w:shd w:val="clear" w:color="auto" w:fill="DBDBDB"/>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288.9</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41"/>
              <w:spacing w:after="0" w:line="236" w:lineRule="exact"/>
              <w:rPr>
                <w:sz w:val="20"/>
                <w:szCs w:val="20"/>
                <w:color w:val="auto"/>
              </w:rPr>
            </w:pPr>
            <w:r>
              <w:rPr>
                <w:rFonts w:ascii="Calibri" w:cs="Calibri" w:eastAsia="Calibri" w:hAnsi="Calibri"/>
                <w:sz w:val="20"/>
                <w:szCs w:val="20"/>
                <w:color w:val="auto"/>
              </w:rPr>
              <w:t>347.9</w:t>
            </w:r>
          </w:p>
        </w:tc>
        <w:tc>
          <w:tcPr>
            <w:tcW w:w="1880" w:type="dxa"/>
            <w:vAlign w:val="bottom"/>
            <w:tcBorders>
              <w:bottom w:val="single" w:sz="8" w:color="DBDBDB"/>
            </w:tcBorders>
            <w:shd w:val="clear" w:color="auto" w:fill="DBDBDB"/>
          </w:tcPr>
          <w:p>
            <w:pPr>
              <w:jc w:val="center"/>
              <w:ind w:right="281"/>
              <w:spacing w:after="0" w:line="236" w:lineRule="exact"/>
              <w:rPr>
                <w:sz w:val="20"/>
                <w:szCs w:val="20"/>
                <w:color w:val="auto"/>
              </w:rPr>
            </w:pPr>
            <w:r>
              <w:rPr>
                <w:rFonts w:ascii="Calibri" w:cs="Calibri" w:eastAsia="Calibri" w:hAnsi="Calibri"/>
                <w:sz w:val="20"/>
                <w:szCs w:val="20"/>
                <w:color w:val="auto"/>
              </w:rPr>
              <w:t>(17.0)%</w:t>
            </w:r>
          </w:p>
        </w:tc>
      </w:tr>
      <w:tr>
        <w:trPr>
          <w:trHeight w:val="237"/>
        </w:trPr>
        <w:tc>
          <w:tcPr>
            <w:tcW w:w="3460" w:type="dxa"/>
            <w:vAlign w:val="bottom"/>
          </w:tcPr>
          <w:p>
            <w:pPr>
              <w:ind w:left="20"/>
              <w:spacing w:after="0" w:line="236" w:lineRule="exact"/>
              <w:rPr>
                <w:sz w:val="20"/>
                <w:szCs w:val="20"/>
                <w:color w:val="auto"/>
              </w:rPr>
            </w:pPr>
            <w:r>
              <w:rPr>
                <w:rFonts w:ascii="Calibri" w:cs="Calibri" w:eastAsia="Calibri" w:hAnsi="Calibri"/>
                <w:sz w:val="20"/>
                <w:szCs w:val="20"/>
                <w:color w:val="auto"/>
              </w:rPr>
              <w:t>Merchandise inventories, net</w:t>
            </w:r>
          </w:p>
        </w:tc>
        <w:tc>
          <w:tcPr>
            <w:tcW w:w="1300" w:type="dxa"/>
            <w:vAlign w:val="bottom"/>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color w:val="auto"/>
              </w:rPr>
              <w:t>1,308.8</w:t>
            </w:r>
          </w:p>
        </w:tc>
        <w:tc>
          <w:tcPr>
            <w:tcW w:w="34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rPr>
              <w:t>1,194.2</w:t>
            </w:r>
          </w:p>
        </w:tc>
        <w:tc>
          <w:tcPr>
            <w:tcW w:w="1880" w:type="dxa"/>
            <w:vAlign w:val="bottom"/>
          </w:tcPr>
          <w:p>
            <w:pPr>
              <w:jc w:val="center"/>
              <w:ind w:right="261"/>
              <w:spacing w:after="0" w:line="236" w:lineRule="exact"/>
              <w:rPr>
                <w:sz w:val="20"/>
                <w:szCs w:val="20"/>
                <w:color w:val="auto"/>
              </w:rPr>
            </w:pPr>
            <w:r>
              <w:rPr>
                <w:rFonts w:ascii="Calibri" w:cs="Calibri" w:eastAsia="Calibri" w:hAnsi="Calibri"/>
                <w:sz w:val="20"/>
                <w:szCs w:val="20"/>
                <w:color w:val="auto"/>
              </w:rPr>
              <w:t>9.6%</w:t>
            </w:r>
          </w:p>
        </w:tc>
      </w:tr>
      <w:tr>
        <w:trPr>
          <w:trHeight w:val="60"/>
        </w:trPr>
        <w:tc>
          <w:tcPr>
            <w:tcW w:w="3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277"/>
        </w:trPr>
        <w:tc>
          <w:tcPr>
            <w:tcW w:w="346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Long-term debt, net</w:t>
            </w:r>
          </w:p>
        </w:tc>
        <w:tc>
          <w:tcPr>
            <w:tcW w:w="1300" w:type="dxa"/>
            <w:vAlign w:val="bottom"/>
            <w:tcBorders>
              <w:bottom w:val="single" w:sz="8" w:color="DBDBDB"/>
            </w:tcBorders>
            <w:shd w:val="clear" w:color="auto" w:fill="DBDBDB"/>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482.7</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41"/>
              <w:spacing w:after="0" w:line="236" w:lineRule="exact"/>
              <w:rPr>
                <w:sz w:val="20"/>
                <w:szCs w:val="20"/>
                <w:color w:val="auto"/>
              </w:rPr>
            </w:pPr>
            <w:r>
              <w:rPr>
                <w:rFonts w:ascii="Calibri" w:cs="Calibri" w:eastAsia="Calibri" w:hAnsi="Calibri"/>
                <w:sz w:val="20"/>
                <w:szCs w:val="20"/>
                <w:color w:val="auto"/>
              </w:rPr>
              <w:t>484.6</w:t>
            </w:r>
          </w:p>
        </w:tc>
        <w:tc>
          <w:tcPr>
            <w:tcW w:w="1880" w:type="dxa"/>
            <w:vAlign w:val="bottom"/>
            <w:tcBorders>
              <w:bottom w:val="single" w:sz="8" w:color="DBDBDB"/>
            </w:tcBorders>
            <w:shd w:val="clear" w:color="auto" w:fill="DBDBDB"/>
          </w:tcPr>
          <w:p>
            <w:pPr>
              <w:jc w:val="center"/>
              <w:ind w:right="261"/>
              <w:spacing w:after="0" w:line="236" w:lineRule="exact"/>
              <w:rPr>
                <w:sz w:val="20"/>
                <w:szCs w:val="20"/>
                <w:color w:val="auto"/>
              </w:rPr>
            </w:pPr>
            <w:r>
              <w:rPr>
                <w:rFonts w:ascii="Calibri" w:cs="Calibri" w:eastAsia="Calibri" w:hAnsi="Calibri"/>
                <w:sz w:val="20"/>
                <w:szCs w:val="20"/>
                <w:color w:val="auto"/>
              </w:rPr>
              <w:t>(0.4)%</w:t>
            </w:r>
          </w:p>
        </w:tc>
      </w:tr>
      <w:tr>
        <w:trPr>
          <w:trHeight w:val="364"/>
        </w:trPr>
        <w:tc>
          <w:tcPr>
            <w:tcW w:w="3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0" w:type="dxa"/>
            <w:vAlign w:val="bottom"/>
            <w:gridSpan w:val="3"/>
          </w:tcPr>
          <w:p>
            <w:pPr>
              <w:spacing w:after="0"/>
              <w:rPr>
                <w:sz w:val="24"/>
                <w:szCs w:val="24"/>
                <w:color w:val="auto"/>
              </w:rPr>
            </w:pPr>
          </w:p>
        </w:tc>
        <w:tc>
          <w:tcPr>
            <w:tcW w:w="1880" w:type="dxa"/>
            <w:vAlign w:val="bottom"/>
          </w:tcPr>
          <w:p>
            <w:pPr>
              <w:spacing w:after="0"/>
              <w:rPr>
                <w:sz w:val="24"/>
                <w:szCs w:val="24"/>
                <w:color w:val="auto"/>
              </w:rPr>
            </w:pPr>
          </w:p>
        </w:tc>
      </w:tr>
      <w:tr>
        <w:trPr>
          <w:trHeight w:val="237"/>
        </w:trPr>
        <w:tc>
          <w:tcPr>
            <w:tcW w:w="3460" w:type="dxa"/>
            <w:vAlign w:val="bottom"/>
            <w:shd w:val="clear" w:color="auto" w:fill="0E32E1"/>
          </w:tcPr>
          <w:p>
            <w:pPr>
              <w:spacing w:after="0"/>
              <w:rPr>
                <w:sz w:val="20"/>
                <w:szCs w:val="20"/>
                <w:color w:val="auto"/>
              </w:rPr>
            </w:pPr>
          </w:p>
        </w:tc>
        <w:tc>
          <w:tcPr>
            <w:tcW w:w="1300" w:type="dxa"/>
            <w:vAlign w:val="bottom"/>
            <w:shd w:val="clear" w:color="auto" w:fill="0E32E1"/>
          </w:tcPr>
          <w:p>
            <w:pPr>
              <w:spacing w:after="0"/>
              <w:rPr>
                <w:sz w:val="20"/>
                <w:szCs w:val="20"/>
                <w:color w:val="auto"/>
              </w:rPr>
            </w:pPr>
          </w:p>
        </w:tc>
        <w:tc>
          <w:tcPr>
            <w:tcW w:w="4600" w:type="dxa"/>
            <w:vAlign w:val="bottom"/>
            <w:gridSpan w:val="3"/>
            <w:shd w:val="clear" w:color="auto" w:fill="0E32E1"/>
          </w:tcPr>
          <w:p>
            <w:pPr>
              <w:jc w:val="right"/>
              <w:ind w:right="1821"/>
              <w:spacing w:after="0" w:line="236" w:lineRule="exact"/>
              <w:rPr>
                <w:sz w:val="20"/>
                <w:szCs w:val="20"/>
                <w:color w:val="auto"/>
              </w:rPr>
            </w:pPr>
            <w:r>
              <w:rPr>
                <w:rFonts w:ascii="Calibri" w:cs="Calibri" w:eastAsia="Calibri" w:hAnsi="Calibri"/>
                <w:sz w:val="20"/>
                <w:szCs w:val="20"/>
                <w:color w:val="FFFFFF"/>
              </w:rPr>
              <w:t>Fiscal Year Ended</w:t>
            </w:r>
          </w:p>
        </w:tc>
        <w:tc>
          <w:tcPr>
            <w:tcW w:w="1880" w:type="dxa"/>
            <w:vAlign w:val="bottom"/>
            <w:shd w:val="clear" w:color="auto" w:fill="0E32E1"/>
          </w:tcPr>
          <w:p>
            <w:pPr>
              <w:ind w:left="440"/>
              <w:spacing w:after="0" w:line="236" w:lineRule="exact"/>
              <w:rPr>
                <w:sz w:val="20"/>
                <w:szCs w:val="20"/>
                <w:color w:val="auto"/>
              </w:rPr>
            </w:pPr>
            <w:r>
              <w:rPr>
                <w:rFonts w:ascii="Calibri" w:cs="Calibri" w:eastAsia="Calibri" w:hAnsi="Calibri"/>
                <w:sz w:val="20"/>
                <w:szCs w:val="20"/>
                <w:color w:val="FFFFFF"/>
              </w:rPr>
              <w:t>Change</w:t>
            </w:r>
          </w:p>
        </w:tc>
      </w:tr>
      <w:tr>
        <w:trPr>
          <w:trHeight w:val="337"/>
        </w:trPr>
        <w:tc>
          <w:tcPr>
            <w:tcW w:w="3460" w:type="dxa"/>
            <w:vAlign w:val="bottom"/>
            <w:tcBorders>
              <w:bottom w:val="single" w:sz="8" w:color="0E32E1"/>
            </w:tcBorders>
            <w:shd w:val="clear" w:color="auto" w:fill="0E32E1"/>
          </w:tcPr>
          <w:p>
            <w:pPr>
              <w:ind w:left="20"/>
              <w:spacing w:after="0"/>
              <w:rPr>
                <w:sz w:val="20"/>
                <w:szCs w:val="20"/>
                <w:color w:val="auto"/>
              </w:rPr>
            </w:pPr>
            <w:r>
              <w:rPr>
                <w:rFonts w:ascii="Calibri" w:cs="Calibri" w:eastAsia="Calibri" w:hAnsi="Calibri"/>
                <w:sz w:val="20"/>
                <w:szCs w:val="20"/>
                <w:color w:val="FFFFFF"/>
              </w:rPr>
              <w:t xml:space="preserve">Capital Allocaton </w:t>
            </w:r>
            <w:r>
              <w:rPr>
                <w:rFonts w:ascii="Calibri" w:cs="Calibri" w:eastAsia="Calibri" w:hAnsi="Calibri"/>
                <w:sz w:val="14"/>
                <w:szCs w:val="14"/>
                <w:color w:val="FFFFFF"/>
              </w:rPr>
              <w:t>($ in millions)</w:t>
            </w:r>
          </w:p>
        </w:tc>
        <w:tc>
          <w:tcPr>
            <w:tcW w:w="1300" w:type="dxa"/>
            <w:vAlign w:val="bottom"/>
            <w:tcBorders>
              <w:bottom w:val="single" w:sz="8" w:color="0E32E1"/>
            </w:tcBorders>
            <w:shd w:val="clear" w:color="auto" w:fill="0E32E1"/>
          </w:tcPr>
          <w:p>
            <w:pPr>
              <w:spacing w:after="0"/>
              <w:rPr>
                <w:sz w:val="24"/>
                <w:szCs w:val="24"/>
                <w:color w:val="auto"/>
              </w:rPr>
            </w:pPr>
          </w:p>
        </w:tc>
        <w:tc>
          <w:tcPr>
            <w:tcW w:w="1940" w:type="dxa"/>
            <w:vAlign w:val="bottom"/>
            <w:tcBorders>
              <w:bottom w:val="single" w:sz="8" w:color="0E32E1"/>
            </w:tcBorders>
            <w:shd w:val="clear" w:color="auto" w:fill="0E32E1"/>
          </w:tcPr>
          <w:p>
            <w:pPr>
              <w:jc w:val="right"/>
              <w:ind w:right="301"/>
              <w:spacing w:after="0"/>
              <w:rPr>
                <w:sz w:val="20"/>
                <w:szCs w:val="20"/>
                <w:color w:val="auto"/>
              </w:rPr>
            </w:pPr>
            <w:r>
              <w:rPr>
                <w:rFonts w:ascii="Calibri" w:cs="Calibri" w:eastAsia="Calibri" w:hAnsi="Calibri"/>
                <w:sz w:val="20"/>
                <w:szCs w:val="20"/>
                <w:color w:val="FFFFFF"/>
              </w:rPr>
              <w:t>February 1, 2025</w:t>
            </w:r>
          </w:p>
        </w:tc>
        <w:tc>
          <w:tcPr>
            <w:tcW w:w="340" w:type="dxa"/>
            <w:vAlign w:val="bottom"/>
            <w:tcBorders>
              <w:bottom w:val="single" w:sz="8" w:color="0E32E1"/>
            </w:tcBorders>
            <w:shd w:val="clear" w:color="auto" w:fill="0E32E1"/>
          </w:tcPr>
          <w:p>
            <w:pPr>
              <w:spacing w:after="0"/>
              <w:rPr>
                <w:sz w:val="24"/>
                <w:szCs w:val="24"/>
                <w:color w:val="auto"/>
              </w:rPr>
            </w:pPr>
          </w:p>
        </w:tc>
        <w:tc>
          <w:tcPr>
            <w:tcW w:w="2320" w:type="dxa"/>
            <w:vAlign w:val="bottom"/>
            <w:tcBorders>
              <w:bottom w:val="single" w:sz="8" w:color="0E32E1"/>
            </w:tcBorders>
            <w:shd w:val="clear" w:color="auto" w:fill="0E32E1"/>
          </w:tcPr>
          <w:p>
            <w:pPr>
              <w:jc w:val="right"/>
              <w:ind w:right="701"/>
              <w:spacing w:after="0"/>
              <w:rPr>
                <w:sz w:val="20"/>
                <w:szCs w:val="20"/>
                <w:color w:val="auto"/>
              </w:rPr>
            </w:pPr>
            <w:r>
              <w:rPr>
                <w:rFonts w:ascii="Calibri" w:cs="Calibri" w:eastAsia="Calibri" w:hAnsi="Calibri"/>
                <w:sz w:val="20"/>
                <w:szCs w:val="20"/>
                <w:color w:val="FFFFFF"/>
              </w:rPr>
              <w:t>February 3, 2024</w:t>
            </w:r>
          </w:p>
        </w:tc>
        <w:tc>
          <w:tcPr>
            <w:tcW w:w="1880" w:type="dxa"/>
            <w:vAlign w:val="bottom"/>
            <w:tcBorders>
              <w:bottom w:val="single" w:sz="8" w:color="0E32E1"/>
            </w:tcBorders>
            <w:shd w:val="clear" w:color="auto" w:fill="0E32E1"/>
          </w:tcPr>
          <w:p>
            <w:pPr>
              <w:jc w:val="center"/>
              <w:ind w:right="281"/>
              <w:spacing w:after="0"/>
              <w:rPr>
                <w:sz w:val="20"/>
                <w:szCs w:val="20"/>
                <w:color w:val="auto"/>
              </w:rPr>
            </w:pPr>
            <w:r>
              <w:rPr>
                <w:rFonts w:ascii="Calibri" w:cs="Calibri" w:eastAsia="Calibri" w:hAnsi="Calibri"/>
                <w:sz w:val="20"/>
                <w:szCs w:val="20"/>
                <w:color w:val="FFFFFF"/>
                <w:w w:val="97"/>
              </w:rPr>
              <w:t>%</w:t>
            </w:r>
          </w:p>
        </w:tc>
      </w:tr>
      <w:tr>
        <w:trPr>
          <w:trHeight w:val="277"/>
        </w:trPr>
        <w:tc>
          <w:tcPr>
            <w:tcW w:w="3460" w:type="dxa"/>
            <w:vAlign w:val="bottom"/>
            <w:tcBorders>
              <w:bottom w:val="single" w:sz="8" w:color="DBDBDB"/>
            </w:tcBorders>
            <w:shd w:val="clear" w:color="auto" w:fill="DBDBDB"/>
          </w:tcPr>
          <w:p>
            <w:pPr>
              <w:ind w:left="20"/>
              <w:spacing w:after="0" w:line="236" w:lineRule="exact"/>
              <w:rPr>
                <w:sz w:val="20"/>
                <w:szCs w:val="20"/>
                <w:color w:val="auto"/>
              </w:rPr>
            </w:pPr>
            <w:r>
              <w:rPr>
                <w:rFonts w:ascii="Calibri" w:cs="Calibri" w:eastAsia="Calibri" w:hAnsi="Calibri"/>
                <w:sz w:val="20"/>
                <w:szCs w:val="20"/>
                <w:color w:val="auto"/>
              </w:rPr>
              <w:t>Share repurchases</w:t>
            </w:r>
          </w:p>
        </w:tc>
        <w:tc>
          <w:tcPr>
            <w:tcW w:w="1300" w:type="dxa"/>
            <w:vAlign w:val="bottom"/>
            <w:tcBorders>
              <w:bottom w:val="single" w:sz="8" w:color="DBDBDB"/>
            </w:tcBorders>
            <w:shd w:val="clear" w:color="auto" w:fill="DBDBDB"/>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Borders>
              <w:bottom w:val="single" w:sz="8" w:color="DBDBDB"/>
            </w:tcBorders>
            <w:shd w:val="clear" w:color="auto" w:fill="DBDBDB"/>
          </w:tcPr>
          <w:p>
            <w:pPr>
              <w:jc w:val="right"/>
              <w:spacing w:after="0" w:line="236" w:lineRule="exact"/>
              <w:rPr>
                <w:sz w:val="20"/>
                <w:szCs w:val="20"/>
                <w:color w:val="auto"/>
              </w:rPr>
            </w:pPr>
            <w:r>
              <w:rPr>
                <w:rFonts w:ascii="Calibri" w:cs="Calibri" w:eastAsia="Calibri" w:hAnsi="Calibri"/>
                <w:sz w:val="20"/>
                <w:szCs w:val="20"/>
                <w:color w:val="auto"/>
              </w:rPr>
              <w:t>368.3</w:t>
            </w:r>
          </w:p>
        </w:tc>
        <w:tc>
          <w:tcPr>
            <w:tcW w:w="340" w:type="dxa"/>
            <w:vAlign w:val="bottom"/>
            <w:tcBorders>
              <w:bottom w:val="single" w:sz="8" w:color="DBDBDB"/>
            </w:tcBorders>
            <w:shd w:val="clear" w:color="auto" w:fill="DBDBDB"/>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Borders>
              <w:bottom w:val="single" w:sz="8" w:color="DBDBDB"/>
            </w:tcBorders>
            <w:shd w:val="clear" w:color="auto" w:fill="DBDBDB"/>
          </w:tcPr>
          <w:p>
            <w:pPr>
              <w:jc w:val="right"/>
              <w:ind w:right="341"/>
              <w:spacing w:after="0" w:line="236" w:lineRule="exact"/>
              <w:rPr>
                <w:sz w:val="20"/>
                <w:szCs w:val="20"/>
                <w:color w:val="auto"/>
              </w:rPr>
            </w:pPr>
            <w:r>
              <w:rPr>
                <w:rFonts w:ascii="Calibri" w:cs="Calibri" w:eastAsia="Calibri" w:hAnsi="Calibri"/>
                <w:sz w:val="20"/>
                <w:szCs w:val="20"/>
                <w:color w:val="auto"/>
              </w:rPr>
              <w:t>204.2</w:t>
            </w:r>
          </w:p>
        </w:tc>
        <w:tc>
          <w:tcPr>
            <w:tcW w:w="1880" w:type="dxa"/>
            <w:vAlign w:val="bottom"/>
            <w:tcBorders>
              <w:bottom w:val="single" w:sz="8" w:color="DBDBDB"/>
            </w:tcBorders>
            <w:shd w:val="clear" w:color="auto" w:fill="DBDBDB"/>
          </w:tcPr>
          <w:p>
            <w:pPr>
              <w:jc w:val="center"/>
              <w:ind w:right="281"/>
              <w:spacing w:after="0" w:line="236" w:lineRule="exact"/>
              <w:rPr>
                <w:sz w:val="20"/>
                <w:szCs w:val="20"/>
                <w:color w:val="auto"/>
              </w:rPr>
            </w:pPr>
            <w:r>
              <w:rPr>
                <w:rFonts w:ascii="Calibri" w:cs="Calibri" w:eastAsia="Calibri" w:hAnsi="Calibri"/>
                <w:sz w:val="20"/>
                <w:szCs w:val="20"/>
                <w:color w:val="auto"/>
              </w:rPr>
              <w:t>80.4%</w:t>
            </w:r>
          </w:p>
        </w:tc>
      </w:tr>
      <w:tr>
        <w:trPr>
          <w:trHeight w:val="237"/>
        </w:trPr>
        <w:tc>
          <w:tcPr>
            <w:tcW w:w="3460" w:type="dxa"/>
            <w:vAlign w:val="bottom"/>
          </w:tcPr>
          <w:p>
            <w:pPr>
              <w:ind w:left="20"/>
              <w:spacing w:after="0" w:line="236" w:lineRule="exact"/>
              <w:rPr>
                <w:sz w:val="20"/>
                <w:szCs w:val="20"/>
                <w:color w:val="auto"/>
              </w:rPr>
            </w:pPr>
            <w:r>
              <w:rPr>
                <w:rFonts w:ascii="Calibri" w:cs="Calibri" w:eastAsia="Calibri" w:hAnsi="Calibri"/>
                <w:sz w:val="20"/>
                <w:szCs w:val="20"/>
                <w:color w:val="auto"/>
              </w:rPr>
              <w:t>Dividends paid</w:t>
            </w:r>
          </w:p>
        </w:tc>
        <w:tc>
          <w:tcPr>
            <w:tcW w:w="1300" w:type="dxa"/>
            <w:vAlign w:val="bottom"/>
          </w:tcPr>
          <w:p>
            <w:pPr>
              <w:jc w:val="right"/>
              <w:ind w:right="61"/>
              <w:spacing w:after="0" w:line="236" w:lineRule="exact"/>
              <w:rPr>
                <w:sz w:val="20"/>
                <w:szCs w:val="20"/>
                <w:color w:val="auto"/>
              </w:rPr>
            </w:pPr>
            <w:r>
              <w:rPr>
                <w:rFonts w:ascii="Calibri" w:cs="Calibri" w:eastAsia="Calibri" w:hAnsi="Calibri"/>
                <w:sz w:val="20"/>
                <w:szCs w:val="20"/>
                <w:color w:val="auto"/>
              </w:rPr>
              <w:t>$</w:t>
            </w:r>
          </w:p>
        </w:tc>
        <w:tc>
          <w:tcPr>
            <w:tcW w:w="1940" w:type="dxa"/>
            <w:vAlign w:val="bottom"/>
          </w:tcPr>
          <w:p>
            <w:pPr>
              <w:jc w:val="right"/>
              <w:spacing w:after="0" w:line="236" w:lineRule="exact"/>
              <w:rPr>
                <w:sz w:val="20"/>
                <w:szCs w:val="20"/>
                <w:color w:val="auto"/>
              </w:rPr>
            </w:pPr>
            <w:r>
              <w:rPr>
                <w:rFonts w:ascii="Calibri" w:cs="Calibri" w:eastAsia="Calibri" w:hAnsi="Calibri"/>
                <w:sz w:val="20"/>
                <w:szCs w:val="20"/>
                <w:color w:val="auto"/>
              </w:rPr>
              <w:t>31.5</w:t>
            </w:r>
          </w:p>
        </w:tc>
        <w:tc>
          <w:tcPr>
            <w:tcW w:w="340" w:type="dxa"/>
            <w:vAlign w:val="bottom"/>
          </w:tcPr>
          <w:p>
            <w:pPr>
              <w:jc w:val="right"/>
              <w:ind w:right="101"/>
              <w:spacing w:after="0" w:line="236" w:lineRule="exact"/>
              <w:rPr>
                <w:sz w:val="20"/>
                <w:szCs w:val="20"/>
                <w:color w:val="auto"/>
              </w:rPr>
            </w:pPr>
            <w:r>
              <w:rPr>
                <w:rFonts w:ascii="Calibri" w:cs="Calibri" w:eastAsia="Calibri" w:hAnsi="Calibri"/>
                <w:sz w:val="20"/>
                <w:szCs w:val="20"/>
                <w:color w:val="auto"/>
              </w:rPr>
              <w:t>$</w:t>
            </w:r>
          </w:p>
        </w:tc>
        <w:tc>
          <w:tcPr>
            <w:tcW w:w="2320" w:type="dxa"/>
            <w:vAlign w:val="bottom"/>
          </w:tcPr>
          <w:p>
            <w:pPr>
              <w:jc w:val="right"/>
              <w:ind w:right="341"/>
              <w:spacing w:after="0" w:line="236" w:lineRule="exact"/>
              <w:rPr>
                <w:sz w:val="20"/>
                <w:szCs w:val="20"/>
                <w:color w:val="auto"/>
              </w:rPr>
            </w:pPr>
            <w:r>
              <w:rPr>
                <w:rFonts w:ascii="Calibri" w:cs="Calibri" w:eastAsia="Calibri" w:hAnsi="Calibri"/>
                <w:sz w:val="20"/>
                <w:szCs w:val="20"/>
                <w:color w:val="auto"/>
              </w:rPr>
              <w:t>27.2</w:t>
            </w:r>
          </w:p>
        </w:tc>
        <w:tc>
          <w:tcPr>
            <w:tcW w:w="1880" w:type="dxa"/>
            <w:vAlign w:val="bottom"/>
          </w:tcPr>
          <w:p>
            <w:pPr>
              <w:jc w:val="center"/>
              <w:ind w:right="281"/>
              <w:spacing w:after="0" w:line="236" w:lineRule="exact"/>
              <w:rPr>
                <w:sz w:val="20"/>
                <w:szCs w:val="20"/>
                <w:color w:val="auto"/>
              </w:rPr>
            </w:pPr>
            <w:r>
              <w:rPr>
                <w:rFonts w:ascii="Calibri" w:cs="Calibri" w:eastAsia="Calibri" w:hAnsi="Calibri"/>
                <w:sz w:val="20"/>
                <w:szCs w:val="20"/>
                <w:color w:val="auto"/>
              </w:rPr>
              <w:t>15.8%</w:t>
            </w:r>
          </w:p>
        </w:tc>
      </w:tr>
    </w:tbl>
    <w:p>
      <w:pPr>
        <w:spacing w:after="0" w:line="3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Subsequent to the end of fiscal year 2024, on March 6, 2025, Academy announced its Board of Directors declared a quarterly cash dividend with respect to the quarter ended February 1, 2025, of $0.13 per share of common stock. This is a 18% increase from the previous quarterly dividend payment. The dividend is payable on April 17, 2025, to stockholders of record as of the close of business on March 25,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Academy opened five new stores during the fourth quarter for a total of 16 new stores in 2024. In 2025, the Company plans on opening 20-25 new stores.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Academy Store Footprint Update</w:t>
      </w:r>
    </w:p>
    <w:p>
      <w:pPr>
        <w:spacing w:after="0" w:line="286" w:lineRule="exact"/>
        <w:rPr>
          <w:sz w:val="20"/>
          <w:szCs w:val="20"/>
          <w:color w:val="auto"/>
        </w:rPr>
      </w:pPr>
    </w:p>
    <w:tbl>
      <w:tblPr>
        <w:tblLayout w:type="fixed"/>
        <w:tblInd w:w="800" w:type="dxa"/>
        <w:tblCellMar>
          <w:top w:w="0" w:type="dxa"/>
          <w:left w:w="0" w:type="dxa"/>
          <w:bottom w:w="0" w:type="dxa"/>
          <w:right w:w="0" w:type="dxa"/>
        </w:tblCellMar>
      </w:tblPr>
      <w:tr>
        <w:trPr>
          <w:trHeight w:val="244"/>
        </w:trPr>
        <w:tc>
          <w:tcPr>
            <w:tcW w:w="1560" w:type="dxa"/>
            <w:vAlign w:val="bottom"/>
            <w:shd w:val="clear" w:color="auto" w:fill="0E32E1"/>
          </w:tcPr>
          <w:p>
            <w:pPr>
              <w:spacing w:after="0"/>
              <w:rPr>
                <w:sz w:val="21"/>
                <w:szCs w:val="21"/>
                <w:color w:val="auto"/>
              </w:rPr>
            </w:pPr>
          </w:p>
        </w:tc>
        <w:tc>
          <w:tcPr>
            <w:tcW w:w="2320" w:type="dxa"/>
            <w:vAlign w:val="bottom"/>
            <w:shd w:val="clear" w:color="auto" w:fill="0E32E1"/>
          </w:tcPr>
          <w:p>
            <w:pPr>
              <w:jc w:val="center"/>
              <w:ind w:left="201"/>
              <w:spacing w:after="0"/>
              <w:rPr>
                <w:sz w:val="20"/>
                <w:szCs w:val="20"/>
                <w:color w:val="auto"/>
              </w:rPr>
            </w:pPr>
            <w:r>
              <w:rPr>
                <w:rFonts w:ascii="Calibri" w:cs="Calibri" w:eastAsia="Calibri" w:hAnsi="Calibri"/>
                <w:sz w:val="20"/>
                <w:szCs w:val="20"/>
                <w:color w:val="FFFFFF"/>
                <w:w w:val="99"/>
              </w:rPr>
              <w:t>Total stores open at</w:t>
            </w:r>
          </w:p>
        </w:tc>
        <w:tc>
          <w:tcPr>
            <w:tcW w:w="1900" w:type="dxa"/>
            <w:vAlign w:val="bottom"/>
            <w:shd w:val="clear" w:color="auto" w:fill="0E32E1"/>
          </w:tcPr>
          <w:p>
            <w:pPr>
              <w:jc w:val="center"/>
              <w:spacing w:after="0"/>
              <w:rPr>
                <w:sz w:val="20"/>
                <w:szCs w:val="20"/>
                <w:color w:val="auto"/>
              </w:rPr>
            </w:pPr>
            <w:r>
              <w:rPr>
                <w:rFonts w:ascii="Calibri" w:cs="Calibri" w:eastAsia="Calibri" w:hAnsi="Calibri"/>
                <w:sz w:val="20"/>
                <w:szCs w:val="20"/>
                <w:color w:val="FFFFFF"/>
              </w:rPr>
              <w:t>Number of stores</w:t>
            </w:r>
          </w:p>
        </w:tc>
        <w:tc>
          <w:tcPr>
            <w:tcW w:w="1900" w:type="dxa"/>
            <w:vAlign w:val="bottom"/>
            <w:shd w:val="clear" w:color="auto" w:fill="0E32E1"/>
          </w:tcPr>
          <w:p>
            <w:pPr>
              <w:jc w:val="center"/>
              <w:spacing w:after="0"/>
              <w:rPr>
                <w:sz w:val="20"/>
                <w:szCs w:val="20"/>
                <w:color w:val="auto"/>
              </w:rPr>
            </w:pPr>
            <w:r>
              <w:rPr>
                <w:rFonts w:ascii="Calibri" w:cs="Calibri" w:eastAsia="Calibri" w:hAnsi="Calibri"/>
                <w:sz w:val="20"/>
                <w:szCs w:val="20"/>
                <w:color w:val="FFFFFF"/>
              </w:rPr>
              <w:t>Number of stores</w:t>
            </w:r>
          </w:p>
        </w:tc>
        <w:tc>
          <w:tcPr>
            <w:tcW w:w="1980" w:type="dxa"/>
            <w:vAlign w:val="bottom"/>
            <w:shd w:val="clear" w:color="auto" w:fill="0E32E1"/>
          </w:tcPr>
          <w:p>
            <w:pPr>
              <w:spacing w:after="0"/>
              <w:rPr>
                <w:sz w:val="21"/>
                <w:szCs w:val="21"/>
                <w:color w:val="auto"/>
              </w:rPr>
            </w:pPr>
          </w:p>
        </w:tc>
      </w:tr>
      <w:tr>
        <w:trPr>
          <w:trHeight w:val="243"/>
        </w:trPr>
        <w:tc>
          <w:tcPr>
            <w:tcW w:w="1560" w:type="dxa"/>
            <w:vAlign w:val="bottom"/>
            <w:shd w:val="clear" w:color="auto" w:fill="0E32E1"/>
          </w:tcPr>
          <w:p>
            <w:pPr>
              <w:spacing w:after="0"/>
              <w:rPr>
                <w:sz w:val="21"/>
                <w:szCs w:val="21"/>
                <w:color w:val="auto"/>
              </w:rPr>
            </w:pPr>
          </w:p>
        </w:tc>
        <w:tc>
          <w:tcPr>
            <w:tcW w:w="2320" w:type="dxa"/>
            <w:vAlign w:val="bottom"/>
            <w:shd w:val="clear" w:color="auto" w:fill="0E32E1"/>
          </w:tcPr>
          <w:p>
            <w:pPr>
              <w:jc w:val="center"/>
              <w:ind w:left="201"/>
              <w:spacing w:after="0" w:line="234" w:lineRule="exact"/>
              <w:rPr>
                <w:sz w:val="20"/>
                <w:szCs w:val="20"/>
                <w:color w:val="auto"/>
              </w:rPr>
            </w:pPr>
            <w:r>
              <w:rPr>
                <w:rFonts w:ascii="Calibri" w:cs="Calibri" w:eastAsia="Calibri" w:hAnsi="Calibri"/>
                <w:sz w:val="20"/>
                <w:szCs w:val="20"/>
                <w:color w:val="FFFFFF"/>
              </w:rPr>
              <w:t>beginning of the</w:t>
            </w:r>
          </w:p>
        </w:tc>
        <w:tc>
          <w:tcPr>
            <w:tcW w:w="1900" w:type="dxa"/>
            <w:vAlign w:val="bottom"/>
            <w:shd w:val="clear" w:color="auto" w:fill="0E32E1"/>
          </w:tcPr>
          <w:p>
            <w:pPr>
              <w:jc w:val="center"/>
              <w:spacing w:after="0" w:line="234" w:lineRule="exact"/>
              <w:rPr>
                <w:sz w:val="20"/>
                <w:szCs w:val="20"/>
                <w:color w:val="auto"/>
              </w:rPr>
            </w:pPr>
            <w:r>
              <w:rPr>
                <w:rFonts w:ascii="Calibri" w:cs="Calibri" w:eastAsia="Calibri" w:hAnsi="Calibri"/>
                <w:sz w:val="20"/>
                <w:szCs w:val="20"/>
                <w:color w:val="FFFFFF"/>
              </w:rPr>
              <w:t>opened during the</w:t>
            </w:r>
          </w:p>
        </w:tc>
        <w:tc>
          <w:tcPr>
            <w:tcW w:w="1900" w:type="dxa"/>
            <w:vAlign w:val="bottom"/>
            <w:shd w:val="clear" w:color="auto" w:fill="0E32E1"/>
          </w:tcPr>
          <w:p>
            <w:pPr>
              <w:jc w:val="center"/>
              <w:spacing w:after="0" w:line="234" w:lineRule="exact"/>
              <w:rPr>
                <w:sz w:val="20"/>
                <w:szCs w:val="20"/>
                <w:color w:val="auto"/>
              </w:rPr>
            </w:pPr>
            <w:r>
              <w:rPr>
                <w:rFonts w:ascii="Calibri" w:cs="Calibri" w:eastAsia="Calibri" w:hAnsi="Calibri"/>
                <w:sz w:val="20"/>
                <w:szCs w:val="20"/>
                <w:color w:val="FFFFFF"/>
              </w:rPr>
              <w:t>closed during the</w:t>
            </w:r>
          </w:p>
        </w:tc>
        <w:tc>
          <w:tcPr>
            <w:tcW w:w="1980" w:type="dxa"/>
            <w:vAlign w:val="bottom"/>
            <w:shd w:val="clear" w:color="auto" w:fill="0E32E1"/>
          </w:tcPr>
          <w:p>
            <w:pPr>
              <w:jc w:val="center"/>
              <w:spacing w:after="0" w:line="243" w:lineRule="exact"/>
              <w:rPr>
                <w:sz w:val="20"/>
                <w:szCs w:val="20"/>
                <w:color w:val="auto"/>
              </w:rPr>
            </w:pPr>
            <w:r>
              <w:rPr>
                <w:rFonts w:ascii="Calibri" w:cs="Calibri" w:eastAsia="Calibri" w:hAnsi="Calibri"/>
                <w:sz w:val="20"/>
                <w:szCs w:val="20"/>
                <w:color w:val="FFFFFF"/>
                <w:w w:val="99"/>
              </w:rPr>
              <w:t>Total stores open at</w:t>
            </w:r>
          </w:p>
        </w:tc>
      </w:tr>
      <w:tr>
        <w:trPr>
          <w:trHeight w:val="274"/>
        </w:trPr>
        <w:tc>
          <w:tcPr>
            <w:tcW w:w="1560" w:type="dxa"/>
            <w:vAlign w:val="bottom"/>
            <w:tcBorders>
              <w:bottom w:val="single" w:sz="8" w:color="0E32E1"/>
            </w:tcBorders>
            <w:shd w:val="clear" w:color="auto" w:fill="0E32E1"/>
          </w:tcPr>
          <w:p>
            <w:pPr>
              <w:spacing w:after="0" w:line="234" w:lineRule="exact"/>
              <w:rPr>
                <w:sz w:val="20"/>
                <w:szCs w:val="20"/>
                <w:color w:val="auto"/>
              </w:rPr>
            </w:pPr>
            <w:r>
              <w:rPr>
                <w:rFonts w:ascii="Calibri" w:cs="Calibri" w:eastAsia="Calibri" w:hAnsi="Calibri"/>
                <w:sz w:val="20"/>
                <w:szCs w:val="20"/>
                <w:color w:val="FFFFFF"/>
              </w:rPr>
              <w:t>Fiscal 2024</w:t>
            </w:r>
          </w:p>
        </w:tc>
        <w:tc>
          <w:tcPr>
            <w:tcW w:w="2320" w:type="dxa"/>
            <w:vAlign w:val="bottom"/>
            <w:tcBorders>
              <w:bottom w:val="single" w:sz="8" w:color="0E32E1"/>
            </w:tcBorders>
            <w:shd w:val="clear" w:color="auto" w:fill="0E32E1"/>
          </w:tcPr>
          <w:p>
            <w:pPr>
              <w:jc w:val="center"/>
              <w:ind w:left="201"/>
              <w:spacing w:after="0" w:line="234" w:lineRule="exact"/>
              <w:rPr>
                <w:sz w:val="20"/>
                <w:szCs w:val="20"/>
                <w:color w:val="auto"/>
              </w:rPr>
            </w:pPr>
            <w:r>
              <w:rPr>
                <w:rFonts w:ascii="Calibri" w:cs="Calibri" w:eastAsia="Calibri" w:hAnsi="Calibri"/>
                <w:sz w:val="20"/>
                <w:szCs w:val="20"/>
                <w:color w:val="FFFFFF"/>
              </w:rPr>
              <w:t>quarter</w:t>
            </w:r>
          </w:p>
        </w:tc>
        <w:tc>
          <w:tcPr>
            <w:tcW w:w="1900" w:type="dxa"/>
            <w:vAlign w:val="bottom"/>
            <w:tcBorders>
              <w:bottom w:val="single" w:sz="8" w:color="0E32E1"/>
            </w:tcBorders>
            <w:shd w:val="clear" w:color="auto" w:fill="0E32E1"/>
          </w:tcPr>
          <w:p>
            <w:pPr>
              <w:jc w:val="center"/>
              <w:spacing w:after="0" w:line="234" w:lineRule="exact"/>
              <w:rPr>
                <w:sz w:val="20"/>
                <w:szCs w:val="20"/>
                <w:color w:val="auto"/>
              </w:rPr>
            </w:pPr>
            <w:r>
              <w:rPr>
                <w:rFonts w:ascii="Calibri" w:cs="Calibri" w:eastAsia="Calibri" w:hAnsi="Calibri"/>
                <w:sz w:val="20"/>
                <w:szCs w:val="20"/>
                <w:color w:val="FFFFFF"/>
              </w:rPr>
              <w:t>quarter</w:t>
            </w:r>
          </w:p>
        </w:tc>
        <w:tc>
          <w:tcPr>
            <w:tcW w:w="1900" w:type="dxa"/>
            <w:vAlign w:val="bottom"/>
            <w:tcBorders>
              <w:bottom w:val="single" w:sz="8" w:color="0E32E1"/>
            </w:tcBorders>
            <w:shd w:val="clear" w:color="auto" w:fill="0E32E1"/>
          </w:tcPr>
          <w:p>
            <w:pPr>
              <w:jc w:val="center"/>
              <w:spacing w:after="0" w:line="234" w:lineRule="exact"/>
              <w:rPr>
                <w:sz w:val="20"/>
                <w:szCs w:val="20"/>
                <w:color w:val="auto"/>
              </w:rPr>
            </w:pPr>
            <w:r>
              <w:rPr>
                <w:rFonts w:ascii="Calibri" w:cs="Calibri" w:eastAsia="Calibri" w:hAnsi="Calibri"/>
                <w:sz w:val="20"/>
                <w:szCs w:val="20"/>
                <w:color w:val="FFFFFF"/>
                <w:w w:val="97"/>
              </w:rPr>
              <w:t>quarter</w:t>
            </w:r>
          </w:p>
        </w:tc>
        <w:tc>
          <w:tcPr>
            <w:tcW w:w="1980" w:type="dxa"/>
            <w:vAlign w:val="bottom"/>
            <w:tcBorders>
              <w:bottom w:val="single" w:sz="8" w:color="0E32E1"/>
            </w:tcBorders>
            <w:shd w:val="clear" w:color="auto" w:fill="0E32E1"/>
          </w:tcPr>
          <w:p>
            <w:pPr>
              <w:jc w:val="center"/>
              <w:spacing w:after="0" w:line="234" w:lineRule="exact"/>
              <w:rPr>
                <w:sz w:val="20"/>
                <w:szCs w:val="20"/>
                <w:color w:val="auto"/>
              </w:rPr>
            </w:pPr>
            <w:r>
              <w:rPr>
                <w:rFonts w:ascii="Calibri" w:cs="Calibri" w:eastAsia="Calibri" w:hAnsi="Calibri"/>
                <w:sz w:val="20"/>
                <w:szCs w:val="20"/>
                <w:color w:val="FFFFFF"/>
              </w:rPr>
              <w:t>end of quarter</w:t>
            </w:r>
          </w:p>
        </w:tc>
      </w:tr>
      <w:tr>
        <w:trPr>
          <w:trHeight w:val="237"/>
        </w:trPr>
        <w:tc>
          <w:tcPr>
            <w:tcW w:w="1560" w:type="dxa"/>
            <w:vAlign w:val="bottom"/>
            <w:shd w:val="clear" w:color="auto" w:fill="DBDBDB"/>
          </w:tcPr>
          <w:p>
            <w:pPr>
              <w:spacing w:after="0" w:line="236" w:lineRule="exact"/>
              <w:rPr>
                <w:sz w:val="20"/>
                <w:szCs w:val="20"/>
                <w:color w:val="auto"/>
              </w:rPr>
            </w:pPr>
            <w:r>
              <w:rPr>
                <w:rFonts w:ascii="Calibri" w:cs="Calibri" w:eastAsia="Calibri" w:hAnsi="Calibri"/>
                <w:sz w:val="20"/>
                <w:szCs w:val="20"/>
                <w:color w:val="auto"/>
              </w:rPr>
              <w:t>1st Quarter</w:t>
            </w:r>
          </w:p>
        </w:tc>
        <w:tc>
          <w:tcPr>
            <w:tcW w:w="2320" w:type="dxa"/>
            <w:vAlign w:val="bottom"/>
            <w:shd w:val="clear" w:color="auto" w:fill="DBDBDB"/>
          </w:tcPr>
          <w:p>
            <w:pPr>
              <w:jc w:val="center"/>
              <w:ind w:left="201"/>
              <w:spacing w:after="0" w:line="236" w:lineRule="exact"/>
              <w:rPr>
                <w:sz w:val="20"/>
                <w:szCs w:val="20"/>
                <w:color w:val="auto"/>
              </w:rPr>
            </w:pPr>
            <w:r>
              <w:rPr>
                <w:rFonts w:ascii="Calibri" w:cs="Calibri" w:eastAsia="Calibri" w:hAnsi="Calibri"/>
                <w:sz w:val="20"/>
                <w:szCs w:val="20"/>
                <w:color w:val="auto"/>
                <w:w w:val="98"/>
              </w:rPr>
              <w:t>282</w:t>
            </w:r>
          </w:p>
        </w:tc>
        <w:tc>
          <w:tcPr>
            <w:tcW w:w="190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8"/>
              </w:rPr>
              <w:t>2</w:t>
            </w:r>
          </w:p>
        </w:tc>
        <w:tc>
          <w:tcPr>
            <w:tcW w:w="190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8"/>
              </w:rPr>
              <w:t>284</w:t>
            </w:r>
          </w:p>
        </w:tc>
      </w:tr>
      <w:tr>
        <w:trPr>
          <w:trHeight w:val="60"/>
        </w:trPr>
        <w:tc>
          <w:tcPr>
            <w:tcW w:w="1560" w:type="dxa"/>
            <w:vAlign w:val="bottom"/>
            <w:shd w:val="clear" w:color="auto" w:fill="DBDBDB"/>
          </w:tcPr>
          <w:p>
            <w:pPr>
              <w:spacing w:after="0"/>
              <w:rPr>
                <w:sz w:val="5"/>
                <w:szCs w:val="5"/>
                <w:color w:val="auto"/>
              </w:rPr>
            </w:pPr>
          </w:p>
        </w:tc>
        <w:tc>
          <w:tcPr>
            <w:tcW w:w="2320" w:type="dxa"/>
            <w:vAlign w:val="bottom"/>
            <w:shd w:val="clear" w:color="auto" w:fill="DBDBDB"/>
          </w:tcPr>
          <w:p>
            <w:pPr>
              <w:spacing w:after="0"/>
              <w:rPr>
                <w:sz w:val="5"/>
                <w:szCs w:val="5"/>
                <w:color w:val="auto"/>
              </w:rPr>
            </w:pPr>
          </w:p>
        </w:tc>
        <w:tc>
          <w:tcPr>
            <w:tcW w:w="1900" w:type="dxa"/>
            <w:vAlign w:val="bottom"/>
            <w:shd w:val="clear" w:color="auto" w:fill="DBDBDB"/>
          </w:tcPr>
          <w:p>
            <w:pPr>
              <w:spacing w:after="0"/>
              <w:rPr>
                <w:sz w:val="5"/>
                <w:szCs w:val="5"/>
                <w:color w:val="auto"/>
              </w:rPr>
            </w:pPr>
          </w:p>
        </w:tc>
        <w:tc>
          <w:tcPr>
            <w:tcW w:w="1900" w:type="dxa"/>
            <w:vAlign w:val="bottom"/>
            <w:shd w:val="clear" w:color="auto" w:fill="DBDBDB"/>
          </w:tcPr>
          <w:p>
            <w:pPr>
              <w:spacing w:after="0"/>
              <w:rPr>
                <w:sz w:val="5"/>
                <w:szCs w:val="5"/>
                <w:color w:val="auto"/>
              </w:rPr>
            </w:pPr>
          </w:p>
        </w:tc>
        <w:tc>
          <w:tcPr>
            <w:tcW w:w="1980" w:type="dxa"/>
            <w:vAlign w:val="bottom"/>
            <w:shd w:val="clear" w:color="auto" w:fill="DBDBDB"/>
          </w:tcPr>
          <w:p>
            <w:pPr>
              <w:spacing w:after="0"/>
              <w:rPr>
                <w:sz w:val="5"/>
                <w:szCs w:val="5"/>
                <w:color w:val="auto"/>
              </w:rPr>
            </w:pPr>
          </w:p>
        </w:tc>
      </w:tr>
      <w:tr>
        <w:trPr>
          <w:trHeight w:val="237"/>
        </w:trPr>
        <w:tc>
          <w:tcPr>
            <w:tcW w:w="1560" w:type="dxa"/>
            <w:vAlign w:val="bottom"/>
          </w:tcPr>
          <w:p>
            <w:pPr>
              <w:spacing w:after="0" w:line="236" w:lineRule="exact"/>
              <w:rPr>
                <w:sz w:val="20"/>
                <w:szCs w:val="20"/>
                <w:color w:val="auto"/>
              </w:rPr>
            </w:pPr>
            <w:r>
              <w:rPr>
                <w:rFonts w:ascii="Calibri" w:cs="Calibri" w:eastAsia="Calibri" w:hAnsi="Calibri"/>
                <w:sz w:val="20"/>
                <w:szCs w:val="20"/>
                <w:color w:val="auto"/>
              </w:rPr>
              <w:t>2nd Quarter</w:t>
            </w:r>
          </w:p>
        </w:tc>
        <w:tc>
          <w:tcPr>
            <w:tcW w:w="2320" w:type="dxa"/>
            <w:vAlign w:val="bottom"/>
          </w:tcPr>
          <w:p>
            <w:pPr>
              <w:jc w:val="center"/>
              <w:ind w:left="201"/>
              <w:spacing w:after="0" w:line="236" w:lineRule="exact"/>
              <w:rPr>
                <w:sz w:val="20"/>
                <w:szCs w:val="20"/>
                <w:color w:val="auto"/>
              </w:rPr>
            </w:pPr>
            <w:r>
              <w:rPr>
                <w:rFonts w:ascii="Calibri" w:cs="Calibri" w:eastAsia="Calibri" w:hAnsi="Calibri"/>
                <w:sz w:val="20"/>
                <w:szCs w:val="20"/>
                <w:color w:val="auto"/>
                <w:w w:val="98"/>
              </w:rPr>
              <w:t>284</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1</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285</w:t>
            </w:r>
          </w:p>
        </w:tc>
      </w:tr>
      <w:tr>
        <w:trPr>
          <w:trHeight w:val="60"/>
        </w:trPr>
        <w:tc>
          <w:tcPr>
            <w:tcW w:w="15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77"/>
        </w:trPr>
        <w:tc>
          <w:tcPr>
            <w:tcW w:w="1560" w:type="dxa"/>
            <w:vAlign w:val="bottom"/>
            <w:tcBorders>
              <w:bottom w:val="single" w:sz="8" w:color="DBDBDB"/>
            </w:tcBorders>
            <w:shd w:val="clear" w:color="auto" w:fill="DBDBDB"/>
          </w:tcPr>
          <w:p>
            <w:pPr>
              <w:spacing w:after="0" w:line="236" w:lineRule="exact"/>
              <w:rPr>
                <w:sz w:val="20"/>
                <w:szCs w:val="20"/>
                <w:color w:val="auto"/>
              </w:rPr>
            </w:pPr>
            <w:r>
              <w:rPr>
                <w:rFonts w:ascii="Calibri" w:cs="Calibri" w:eastAsia="Calibri" w:hAnsi="Calibri"/>
                <w:sz w:val="20"/>
                <w:szCs w:val="20"/>
                <w:color w:val="auto"/>
              </w:rPr>
              <w:t>3rd Quarter</w:t>
            </w:r>
          </w:p>
        </w:tc>
        <w:tc>
          <w:tcPr>
            <w:tcW w:w="2320" w:type="dxa"/>
            <w:vAlign w:val="bottom"/>
            <w:tcBorders>
              <w:bottom w:val="single" w:sz="8" w:color="DBDBDB"/>
            </w:tcBorders>
            <w:shd w:val="clear" w:color="auto" w:fill="DBDBDB"/>
          </w:tcPr>
          <w:p>
            <w:pPr>
              <w:jc w:val="center"/>
              <w:ind w:left="201"/>
              <w:spacing w:after="0" w:line="236" w:lineRule="exact"/>
              <w:rPr>
                <w:sz w:val="20"/>
                <w:szCs w:val="20"/>
                <w:color w:val="auto"/>
              </w:rPr>
            </w:pPr>
            <w:r>
              <w:rPr>
                <w:rFonts w:ascii="Calibri" w:cs="Calibri" w:eastAsia="Calibri" w:hAnsi="Calibri"/>
                <w:sz w:val="20"/>
                <w:szCs w:val="20"/>
                <w:color w:val="auto"/>
                <w:w w:val="98"/>
              </w:rPr>
              <w:t>285</w:t>
            </w:r>
          </w:p>
        </w:tc>
        <w:tc>
          <w:tcPr>
            <w:tcW w:w="190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8"/>
              </w:rPr>
              <w:t>8</w:t>
            </w:r>
          </w:p>
        </w:tc>
        <w:tc>
          <w:tcPr>
            <w:tcW w:w="190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8"/>
              </w:rPr>
              <w:t>293</w:t>
            </w:r>
          </w:p>
        </w:tc>
      </w:tr>
      <w:tr>
        <w:trPr>
          <w:trHeight w:val="237"/>
        </w:trPr>
        <w:tc>
          <w:tcPr>
            <w:tcW w:w="1560" w:type="dxa"/>
            <w:vAlign w:val="bottom"/>
          </w:tcPr>
          <w:p>
            <w:pPr>
              <w:spacing w:after="0" w:line="236" w:lineRule="exact"/>
              <w:rPr>
                <w:sz w:val="20"/>
                <w:szCs w:val="20"/>
                <w:color w:val="auto"/>
              </w:rPr>
            </w:pPr>
            <w:r>
              <w:rPr>
                <w:rFonts w:ascii="Calibri" w:cs="Calibri" w:eastAsia="Calibri" w:hAnsi="Calibri"/>
                <w:sz w:val="20"/>
                <w:szCs w:val="20"/>
                <w:color w:val="auto"/>
              </w:rPr>
              <w:t>4th Quarter</w:t>
            </w:r>
          </w:p>
        </w:tc>
        <w:tc>
          <w:tcPr>
            <w:tcW w:w="2320" w:type="dxa"/>
            <w:vAlign w:val="bottom"/>
          </w:tcPr>
          <w:p>
            <w:pPr>
              <w:jc w:val="center"/>
              <w:ind w:left="201"/>
              <w:spacing w:after="0" w:line="236" w:lineRule="exact"/>
              <w:rPr>
                <w:sz w:val="20"/>
                <w:szCs w:val="20"/>
                <w:color w:val="auto"/>
              </w:rPr>
            </w:pPr>
            <w:r>
              <w:rPr>
                <w:rFonts w:ascii="Calibri" w:cs="Calibri" w:eastAsia="Calibri" w:hAnsi="Calibri"/>
                <w:sz w:val="20"/>
                <w:szCs w:val="20"/>
                <w:color w:val="auto"/>
                <w:w w:val="98"/>
              </w:rPr>
              <w:t>293</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5</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Pr>
          <w:p>
            <w:pPr>
              <w:jc w:val="center"/>
              <w:spacing w:after="0" w:line="236" w:lineRule="exact"/>
              <w:rPr>
                <w:sz w:val="20"/>
                <w:szCs w:val="20"/>
                <w:color w:val="auto"/>
              </w:rPr>
            </w:pPr>
            <w:r>
              <w:rPr>
                <w:rFonts w:ascii="Calibri" w:cs="Calibri" w:eastAsia="Calibri" w:hAnsi="Calibri"/>
                <w:sz w:val="20"/>
                <w:szCs w:val="20"/>
                <w:color w:val="auto"/>
                <w:w w:val="98"/>
              </w:rPr>
              <w:t>298</w:t>
            </w:r>
          </w:p>
        </w:tc>
      </w:tr>
      <w:tr>
        <w:trPr>
          <w:trHeight w:val="411"/>
        </w:trPr>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7"/>
        </w:trPr>
        <w:tc>
          <w:tcPr>
            <w:tcW w:w="1560" w:type="dxa"/>
            <w:vAlign w:val="bottom"/>
            <w:shd w:val="clear" w:color="auto" w:fill="0E32E1"/>
          </w:tcPr>
          <w:p>
            <w:pPr>
              <w:spacing w:after="0"/>
              <w:rPr>
                <w:sz w:val="20"/>
                <w:szCs w:val="20"/>
                <w:color w:val="auto"/>
              </w:rPr>
            </w:pPr>
          </w:p>
        </w:tc>
        <w:tc>
          <w:tcPr>
            <w:tcW w:w="2320" w:type="dxa"/>
            <w:vAlign w:val="bottom"/>
            <w:shd w:val="clear" w:color="auto" w:fill="0E32E1"/>
          </w:tcPr>
          <w:p>
            <w:pPr>
              <w:jc w:val="center"/>
              <w:ind w:left="221"/>
              <w:spacing w:after="0" w:line="236" w:lineRule="exact"/>
              <w:rPr>
                <w:sz w:val="20"/>
                <w:szCs w:val="20"/>
                <w:color w:val="auto"/>
              </w:rPr>
            </w:pPr>
            <w:r>
              <w:rPr>
                <w:rFonts w:ascii="Calibri" w:cs="Calibri" w:eastAsia="Calibri" w:hAnsi="Calibri"/>
                <w:sz w:val="20"/>
                <w:szCs w:val="20"/>
                <w:color w:val="FFFFFF"/>
                <w:w w:val="99"/>
              </w:rPr>
              <w:t>Total gross square feet</w:t>
            </w:r>
          </w:p>
        </w:tc>
        <w:tc>
          <w:tcPr>
            <w:tcW w:w="1900" w:type="dxa"/>
            <w:vAlign w:val="bottom"/>
            <w:shd w:val="clear" w:color="auto" w:fill="0E32E1"/>
          </w:tcPr>
          <w:p>
            <w:pPr>
              <w:jc w:val="center"/>
              <w:spacing w:after="0" w:line="236" w:lineRule="exact"/>
              <w:rPr>
                <w:sz w:val="20"/>
                <w:szCs w:val="20"/>
                <w:color w:val="auto"/>
              </w:rPr>
            </w:pPr>
            <w:r>
              <w:rPr>
                <w:rFonts w:ascii="Calibri" w:cs="Calibri" w:eastAsia="Calibri" w:hAnsi="Calibri"/>
                <w:sz w:val="20"/>
                <w:szCs w:val="20"/>
                <w:color w:val="FFFFFF"/>
              </w:rPr>
              <w:t>Gross square feet for</w:t>
            </w:r>
          </w:p>
        </w:tc>
        <w:tc>
          <w:tcPr>
            <w:tcW w:w="1900" w:type="dxa"/>
            <w:vAlign w:val="bottom"/>
            <w:shd w:val="clear" w:color="auto" w:fill="0E32E1"/>
          </w:tcPr>
          <w:p>
            <w:pPr>
              <w:jc w:val="center"/>
              <w:spacing w:after="0" w:line="236" w:lineRule="exact"/>
              <w:rPr>
                <w:sz w:val="20"/>
                <w:szCs w:val="20"/>
                <w:color w:val="auto"/>
              </w:rPr>
            </w:pPr>
            <w:r>
              <w:rPr>
                <w:rFonts w:ascii="Calibri" w:cs="Calibri" w:eastAsia="Calibri" w:hAnsi="Calibri"/>
                <w:sz w:val="20"/>
                <w:szCs w:val="20"/>
                <w:color w:val="FFFFFF"/>
              </w:rPr>
              <w:t>Gross square feet for</w:t>
            </w:r>
          </w:p>
        </w:tc>
        <w:tc>
          <w:tcPr>
            <w:tcW w:w="1980" w:type="dxa"/>
            <w:vAlign w:val="bottom"/>
            <w:shd w:val="clear" w:color="auto" w:fill="0E32E1"/>
          </w:tcPr>
          <w:p>
            <w:pPr>
              <w:jc w:val="center"/>
              <w:spacing w:after="0" w:line="236" w:lineRule="exact"/>
              <w:rPr>
                <w:sz w:val="20"/>
                <w:szCs w:val="20"/>
                <w:color w:val="auto"/>
              </w:rPr>
            </w:pPr>
            <w:r>
              <w:rPr>
                <w:rFonts w:ascii="Calibri" w:cs="Calibri" w:eastAsia="Calibri" w:hAnsi="Calibri"/>
                <w:sz w:val="20"/>
                <w:szCs w:val="20"/>
                <w:color w:val="FFFFFF"/>
                <w:w w:val="99"/>
              </w:rPr>
              <w:t>Total gross square feet</w:t>
            </w:r>
          </w:p>
        </w:tc>
      </w:tr>
      <w:tr>
        <w:trPr>
          <w:trHeight w:val="243"/>
        </w:trPr>
        <w:tc>
          <w:tcPr>
            <w:tcW w:w="1560" w:type="dxa"/>
            <w:vAlign w:val="bottom"/>
            <w:shd w:val="clear" w:color="auto" w:fill="0E32E1"/>
          </w:tcPr>
          <w:p>
            <w:pPr>
              <w:spacing w:after="0" w:line="243" w:lineRule="exact"/>
              <w:rPr>
                <w:sz w:val="20"/>
                <w:szCs w:val="20"/>
                <w:color w:val="auto"/>
              </w:rPr>
            </w:pPr>
            <w:r>
              <w:rPr>
                <w:rFonts w:ascii="Calibri" w:cs="Calibri" w:eastAsia="Calibri" w:hAnsi="Calibri"/>
                <w:sz w:val="20"/>
                <w:szCs w:val="20"/>
                <w:color w:val="FFFFFF"/>
              </w:rPr>
              <w:t>Fiscal 2024 (in</w:t>
            </w:r>
          </w:p>
        </w:tc>
        <w:tc>
          <w:tcPr>
            <w:tcW w:w="2320" w:type="dxa"/>
            <w:vAlign w:val="bottom"/>
            <w:shd w:val="clear" w:color="auto" w:fill="0E32E1"/>
          </w:tcPr>
          <w:p>
            <w:pPr>
              <w:jc w:val="center"/>
              <w:ind w:left="241"/>
              <w:spacing w:after="0" w:line="243" w:lineRule="exact"/>
              <w:rPr>
                <w:sz w:val="20"/>
                <w:szCs w:val="20"/>
                <w:color w:val="auto"/>
              </w:rPr>
            </w:pPr>
            <w:r>
              <w:rPr>
                <w:rFonts w:ascii="Calibri" w:cs="Calibri" w:eastAsia="Calibri" w:hAnsi="Calibri"/>
                <w:sz w:val="20"/>
                <w:szCs w:val="20"/>
                <w:color w:val="FFFFFF"/>
              </w:rPr>
              <w:t>open at beginning of</w:t>
            </w:r>
          </w:p>
        </w:tc>
        <w:tc>
          <w:tcPr>
            <w:tcW w:w="1900" w:type="dxa"/>
            <w:vAlign w:val="bottom"/>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stores opened during</w:t>
            </w:r>
          </w:p>
        </w:tc>
        <w:tc>
          <w:tcPr>
            <w:tcW w:w="1900" w:type="dxa"/>
            <w:vAlign w:val="bottom"/>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stores closed during</w:t>
            </w:r>
          </w:p>
        </w:tc>
        <w:tc>
          <w:tcPr>
            <w:tcW w:w="1980" w:type="dxa"/>
            <w:vAlign w:val="bottom"/>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at the end of the</w:t>
            </w:r>
          </w:p>
        </w:tc>
      </w:tr>
      <w:tr>
        <w:trPr>
          <w:trHeight w:val="270"/>
        </w:trPr>
        <w:tc>
          <w:tcPr>
            <w:tcW w:w="1560" w:type="dxa"/>
            <w:vAlign w:val="bottom"/>
            <w:tcBorders>
              <w:bottom w:val="single" w:sz="8" w:color="0E32E1"/>
            </w:tcBorders>
            <w:shd w:val="clear" w:color="auto" w:fill="0E32E1"/>
          </w:tcPr>
          <w:p>
            <w:pPr>
              <w:spacing w:after="0" w:line="243" w:lineRule="exact"/>
              <w:rPr>
                <w:sz w:val="20"/>
                <w:szCs w:val="20"/>
                <w:color w:val="auto"/>
              </w:rPr>
            </w:pPr>
            <w:r>
              <w:rPr>
                <w:rFonts w:ascii="Calibri" w:cs="Calibri" w:eastAsia="Calibri" w:hAnsi="Calibri"/>
                <w:sz w:val="20"/>
                <w:szCs w:val="20"/>
                <w:color w:val="FFFFFF"/>
              </w:rPr>
              <w:t>thousands)</w:t>
            </w:r>
          </w:p>
        </w:tc>
        <w:tc>
          <w:tcPr>
            <w:tcW w:w="2320" w:type="dxa"/>
            <w:vAlign w:val="bottom"/>
            <w:tcBorders>
              <w:bottom w:val="single" w:sz="8" w:color="0E32E1"/>
            </w:tcBorders>
            <w:shd w:val="clear" w:color="auto" w:fill="0E32E1"/>
          </w:tcPr>
          <w:p>
            <w:pPr>
              <w:jc w:val="center"/>
              <w:ind w:left="241"/>
              <w:spacing w:after="0" w:line="243" w:lineRule="exact"/>
              <w:rPr>
                <w:sz w:val="20"/>
                <w:szCs w:val="20"/>
                <w:color w:val="auto"/>
              </w:rPr>
            </w:pPr>
            <w:r>
              <w:rPr>
                <w:rFonts w:ascii="Calibri" w:cs="Calibri" w:eastAsia="Calibri" w:hAnsi="Calibri"/>
                <w:sz w:val="20"/>
                <w:szCs w:val="20"/>
                <w:color w:val="FFFFFF"/>
              </w:rPr>
              <w:t>the quarter</w:t>
            </w:r>
          </w:p>
        </w:tc>
        <w:tc>
          <w:tcPr>
            <w:tcW w:w="1900" w:type="dxa"/>
            <w:vAlign w:val="bottom"/>
            <w:tcBorders>
              <w:bottom w:val="single" w:sz="8" w:color="0E32E1"/>
            </w:tcBorders>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the quarter</w:t>
            </w:r>
          </w:p>
        </w:tc>
        <w:tc>
          <w:tcPr>
            <w:tcW w:w="1900" w:type="dxa"/>
            <w:vAlign w:val="bottom"/>
            <w:tcBorders>
              <w:bottom w:val="single" w:sz="8" w:color="0E32E1"/>
            </w:tcBorders>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the quarter</w:t>
            </w:r>
          </w:p>
        </w:tc>
        <w:tc>
          <w:tcPr>
            <w:tcW w:w="1980" w:type="dxa"/>
            <w:vAlign w:val="bottom"/>
            <w:tcBorders>
              <w:bottom w:val="single" w:sz="8" w:color="0E32E1"/>
            </w:tcBorders>
            <w:shd w:val="clear" w:color="auto" w:fill="0E32E1"/>
          </w:tcPr>
          <w:p>
            <w:pPr>
              <w:jc w:val="center"/>
              <w:spacing w:after="0" w:line="243" w:lineRule="exact"/>
              <w:rPr>
                <w:sz w:val="20"/>
                <w:szCs w:val="20"/>
                <w:color w:val="auto"/>
              </w:rPr>
            </w:pPr>
            <w:r>
              <w:rPr>
                <w:rFonts w:ascii="Calibri" w:cs="Calibri" w:eastAsia="Calibri" w:hAnsi="Calibri"/>
                <w:sz w:val="20"/>
                <w:szCs w:val="20"/>
                <w:color w:val="FFFFFF"/>
              </w:rPr>
              <w:t>quarter</w:t>
            </w:r>
          </w:p>
        </w:tc>
      </w:tr>
      <w:tr>
        <w:trPr>
          <w:trHeight w:val="237"/>
        </w:trPr>
        <w:tc>
          <w:tcPr>
            <w:tcW w:w="1560" w:type="dxa"/>
            <w:vAlign w:val="bottom"/>
            <w:shd w:val="clear" w:color="auto" w:fill="DBDBDB"/>
          </w:tcPr>
          <w:p>
            <w:pPr>
              <w:spacing w:after="0" w:line="236" w:lineRule="exact"/>
              <w:rPr>
                <w:sz w:val="20"/>
                <w:szCs w:val="20"/>
                <w:color w:val="auto"/>
              </w:rPr>
            </w:pPr>
            <w:r>
              <w:rPr>
                <w:rFonts w:ascii="Calibri" w:cs="Calibri" w:eastAsia="Calibri" w:hAnsi="Calibri"/>
                <w:sz w:val="20"/>
                <w:szCs w:val="20"/>
                <w:color w:val="auto"/>
              </w:rPr>
              <w:t>1st Quarter</w:t>
            </w:r>
          </w:p>
        </w:tc>
        <w:tc>
          <w:tcPr>
            <w:tcW w:w="2320" w:type="dxa"/>
            <w:vAlign w:val="bottom"/>
            <w:shd w:val="clear" w:color="auto" w:fill="DBDBDB"/>
          </w:tcPr>
          <w:p>
            <w:pPr>
              <w:jc w:val="center"/>
              <w:ind w:left="221"/>
              <w:spacing w:after="0" w:line="236" w:lineRule="exact"/>
              <w:rPr>
                <w:sz w:val="20"/>
                <w:szCs w:val="20"/>
                <w:color w:val="auto"/>
              </w:rPr>
            </w:pPr>
            <w:r>
              <w:rPr>
                <w:rFonts w:ascii="Calibri" w:cs="Calibri" w:eastAsia="Calibri" w:hAnsi="Calibri"/>
                <w:sz w:val="20"/>
                <w:szCs w:val="20"/>
                <w:color w:val="auto"/>
              </w:rPr>
              <w:t>19,679</w:t>
            </w:r>
          </w:p>
        </w:tc>
        <w:tc>
          <w:tcPr>
            <w:tcW w:w="190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rPr>
              <w:t>121.9</w:t>
            </w:r>
          </w:p>
        </w:tc>
        <w:tc>
          <w:tcPr>
            <w:tcW w:w="190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shd w:val="clear" w:color="auto" w:fill="DBDBDB"/>
          </w:tcPr>
          <w:p>
            <w:pPr>
              <w:jc w:val="center"/>
              <w:spacing w:after="0" w:line="236" w:lineRule="exact"/>
              <w:rPr>
                <w:sz w:val="20"/>
                <w:szCs w:val="20"/>
                <w:color w:val="auto"/>
              </w:rPr>
            </w:pPr>
            <w:r>
              <w:rPr>
                <w:rFonts w:ascii="Calibri" w:cs="Calibri" w:eastAsia="Calibri" w:hAnsi="Calibri"/>
                <w:sz w:val="20"/>
                <w:szCs w:val="20"/>
                <w:color w:val="auto"/>
              </w:rPr>
              <w:t>19,801</w:t>
            </w:r>
          </w:p>
        </w:tc>
      </w:tr>
      <w:tr>
        <w:trPr>
          <w:trHeight w:val="60"/>
        </w:trPr>
        <w:tc>
          <w:tcPr>
            <w:tcW w:w="1560" w:type="dxa"/>
            <w:vAlign w:val="bottom"/>
            <w:shd w:val="clear" w:color="auto" w:fill="DBDBDB"/>
          </w:tcPr>
          <w:p>
            <w:pPr>
              <w:spacing w:after="0"/>
              <w:rPr>
                <w:sz w:val="5"/>
                <w:szCs w:val="5"/>
                <w:color w:val="auto"/>
              </w:rPr>
            </w:pPr>
          </w:p>
        </w:tc>
        <w:tc>
          <w:tcPr>
            <w:tcW w:w="2320" w:type="dxa"/>
            <w:vAlign w:val="bottom"/>
            <w:shd w:val="clear" w:color="auto" w:fill="DBDBDB"/>
          </w:tcPr>
          <w:p>
            <w:pPr>
              <w:spacing w:after="0"/>
              <w:rPr>
                <w:sz w:val="5"/>
                <w:szCs w:val="5"/>
                <w:color w:val="auto"/>
              </w:rPr>
            </w:pPr>
          </w:p>
        </w:tc>
        <w:tc>
          <w:tcPr>
            <w:tcW w:w="1900" w:type="dxa"/>
            <w:vAlign w:val="bottom"/>
            <w:shd w:val="clear" w:color="auto" w:fill="DBDBDB"/>
          </w:tcPr>
          <w:p>
            <w:pPr>
              <w:spacing w:after="0"/>
              <w:rPr>
                <w:sz w:val="5"/>
                <w:szCs w:val="5"/>
                <w:color w:val="auto"/>
              </w:rPr>
            </w:pPr>
          </w:p>
        </w:tc>
        <w:tc>
          <w:tcPr>
            <w:tcW w:w="1900" w:type="dxa"/>
            <w:vAlign w:val="bottom"/>
            <w:shd w:val="clear" w:color="auto" w:fill="DBDBDB"/>
          </w:tcPr>
          <w:p>
            <w:pPr>
              <w:spacing w:after="0"/>
              <w:rPr>
                <w:sz w:val="5"/>
                <w:szCs w:val="5"/>
                <w:color w:val="auto"/>
              </w:rPr>
            </w:pPr>
          </w:p>
        </w:tc>
        <w:tc>
          <w:tcPr>
            <w:tcW w:w="1980" w:type="dxa"/>
            <w:vAlign w:val="bottom"/>
            <w:shd w:val="clear" w:color="auto" w:fill="DBDBDB"/>
          </w:tcPr>
          <w:p>
            <w:pPr>
              <w:spacing w:after="0"/>
              <w:rPr>
                <w:sz w:val="5"/>
                <w:szCs w:val="5"/>
                <w:color w:val="auto"/>
              </w:rPr>
            </w:pPr>
          </w:p>
        </w:tc>
      </w:tr>
      <w:tr>
        <w:trPr>
          <w:trHeight w:val="237"/>
        </w:trPr>
        <w:tc>
          <w:tcPr>
            <w:tcW w:w="1560" w:type="dxa"/>
            <w:vAlign w:val="bottom"/>
          </w:tcPr>
          <w:p>
            <w:pPr>
              <w:spacing w:after="0" w:line="236" w:lineRule="exact"/>
              <w:rPr>
                <w:sz w:val="20"/>
                <w:szCs w:val="20"/>
                <w:color w:val="auto"/>
              </w:rPr>
            </w:pPr>
            <w:r>
              <w:rPr>
                <w:rFonts w:ascii="Calibri" w:cs="Calibri" w:eastAsia="Calibri" w:hAnsi="Calibri"/>
                <w:sz w:val="20"/>
                <w:szCs w:val="20"/>
                <w:color w:val="auto"/>
              </w:rPr>
              <w:t>2nd Quarter</w:t>
            </w:r>
          </w:p>
        </w:tc>
        <w:tc>
          <w:tcPr>
            <w:tcW w:w="2320" w:type="dxa"/>
            <w:vAlign w:val="bottom"/>
          </w:tcPr>
          <w:p>
            <w:pPr>
              <w:jc w:val="center"/>
              <w:ind w:left="221"/>
              <w:spacing w:after="0" w:line="236" w:lineRule="exact"/>
              <w:rPr>
                <w:sz w:val="20"/>
                <w:szCs w:val="20"/>
                <w:color w:val="auto"/>
              </w:rPr>
            </w:pPr>
            <w:r>
              <w:rPr>
                <w:rFonts w:ascii="Calibri" w:cs="Calibri" w:eastAsia="Calibri" w:hAnsi="Calibri"/>
                <w:sz w:val="20"/>
                <w:szCs w:val="20"/>
                <w:color w:val="auto"/>
              </w:rPr>
              <w:t>19,801</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rPr>
              <w:t>55.5</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Pr>
          <w:p>
            <w:pPr>
              <w:jc w:val="center"/>
              <w:spacing w:after="0" w:line="236" w:lineRule="exact"/>
              <w:rPr>
                <w:sz w:val="20"/>
                <w:szCs w:val="20"/>
                <w:color w:val="auto"/>
              </w:rPr>
            </w:pPr>
            <w:r>
              <w:rPr>
                <w:rFonts w:ascii="Calibri" w:cs="Calibri" w:eastAsia="Calibri" w:hAnsi="Calibri"/>
                <w:sz w:val="20"/>
                <w:szCs w:val="20"/>
                <w:color w:val="auto"/>
              </w:rPr>
              <w:t>19,857</w:t>
            </w:r>
          </w:p>
        </w:tc>
      </w:tr>
      <w:tr>
        <w:trPr>
          <w:trHeight w:val="60"/>
        </w:trPr>
        <w:tc>
          <w:tcPr>
            <w:tcW w:w="15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980" w:type="dxa"/>
            <w:vAlign w:val="bottom"/>
          </w:tcPr>
          <w:p>
            <w:pPr>
              <w:spacing w:after="0"/>
              <w:rPr>
                <w:sz w:val="5"/>
                <w:szCs w:val="5"/>
                <w:color w:val="auto"/>
              </w:rPr>
            </w:pPr>
          </w:p>
        </w:tc>
      </w:tr>
      <w:tr>
        <w:trPr>
          <w:trHeight w:val="277"/>
        </w:trPr>
        <w:tc>
          <w:tcPr>
            <w:tcW w:w="1560" w:type="dxa"/>
            <w:vAlign w:val="bottom"/>
            <w:tcBorders>
              <w:bottom w:val="single" w:sz="8" w:color="DBDBDB"/>
            </w:tcBorders>
            <w:shd w:val="clear" w:color="auto" w:fill="DBDBDB"/>
          </w:tcPr>
          <w:p>
            <w:pPr>
              <w:spacing w:after="0" w:line="236" w:lineRule="exact"/>
              <w:rPr>
                <w:sz w:val="20"/>
                <w:szCs w:val="20"/>
                <w:color w:val="auto"/>
              </w:rPr>
            </w:pPr>
            <w:r>
              <w:rPr>
                <w:rFonts w:ascii="Calibri" w:cs="Calibri" w:eastAsia="Calibri" w:hAnsi="Calibri"/>
                <w:sz w:val="20"/>
                <w:szCs w:val="20"/>
                <w:color w:val="auto"/>
              </w:rPr>
              <w:t>3rd Quarter</w:t>
            </w:r>
          </w:p>
        </w:tc>
        <w:tc>
          <w:tcPr>
            <w:tcW w:w="2320" w:type="dxa"/>
            <w:vAlign w:val="bottom"/>
            <w:tcBorders>
              <w:bottom w:val="single" w:sz="8" w:color="DBDBDB"/>
            </w:tcBorders>
            <w:shd w:val="clear" w:color="auto" w:fill="DBDBDB"/>
          </w:tcPr>
          <w:p>
            <w:pPr>
              <w:jc w:val="center"/>
              <w:ind w:left="221"/>
              <w:spacing w:after="0" w:line="236" w:lineRule="exact"/>
              <w:rPr>
                <w:sz w:val="20"/>
                <w:szCs w:val="20"/>
                <w:color w:val="auto"/>
              </w:rPr>
            </w:pPr>
            <w:r>
              <w:rPr>
                <w:rFonts w:ascii="Calibri" w:cs="Calibri" w:eastAsia="Calibri" w:hAnsi="Calibri"/>
                <w:sz w:val="20"/>
                <w:szCs w:val="20"/>
                <w:color w:val="auto"/>
              </w:rPr>
              <w:t>19,857</w:t>
            </w:r>
          </w:p>
        </w:tc>
        <w:tc>
          <w:tcPr>
            <w:tcW w:w="190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rPr>
              <w:t>443.6</w:t>
            </w:r>
          </w:p>
        </w:tc>
        <w:tc>
          <w:tcPr>
            <w:tcW w:w="190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Borders>
              <w:bottom w:val="single" w:sz="8" w:color="DBDBDB"/>
            </w:tcBorders>
            <w:shd w:val="clear" w:color="auto" w:fill="DBDBDB"/>
          </w:tcPr>
          <w:p>
            <w:pPr>
              <w:jc w:val="center"/>
              <w:spacing w:after="0" w:line="236" w:lineRule="exact"/>
              <w:rPr>
                <w:sz w:val="20"/>
                <w:szCs w:val="20"/>
                <w:color w:val="auto"/>
              </w:rPr>
            </w:pPr>
            <w:r>
              <w:rPr>
                <w:rFonts w:ascii="Calibri" w:cs="Calibri" w:eastAsia="Calibri" w:hAnsi="Calibri"/>
                <w:sz w:val="20"/>
                <w:szCs w:val="20"/>
                <w:color w:val="auto"/>
              </w:rPr>
              <w:t>20,300</w:t>
            </w:r>
          </w:p>
        </w:tc>
      </w:tr>
      <w:tr>
        <w:trPr>
          <w:trHeight w:val="237"/>
        </w:trPr>
        <w:tc>
          <w:tcPr>
            <w:tcW w:w="1560" w:type="dxa"/>
            <w:vAlign w:val="bottom"/>
          </w:tcPr>
          <w:p>
            <w:pPr>
              <w:spacing w:after="0" w:line="236" w:lineRule="exact"/>
              <w:rPr>
                <w:sz w:val="20"/>
                <w:szCs w:val="20"/>
                <w:color w:val="auto"/>
              </w:rPr>
            </w:pPr>
            <w:r>
              <w:rPr>
                <w:rFonts w:ascii="Calibri" w:cs="Calibri" w:eastAsia="Calibri" w:hAnsi="Calibri"/>
                <w:sz w:val="20"/>
                <w:szCs w:val="20"/>
                <w:color w:val="auto"/>
              </w:rPr>
              <w:t>4th Quarter</w:t>
            </w:r>
          </w:p>
        </w:tc>
        <w:tc>
          <w:tcPr>
            <w:tcW w:w="2320" w:type="dxa"/>
            <w:vAlign w:val="bottom"/>
          </w:tcPr>
          <w:p>
            <w:pPr>
              <w:jc w:val="center"/>
              <w:ind w:left="221"/>
              <w:spacing w:after="0" w:line="236" w:lineRule="exact"/>
              <w:rPr>
                <w:sz w:val="20"/>
                <w:szCs w:val="20"/>
                <w:color w:val="auto"/>
              </w:rPr>
            </w:pPr>
            <w:r>
              <w:rPr>
                <w:rFonts w:ascii="Calibri" w:cs="Calibri" w:eastAsia="Calibri" w:hAnsi="Calibri"/>
                <w:sz w:val="20"/>
                <w:szCs w:val="20"/>
                <w:color w:val="auto"/>
              </w:rPr>
              <w:t>20,300</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rPr>
              <w:t>304.3</w:t>
            </w:r>
          </w:p>
        </w:tc>
        <w:tc>
          <w:tcPr>
            <w:tcW w:w="1900" w:type="dxa"/>
            <w:vAlign w:val="bottom"/>
          </w:tcPr>
          <w:p>
            <w:pPr>
              <w:jc w:val="center"/>
              <w:spacing w:after="0" w:line="236" w:lineRule="exact"/>
              <w:rPr>
                <w:sz w:val="20"/>
                <w:szCs w:val="20"/>
                <w:color w:val="auto"/>
              </w:rPr>
            </w:pPr>
            <w:r>
              <w:rPr>
                <w:rFonts w:ascii="Calibri" w:cs="Calibri" w:eastAsia="Calibri" w:hAnsi="Calibri"/>
                <w:sz w:val="20"/>
                <w:szCs w:val="20"/>
                <w:color w:val="auto"/>
                <w:w w:val="99"/>
              </w:rPr>
              <w:t>—</w:t>
            </w:r>
          </w:p>
        </w:tc>
        <w:tc>
          <w:tcPr>
            <w:tcW w:w="1980" w:type="dxa"/>
            <w:vAlign w:val="bottom"/>
          </w:tcPr>
          <w:p>
            <w:pPr>
              <w:jc w:val="center"/>
              <w:spacing w:after="0" w:line="236" w:lineRule="exact"/>
              <w:rPr>
                <w:sz w:val="20"/>
                <w:szCs w:val="20"/>
                <w:color w:val="auto"/>
              </w:rPr>
            </w:pPr>
            <w:r>
              <w:rPr>
                <w:rFonts w:ascii="Calibri" w:cs="Calibri" w:eastAsia="Calibri" w:hAnsi="Calibri"/>
                <w:sz w:val="20"/>
                <w:szCs w:val="20"/>
                <w:color w:val="auto"/>
              </w:rPr>
              <w:t>20,604</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2025 Outlook</w:t>
      </w:r>
    </w:p>
    <w:p>
      <w:pPr>
        <w:ind w:right="80"/>
        <w:spacing w:after="0" w:line="237" w:lineRule="auto"/>
        <w:rPr>
          <w:sz w:val="20"/>
          <w:szCs w:val="20"/>
          <w:color w:val="auto"/>
        </w:rPr>
      </w:pPr>
      <w:r>
        <w:rPr>
          <w:rFonts w:ascii="Arial" w:cs="Arial" w:eastAsia="Arial" w:hAnsi="Arial"/>
          <w:sz w:val="18"/>
          <w:szCs w:val="18"/>
          <w:color w:val="auto"/>
        </w:rPr>
        <w:t>“The fourth quarter played out in-line with guidance, with customers relying on Academy to deliver value when it mattered most. Our profitability and cash flow from operations as a rate to sales is top quartile in retail. Our capital allocation mindset is unchanged, focusing on financial stability, investing into straight-forward growth strategies and returning value to shareholders through share buybacks and a modest dividend," stated Carl Ford, Executive Vice President and Chief Financial Officer. "We have seen sequential improvements in comp sales since the second quarter and we anticipate that will continue into 2025. We are focused on our long-range strategy of growing the Company by opening new stores, improving the omnichannel experience, investing in new brands while remaining committed to value, utilizing customer data more effectively and leveraging our supply chain. We will leverage our strong balance sheet and use our cash flows to invest into these strategies, because we expect them to drive our long-term success.”</w:t>
      </w:r>
    </w:p>
    <w:p>
      <w:pPr>
        <w:spacing w:after="0" w:line="27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expects the first quarter to be the most challenging from a sales and earnings per share prospective as they plan to open five stores and transition to the new Jordan floor set. They further expect their internal initiatives to start to</w:t>
      </w:r>
    </w:p>
    <w:p>
      <w:pPr>
        <w:sectPr>
          <w:pgSz w:w="11900" w:h="16838" w:orient="portrait"/>
          <w:cols w:equalWidth="0" w:num="1">
            <w:col w:w="11240"/>
          </w:cols>
          <w:pgMar w:left="320" w:top="932"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932" w:right="339" w:bottom="1440" w:gutter="0" w:footer="0" w:header="0"/>
          <w:type w:val="continuous"/>
        </w:sectPr>
      </w:pPr>
    </w:p>
    <w:bookmarkStart w:id="5" w:name="page6"/>
    <w:bookmarkEnd w:id="5"/>
    <w:p>
      <w:pPr>
        <w:jc w:val="both"/>
        <w:spacing w:after="0" w:line="271" w:lineRule="auto"/>
        <w:rPr>
          <w:sz w:val="20"/>
          <w:szCs w:val="20"/>
          <w:color w:val="auto"/>
        </w:rPr>
      </w:pPr>
      <w:r>
        <w:rPr>
          <w:rFonts w:ascii="Arial" w:cs="Arial" w:eastAsia="Arial" w:hAnsi="Arial"/>
          <w:sz w:val="18"/>
          <w:szCs w:val="18"/>
          <w:color w:val="auto"/>
        </w:rPr>
        <w:t>positively impact results beginning in the second quarter. Additionally, they expect the back half of the year to be stronger than the first half as their internal initiatives take hold.</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Academy is providing the following initial guidance for fiscal 2025 (year ending January 31, 2026). This guidance takes into account various factors, both internal and external, such as the expected benefits of the Company's growth initiatives, current consumer demand, the competitive environment, as well as the potential impacts from inflation and other economic risks. The earnings per share estimates do not include any potential future share repurchases and assume a tax rate of 22.0% to 23.0%.</w:t>
      </w:r>
    </w:p>
    <w:p>
      <w:pPr>
        <w:spacing w:after="0" w:line="223" w:lineRule="exact"/>
        <w:rPr>
          <w:sz w:val="20"/>
          <w:szCs w:val="20"/>
          <w:color w:val="auto"/>
        </w:rPr>
      </w:pPr>
    </w:p>
    <w:tbl>
      <w:tblPr>
        <w:tblLayout w:type="fixed"/>
        <w:tblInd w:w="850" w:type="dxa"/>
        <w:tblCellMar>
          <w:top w:w="0" w:type="dxa"/>
          <w:left w:w="0" w:type="dxa"/>
          <w:bottom w:w="0" w:type="dxa"/>
          <w:right w:w="0" w:type="dxa"/>
        </w:tblCellMar>
      </w:tblPr>
      <w:tr>
        <w:trPr>
          <w:trHeight w:val="207"/>
        </w:trPr>
        <w:tc>
          <w:tcPr>
            <w:tcW w:w="4300" w:type="dxa"/>
            <w:vAlign w:val="bottom"/>
            <w:tcBorders>
              <w:top w:val="single" w:sz="8" w:color="auto"/>
              <w:left w:val="single" w:sz="8" w:color="auto"/>
              <w:right w:val="single" w:sz="8" w:color="auto"/>
            </w:tcBorders>
            <w:shd w:val="clear" w:color="auto" w:fill="3051F2"/>
          </w:tcPr>
          <w:p>
            <w:pPr>
              <w:spacing w:after="0"/>
              <w:rPr>
                <w:sz w:val="17"/>
                <w:szCs w:val="17"/>
                <w:color w:val="auto"/>
              </w:rPr>
            </w:pPr>
          </w:p>
        </w:tc>
        <w:tc>
          <w:tcPr>
            <w:tcW w:w="2340" w:type="dxa"/>
            <w:vAlign w:val="bottom"/>
            <w:tcBorders>
              <w:top w:val="single" w:sz="8" w:color="auto"/>
              <w:right w:val="single" w:sz="8" w:color="auto"/>
            </w:tcBorders>
            <w:gridSpan w:val="2"/>
            <w:vMerge w:val="restart"/>
            <w:shd w:val="clear" w:color="auto" w:fill="3051F2"/>
          </w:tcPr>
          <w:p>
            <w:pPr>
              <w:jc w:val="right"/>
              <w:ind w:right="259"/>
              <w:spacing w:after="0"/>
              <w:rPr>
                <w:sz w:val="20"/>
                <w:szCs w:val="20"/>
                <w:color w:val="auto"/>
              </w:rPr>
            </w:pPr>
            <w:r>
              <w:rPr>
                <w:rFonts w:ascii="Arial" w:cs="Arial" w:eastAsia="Arial" w:hAnsi="Arial"/>
                <w:sz w:val="16"/>
                <w:szCs w:val="16"/>
                <w:b w:val="1"/>
                <w:bCs w:val="1"/>
                <w:color w:val="FFFFFF"/>
              </w:rPr>
              <w:t>Fiscal 2025 Guidance</w:t>
            </w:r>
          </w:p>
        </w:tc>
        <w:tc>
          <w:tcPr>
            <w:tcW w:w="1580" w:type="dxa"/>
            <w:vAlign w:val="bottom"/>
            <w:tcBorders>
              <w:top w:val="single" w:sz="8" w:color="auto"/>
            </w:tcBorders>
            <w:shd w:val="clear" w:color="auto" w:fill="3051F2"/>
          </w:tcPr>
          <w:p>
            <w:pPr>
              <w:spacing w:after="0"/>
              <w:rPr>
                <w:sz w:val="17"/>
                <w:szCs w:val="17"/>
                <w:color w:val="auto"/>
              </w:rPr>
            </w:pPr>
          </w:p>
        </w:tc>
        <w:tc>
          <w:tcPr>
            <w:tcW w:w="1380" w:type="dxa"/>
            <w:vAlign w:val="bottom"/>
            <w:tcBorders>
              <w:top w:val="single" w:sz="8" w:color="auto"/>
              <w:right w:val="single" w:sz="8" w:color="auto"/>
            </w:tcBorders>
            <w:shd w:val="clear" w:color="auto" w:fill="3051F2"/>
          </w:tcPr>
          <w:p>
            <w:pPr>
              <w:jc w:val="center"/>
              <w:spacing w:after="0"/>
              <w:rPr>
                <w:sz w:val="20"/>
                <w:szCs w:val="20"/>
                <w:color w:val="auto"/>
              </w:rPr>
            </w:pPr>
            <w:r>
              <w:rPr>
                <w:rFonts w:ascii="Arial" w:cs="Arial" w:eastAsia="Arial" w:hAnsi="Arial"/>
                <w:sz w:val="14"/>
                <w:szCs w:val="14"/>
                <w:b w:val="1"/>
                <w:bCs w:val="1"/>
                <w:color w:val="FFFFFF"/>
              </w:rPr>
              <w:t>change (at</w:t>
            </w: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shd w:val="clear" w:color="auto" w:fill="3051F2"/>
          </w:tcPr>
          <w:p>
            <w:pPr>
              <w:spacing w:after="0"/>
              <w:rPr>
                <w:sz w:val="17"/>
                <w:szCs w:val="17"/>
                <w:color w:val="auto"/>
              </w:rPr>
            </w:pPr>
          </w:p>
        </w:tc>
        <w:tc>
          <w:tcPr>
            <w:tcW w:w="2340" w:type="dxa"/>
            <w:vAlign w:val="bottom"/>
            <w:tcBorders>
              <w:right w:val="single" w:sz="8" w:color="auto"/>
            </w:tcBorders>
            <w:gridSpan w:val="2"/>
            <w:vMerge w:val="continue"/>
            <w:shd w:val="clear" w:color="auto" w:fill="3051F2"/>
          </w:tcPr>
          <w:p>
            <w:pPr>
              <w:spacing w:after="0"/>
              <w:rPr>
                <w:sz w:val="17"/>
                <w:szCs w:val="17"/>
                <w:color w:val="auto"/>
              </w:rPr>
            </w:pPr>
          </w:p>
        </w:tc>
        <w:tc>
          <w:tcPr>
            <w:tcW w:w="1580" w:type="dxa"/>
            <w:vAlign w:val="bottom"/>
            <w:shd w:val="clear" w:color="auto" w:fill="3051F2"/>
          </w:tcPr>
          <w:p>
            <w:pPr>
              <w:spacing w:after="0"/>
              <w:rPr>
                <w:sz w:val="17"/>
                <w:szCs w:val="17"/>
                <w:color w:val="auto"/>
              </w:rPr>
            </w:pPr>
          </w:p>
        </w:tc>
        <w:tc>
          <w:tcPr>
            <w:tcW w:w="1380" w:type="dxa"/>
            <w:vAlign w:val="bottom"/>
            <w:tcBorders>
              <w:right w:val="single" w:sz="8" w:color="auto"/>
            </w:tcBorders>
            <w:shd w:val="clear" w:color="auto" w:fill="3051F2"/>
          </w:tcPr>
          <w:p>
            <w:pPr>
              <w:jc w:val="center"/>
              <w:spacing w:after="0"/>
              <w:rPr>
                <w:sz w:val="20"/>
                <w:szCs w:val="20"/>
                <w:color w:val="auto"/>
              </w:rPr>
            </w:pPr>
            <w:r>
              <w:rPr>
                <w:rFonts w:ascii="Arial" w:cs="Arial" w:eastAsia="Arial" w:hAnsi="Arial"/>
                <w:sz w:val="14"/>
                <w:szCs w:val="14"/>
                <w:b w:val="1"/>
                <w:bCs w:val="1"/>
                <w:color w:val="FFFFFF"/>
              </w:rPr>
              <w:t>midpoint)</w:t>
            </w:r>
          </w:p>
        </w:tc>
        <w:tc>
          <w:tcPr>
            <w:tcW w:w="0" w:type="dxa"/>
            <w:vAlign w:val="bottom"/>
          </w:tcPr>
          <w:p>
            <w:pPr>
              <w:spacing w:after="0"/>
              <w:rPr>
                <w:sz w:val="1"/>
                <w:szCs w:val="1"/>
                <w:color w:val="auto"/>
              </w:rPr>
            </w:pPr>
          </w:p>
        </w:tc>
      </w:tr>
      <w:tr>
        <w:trPr>
          <w:trHeight w:val="260"/>
        </w:trPr>
        <w:tc>
          <w:tcPr>
            <w:tcW w:w="4300" w:type="dxa"/>
            <w:vAlign w:val="bottom"/>
            <w:tcBorders>
              <w:left w:val="single" w:sz="8" w:color="auto"/>
              <w:bottom w:val="single" w:sz="8" w:color="auto"/>
              <w:right w:val="single" w:sz="8" w:color="auto"/>
            </w:tcBorders>
            <w:shd w:val="clear" w:color="auto" w:fill="3051F2"/>
          </w:tcPr>
          <w:p>
            <w:pPr>
              <w:ind w:left="20"/>
              <w:spacing w:after="0"/>
              <w:rPr>
                <w:sz w:val="20"/>
                <w:szCs w:val="20"/>
                <w:color w:val="auto"/>
              </w:rPr>
            </w:pPr>
            <w:r>
              <w:rPr>
                <w:rFonts w:ascii="Arial" w:cs="Arial" w:eastAsia="Arial" w:hAnsi="Arial"/>
                <w:sz w:val="13"/>
                <w:szCs w:val="13"/>
                <w:b w:val="1"/>
                <w:bCs w:val="1"/>
                <w:color w:val="FFFFFF"/>
              </w:rPr>
              <w:t>(in millions, except per share amounts)</w:t>
            </w:r>
          </w:p>
        </w:tc>
        <w:tc>
          <w:tcPr>
            <w:tcW w:w="1240" w:type="dxa"/>
            <w:vAlign w:val="bottom"/>
            <w:tcBorders>
              <w:bottom w:val="single" w:sz="8" w:color="auto"/>
            </w:tcBorders>
            <w:shd w:val="clear" w:color="auto" w:fill="3051F2"/>
          </w:tcPr>
          <w:p>
            <w:pPr>
              <w:jc w:val="right"/>
              <w:ind w:right="279"/>
              <w:spacing w:after="0"/>
              <w:rPr>
                <w:sz w:val="20"/>
                <w:szCs w:val="20"/>
                <w:color w:val="auto"/>
              </w:rPr>
            </w:pPr>
            <w:r>
              <w:rPr>
                <w:rFonts w:ascii="Arial" w:cs="Arial" w:eastAsia="Arial" w:hAnsi="Arial"/>
                <w:sz w:val="16"/>
                <w:szCs w:val="16"/>
                <w:b w:val="1"/>
                <w:bCs w:val="1"/>
                <w:color w:val="FFFFFF"/>
              </w:rPr>
              <w:t>Low end</w:t>
            </w:r>
          </w:p>
        </w:tc>
        <w:tc>
          <w:tcPr>
            <w:tcW w:w="1100" w:type="dxa"/>
            <w:vAlign w:val="bottom"/>
            <w:tcBorders>
              <w:bottom w:val="single" w:sz="8" w:color="auto"/>
              <w:right w:val="single" w:sz="8" w:color="auto"/>
            </w:tcBorders>
            <w:shd w:val="clear" w:color="auto" w:fill="3051F2"/>
          </w:tcPr>
          <w:p>
            <w:pPr>
              <w:jc w:val="right"/>
              <w:ind w:right="199"/>
              <w:spacing w:after="0"/>
              <w:rPr>
                <w:sz w:val="20"/>
                <w:szCs w:val="20"/>
                <w:color w:val="auto"/>
              </w:rPr>
            </w:pPr>
            <w:r>
              <w:rPr>
                <w:rFonts w:ascii="Arial" w:cs="Arial" w:eastAsia="Arial" w:hAnsi="Arial"/>
                <w:sz w:val="16"/>
                <w:szCs w:val="16"/>
                <w:b w:val="1"/>
                <w:bCs w:val="1"/>
                <w:color w:val="FFFFFF"/>
              </w:rPr>
              <w:t>High end</w:t>
            </w:r>
          </w:p>
        </w:tc>
        <w:tc>
          <w:tcPr>
            <w:tcW w:w="1580" w:type="dxa"/>
            <w:vAlign w:val="bottom"/>
            <w:tcBorders>
              <w:bottom w:val="single" w:sz="8" w:color="auto"/>
            </w:tcBorders>
            <w:shd w:val="clear" w:color="auto" w:fill="3051F2"/>
          </w:tcPr>
          <w:p>
            <w:pPr>
              <w:jc w:val="right"/>
              <w:ind w:right="379"/>
              <w:spacing w:after="0"/>
              <w:rPr>
                <w:sz w:val="20"/>
                <w:szCs w:val="20"/>
                <w:color w:val="auto"/>
              </w:rPr>
            </w:pPr>
            <w:r>
              <w:rPr>
                <w:rFonts w:ascii="Arial" w:cs="Arial" w:eastAsia="Arial" w:hAnsi="Arial"/>
                <w:sz w:val="16"/>
                <w:szCs w:val="16"/>
                <w:b w:val="1"/>
                <w:bCs w:val="1"/>
                <w:color w:val="FFFFFF"/>
              </w:rPr>
              <w:t>2024 Actuals</w:t>
            </w:r>
          </w:p>
        </w:tc>
        <w:tc>
          <w:tcPr>
            <w:tcW w:w="1380" w:type="dxa"/>
            <w:vAlign w:val="bottom"/>
            <w:tcBorders>
              <w:bottom w:val="single" w:sz="8" w:color="auto"/>
              <w:right w:val="single" w:sz="8" w:color="auto"/>
            </w:tcBorders>
            <w:shd w:val="clear" w:color="auto" w:fill="3051F2"/>
          </w:tcPr>
          <w:p>
            <w:pPr>
              <w:jc w:val="center"/>
              <w:spacing w:after="0"/>
              <w:rPr>
                <w:sz w:val="20"/>
                <w:szCs w:val="20"/>
                <w:color w:val="auto"/>
              </w:rPr>
            </w:pPr>
            <w:r>
              <w:rPr>
                <w:rFonts w:ascii="Arial" w:cs="Arial" w:eastAsia="Arial" w:hAnsi="Arial"/>
                <w:sz w:val="16"/>
                <w:szCs w:val="16"/>
                <w:b w:val="1"/>
                <w:bCs w:val="1"/>
                <w:color w:val="FFFFFF"/>
              </w:rPr>
              <w:t>vs. 2024</w:t>
            </w:r>
          </w:p>
        </w:tc>
        <w:tc>
          <w:tcPr>
            <w:tcW w:w="0" w:type="dxa"/>
            <w:vAlign w:val="bottom"/>
          </w:tcPr>
          <w:p>
            <w:pPr>
              <w:spacing w:after="0"/>
              <w:rPr>
                <w:sz w:val="1"/>
                <w:szCs w:val="1"/>
                <w:color w:val="auto"/>
              </w:rPr>
            </w:pPr>
          </w:p>
        </w:tc>
      </w:tr>
      <w:tr>
        <w:trPr>
          <w:trHeight w:val="225"/>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$6,090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$6,265</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$5,933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351"/>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Comparable sales </w:t>
            </w:r>
            <w:r>
              <w:rPr>
                <w:rFonts w:ascii="Arial" w:cs="Arial" w:eastAsia="Arial" w:hAnsi="Arial"/>
                <w:sz w:val="8"/>
                <w:szCs w:val="8"/>
                <w:color w:val="auto"/>
              </w:rPr>
              <w:t>(2)</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(5.1)%</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+460 bps</w:t>
            </w:r>
          </w:p>
        </w:tc>
        <w:tc>
          <w:tcPr>
            <w:tcW w:w="0" w:type="dxa"/>
            <w:vAlign w:val="bottom"/>
          </w:tcPr>
          <w:p>
            <w:pPr>
              <w:spacing w:after="0"/>
              <w:rPr>
                <w:sz w:val="1"/>
                <w:szCs w:val="1"/>
                <w:color w:val="auto"/>
              </w:rPr>
            </w:pPr>
          </w:p>
        </w:tc>
      </w:tr>
      <w:tr>
        <w:trPr>
          <w:trHeight w:val="486"/>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Gross margin rate</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34.0 %</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34.5 %</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33.9 %</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GAAP net income</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$375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$418</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8"/>
                <w:szCs w:val="8"/>
                <w:color w:val="auto"/>
              </w:rPr>
              <w:t>(1)</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$439</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GAAP earnings per common share, diluted</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$5.73</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86"/>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Adjusted earnings per common share, diluted </w:t>
            </w:r>
            <w:r>
              <w:rPr>
                <w:rFonts w:ascii="Arial" w:cs="Arial" w:eastAsia="Arial" w:hAnsi="Arial"/>
                <w:sz w:val="8"/>
                <w:szCs w:val="8"/>
                <w:color w:val="auto"/>
              </w:rPr>
              <w:t>(1)</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$5.75</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$6.02</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73.0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Capital Expenditures</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$200</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17.5 %</w:t>
            </w:r>
          </w:p>
        </w:tc>
        <w:tc>
          <w:tcPr>
            <w:tcW w:w="0" w:type="dxa"/>
            <w:vAlign w:val="bottom"/>
          </w:tcPr>
          <w:p>
            <w:pPr>
              <w:spacing w:after="0"/>
              <w:rPr>
                <w:sz w:val="1"/>
                <w:szCs w:val="1"/>
                <w:color w:val="auto"/>
              </w:rPr>
            </w:pPr>
          </w:p>
        </w:tc>
      </w:tr>
      <w:tr>
        <w:trPr>
          <w:trHeight w:val="338"/>
        </w:trPr>
        <w:tc>
          <w:tcPr>
            <w:tcW w:w="4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Adjusted free cash flow </w:t>
            </w:r>
            <w:r>
              <w:rPr>
                <w:rFonts w:ascii="Arial" w:cs="Arial" w:eastAsia="Arial" w:hAnsi="Arial"/>
                <w:sz w:val="8"/>
                <w:szCs w:val="8"/>
                <w:color w:val="auto"/>
              </w:rPr>
              <w:t>(1), (3)</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$342</w:t>
            </w:r>
          </w:p>
        </w:tc>
        <w:tc>
          <w:tcPr>
            <w:tcW w:w="13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10"/>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-2532380</wp:posOffset>
            </wp:positionV>
            <wp:extent cx="1499870" cy="33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9870" cy="336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right="20" w:hanging="4"/>
        <w:spacing w:after="0" w:line="243" w:lineRule="auto"/>
        <w:tabs>
          <w:tab w:leader="none" w:pos="861"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net income, adjusted earnings per common share (EPS), diluted, and adjusted free cash flow are non-GAAP measures. See "Non-GAAP Measures" and "Reconciliations of GAAP to Non-GAAP Financial Measures" below for reconciliations of non-GAAP financial measures to their most directly comparable GAAP financial measures.</w:t>
      </w:r>
    </w:p>
    <w:p>
      <w:pPr>
        <w:spacing w:after="0" w:line="223" w:lineRule="exact"/>
        <w:rPr>
          <w:rFonts w:ascii="Arial" w:cs="Arial" w:eastAsia="Arial" w:hAnsi="Arial"/>
          <w:sz w:val="13"/>
          <w:szCs w:val="13"/>
          <w:color w:val="auto"/>
        </w:rPr>
      </w:pPr>
    </w:p>
    <w:p>
      <w:pPr>
        <w:ind w:left="660" w:hanging="4"/>
        <w:spacing w:after="0" w:line="264" w:lineRule="auto"/>
        <w:tabs>
          <w:tab w:leader="none" w:pos="852"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define comparable sales as the percentage of period-over-period net sales increase or decrease, in the aggregate, for stores open after thirteen full fiscal months, as well as for all e-commerce sales.</w:t>
      </w:r>
    </w:p>
    <w:p>
      <w:pPr>
        <w:spacing w:after="0" w:line="211" w:lineRule="exact"/>
        <w:rPr>
          <w:rFonts w:ascii="Arial" w:cs="Arial" w:eastAsia="Arial" w:hAnsi="Arial"/>
          <w:sz w:val="13"/>
          <w:szCs w:val="13"/>
          <w:color w:val="auto"/>
        </w:rPr>
      </w:pPr>
    </w:p>
    <w:p>
      <w:pPr>
        <w:jc w:val="both"/>
        <w:ind w:left="660" w:hanging="4"/>
        <w:spacing w:after="0"/>
        <w:tabs>
          <w:tab w:leader="none" w:pos="85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not reconciled guidance for adjusted free cash flow to the most comparable GAAP measure because it is not possible to do so without unreasonable efforts given the uncertainty and potential variability of reconciling items, which are dependent on future events and often outside of management's control and could be significant; therefore, we are unable to provide an estimate of the most closely comparable GAAP measure at this time.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5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Academy will host a conference call today at 10:00 a.m. Eastern Time to discuss its financial results. The call will be webcast at </w:t>
      </w:r>
      <w:r>
        <w:rPr>
          <w:rFonts w:ascii="Arial" w:cs="Arial" w:eastAsia="Arial" w:hAnsi="Arial"/>
          <w:sz w:val="18"/>
          <w:szCs w:val="18"/>
          <w:u w:val="single" w:color="auto"/>
          <w:color w:val="0E32E1"/>
        </w:rPr>
        <w:t>investors.academy.com</w:t>
      </w:r>
      <w:r>
        <w:rPr>
          <w:rFonts w:ascii="Arial" w:cs="Arial" w:eastAsia="Arial" w:hAnsi="Arial"/>
          <w:sz w:val="18"/>
          <w:szCs w:val="18"/>
          <w:color w:val="000000"/>
        </w:rPr>
        <w:t>. The following information is provided for those who would like to participate in the conference call:</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Arial" w:cs="Arial" w:eastAsia="Arial" w:hAnsi="Arial"/>
                <w:sz w:val="18"/>
                <w:szCs w:val="18"/>
                <w:color w:val="auto"/>
              </w:rPr>
              <w:t>U.S. callers</w:t>
            </w:r>
          </w:p>
        </w:tc>
        <w:tc>
          <w:tcPr>
            <w:tcW w:w="1520" w:type="dxa"/>
            <w:vAlign w:val="bottom"/>
          </w:tcPr>
          <w:p>
            <w:pPr>
              <w:jc w:val="right"/>
              <w:spacing w:after="0"/>
              <w:rPr>
                <w:sz w:val="20"/>
                <w:szCs w:val="20"/>
                <w:color w:val="auto"/>
              </w:rPr>
            </w:pPr>
            <w:r>
              <w:rPr>
                <w:rFonts w:ascii="Arial" w:cs="Arial" w:eastAsia="Arial" w:hAnsi="Arial"/>
                <w:sz w:val="18"/>
                <w:szCs w:val="18"/>
                <w:color w:val="auto"/>
              </w:rPr>
              <w:t>1-877-407-3982</w:t>
            </w:r>
          </w:p>
        </w:tc>
      </w:tr>
    </w:tbl>
    <w:p>
      <w:pPr>
        <w:ind w:left="200"/>
        <w:spacing w:after="0"/>
        <w:tabs>
          <w:tab w:leader="none" w:pos="2000" w:val="left"/>
        </w:tabs>
        <w:rPr>
          <w:sz w:val="20"/>
          <w:szCs w:val="20"/>
          <w:color w:val="auto"/>
        </w:rPr>
      </w:pPr>
      <w:r>
        <w:rPr>
          <w:rFonts w:ascii="Arial" w:cs="Arial" w:eastAsia="Arial" w:hAnsi="Arial"/>
          <w:sz w:val="18"/>
          <w:szCs w:val="18"/>
          <w:color w:val="auto"/>
        </w:rPr>
        <w:t>International callers</w:t>
      </w:r>
      <w:r>
        <w:rPr>
          <w:sz w:val="20"/>
          <w:szCs w:val="20"/>
          <w:color w:val="auto"/>
        </w:rPr>
        <w:tab/>
      </w:r>
      <w:r>
        <w:rPr>
          <w:rFonts w:ascii="Arial" w:cs="Arial" w:eastAsia="Arial" w:hAnsi="Arial"/>
          <w:sz w:val="17"/>
          <w:szCs w:val="17"/>
          <w:color w:val="auto"/>
        </w:rPr>
        <w:t>1-201-493-6780</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r>
              <w:rPr>
                <w:rFonts w:ascii="Arial" w:cs="Arial" w:eastAsia="Arial" w:hAnsi="Arial"/>
                <w:sz w:val="18"/>
                <w:szCs w:val="18"/>
                <w:color w:val="auto"/>
              </w:rPr>
              <w:t>Passcode</w:t>
            </w:r>
          </w:p>
        </w:tc>
        <w:tc>
          <w:tcPr>
            <w:tcW w:w="1060" w:type="dxa"/>
            <w:vAlign w:val="bottom"/>
          </w:tcPr>
          <w:p>
            <w:pPr>
              <w:jc w:val="right"/>
              <w:spacing w:after="0"/>
              <w:rPr>
                <w:sz w:val="20"/>
                <w:szCs w:val="20"/>
                <w:color w:val="auto"/>
              </w:rPr>
            </w:pPr>
            <w:r>
              <w:rPr>
                <w:rFonts w:ascii="Arial" w:cs="Arial" w:eastAsia="Arial" w:hAnsi="Arial"/>
                <w:sz w:val="18"/>
                <w:szCs w:val="18"/>
                <w:color w:val="auto"/>
              </w:rPr>
              <w:t>13751956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302 stores across 21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Adjusted EBIT, Adjusted EBIT margin, Adjusted Net Income, Adjusted Earnings per Common Share, and Adjusted Free Cash Flow have been presented in this press release as supplemental measures of financial performance that are not required by, or presented in accordance with, generally accepted accounting principles</w:t>
      </w:r>
    </w:p>
    <w:p>
      <w:pPr>
        <w:sectPr>
          <w:pgSz w:w="11900" w:h="16838" w:orient="portrait"/>
          <w:cols w:equalWidth="0" w:num="1">
            <w:col w:w="11240"/>
          </w:cols>
          <w:pgMar w:left="320" w:top="445" w:right="3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445" w:right="339" w:bottom="1440" w:gutter="0" w:footer="0" w:header="0"/>
          <w:type w:val="continuous"/>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(“GAAP”). The Company believes that the presentation of these non-GAAP measures is useful to investors as they provide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 please see our Annual Report for the fiscal year ended February 1, 2025 (the "Annual Report"), to be filed on March 20, 2025, which may be updated from time to time in our periodic filings with the Securities and Exchange Commission (the "SEC"), which are accessible on the SEC's website at www.sec.gov.</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presented in this press release to their most directly comparable 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"anticipate," “forward,” “ahead,” “opportunities,” “plans,” “priorities,” “goals,” “future,” “short/long term,” “will,” “should,” or the negative version of these words or other comparable words. The forward-looking statements in this press release include, among other things, statements regarding the Company’s fiscal 2025 outlook under the caption "2025 Outlook," the Company's strategic plans and financial objectives, including the implementation of such plans, the growth of the Company's business and operations, including the opening of new stores and the expansion into new markets, the company's payment of dividends, including the timing and the amount thereof, share repurchases by the company, and the Company's expectations regarding its future performance and future financial condition are subject to various risks, uncertainties, assumptions, or changes in circumstances that are all difficult to predict or quantify. Actual results may differ materially from these expectations due to changes in global, regional, or local economic, business, competitive, market, regulatory, environmental, and other factors that could affect overall consumer spending or our industry, including the possible effects of ongoing macroeconomic challenges, inflation and in higher interest rates, trade policy changes or additional tariffs, geopolitical tensions,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under the caption "Part 1A.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2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Media Contact</w:t>
            </w:r>
          </w:p>
        </w:tc>
      </w:tr>
      <w:tr>
        <w:trPr>
          <w:trHeight w:val="288"/>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Aldridge</w:t>
            </w:r>
          </w:p>
        </w:tc>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Meredith Klein</w:t>
            </w:r>
          </w:p>
        </w:tc>
        <w:tc>
          <w:tcPr>
            <w:tcW w:w="1180" w:type="dxa"/>
            <w:vAlign w:val="bottom"/>
          </w:tcPr>
          <w:p>
            <w:pPr>
              <w:spacing w:after="0"/>
              <w:rPr>
                <w:sz w:val="24"/>
                <w:szCs w:val="24"/>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VP, Investor Relations</w:t>
            </w:r>
          </w:p>
        </w:tc>
        <w:tc>
          <w:tcPr>
            <w:tcW w:w="3420" w:type="dxa"/>
            <w:vAlign w:val="bottom"/>
            <w:gridSpan w:val="3"/>
          </w:tcPr>
          <w:p>
            <w:pPr>
              <w:ind w:left="1000"/>
              <w:spacing w:after="0"/>
              <w:rPr>
                <w:sz w:val="20"/>
                <w:szCs w:val="20"/>
                <w:color w:val="auto"/>
              </w:rPr>
            </w:pPr>
            <w:r>
              <w:rPr>
                <w:rFonts w:ascii="Arial" w:cs="Arial" w:eastAsia="Arial" w:hAnsi="Arial"/>
                <w:sz w:val="18"/>
                <w:szCs w:val="18"/>
                <w:color w:val="auto"/>
              </w:rPr>
              <w:t>VP, Communications</w:t>
            </w:r>
          </w:p>
        </w:tc>
      </w:tr>
      <w:tr>
        <w:trPr>
          <w:trHeight w:val="270"/>
        </w:trPr>
        <w:tc>
          <w:tcPr>
            <w:tcW w:w="1420" w:type="dxa"/>
            <w:vAlign w:val="bottom"/>
          </w:tcPr>
          <w:p>
            <w:pPr>
              <w:spacing w:after="0"/>
              <w:rPr>
                <w:sz w:val="20"/>
                <w:szCs w:val="20"/>
                <w:color w:val="auto"/>
              </w:rPr>
            </w:pPr>
            <w:r>
              <w:rPr>
                <w:rFonts w:ascii="Arial" w:cs="Arial" w:eastAsia="Arial" w:hAnsi="Arial"/>
                <w:sz w:val="18"/>
                <w:szCs w:val="18"/>
                <w:color w:val="auto"/>
              </w:rPr>
              <w:t>832-739-4102</w:t>
            </w:r>
          </w:p>
        </w:tc>
        <w:tc>
          <w:tcPr>
            <w:tcW w:w="1860" w:type="dxa"/>
            <w:vAlign w:val="bottom"/>
          </w:tcPr>
          <w:p>
            <w:pPr>
              <w:spacing w:after="0"/>
              <w:rPr>
                <w:sz w:val="23"/>
                <w:szCs w:val="23"/>
                <w:color w:val="auto"/>
              </w:rPr>
            </w:pPr>
          </w:p>
        </w:tc>
        <w:tc>
          <w:tcPr>
            <w:tcW w:w="2240" w:type="dxa"/>
            <w:vAlign w:val="bottom"/>
            <w:gridSpan w:val="2"/>
          </w:tcPr>
          <w:p>
            <w:pPr>
              <w:ind w:left="1000"/>
              <w:spacing w:after="0"/>
              <w:rPr>
                <w:sz w:val="20"/>
                <w:szCs w:val="20"/>
                <w:color w:val="auto"/>
              </w:rPr>
            </w:pPr>
            <w:r>
              <w:rPr>
                <w:rFonts w:ascii="Arial" w:cs="Arial" w:eastAsia="Arial" w:hAnsi="Arial"/>
                <w:sz w:val="18"/>
                <w:szCs w:val="18"/>
                <w:color w:val="auto"/>
              </w:rPr>
              <w:t>346-823-6514</w:t>
            </w:r>
          </w:p>
        </w:tc>
        <w:tc>
          <w:tcPr>
            <w:tcW w:w="1180" w:type="dxa"/>
            <w:vAlign w:val="bottom"/>
          </w:tcPr>
          <w:p>
            <w:pPr>
              <w:spacing w:after="0"/>
              <w:rPr>
                <w:sz w:val="23"/>
                <w:szCs w:val="23"/>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dan.aldridge@academy.com</w:t>
            </w:r>
          </w:p>
        </w:tc>
        <w:tc>
          <w:tcPr>
            <w:tcW w:w="3420" w:type="dxa"/>
            <w:vAlign w:val="bottom"/>
            <w:gridSpan w:val="3"/>
          </w:tcPr>
          <w:p>
            <w:pPr>
              <w:ind w:left="1000"/>
              <w:spacing w:after="0"/>
              <w:rPr>
                <w:sz w:val="20"/>
                <w:szCs w:val="20"/>
                <w:color w:val="auto"/>
              </w:rPr>
            </w:pPr>
            <w:r>
              <w:rPr>
                <w:rFonts w:ascii="Arial" w:cs="Arial" w:eastAsia="Arial" w:hAnsi="Arial"/>
                <w:sz w:val="18"/>
                <w:szCs w:val="18"/>
                <w:color w:val="auto"/>
                <w:w w:val="99"/>
              </w:rPr>
              <w:t>meredith.klein@academy.com</w:t>
            </w:r>
          </w:p>
        </w:tc>
      </w:tr>
      <w:tr>
        <w:trPr>
          <w:trHeight w:val="528"/>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20" w:type="dxa"/>
            <w:vAlign w:val="bottom"/>
            <w:gridSpan w:val="3"/>
          </w:tcPr>
          <w:p>
            <w:pPr>
              <w:jc w:val="right"/>
              <w:ind w:right="1060"/>
              <w:spacing w:after="0"/>
              <w:rPr>
                <w:sz w:val="20"/>
                <w:szCs w:val="20"/>
                <w:color w:val="auto"/>
              </w:rPr>
            </w:pPr>
            <w:r>
              <w:rPr>
                <w:rFonts w:ascii="Arial" w:cs="Arial" w:eastAsia="Arial" w:hAnsi="Arial"/>
                <w:sz w:val="14"/>
                <w:szCs w:val="14"/>
                <w:color w:val="auto"/>
              </w:rPr>
              <w:t>4</w:t>
            </w:r>
          </w:p>
        </w:tc>
      </w:tr>
    </w:tbl>
    <w:p>
      <w:pPr>
        <w:sectPr>
          <w:pgSz w:w="11900" w:h="16838" w:orient="portrait"/>
          <w:cols w:equalWidth="0" w:num="1">
            <w:col w:w="11240"/>
          </w:cols>
          <w:pgMar w:left="320" w:top="49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Fiscal Quarter Ended</w:t>
            </w:r>
          </w:p>
        </w:tc>
        <w:tc>
          <w:tcPr>
            <w:tcW w:w="1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February 1, 2025</w:t>
            </w:r>
          </w:p>
        </w:tc>
        <w:tc>
          <w:tcPr>
            <w:tcW w:w="1740" w:type="dxa"/>
            <w:vAlign w:val="bottom"/>
            <w:gridSpan w:val="2"/>
          </w:tcPr>
          <w:p>
            <w:pPr>
              <w:ind w:left="6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February 3, 2024</w:t>
            </w:r>
          </w:p>
        </w:tc>
        <w:tc>
          <w:tcPr>
            <w:tcW w:w="1680" w:type="dxa"/>
            <w:vAlign w:val="bottom"/>
          </w:tcPr>
          <w:p>
            <w:pPr>
              <w:jc w:val="right"/>
              <w:ind w:right="1"/>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680" w:type="dxa"/>
            <w:vAlign w:val="bottom"/>
          </w:tcPr>
          <w:p>
            <w:pPr>
              <w:jc w:val="right"/>
              <w:ind w:right="70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1,676,920</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1,794,828</w:t>
            </w:r>
          </w:p>
        </w:tc>
        <w:tc>
          <w:tcPr>
            <w:tcW w:w="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1,136,691</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1,197,819</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540,229</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597,009</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385,533</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393,044</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154,696</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203,965</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9,168</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0.5 %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12,578</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(19,769)</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165,297</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9.9 %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211,257</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31,666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43,090</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133,631</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168,167</w:t>
            </w:r>
          </w:p>
        </w:tc>
        <w:tc>
          <w:tcPr>
            <w:tcW w:w="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1.93</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69,229</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74,219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70,689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76,035</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3"/>
          <w:szCs w:val="13"/>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0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5"/>
          </w:tcPr>
          <w:p>
            <w:pPr>
              <w:ind w:left="1040"/>
              <w:spacing w:after="0"/>
              <w:rPr>
                <w:sz w:val="20"/>
                <w:szCs w:val="20"/>
                <w:color w:val="auto"/>
              </w:rPr>
            </w:pPr>
            <w:r>
              <w:rPr>
                <w:rFonts w:ascii="Arial" w:cs="Arial" w:eastAsia="Arial" w:hAnsi="Arial"/>
                <w:sz w:val="16"/>
                <w:szCs w:val="16"/>
                <w:b w:val="1"/>
                <w:bCs w:val="1"/>
                <w:color w:val="auto"/>
              </w:rPr>
              <w:t>Fiscal Year Ended</w:t>
            </w:r>
          </w:p>
        </w:tc>
        <w:tc>
          <w:tcPr>
            <w:tcW w:w="1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February 1, 2025</w:t>
            </w:r>
          </w:p>
        </w:tc>
        <w:tc>
          <w:tcPr>
            <w:tcW w:w="1800" w:type="dxa"/>
            <w:vAlign w:val="bottom"/>
            <w:gridSpan w:val="2"/>
          </w:tcPr>
          <w:p>
            <w:pPr>
              <w:ind w:left="80"/>
              <w:spacing w:after="0" w:line="173" w:lineRule="exact"/>
              <w:rPr>
                <w:sz w:val="20"/>
                <w:szCs w:val="20"/>
                <w:color w:val="auto"/>
              </w:rPr>
            </w:pPr>
            <w:r>
              <w:rPr>
                <w:rFonts w:ascii="Arial" w:cs="Arial" w:eastAsia="Arial" w:hAnsi="Arial"/>
                <w:sz w:val="16"/>
                <w:szCs w:val="16"/>
                <w:b w:val="1"/>
                <w:bCs w:val="1"/>
                <w:color w:val="auto"/>
              </w:rPr>
              <w:t>Percentage of Sales</w:t>
            </w:r>
          </w:p>
        </w:tc>
        <w:tc>
          <w:tcPr>
            <w:tcW w:w="180" w:type="dxa"/>
            <w:vAlign w:val="bottom"/>
          </w:tcPr>
          <w:p>
            <w:pPr>
              <w:spacing w:after="0"/>
              <w:rPr>
                <w:sz w:val="15"/>
                <w:szCs w:val="15"/>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February 3, 2024</w:t>
            </w:r>
          </w:p>
        </w:tc>
        <w:tc>
          <w:tcPr>
            <w:tcW w:w="1660" w:type="dxa"/>
            <w:vAlign w:val="bottom"/>
          </w:tcPr>
          <w:p>
            <w:pPr>
              <w:jc w:val="right"/>
              <w:spacing w:after="0" w:line="173" w:lineRule="exact"/>
              <w:rPr>
                <w:sz w:val="20"/>
                <w:szCs w:val="20"/>
                <w:color w:val="auto"/>
              </w:rPr>
            </w:pPr>
            <w:r>
              <w:rPr>
                <w:rFonts w:ascii="Arial" w:cs="Arial" w:eastAsia="Arial" w:hAnsi="Arial"/>
                <w:sz w:val="16"/>
                <w:szCs w:val="16"/>
                <w:b w:val="1"/>
                <w:bCs w:val="1"/>
                <w:color w:val="auto"/>
              </w:rPr>
              <w:t>Percentage of Sales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720" w:type="dxa"/>
            <w:vAlign w:val="bottom"/>
          </w:tcPr>
          <w:p>
            <w:pPr>
              <w:jc w:val="right"/>
              <w:ind w:right="72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60" w:type="dxa"/>
            <w:vAlign w:val="bottom"/>
          </w:tcPr>
          <w:p>
            <w:pPr>
              <w:jc w:val="right"/>
              <w:ind w:right="681"/>
              <w:spacing w:after="0"/>
              <w:rPr>
                <w:sz w:val="20"/>
                <w:szCs w:val="20"/>
                <w:color w:val="auto"/>
              </w:rPr>
            </w:pP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64"/>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5,933,450</w:t>
            </w:r>
          </w:p>
        </w:tc>
        <w:tc>
          <w:tcPr>
            <w:tcW w:w="80" w:type="dxa"/>
            <w:vAlign w:val="bottom"/>
            <w:tcBorders>
              <w:top w:val="single" w:sz="8" w:color="CCEEFF"/>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6,159,291</w:t>
            </w:r>
          </w:p>
        </w:tc>
        <w:tc>
          <w:tcPr>
            <w:tcW w:w="80" w:type="dxa"/>
            <w:vAlign w:val="bottom"/>
            <w:tcBorders>
              <w:top w:val="single" w:sz="8" w:color="CCEEFF"/>
            </w:tcBorders>
            <w:shd w:val="clear" w:color="auto" w:fill="CCEEFF"/>
          </w:tcPr>
          <w:p>
            <w:pPr>
              <w:spacing w:after="0"/>
              <w:rPr>
                <w:sz w:val="20"/>
                <w:szCs w:val="20"/>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3,921,990</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4,049,080</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2,011,460</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2,110,211</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1,472,821</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1,432,356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538,639</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677,855</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36,873</w:t>
            </w: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0.6 %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46,051</w:t>
            </w:r>
          </w:p>
        </w:tc>
        <w:tc>
          <w:tcPr>
            <w:tcW w:w="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 off of deferred loan costs</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0.0 %</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(36,908)</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(32,877)</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before income taxes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538,225</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9.1 %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663,156</w:t>
            </w: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23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119,778</w:t>
            </w:r>
          </w:p>
        </w:tc>
        <w:tc>
          <w:tcPr>
            <w:tcW w:w="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2.0 %</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143,966</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65"/>
        </w:trPr>
        <w:tc>
          <w:tcPr>
            <w:tcW w:w="4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418,447</w:t>
            </w:r>
          </w:p>
        </w:tc>
        <w:tc>
          <w:tcPr>
            <w:tcW w:w="8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519,190</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5.87</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6.89</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5.73</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71,343</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75,389</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73,048</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77,469</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1"/>
          <w:szCs w:val="11"/>
          <w:color w:val="auto"/>
        </w:rPr>
        <w:t>Column may not add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1, 2025</w:t>
            </w:r>
          </w:p>
        </w:tc>
        <w:tc>
          <w:tcPr>
            <w:tcW w:w="180" w:type="dxa"/>
            <w:vAlign w:val="bottom"/>
          </w:tcPr>
          <w:p>
            <w:pPr>
              <w:spacing w:after="0"/>
              <w:rPr>
                <w:sz w:val="19"/>
                <w:szCs w:val="19"/>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3, 2024</w:t>
            </w:r>
          </w:p>
        </w:tc>
        <w:tc>
          <w:tcPr>
            <w:tcW w:w="0" w:type="dxa"/>
            <w:vAlign w:val="bottom"/>
          </w:tcPr>
          <w:p>
            <w:pPr>
              <w:spacing w:after="0"/>
              <w:rPr>
                <w:sz w:val="1"/>
                <w:szCs w:val="1"/>
                <w:color w:val="auto"/>
              </w:rPr>
            </w:pPr>
          </w:p>
        </w:tc>
      </w:tr>
      <w:tr>
        <w:trPr>
          <w:trHeight w:val="227"/>
        </w:trPr>
        <w:tc>
          <w:tcPr>
            <w:tcW w:w="7440" w:type="dxa"/>
            <w:vAlign w:val="bottom"/>
            <w:tcBorders>
              <w:top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288,929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347,920</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Accounts receivable - less allowance for doubtful accounts of $2,752 and $2,217, respectively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16,759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19,371</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Merchandise inventories,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1,308,840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1,194,159</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95,621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83,450</w:t>
            </w:r>
          </w:p>
        </w:tc>
        <w:tc>
          <w:tcPr>
            <w:tcW w:w="0" w:type="dxa"/>
            <w:vAlign w:val="bottom"/>
          </w:tcPr>
          <w:p>
            <w:pPr>
              <w:spacing w:after="0"/>
              <w:rPr>
                <w:sz w:val="1"/>
                <w:szCs w:val="1"/>
                <w:color w:val="auto"/>
              </w:rPr>
            </w:pPr>
          </w:p>
        </w:tc>
      </w:tr>
      <w:tr>
        <w:trPr>
          <w:trHeight w:val="240"/>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1,710,149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1,644,900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EQUIPMENT, NET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525,136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445,209</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RIGHT-OF-USE ASSETS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1,173,075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1,111,237</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TRADE NAME</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579,007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578,236</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861,920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861,920</w:t>
            </w: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51,676</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35,211</w:t>
            </w:r>
          </w:p>
        </w:tc>
        <w:tc>
          <w:tcPr>
            <w:tcW w:w="0" w:type="dxa"/>
            <w:vAlign w:val="bottom"/>
          </w:tcPr>
          <w:p>
            <w:pPr>
              <w:spacing w:after="0"/>
              <w:rPr>
                <w:sz w:val="1"/>
                <w:szCs w:val="1"/>
                <w:color w:val="auto"/>
              </w:rPr>
            </w:pPr>
          </w:p>
        </w:tc>
      </w:tr>
      <w:tr>
        <w:trPr>
          <w:trHeight w:val="240"/>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4,900,963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4,676,713</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198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612,424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541,077</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230,323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217,932</w:t>
            </w:r>
          </w:p>
        </w:tc>
        <w:tc>
          <w:tcPr>
            <w:tcW w:w="0" w:type="dxa"/>
            <w:vAlign w:val="bottom"/>
          </w:tcPr>
          <w:p>
            <w:pPr>
              <w:spacing w:after="0"/>
              <w:rPr>
                <w:sz w:val="1"/>
                <w:szCs w:val="1"/>
                <w:color w:val="auto"/>
              </w:rPr>
            </w:pPr>
          </w:p>
        </w:tc>
      </w:tr>
      <w:tr>
        <w:trPr>
          <w:trHeight w:val="239"/>
        </w:trPr>
        <w:tc>
          <w:tcPr>
            <w:tcW w:w="7440" w:type="dxa"/>
            <w:vAlign w:val="bottom"/>
          </w:tcPr>
          <w:p>
            <w:pPr>
              <w:ind w:left="240"/>
              <w:spacing w:after="0"/>
              <w:rPr>
                <w:sz w:val="20"/>
                <w:szCs w:val="20"/>
                <w:color w:val="auto"/>
              </w:rPr>
            </w:pPr>
            <w:r>
              <w:rPr>
                <w:rFonts w:ascii="Arial" w:cs="Arial" w:eastAsia="Arial" w:hAnsi="Arial"/>
                <w:sz w:val="16"/>
                <w:szCs w:val="16"/>
                <w:color w:val="auto"/>
              </w:rPr>
              <w:t>Current lease liabilities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115,134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117,849</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33"/>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960,881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879,858</w:t>
            </w: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LONG-TERM DEBT,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482,679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484,551</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LEASE LIABILITIES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1,185,741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1,091,294</w:t>
            </w: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 NET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256,815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254,796</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10,812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11,564</w:t>
            </w:r>
          </w:p>
        </w:tc>
        <w:tc>
          <w:tcPr>
            <w:tcW w:w="0" w:type="dxa"/>
            <w:vAlign w:val="bottom"/>
          </w:tcPr>
          <w:p>
            <w:pPr>
              <w:spacing w:after="0"/>
              <w:rPr>
                <w:sz w:val="1"/>
                <w:szCs w:val="1"/>
                <w:color w:val="auto"/>
              </w:rPr>
            </w:pPr>
          </w:p>
        </w:tc>
      </w:tr>
      <w:tr>
        <w:trPr>
          <w:trHeight w:val="233"/>
        </w:trPr>
        <w:tc>
          <w:tcPr>
            <w:tcW w:w="7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2,896,928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2,722,063</w:t>
            </w:r>
          </w:p>
        </w:tc>
        <w:tc>
          <w:tcPr>
            <w:tcW w:w="0" w:type="dxa"/>
            <w:vAlign w:val="bottom"/>
          </w:tcPr>
          <w:p>
            <w:pPr>
              <w:spacing w:after="0"/>
              <w:rPr>
                <w:sz w:val="1"/>
                <w:szCs w:val="1"/>
                <w:color w:val="auto"/>
              </w:rPr>
            </w:pPr>
          </w:p>
        </w:tc>
      </w:tr>
      <w:tr>
        <w:trPr>
          <w:trHeight w:val="200"/>
        </w:trPr>
        <w:tc>
          <w:tcPr>
            <w:tcW w:w="7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$0.01 par value, authorized 50,000,000 shares; none issued and outstanding</w:t>
            </w:r>
          </w:p>
        </w:tc>
        <w:tc>
          <w:tcPr>
            <w:tcW w:w="1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440" w:type="dxa"/>
            <w:vAlign w:val="bottom"/>
          </w:tcPr>
          <w:p>
            <w:pPr>
              <w:ind w:left="240"/>
              <w:spacing w:after="0"/>
              <w:rPr>
                <w:sz w:val="20"/>
                <w:szCs w:val="20"/>
                <w:color w:val="auto"/>
              </w:rPr>
            </w:pPr>
            <w:r>
              <w:rPr>
                <w:rFonts w:ascii="Arial" w:cs="Arial" w:eastAsia="Arial" w:hAnsi="Arial"/>
                <w:sz w:val="16"/>
                <w:szCs w:val="16"/>
                <w:color w:val="auto"/>
              </w:rPr>
              <w:t>Common stock, $0.01 par value, authorized 300,000,000 shares; 68,332,961 and 74,349,927</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440" w:type="dxa"/>
            <w:vAlign w:val="bottom"/>
          </w:tcPr>
          <w:p>
            <w:pPr>
              <w:ind w:left="240"/>
              <w:spacing w:after="0"/>
              <w:rPr>
                <w:sz w:val="20"/>
                <w:szCs w:val="20"/>
                <w:color w:val="auto"/>
              </w:rPr>
            </w:pPr>
            <w:r>
              <w:rPr>
                <w:rFonts w:ascii="Arial" w:cs="Arial" w:eastAsia="Arial" w:hAnsi="Arial"/>
                <w:sz w:val="16"/>
                <w:szCs w:val="16"/>
                <w:color w:val="auto"/>
              </w:rPr>
              <w:t>issued and outstanding as of February 1, 2025 and February 3, 2024, respectively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683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47"/>
        </w:trPr>
        <w:tc>
          <w:tcPr>
            <w:tcW w:w="7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247,094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242,098</w:t>
            </w:r>
          </w:p>
        </w:tc>
        <w:tc>
          <w:tcPr>
            <w:tcW w:w="0" w:type="dxa"/>
            <w:vAlign w:val="bottom"/>
          </w:tcPr>
          <w:p>
            <w:pPr>
              <w:spacing w:after="0"/>
              <w:rPr>
                <w:sz w:val="1"/>
                <w:szCs w:val="1"/>
                <w:color w:val="auto"/>
              </w:rPr>
            </w:pPr>
          </w:p>
        </w:tc>
      </w:tr>
      <w:tr>
        <w:trPr>
          <w:trHeight w:val="239"/>
        </w:trPr>
        <w:tc>
          <w:tcPr>
            <w:tcW w:w="7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1,756,258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1,711,809</w:t>
            </w: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2,004,035</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1,954,650</w:t>
            </w:r>
          </w:p>
        </w:tc>
        <w:tc>
          <w:tcPr>
            <w:tcW w:w="0" w:type="dxa"/>
            <w:vAlign w:val="bottom"/>
          </w:tcPr>
          <w:p>
            <w:pPr>
              <w:spacing w:after="0"/>
              <w:rPr>
                <w:sz w:val="1"/>
                <w:szCs w:val="1"/>
                <w:color w:val="auto"/>
              </w:rPr>
            </w:pPr>
          </w:p>
        </w:tc>
      </w:tr>
      <w:tr>
        <w:trPr>
          <w:trHeight w:val="240"/>
        </w:trPr>
        <w:tc>
          <w:tcPr>
            <w:tcW w:w="7440" w:type="dxa"/>
            <w:vAlign w:val="bottom"/>
          </w:tcPr>
          <w:p>
            <w:pPr>
              <w:ind w:left="46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4,900,963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4,676,713</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9"/>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00" w:top="769"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rPr>
              <w:t>Fiscal Year Ended</w:t>
            </w: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1, 2025</w:t>
            </w:r>
          </w:p>
        </w:tc>
        <w:tc>
          <w:tcPr>
            <w:tcW w:w="16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3, 2024</w:t>
            </w:r>
          </w:p>
        </w:tc>
        <w:tc>
          <w:tcPr>
            <w:tcW w:w="0" w:type="dxa"/>
            <w:vAlign w:val="bottom"/>
          </w:tcPr>
          <w:p>
            <w:pPr>
              <w:spacing w:after="0"/>
              <w:rPr>
                <w:sz w:val="1"/>
                <w:szCs w:val="1"/>
                <w:color w:val="auto"/>
              </w:rPr>
            </w:pPr>
          </w:p>
        </w:tc>
      </w:tr>
      <w:tr>
        <w:trPr>
          <w:trHeight w:val="227"/>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418,447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519,190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118,070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110,936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Non-cash lease expense</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30,295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Equity compensation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26,629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24,377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Amortization of deferred loan and other costs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Non-cash loss on early retirement of debt</w:t>
            </w:r>
          </w:p>
        </w:tc>
        <w:tc>
          <w:tcPr>
            <w:tcW w:w="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440"/>
              <w:spacing w:after="0"/>
              <w:rPr>
                <w:sz w:val="20"/>
                <w:szCs w:val="20"/>
                <w:color w:val="auto"/>
              </w:rPr>
            </w:pPr>
            <w:r>
              <w:rPr>
                <w:rFonts w:ascii="Arial" w:cs="Arial" w:eastAsia="Arial" w:hAnsi="Arial"/>
                <w:sz w:val="16"/>
                <w:szCs w:val="16"/>
                <w:color w:val="auto"/>
              </w:rPr>
              <w:t>Write-off of Deferred Loan Costs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on disposal of property and equipment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520" w:type="dxa"/>
            <w:vAlign w:val="bottom"/>
          </w:tcPr>
          <w:p>
            <w:pPr>
              <w:ind w:left="440"/>
              <w:spacing w:after="0"/>
              <w:rPr>
                <w:sz w:val="20"/>
                <w:szCs w:val="20"/>
                <w:color w:val="auto"/>
              </w:rPr>
            </w:pPr>
            <w:r>
              <w:rPr>
                <w:rFonts w:ascii="Arial" w:cs="Arial" w:eastAsia="Arial" w:hAnsi="Arial"/>
                <w:sz w:val="16"/>
                <w:szCs w:val="16"/>
                <w:color w:val="auto"/>
              </w:rPr>
              <w:t>Changes in assets and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Merchandise inventories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(114,681)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89,358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(12,437)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(18,761)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65,761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11,952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(26,712)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528,082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535,779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(199,589)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(207,770)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intangible assets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14,240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(186,120)</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Proceeds from Revolving Credit Facilities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3,900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Reduction in Revolving Credit Facilities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Repayment of Term Loan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fees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(5,689)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under employee stock purchase program</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(5,460)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(7,971)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common stock for retirement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(364,912)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Dividends paid</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(31,463)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20" w:type="dxa"/>
            <w:vAlign w:val="bottom"/>
            <w:shd w:val="clear" w:color="auto" w:fill="CCEEFF"/>
          </w:tcPr>
          <w:p>
            <w:pPr>
              <w:ind w:left="88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(400,953)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(318,865)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7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52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INCREASE IN CASH AND CASH EQUIVALENTS</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(58,991)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347,920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337,145</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288,929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347,920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2"/>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76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and amortization, and impairment, and other adjustments included in the table below. We define “Adjusted EBIT” as Adjusted EBITDA less depreciation and amortization. We describe these adjustments reconciling net income (loss) to Adjusted EBITDA and Adjusted EBIT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Fiscal Quarter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1, 2025</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2025</w:t>
            </w:r>
          </w:p>
        </w:tc>
        <w:tc>
          <w:tcPr>
            <w:tcW w:w="14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3, 2024</w:t>
            </w:r>
          </w:p>
        </w:tc>
      </w:tr>
      <w:tr>
        <w:trPr>
          <w:trHeight w:val="24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133,631</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168,167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418,447</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519,190</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9,167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12,578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36,873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46,051</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31,665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119,778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143,966</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30,962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31,542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118,070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110,936</w:t>
            </w:r>
          </w:p>
        </w:tc>
      </w:tr>
      <w:tr>
        <w:trPr>
          <w:trHeight w:val="24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compensation (b)</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24,377</w:t>
            </w:r>
          </w:p>
        </w:tc>
      </w:tr>
      <w:tr>
        <w:trPr>
          <w:trHeight w:val="239"/>
        </w:trPr>
        <w:tc>
          <w:tcPr>
            <w:tcW w:w="4320" w:type="dxa"/>
            <w:vAlign w:val="bottom"/>
          </w:tcPr>
          <w:p>
            <w:pPr>
              <w:ind w:left="20"/>
              <w:spacing w:after="0"/>
              <w:rPr>
                <w:sz w:val="20"/>
                <w:szCs w:val="20"/>
                <w:color w:val="auto"/>
              </w:rPr>
            </w:pPr>
            <w:r>
              <w:rPr>
                <w:rFonts w:ascii="Arial" w:cs="Arial" w:eastAsia="Arial" w:hAnsi="Arial"/>
                <w:sz w:val="16"/>
                <w:szCs w:val="16"/>
                <w:color w:val="auto"/>
              </w:rPr>
              <w:t>Loss on early retirement of debt</w:t>
            </w:r>
          </w:p>
        </w:tc>
        <w:tc>
          <w:tcPr>
            <w:tcW w:w="14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1,525</w:t>
            </w: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 off of deferred loan costs</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211,665</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255,151</w:t>
            </w: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720,246</w:t>
            </w:r>
          </w:p>
        </w:tc>
        <w:tc>
          <w:tcPr>
            <w:tcW w:w="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846,045</w:t>
            </w:r>
          </w:p>
        </w:tc>
      </w:tr>
      <w:tr>
        <w:trPr>
          <w:trHeight w:val="237"/>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(30,962)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(31,542)</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(118,070)</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(110,936)</w:t>
            </w:r>
          </w:p>
        </w:tc>
      </w:tr>
      <w:tr>
        <w:trPr>
          <w:trHeight w:val="240"/>
        </w:trPr>
        <w:tc>
          <w:tcPr>
            <w:tcW w:w="4320" w:type="dxa"/>
            <w:vAlign w:val="bottom"/>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180,703</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223,609</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602,176</w:t>
            </w: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735,109</w:t>
            </w:r>
          </w:p>
        </w:tc>
      </w:tr>
      <w:tr>
        <w:trPr>
          <w:trHeight w:val="21"/>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jc w:val="both"/>
        <w:ind w:left="400" w:right="20" w:hanging="374"/>
        <w:spacing w:after="0" w:line="262"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Net income for the year ended February 1, 2025, includes a $15.0 million gain pertaining to a litigation settlement and a $7.1 million gain on a sale-leaseback transaction, both of which occurred in the fourth quarter of fiscal year 2024. Net income for the year ended February 3, 2024, includes a $15.9 million net gain from a credit card fee litigation settlement which occurred in the fourth quarter of fiscal year 2023.</w:t>
      </w:r>
    </w:p>
    <w:p>
      <w:pPr>
        <w:spacing w:after="0" w:line="23"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10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Fiscal Quarter Ended</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39"/>
              <w:spacing w:after="0"/>
              <w:rPr>
                <w:sz w:val="20"/>
                <w:szCs w:val="20"/>
                <w:color w:val="auto"/>
              </w:rPr>
            </w:pPr>
            <w:r>
              <w:rPr>
                <w:rFonts w:ascii="Arial" w:cs="Arial" w:eastAsia="Arial" w:hAnsi="Arial"/>
                <w:sz w:val="16"/>
                <w:szCs w:val="16"/>
                <w:b w:val="1"/>
                <w:bCs w:val="1"/>
                <w:color w:val="auto"/>
              </w:rPr>
              <w:t>Fiscal Year Ended</w:t>
            </w:r>
          </w:p>
        </w:tc>
      </w:tr>
      <w:tr>
        <w:trPr>
          <w:trHeight w:val="237"/>
        </w:trPr>
        <w:tc>
          <w:tcPr>
            <w:tcW w:w="4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2025</w:t>
            </w:r>
          </w:p>
        </w:tc>
        <w:tc>
          <w:tcPr>
            <w:tcW w:w="140" w:type="dxa"/>
            <w:vAlign w:val="bottom"/>
          </w:tcPr>
          <w:p>
            <w:pPr>
              <w:spacing w:after="0"/>
              <w:rPr>
                <w:sz w:val="20"/>
                <w:szCs w:val="20"/>
                <w:color w:val="auto"/>
              </w:rPr>
            </w:pPr>
          </w:p>
        </w:tc>
        <w:tc>
          <w:tcPr>
            <w:tcW w:w="16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3, 2024</w:t>
            </w:r>
          </w:p>
        </w:tc>
        <w:tc>
          <w:tcPr>
            <w:tcW w:w="14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2025</w:t>
            </w:r>
          </w:p>
        </w:tc>
        <w:tc>
          <w:tcPr>
            <w:tcW w:w="160" w:type="dxa"/>
            <w:vAlign w:val="bottom"/>
          </w:tcPr>
          <w:p>
            <w:pPr>
              <w:spacing w:after="0"/>
              <w:rPr>
                <w:sz w:val="20"/>
                <w:szCs w:val="20"/>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rPr>
              <w:t>February 3, 2024</w:t>
            </w:r>
          </w:p>
        </w:tc>
      </w:tr>
      <w:tr>
        <w:trPr>
          <w:trHeight w:val="240"/>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133,631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168,167</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418,447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519,190</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Equity compensation (b)</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6,240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26,629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24,377</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early retirement of debt, net</w:t>
            </w:r>
          </w:p>
        </w:tc>
        <w:tc>
          <w:tcPr>
            <w:tcW w:w="16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w:t>
            </w:r>
          </w:p>
        </w:tc>
      </w:tr>
      <w:tr>
        <w:trPr>
          <w:trHeight w:val="239"/>
        </w:trPr>
        <w:tc>
          <w:tcPr>
            <w:tcW w:w="4300" w:type="dxa"/>
            <w:vAlign w:val="bottom"/>
          </w:tcPr>
          <w:p>
            <w:pPr>
              <w:ind w:left="20"/>
              <w:spacing w:after="0"/>
              <w:rPr>
                <w:sz w:val="20"/>
                <w:szCs w:val="20"/>
                <w:color w:val="auto"/>
              </w:rPr>
            </w:pPr>
            <w:r>
              <w:rPr>
                <w:rFonts w:ascii="Arial" w:cs="Arial" w:eastAsia="Arial" w:hAnsi="Arial"/>
                <w:sz w:val="16"/>
                <w:szCs w:val="16"/>
                <w:color w:val="auto"/>
              </w:rPr>
              <w:t>Write off of deferred loan costs</w:t>
            </w:r>
          </w:p>
        </w:tc>
        <w:tc>
          <w:tcPr>
            <w:tcW w:w="16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 of these adjustments (c)</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(1,112)</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(6,038)</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(5,621)</w:t>
            </w:r>
          </w:p>
        </w:tc>
      </w:tr>
      <w:tr>
        <w:trPr>
          <w:trHeight w:val="237"/>
        </w:trPr>
        <w:tc>
          <w:tcPr>
            <w:tcW w:w="4300" w:type="dxa"/>
            <w:vAlign w:val="bottom"/>
          </w:tcPr>
          <w:p>
            <w:pPr>
              <w:ind w:left="240"/>
              <w:spacing w:after="0"/>
              <w:rPr>
                <w:sz w:val="20"/>
                <w:szCs w:val="20"/>
                <w:color w:val="auto"/>
              </w:rPr>
            </w:pPr>
            <w:r>
              <w:rPr>
                <w:rFonts w:ascii="Arial" w:cs="Arial" w:eastAsia="Arial" w:hAnsi="Arial"/>
                <w:sz w:val="16"/>
                <w:szCs w:val="16"/>
                <w:color w:val="auto"/>
              </w:rPr>
              <w:t>Adjusted Net Income</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138,759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168,229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439,487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539,471</w:t>
            </w:r>
          </w:p>
        </w:tc>
      </w:tr>
      <w:tr>
        <w:trPr>
          <w:trHeight w:val="152"/>
        </w:trPr>
        <w:tc>
          <w:tcPr>
            <w:tcW w:w="4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Earnings per common share</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5.73</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6.70</w:t>
            </w:r>
          </w:p>
        </w:tc>
      </w:tr>
      <w:tr>
        <w:trPr>
          <w:trHeight w:val="24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Earnings per Share</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9"/>
        </w:trPr>
        <w:tc>
          <w:tcPr>
            <w:tcW w:w="4300" w:type="dxa"/>
            <w:vAlign w:val="bottom"/>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6.16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47"/>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r>
      <w:tr>
        <w:trPr>
          <w:trHeight w:val="235"/>
        </w:trPr>
        <w:tc>
          <w:tcPr>
            <w:tcW w:w="43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1"/>
        </w:trPr>
        <w:tc>
          <w:tcPr>
            <w:tcW w:w="43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69,229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71,343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75,389</w:t>
            </w:r>
          </w:p>
        </w:tc>
      </w:tr>
      <w:tr>
        <w:trPr>
          <w:trHeight w:val="235"/>
        </w:trPr>
        <w:tc>
          <w:tcPr>
            <w:tcW w:w="4300" w:type="dxa"/>
            <w:vAlign w:val="bottom"/>
          </w:tcPr>
          <w:p>
            <w:pPr>
              <w:ind w:left="24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70,689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76,035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73,048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77,469</w:t>
            </w:r>
          </w:p>
        </w:tc>
      </w:tr>
    </w:tbl>
    <w:p>
      <w:pPr>
        <w:spacing w:after="0" w:line="125" w:lineRule="exact"/>
        <w:rPr>
          <w:sz w:val="20"/>
          <w:szCs w:val="20"/>
          <w:color w:val="auto"/>
        </w:rPr>
      </w:pPr>
    </w:p>
    <w:p>
      <w:pPr>
        <w:jc w:val="both"/>
        <w:ind w:left="400" w:right="20" w:hanging="374"/>
        <w:spacing w:after="0" w:line="251"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Net income for the year ended February 1, 2025, includes a $15.0 million gain pertaining to a litigation settlement and a $7.1 million gain on a sale-leaseback transaction, both of which occurred in the fourth quarter of 2024. Net income for the year ended February 3, 2024, includes a $15.9 million net gain relative to a credit card litigation settlement which occurred in the fourth quarter of 2023.</w:t>
      </w:r>
    </w:p>
    <w:p>
      <w:pPr>
        <w:spacing w:after="0" w:line="43" w:lineRule="exact"/>
        <w:rPr>
          <w:rFonts w:ascii="Arial" w:cs="Arial" w:eastAsia="Arial" w:hAnsi="Arial"/>
          <w:sz w:val="13"/>
          <w:szCs w:val="13"/>
          <w:color w:val="auto"/>
        </w:rPr>
      </w:pPr>
    </w:p>
    <w:p>
      <w:pPr>
        <w:ind w:left="400" w:right="20" w:hanging="374"/>
        <w:spacing w:after="0" w:line="264" w:lineRule="auto"/>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non-cash charges related to equity based compensation, which vary from period to period depending on certain factors such as the timing and valuation of awards, achievement of performance targets and equity award forfeitures.</w:t>
      </w:r>
    </w:p>
    <w:p>
      <w:pPr>
        <w:spacing w:after="0" w:line="22" w:lineRule="exact"/>
        <w:rPr>
          <w:rFonts w:ascii="Arial" w:cs="Arial" w:eastAsia="Arial" w:hAnsi="Arial"/>
          <w:sz w:val="13"/>
          <w:szCs w:val="13"/>
          <w:color w:val="auto"/>
        </w:rPr>
      </w:pPr>
    </w:p>
    <w:p>
      <w:pPr>
        <w:ind w:left="400" w:hanging="374"/>
        <w:spacing w:after="0"/>
        <w:tabs>
          <w:tab w:leader="none" w:pos="40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the tax effect of the total adjustments made to arrive at Adjusted Net Income at our historical tax rate.</w:t>
      </w:r>
    </w:p>
    <w:p>
      <w:pPr>
        <w:spacing w:after="0" w:line="338"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Adjusted Net Income and Adjusted Earnings Per Common Share, Diluted, Guidance Reconciliation (amounts in millions,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Low Range*</w:t>
            </w:r>
          </w:p>
        </w:tc>
        <w:tc>
          <w:tcPr>
            <w:tcW w:w="260" w:type="dxa"/>
            <w:vAlign w:val="bottom"/>
          </w:tcPr>
          <w:p>
            <w:pPr>
              <w:spacing w:after="0"/>
              <w:rPr>
                <w:sz w:val="19"/>
                <w:szCs w:val="19"/>
                <w:color w:val="auto"/>
              </w:rPr>
            </w:pPr>
          </w:p>
        </w:tc>
        <w:tc>
          <w:tcPr>
            <w:tcW w:w="2040" w:type="dxa"/>
            <w:vAlign w:val="bottom"/>
          </w:tcPr>
          <w:p>
            <w:pPr>
              <w:jc w:val="center"/>
              <w:ind w:right="199"/>
              <w:spacing w:after="0"/>
              <w:rPr>
                <w:sz w:val="20"/>
                <w:szCs w:val="20"/>
                <w:color w:val="auto"/>
              </w:rPr>
            </w:pPr>
            <w:r>
              <w:rPr>
                <w:rFonts w:ascii="Arial" w:cs="Arial" w:eastAsia="Arial" w:hAnsi="Arial"/>
                <w:sz w:val="16"/>
                <w:szCs w:val="16"/>
                <w:b w:val="1"/>
                <w:bCs w:val="1"/>
                <w:color w:val="auto"/>
              </w:rPr>
              <w:t>High Range*</w:t>
            </w:r>
          </w:p>
        </w:tc>
      </w:tr>
      <w:tr>
        <w:trPr>
          <w:trHeight w:val="223"/>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Fiscal Year Ending</w:t>
            </w:r>
          </w:p>
        </w:tc>
        <w:tc>
          <w:tcPr>
            <w:tcW w:w="260" w:type="dxa"/>
            <w:vAlign w:val="bottom"/>
          </w:tcPr>
          <w:p>
            <w:pPr>
              <w:spacing w:after="0"/>
              <w:rPr>
                <w:sz w:val="19"/>
                <w:szCs w:val="19"/>
                <w:color w:val="auto"/>
              </w:rPr>
            </w:pPr>
          </w:p>
        </w:tc>
        <w:tc>
          <w:tcPr>
            <w:tcW w:w="2040" w:type="dxa"/>
            <w:vAlign w:val="bottom"/>
          </w:tcPr>
          <w:p>
            <w:pPr>
              <w:jc w:val="center"/>
              <w:ind w:right="239"/>
              <w:spacing w:after="0"/>
              <w:rPr>
                <w:sz w:val="20"/>
                <w:szCs w:val="20"/>
                <w:color w:val="auto"/>
              </w:rPr>
            </w:pPr>
            <w:r>
              <w:rPr>
                <w:rFonts w:ascii="Arial" w:cs="Arial" w:eastAsia="Arial" w:hAnsi="Arial"/>
                <w:sz w:val="16"/>
                <w:szCs w:val="16"/>
                <w:b w:val="1"/>
                <w:bCs w:val="1"/>
                <w:color w:val="auto"/>
              </w:rPr>
              <w:t>Fiscal Year Ending</w:t>
            </w:r>
          </w:p>
        </w:tc>
      </w:tr>
      <w:tr>
        <w:trPr>
          <w:trHeight w:val="223"/>
        </w:trPr>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January 31, 2026</w:t>
            </w:r>
          </w:p>
        </w:tc>
        <w:tc>
          <w:tcPr>
            <w:tcW w:w="260" w:type="dxa"/>
            <w:vAlign w:val="bottom"/>
          </w:tcPr>
          <w:p>
            <w:pPr>
              <w:spacing w:after="0"/>
              <w:rPr>
                <w:sz w:val="19"/>
                <w:szCs w:val="19"/>
                <w:color w:val="auto"/>
              </w:rPr>
            </w:pPr>
          </w:p>
        </w:tc>
        <w:tc>
          <w:tcPr>
            <w:tcW w:w="2040" w:type="dxa"/>
            <w:vAlign w:val="bottom"/>
          </w:tcPr>
          <w:p>
            <w:pPr>
              <w:jc w:val="center"/>
              <w:ind w:right="179"/>
              <w:spacing w:after="0"/>
              <w:rPr>
                <w:sz w:val="20"/>
                <w:szCs w:val="20"/>
                <w:color w:val="auto"/>
              </w:rPr>
            </w:pPr>
            <w:r>
              <w:rPr>
                <w:rFonts w:ascii="Arial" w:cs="Arial" w:eastAsia="Arial" w:hAnsi="Arial"/>
                <w:sz w:val="16"/>
                <w:szCs w:val="16"/>
                <w:b w:val="1"/>
                <w:bCs w:val="1"/>
                <w:color w:val="auto"/>
              </w:rPr>
              <w:t>January 31, 2026</w:t>
            </w:r>
          </w:p>
        </w:tc>
      </w:tr>
      <w:tr>
        <w:trPr>
          <w:trHeight w:val="21"/>
        </w:trPr>
        <w:tc>
          <w:tcPr>
            <w:tcW w:w="6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23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43"/>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 Diluted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r>
      <w:tr>
        <w:trPr>
          <w:trHeight w:val="23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r>
      <w:tr>
        <w:trPr>
          <w:trHeight w:val="268"/>
        </w:trPr>
        <w:tc>
          <w:tcPr>
            <w:tcW w:w="6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-1173480</wp:posOffset>
            </wp:positionV>
            <wp:extent cx="2983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32" w:lineRule="exact"/>
        <w:rPr>
          <w:sz w:val="20"/>
          <w:szCs w:val="20"/>
          <w:color w:val="auto"/>
        </w:rPr>
      </w:pPr>
    </w:p>
    <w:p>
      <w:pPr>
        <w:ind w:left="380" w:hanging="354"/>
        <w:spacing w:after="0"/>
        <w:tabs>
          <w:tab w:leader="none" w:pos="3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Amounts presented have been rounded.</w:t>
      </w:r>
    </w:p>
    <w:p>
      <w:pPr>
        <w:spacing w:after="0" w:line="53" w:lineRule="exact"/>
        <w:rPr>
          <w:sz w:val="20"/>
          <w:szCs w:val="20"/>
          <w:color w:val="auto"/>
        </w:rPr>
      </w:pPr>
    </w:p>
    <w:p>
      <w:pPr>
        <w:ind w:left="380" w:hanging="354"/>
        <w:spacing w:after="0"/>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Adjustments include non-cash charges related to equity-based compensation (as defined above), which may vary from period to period.</w:t>
      </w:r>
    </w:p>
    <w:p>
      <w:pPr>
        <w:spacing w:after="0" w:line="75" w:lineRule="exact"/>
        <w:rPr>
          <w:rFonts w:ascii="Arial" w:cs="Arial" w:eastAsia="Arial" w:hAnsi="Arial"/>
          <w:sz w:val="13"/>
          <w:szCs w:val="13"/>
          <w:color w:val="auto"/>
        </w:rPr>
      </w:pPr>
    </w:p>
    <w:p>
      <w:pPr>
        <w:ind w:left="5540"/>
        <w:spacing w:after="0"/>
        <w:rPr>
          <w:rFonts w:ascii="Arial" w:cs="Arial" w:eastAsia="Arial" w:hAnsi="Arial"/>
          <w:sz w:val="13"/>
          <w:szCs w:val="13"/>
          <w:color w:val="auto"/>
        </w:rPr>
      </w:pPr>
      <w:r>
        <w:rPr>
          <w:rFonts w:ascii="Arial" w:cs="Arial" w:eastAsia="Arial" w:hAnsi="Arial"/>
          <w:sz w:val="14"/>
          <w:szCs w:val="14"/>
          <w:color w:val="auto"/>
        </w:rPr>
        <w:t>10</w:t>
      </w:r>
    </w:p>
    <w:p>
      <w:pPr>
        <w:sectPr>
          <w:pgSz w:w="11900" w:h="16838" w:orient="portrait"/>
          <w:cols w:equalWidth="0" w:num="1">
            <w:col w:w="11240"/>
          </w:cols>
          <w:pgMar w:left="320" w:top="98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Fiscal Quarter Ended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Fiscal Year Ended</w:t>
            </w:r>
          </w:p>
        </w:tc>
      </w:tr>
      <w:tr>
        <w:trPr>
          <w:trHeight w:val="236"/>
        </w:trPr>
        <w:tc>
          <w:tcPr>
            <w:tcW w:w="3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1, 2025</w:t>
            </w:r>
          </w:p>
        </w:tc>
        <w:tc>
          <w:tcPr>
            <w:tcW w:w="180" w:type="dxa"/>
            <w:vAlign w:val="bottom"/>
          </w:tcPr>
          <w:p>
            <w:pPr>
              <w:spacing w:after="0"/>
              <w:rPr>
                <w:sz w:val="20"/>
                <w:szCs w:val="20"/>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3, 2024</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1, 2025</w:t>
            </w:r>
          </w:p>
        </w:tc>
        <w:tc>
          <w:tcPr>
            <w:tcW w:w="16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Arial" w:cs="Arial" w:eastAsia="Arial" w:hAnsi="Arial"/>
                <w:sz w:val="16"/>
                <w:szCs w:val="16"/>
                <w:b w:val="1"/>
                <w:bCs w:val="1"/>
                <w:color w:val="auto"/>
              </w:rPr>
              <w:t>February 3, 2024</w:t>
            </w:r>
          </w:p>
        </w:tc>
      </w:tr>
      <w:tr>
        <w:trPr>
          <w:trHeight w:val="240"/>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140,168</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234,737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528,082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rPr>
              <w:t>535,779</w:t>
            </w:r>
          </w:p>
        </w:tc>
      </w:tr>
      <w:tr>
        <w:trPr>
          <w:trHeight w:val="23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(49,674)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(55,948)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b w:val="1"/>
                <w:bCs w:val="1"/>
                <w:color w:val="auto"/>
              </w:rPr>
              <w:t>(186,120)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(206,139)</w:t>
            </w:r>
          </w:p>
        </w:tc>
      </w:tr>
      <w:tr>
        <w:trPr>
          <w:trHeight w:val="265"/>
        </w:trPr>
        <w:tc>
          <w:tcPr>
            <w:tcW w:w="39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Adjusted Free Cash Flow</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178,789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b w:val="1"/>
                <w:bCs w:val="1"/>
                <w:color w:val="auto"/>
              </w:rPr>
              <w:t>341,962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color w:val="auto"/>
              </w:rPr>
              <w:t>329,640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sectPr>
      <w:pgSz w:w="11900" w:h="16838" w:orient="portrait"/>
      <w:cols w:equalWidth="0" w:num="1">
        <w:col w:w="11240"/>
      </w:cols>
      <w:pgMar w:left="320" w:top="9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2025-03-20T07:12:15Z</dcterms:created>
  <dcterms:modified xsi:type="dcterms:W3CDTF">2025-03-20T07:12:15Z</dcterms:modified>
</cp:coreProperties>
</file>