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5602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60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648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Johnson Samuel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60" w:space="180"/>
            <w:col w:w="7240"/>
          </w:cols>
          <w:pgMar w:left="460" w:top="216" w:right="359" w:bottom="64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03/26/2025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7,635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97,208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03/26/2025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3,005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50.03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94,203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7,635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03/26/2025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7,635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03/26/2034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15,272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29,982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29,982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03/25/2035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29,982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29,982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29,982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03/25/2035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29,982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-2569845</wp:posOffset>
            </wp:positionV>
            <wp:extent cx="28575" cy="25755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7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26, 2024, subject to the Reporting Person's continued service, the Reporting Person was granted 22,907 time-based restricted stock units that vest in three equal installments beginning on the first anniversary of the grant date.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25, 2025, subject to the Reporting Person's continued service, the Reporting Person was granted 29,982 time-based restricted stock units that vest in three equal installments beginning on the first anniversary of the grant date.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280"/>
        <w:spacing w:after="0" w:line="238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25, 2025, the Reporting Person was granted 29,982 performance-based restricted stock units ("PRSUs"). These PRSUs vest if certain preestablished performance metrics related to the Company's (i) adjusted pre-tax income, and (ii) return on invested capital over a 3-year period beginning on February 2, 2025 and ending on January 29, 2028,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Gary Holland,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4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2299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2025-03-26T17:05:30Z</dcterms:created>
  <dcterms:modified xsi:type="dcterms:W3CDTF">2025-03-26T17:05:30Z</dcterms:modified>
</cp:coreProperties>
</file>