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356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562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Heather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SVP-Accounting Treasury Tax</w:t>
            </w:r>
          </w:p>
        </w:tc>
        <w:tc>
          <w:tcPr>
            <w:tcW w:w="0" w:type="dxa"/>
            <w:vAlign w:val="bottom"/>
          </w:tcPr>
          <w:p>
            <w:pPr>
              <w:spacing w:after="0"/>
              <w:rPr>
                <w:sz w:val="1"/>
                <w:szCs w:val="1"/>
                <w:color w:val="auto"/>
              </w:rPr>
            </w:pPr>
          </w:p>
        </w:tc>
      </w:tr>
      <w:tr>
        <w:trPr>
          <w:trHeight w:val="128"/>
        </w:trPr>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03/01/2023</w:t>
            </w: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9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497</w:t>
            </w:r>
          </w:p>
        </w:tc>
        <w:tc>
          <w:tcPr>
            <w:tcW w:w="6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0000FF"/>
              </w:rPr>
              <w:t>673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3"/>
                <w:szCs w:val="13"/>
                <w:color w:val="0000FF"/>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148</w:t>
            </w:r>
          </w:p>
        </w:tc>
        <w:tc>
          <w:tcPr>
            <w:tcW w:w="6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32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0000FF"/>
              </w:rPr>
              <w:t>525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497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03/01/2023</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8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497</w:t>
            </w: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1,628</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-2127885</wp:posOffset>
            </wp:positionV>
            <wp:extent cx="29210" cy="2132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29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3/30/22, the Reporting Person was granted 2,125 performance-based restricted stock units ("RSUs"). These RSUs vest if certain performance criteria and/or Issuer stock price conditions are met and certified by the Issuer's compensation committee. On 3/1/23, the Issuer's compensation committee certified achievement of 93.7% of the performance criteria during fiscal 2022 meaning that 1,990 RSUs were deemed earned. Of this earned amount, 25% of the earned amount of this grant vested on 3/1/23, and the remaining 75% will vest in three equal annual installments beginning on 1/30/24, subject to the Reporting Person's continued service with the Issuer through each applicable vesting date. The remaining unearned amount of this grant (i.e., 135 RSUs) may vest upon certification by the Issuer's compensation committee of achievement of certain Issuer stock price conditions as of the fourth anniversary of the Vesting Commencement Date (i.e., 1/30/22).</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03/03/2023</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14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2023-03-03T17:56:59Z</dcterms:created>
  <dcterms:modified xsi:type="dcterms:W3CDTF">2023-03-03T17:56:59Z</dcterms:modified>
</cp:coreProperties>
</file>