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Mullican Michael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Academy Sports &amp; Outdoors,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ASO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1800 NORTH MASON ROAD</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1063"/>
        <w:spacing w:after="0"/>
        <w:rPr>
          <w:sz w:val="20"/>
          <w:szCs w:val="20"/>
          <w:color w:val="auto"/>
        </w:rPr>
      </w:pPr>
      <w:r>
        <w:rPr>
          <w:rFonts w:ascii="Arial" w:cs="Arial" w:eastAsia="Arial" w:hAnsi="Arial"/>
          <w:sz w:val="20"/>
          <w:szCs w:val="20"/>
          <w:color w:val="0000FF"/>
        </w:rPr>
        <w:t>EVP &amp; CFO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2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4"/>
              </w:rPr>
              <w:t>246,784</w:t>
            </w:r>
            <w:r>
              <w:rPr>
                <w:rFonts w:ascii="Arial" w:cs="Arial" w:eastAsia="Arial" w:hAnsi="Arial"/>
                <w:sz w:val="25"/>
                <w:szCs w:val="25"/>
                <w:color w:val="008000"/>
                <w:w w:val="84"/>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03/23/2027</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31,277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03/23/2027</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15,638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04/05/2028</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40,896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04/05/2028</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20,448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03/07/2029</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44,082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03/07/2029</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21,712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(8)</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03/05/2030</w:t>
            </w:r>
          </w:p>
        </w:tc>
        <w:tc>
          <w:tcPr>
            <w:tcW w:w="1740" w:type="dxa"/>
            <w:vAlign w:val="bottom"/>
          </w:tcPr>
          <w:p>
            <w:pPr>
              <w:jc w:val="center"/>
              <w:ind w:left="30"/>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49,757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-3305175</wp:posOffset>
            </wp:positionV>
            <wp:extent cx="6946900" cy="316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163570"/>
                    </a:xfrm>
                    <a:prstGeom prst="rect">
                      <a:avLst/>
                    </a:prstGeom>
                    <a:noFill/>
                  </pic:spPr>
                </pic:pic>
              </a:graphicData>
            </a:graphic>
          </wp:anchor>
        </w:drawing>
      </w:r>
    </w:p>
    <w:p>
      <w:pPr>
        <w:spacing w:after="0" w:line="15" w:lineRule="exact"/>
        <w:rPr>
          <w:sz w:val="24"/>
          <w:szCs w:val="24"/>
          <w:color w:val="auto"/>
        </w:rPr>
      </w:pPr>
    </w:p>
    <w:p>
      <w:pPr>
        <w:ind w:left="40" w:right="2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(a) 229,454 time-based restricted stock units, and (b) 17,330 performance-based restricted stock units that vest if certain performance criteria and/or Issuer stock price conditions are met.</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23, 2018.</w:t>
      </w:r>
    </w:p>
    <w:p>
      <w:pPr>
        <w:spacing w:after="0" w:line="52" w:lineRule="exact"/>
        <w:rPr>
          <w:rFonts w:ascii="Arial" w:cs="Arial" w:eastAsia="Arial" w:hAnsi="Arial"/>
          <w:sz w:val="15"/>
          <w:szCs w:val="15"/>
          <w:color w:val="008000"/>
        </w:rPr>
      </w:pPr>
    </w:p>
    <w:p>
      <w:pPr>
        <w:ind w:left="40" w:right="2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6,626 have vested, (b) 2,209 shall vest on February 3, 2021, and (c) the remaining portion shall vest in full on February 2, 2021 if certain Issuer stock price conditions are met on such date as determined by the Issuer.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April 5,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shall vest in full on February 2, 2022 if certain stock price conditions are met on such date as determined by the Issuer.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7, 2020.</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5,427 have vested, and (b) the remaining portion shall vest in three equal annual installments beginning on February 1, 2021.</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5,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sectPr>
          <w:pgSz w:w="11900" w:h="16838" w:orient="portrait"/>
          <w:cols w:equalWidth="0" w:num="1">
            <w:col w:w="10940"/>
          </w:cols>
          <w:pgMar w:left="480" w:top="236" w:right="479" w:bottom="0" w:gutter="0" w:footer="0" w:header="0"/>
          <w:type w:val="continuous"/>
        </w:sectPr>
      </w:pPr>
    </w:p>
    <w:p>
      <w:pPr>
        <w:ind w:left="6580"/>
        <w:spacing w:after="0"/>
        <w:tabs>
          <w:tab w:leader="none" w:pos="874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Michael P. Mullican</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Michael P. Mullican</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630"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2020-10-02T19:47:01Z</dcterms:created>
  <dcterms:modified xsi:type="dcterms:W3CDTF">2020-10-02T19:47:01Z</dcterms:modified>
</cp:coreProperties>
</file>